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3.xml" ContentType="application/vnd.openxmlformats-officedocument.wordprocessingml.header+xml"/>
  <Override PartName="/word/footer4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9.xml" ContentType="application/vnd.openxmlformats-officedocument.wordprocessingml.header+xml"/>
  <Override PartName="/word/footer4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4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1.xml" ContentType="application/vnd.openxmlformats-officedocument.wordprocessingml.header+xml"/>
  <Override PartName="/word/footer5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2D3" w:rsidRPr="00A1640B" w:rsidRDefault="00DB066C" w:rsidP="004032E6">
      <w:pPr>
        <w:pStyle w:val="Heading1-notinToC"/>
        <w:spacing w:before="4800"/>
        <w:rPr>
          <w:caps/>
        </w:rPr>
      </w:pPr>
      <w:r w:rsidRPr="00A1640B">
        <w:t xml:space="preserve">The </w:t>
      </w:r>
      <w:r w:rsidR="003C5E81">
        <w:t>M</w:t>
      </w:r>
      <w:r w:rsidRPr="00A1640B">
        <w:t xml:space="preserve">ental </w:t>
      </w:r>
      <w:r w:rsidR="003C5E81">
        <w:t>H</w:t>
      </w:r>
      <w:r w:rsidRPr="00A1640B">
        <w:t xml:space="preserve">ealth of </w:t>
      </w:r>
      <w:r w:rsidR="003C5E81">
        <w:t>Children and A</w:t>
      </w:r>
      <w:r w:rsidRPr="00A1640B">
        <w:t>dolescents</w:t>
      </w:r>
    </w:p>
    <w:p w:rsidR="00DB066C" w:rsidRDefault="00BC6E60" w:rsidP="004032E6">
      <w:pPr>
        <w:pStyle w:val="Heading2-notinToC"/>
        <w:spacing w:before="900"/>
        <w:rPr>
          <w:b/>
        </w:rPr>
      </w:pPr>
      <w:r>
        <w:t>Report on the s</w:t>
      </w:r>
      <w:r w:rsidR="00DB066C" w:rsidRPr="00DB066C">
        <w:t>econd Australian Child and Adolescent Survey</w:t>
      </w:r>
      <w:r w:rsidR="00DB066C">
        <w:br/>
      </w:r>
      <w:r w:rsidR="00DB066C" w:rsidRPr="00DB066C">
        <w:t>of Mental Health and Wellbeing</w:t>
      </w:r>
    </w:p>
    <w:p w:rsidR="004032E6" w:rsidRDefault="006C51D5" w:rsidP="004032E6">
      <w:pPr>
        <w:pStyle w:val="BodyText"/>
        <w:spacing w:before="900"/>
        <w:jc w:val="center"/>
      </w:pPr>
      <w:r>
        <w:t xml:space="preserve">David Lawrence </w:t>
      </w:r>
      <w:r w:rsidR="00DB066C">
        <w:br/>
      </w:r>
      <w:r>
        <w:t>Sarah Johnson</w:t>
      </w:r>
      <w:r w:rsidR="00DB066C">
        <w:br/>
      </w:r>
      <w:r>
        <w:t>Jennifer Hafekost</w:t>
      </w:r>
      <w:r w:rsidR="00B53FD7">
        <w:br/>
        <w:t xml:space="preserve">Katrina </w:t>
      </w:r>
      <w:proofErr w:type="spellStart"/>
      <w:r w:rsidR="00B53FD7">
        <w:t>Boterhoven</w:t>
      </w:r>
      <w:proofErr w:type="spellEnd"/>
      <w:r w:rsidR="00B53FD7">
        <w:t xml:space="preserve"> de </w:t>
      </w:r>
      <w:proofErr w:type="spellStart"/>
      <w:r w:rsidR="00B53FD7">
        <w:t>Haan</w:t>
      </w:r>
      <w:proofErr w:type="spellEnd"/>
      <w:r w:rsidR="00DB066C">
        <w:br/>
        <w:t>Michael Sawyer</w:t>
      </w:r>
      <w:r w:rsidR="00DB066C">
        <w:br/>
        <w:t xml:space="preserve">John </w:t>
      </w:r>
      <w:proofErr w:type="spellStart"/>
      <w:r w:rsidR="00DB066C">
        <w:t>Ainley</w:t>
      </w:r>
      <w:proofErr w:type="spellEnd"/>
      <w:r w:rsidR="00B53FD7">
        <w:br/>
        <w:t>Stephen R. Zubrick</w:t>
      </w:r>
    </w:p>
    <w:p w:rsidR="00DB066C" w:rsidRPr="00DB066C" w:rsidRDefault="005316C1" w:rsidP="004032E6">
      <w:pPr>
        <w:pStyle w:val="BodyText"/>
        <w:spacing w:before="2800"/>
        <w:jc w:val="center"/>
      </w:pPr>
      <w:r>
        <w:t>August</w:t>
      </w:r>
      <w:r w:rsidR="00553D30">
        <w:t xml:space="preserve"> 2015</w:t>
      </w:r>
    </w:p>
    <w:p w:rsidR="00DB066C" w:rsidRDefault="00DB066C">
      <w:pPr>
        <w:spacing w:after="0" w:line="276" w:lineRule="auto"/>
      </w:pPr>
      <w:r>
        <w:br w:type="page"/>
      </w:r>
    </w:p>
    <w:p w:rsidR="005316C1" w:rsidRPr="003314D8" w:rsidRDefault="005316C1" w:rsidP="005316C1">
      <w:pPr>
        <w:rPr>
          <w:b/>
        </w:rPr>
      </w:pPr>
      <w:proofErr w:type="gramStart"/>
      <w:r w:rsidRPr="003314D8">
        <w:rPr>
          <w:b/>
        </w:rPr>
        <w:lastRenderedPageBreak/>
        <w:t>The Mental Health of Children and</w:t>
      </w:r>
      <w:r>
        <w:rPr>
          <w:b/>
        </w:rPr>
        <w:t xml:space="preserve"> Adolescents</w:t>
      </w:r>
      <w:r w:rsidR="001C2D08">
        <w:rPr>
          <w:b/>
        </w:rPr>
        <w:t>.</w:t>
      </w:r>
      <w:proofErr w:type="gramEnd"/>
      <w:r>
        <w:rPr>
          <w:b/>
        </w:rPr>
        <w:t xml:space="preserve"> Report on the s</w:t>
      </w:r>
      <w:r w:rsidRPr="003314D8">
        <w:rPr>
          <w:b/>
        </w:rPr>
        <w:t>econd Australian Child and Adolescent Survey of Mental Health and Wellbeing</w:t>
      </w:r>
    </w:p>
    <w:p w:rsidR="005316C1" w:rsidRPr="003314D8" w:rsidRDefault="005316C1" w:rsidP="005316C1">
      <w:pPr>
        <w:rPr>
          <w:lang w:val="en-US"/>
        </w:rPr>
      </w:pPr>
      <w:r w:rsidRPr="003314D8">
        <w:rPr>
          <w:lang w:val="en-US"/>
        </w:rPr>
        <w:t>ISBN: 978-1-76007-187-5</w:t>
      </w:r>
      <w:r>
        <w:rPr>
          <w:lang w:val="en-US"/>
        </w:rPr>
        <w:br/>
      </w:r>
      <w:r w:rsidRPr="003314D8">
        <w:rPr>
          <w:lang w:val="en-US"/>
        </w:rPr>
        <w:t>Online ISBN: 978-1-76007-188-2</w:t>
      </w:r>
      <w:r>
        <w:rPr>
          <w:lang w:val="en-US"/>
        </w:rPr>
        <w:br/>
      </w:r>
      <w:r w:rsidRPr="003314D8">
        <w:rPr>
          <w:lang w:val="en-US"/>
        </w:rPr>
        <w:t>Publications approval number: 11097</w:t>
      </w:r>
    </w:p>
    <w:p w:rsidR="005316C1" w:rsidRPr="003314D8" w:rsidRDefault="005316C1" w:rsidP="005316C1">
      <w:pPr>
        <w:rPr>
          <w:lang w:val="en-US"/>
        </w:rPr>
      </w:pPr>
      <w:r w:rsidRPr="003314D8">
        <w:rPr>
          <w:lang w:val="en-US"/>
        </w:rPr>
        <w:t>Copyright Statements:</w:t>
      </w:r>
    </w:p>
    <w:p w:rsidR="005316C1" w:rsidRPr="003314D8" w:rsidRDefault="005316C1" w:rsidP="005316C1">
      <w:pPr>
        <w:rPr>
          <w:b/>
          <w:bCs/>
          <w:lang w:val="en-US"/>
        </w:rPr>
      </w:pPr>
      <w:r w:rsidRPr="003314D8">
        <w:rPr>
          <w:b/>
          <w:bCs/>
          <w:lang w:val="en-US"/>
        </w:rPr>
        <w:t>Paper-based publications</w:t>
      </w:r>
    </w:p>
    <w:p w:rsidR="005316C1" w:rsidRPr="003314D8" w:rsidRDefault="005316C1" w:rsidP="005316C1">
      <w:pPr>
        <w:rPr>
          <w:lang w:val="en-US"/>
        </w:rPr>
      </w:pPr>
      <w:r w:rsidRPr="003314D8">
        <w:rPr>
          <w:lang w:val="en-US"/>
        </w:rPr>
        <w:t>© Commonwealth of Australia 2015</w:t>
      </w:r>
    </w:p>
    <w:p w:rsidR="005316C1" w:rsidRPr="003314D8" w:rsidRDefault="005316C1" w:rsidP="005316C1">
      <w:pPr>
        <w:rPr>
          <w:lang w:val="en-US"/>
        </w:rPr>
      </w:pPr>
      <w:r w:rsidRPr="003314D8">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314D8">
        <w:rPr>
          <w:i/>
          <w:iCs/>
        </w:rPr>
        <w:t xml:space="preserve">Copyright Act 1968 </w:t>
      </w:r>
      <w:r w:rsidRPr="003314D8">
        <w:t>or allowed by this copyright notice</w:t>
      </w:r>
      <w:r w:rsidRPr="003314D8">
        <w:rPr>
          <w:i/>
          <w:iCs/>
        </w:rPr>
        <w:t xml:space="preserve">, </w:t>
      </w:r>
      <w:r w:rsidRPr="003314D8">
        <w:t>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r w:rsidRPr="003314D8">
        <w:rPr>
          <w:lang w:val="en-US"/>
        </w:rPr>
        <w:t xml:space="preserve"> </w:t>
      </w:r>
    </w:p>
    <w:p w:rsidR="005316C1" w:rsidRPr="003314D8" w:rsidRDefault="005316C1" w:rsidP="005316C1">
      <w:pPr>
        <w:rPr>
          <w:b/>
          <w:bCs/>
          <w:lang w:val="en-US"/>
        </w:rPr>
      </w:pPr>
      <w:r w:rsidRPr="003314D8">
        <w:rPr>
          <w:b/>
          <w:bCs/>
          <w:lang w:val="en-US"/>
        </w:rPr>
        <w:t>Internet sites</w:t>
      </w:r>
    </w:p>
    <w:p w:rsidR="005316C1" w:rsidRPr="003314D8" w:rsidRDefault="005316C1" w:rsidP="005316C1">
      <w:pPr>
        <w:rPr>
          <w:lang w:val="en-US"/>
        </w:rPr>
      </w:pPr>
      <w:r w:rsidRPr="003314D8">
        <w:rPr>
          <w:lang w:val="en-US"/>
        </w:rPr>
        <w:t>© Commonwealth of Australia 2015</w:t>
      </w:r>
    </w:p>
    <w:p w:rsidR="005316C1" w:rsidRPr="003314D8" w:rsidRDefault="005316C1" w:rsidP="005316C1">
      <w:pPr>
        <w:rPr>
          <w:lang w:val="en-US"/>
        </w:rPr>
      </w:pPr>
      <w:r w:rsidRPr="003314D8">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314D8">
        <w:rPr>
          <w:i/>
          <w:iCs/>
        </w:rPr>
        <w:t xml:space="preserve">Copyright Act 1968 </w:t>
      </w:r>
      <w:r w:rsidRPr="003314D8">
        <w:t>or allowed by this copyright notice</w:t>
      </w:r>
      <w:r w:rsidRPr="003314D8">
        <w:rPr>
          <w:i/>
          <w:iCs/>
        </w:rPr>
        <w:t xml:space="preserve">, </w:t>
      </w:r>
      <w:r w:rsidRPr="003314D8">
        <w:t>all other rights are reserved and</w:t>
      </w:r>
      <w:r w:rsidRPr="003314D8">
        <w:rPr>
          <w:i/>
          <w:iCs/>
        </w:rPr>
        <w:t xml:space="preserve"> </w:t>
      </w:r>
      <w:r w:rsidRPr="003314D8">
        <w:t>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rsidR="00DB066C" w:rsidRDefault="00DB066C" w:rsidP="005316C1">
      <w:pPr>
        <w:pStyle w:val="BodyText"/>
        <w:spacing w:before="900"/>
      </w:pPr>
      <w:proofErr w:type="gramStart"/>
      <w:r>
        <w:t xml:space="preserve">Suggested reference: </w:t>
      </w:r>
      <w:r w:rsidR="00F90583">
        <w:t xml:space="preserve">Lawrence D, </w:t>
      </w:r>
      <w:r>
        <w:t xml:space="preserve">Johnson S, Hafekost J, </w:t>
      </w:r>
      <w:proofErr w:type="spellStart"/>
      <w:r w:rsidR="00B53FD7">
        <w:t>Boterhoven</w:t>
      </w:r>
      <w:proofErr w:type="spellEnd"/>
      <w:r w:rsidR="00B53FD7">
        <w:t xml:space="preserve"> De </w:t>
      </w:r>
      <w:proofErr w:type="spellStart"/>
      <w:r w:rsidR="00B53FD7">
        <w:t>Haan</w:t>
      </w:r>
      <w:proofErr w:type="spellEnd"/>
      <w:r w:rsidR="00B53FD7">
        <w:t xml:space="preserve"> K, </w:t>
      </w:r>
      <w:r>
        <w:t xml:space="preserve">Sawyer M, </w:t>
      </w:r>
      <w:proofErr w:type="spellStart"/>
      <w:r>
        <w:t>Ainley</w:t>
      </w:r>
      <w:proofErr w:type="spellEnd"/>
      <w:r>
        <w:t xml:space="preserve"> J, </w:t>
      </w:r>
      <w:proofErr w:type="spellStart"/>
      <w:r w:rsidR="00B53FD7">
        <w:t>Zubrick</w:t>
      </w:r>
      <w:proofErr w:type="spellEnd"/>
      <w:r w:rsidR="00B53FD7">
        <w:t xml:space="preserve"> SR</w:t>
      </w:r>
      <w:r w:rsidR="00553D30">
        <w:t xml:space="preserve"> (2015</w:t>
      </w:r>
      <w:r>
        <w:t>) The Mental Health of Children and Adolescents.</w:t>
      </w:r>
      <w:proofErr w:type="gramEnd"/>
      <w:r>
        <w:t xml:space="preserve"> Report </w:t>
      </w:r>
      <w:r w:rsidR="00FE7D4B">
        <w:t>on</w:t>
      </w:r>
      <w:r w:rsidR="00BC6E60">
        <w:t xml:space="preserve"> the s</w:t>
      </w:r>
      <w:r>
        <w:t xml:space="preserve">econd Australian Child and Adolescent Survey of Mental Health and Wellbeing. </w:t>
      </w:r>
      <w:proofErr w:type="gramStart"/>
      <w:r>
        <w:t>Department of Health, Canberra.</w:t>
      </w:r>
      <w:proofErr w:type="gramEnd"/>
      <w:r>
        <w:br w:type="page"/>
      </w:r>
    </w:p>
    <w:p w:rsidR="00DB066C" w:rsidRDefault="00134622" w:rsidP="00F06031">
      <w:pPr>
        <w:pStyle w:val="Heading1"/>
        <w:spacing w:after="120"/>
      </w:pPr>
      <w:r>
        <w:lastRenderedPageBreak/>
        <w:t>Forewo</w:t>
      </w:r>
      <w:r w:rsidR="00DB066C">
        <w:t>rd</w:t>
      </w:r>
    </w:p>
    <w:p w:rsidR="00663E05" w:rsidRPr="00663E05" w:rsidRDefault="00663E05" w:rsidP="00711229">
      <w:r w:rsidRPr="00663E05">
        <w:t>This report provides compelling reading for everyone interested in the health and wellbeing of Australian children and adolescents. Based on a survey conducted in the homes of over 6,300 families with children and/or adolescents aged 4 to 17 years, the report presents a comprehensive picture of the mental health of young Australians. It documents the prevalence and type of mental health problems, the impact of those problems on families and young people themselves and the role of health and education services in providing assistance. While the primary sources of information were parents and carers, the survey also engaged directly with young people 11 years and older who completed their own survey. This information provides unique insights about aspects of their emotional lives and behaviour that are generally not visible to parents and carers.</w:t>
      </w:r>
    </w:p>
    <w:p w:rsidR="00663E05" w:rsidRPr="00663E05" w:rsidRDefault="00663E05" w:rsidP="00663E05">
      <w:pPr>
        <w:spacing w:line="290" w:lineRule="exact"/>
        <w:rPr>
          <w:spacing w:val="-2"/>
        </w:rPr>
      </w:pPr>
      <w:r w:rsidRPr="00663E05">
        <w:rPr>
          <w:spacing w:val="-2"/>
        </w:rPr>
        <w:t>Australia has a proud tradition of undertaking mental health surveys of its population. Commencing in 1997 with the first household survey of the adult population, the National Survey of Mental Health and Wellbeing programme has produced six major surveys. Two of these covered the more common mental disorders in adults conducted in 1997 and 2007, two covered people living with less prevalent psychotic illnesses conducted in 1998 and 2010, and now with this report, two surveys have been undertaken of the mental health of children and adolescents. The first child and adolescent survey was conducted in 1998 and released in 2000. It was the first national survey of its type conducted anywhere in the world.</w:t>
      </w:r>
    </w:p>
    <w:p w:rsidR="00663E05" w:rsidRPr="00663E05" w:rsidRDefault="00663E05" w:rsidP="00663E05">
      <w:pPr>
        <w:spacing w:line="290" w:lineRule="exact"/>
        <w:rPr>
          <w:spacing w:val="-2"/>
        </w:rPr>
      </w:pPr>
      <w:r w:rsidRPr="00663E05">
        <w:rPr>
          <w:spacing w:val="-2"/>
        </w:rPr>
        <w:t xml:space="preserve">The report on the second child and adolescent mental health survey presents a contemporary update on the next generation of Australian adults that is both reassuring and troubling. Overall prevalence of mental disorders appears to be stable, with approximately one in seven children and young people experiencing a mental disorder in the past year. This is consistent with comparable international studies. The most positive news is that access by families and young people to assistance appears to have increased substantially. The first survey found that only one third of children and adolescents aged 6-17 years with mental disorders used services in 1998 in the previous six months. By contrast the second </w:t>
      </w:r>
      <w:proofErr w:type="gramStart"/>
      <w:r w:rsidRPr="00663E05">
        <w:rPr>
          <w:spacing w:val="-2"/>
        </w:rPr>
        <w:t xml:space="preserve">survey found just over two thirds </w:t>
      </w:r>
      <w:r w:rsidR="001C2D08">
        <w:rPr>
          <w:spacing w:val="-2"/>
        </w:rPr>
        <w:t>were</w:t>
      </w:r>
      <w:proofErr w:type="gramEnd"/>
      <w:r w:rsidRPr="00663E05">
        <w:rPr>
          <w:spacing w:val="-2"/>
        </w:rPr>
        <w:t xml:space="preserve"> able to access services, although this was measured over a 12-month period. The vast majority (95%) used a health service. Despite differences in methodology between the two surveys, the report notes that on balance the data points to a significant increase in service use by children and adolescents with mental disorders in Australia between 1998 and 2014.</w:t>
      </w:r>
    </w:p>
    <w:p w:rsidR="00663E05" w:rsidRPr="00663E05" w:rsidRDefault="00663E05" w:rsidP="00663E05">
      <w:pPr>
        <w:spacing w:line="290" w:lineRule="exact"/>
        <w:rPr>
          <w:spacing w:val="-2"/>
        </w:rPr>
      </w:pPr>
      <w:r w:rsidRPr="00663E05">
        <w:rPr>
          <w:spacing w:val="-2"/>
        </w:rPr>
        <w:t xml:space="preserve">It is pleasing that the evidence from this more recent survey shows that those most in need have the best access to services. About nine out of every ten young people with a severe mental disorder accessed assistance from the service systems provided by the health and education sectors, as did about three quarters of those with problems of a moderate impact. This provides reassurance that the policies adopted by governments to lift the known low treatment rates for people with mental illness are achieving results. The Australian Government in particular has had a special focus on improving both prevention and treatment efforts for young Australians, commencing with the introduction of the National Youth Mental Health Initiative in 2005 (now known as </w:t>
      </w:r>
      <w:r w:rsidRPr="00663E05">
        <w:rPr>
          <w:i/>
          <w:spacing w:val="-2"/>
        </w:rPr>
        <w:t>headspace</w:t>
      </w:r>
      <w:r w:rsidRPr="00663E05">
        <w:rPr>
          <w:spacing w:val="-2"/>
        </w:rPr>
        <w:t>).</w:t>
      </w:r>
    </w:p>
    <w:p w:rsidR="00663E05" w:rsidRPr="00663E05" w:rsidRDefault="00663E05" w:rsidP="00663E05">
      <w:pPr>
        <w:spacing w:line="290" w:lineRule="exact"/>
        <w:rPr>
          <w:spacing w:val="-2"/>
        </w:rPr>
      </w:pPr>
      <w:r w:rsidRPr="00663E05">
        <w:rPr>
          <w:spacing w:val="-2"/>
        </w:rPr>
        <w:t xml:space="preserve">More troubling is the range of information presented in this report that points to the need for refocussed effort by governments and the broader community to develop systems to both prevent mental health problems and to respond early to problems when they emerge. The rates for </w:t>
      </w:r>
      <w:proofErr w:type="gramStart"/>
      <w:r w:rsidRPr="00663E05">
        <w:rPr>
          <w:spacing w:val="-2"/>
        </w:rPr>
        <w:t>depression,</w:t>
      </w:r>
      <w:proofErr w:type="gramEnd"/>
      <w:r w:rsidRPr="00663E05">
        <w:rPr>
          <w:spacing w:val="-2"/>
        </w:rPr>
        <w:t xml:space="preserve"> self-harm and thoughts about suicide in teenagers are particularly worrying, with approximately one in ten indicating that they have engaged in self-harming behaviour. Three quarters </w:t>
      </w:r>
      <w:r w:rsidRPr="00663E05">
        <w:rPr>
          <w:spacing w:val="-2"/>
        </w:rPr>
        <w:lastRenderedPageBreak/>
        <w:t>did so in the previous 12 months. For teenage girls aged 16-17 years, nearly one in five were found to meet the clinical criteria for depression based on their own report. Around one quarter of teenage girls in the 16-17 year age range reported deliberately injuring themselves at some point in their lives. The rates for depression in 11-17 year olds were found to be higher when young people provided the information themselves (7.7%) than when their parents and carers did so (4.7%). This is an important signal to all parents who are faced with the challenging task of helping their children navigate the transition from childhood to adulthood.</w:t>
      </w:r>
    </w:p>
    <w:p w:rsidR="00663E05" w:rsidRPr="00663E05" w:rsidRDefault="00663E05" w:rsidP="00663E05">
      <w:pPr>
        <w:spacing w:line="290" w:lineRule="exact"/>
        <w:rPr>
          <w:spacing w:val="-2"/>
        </w:rPr>
      </w:pPr>
      <w:r w:rsidRPr="00663E05">
        <w:rPr>
          <w:spacing w:val="-2"/>
        </w:rPr>
        <w:t>Additionally, this survey has again highlighted the strong relationship between socioeconomic disadvantage and higher rates of mental health problems that has been found in comparable international studies. Children and adolescents in low-income families, with parents and carers with lower levels of education and with higher levels of unemployment had higher rates of mental disorders in the previous 12 months. There was also a strong relationship with where they lived as significantly higher rates of mental disorders were found in non-metropolitan areas.</w:t>
      </w:r>
    </w:p>
    <w:p w:rsidR="00663E05" w:rsidRPr="00663E05" w:rsidRDefault="00663E05" w:rsidP="00663E05">
      <w:pPr>
        <w:spacing w:line="290" w:lineRule="exact"/>
        <w:rPr>
          <w:spacing w:val="-2"/>
        </w:rPr>
      </w:pPr>
      <w:r w:rsidRPr="00663E05">
        <w:rPr>
          <w:spacing w:val="-2"/>
        </w:rPr>
        <w:t>Overall, the survey highlights the need for continued effort by governments and the broader community to improve the mental health of children and young people and to continue our collaborative work to achieve more effective prevention. A continued focus on suicide prevention and early intervention must be central platforms of the service systems that we build in the health, education and welfare sectors. As this report demonstrates, the health system has a key role to play but the roles of the education and welfare sectors are also critical in responding to the needs of children and young people with mental health problems.</w:t>
      </w:r>
    </w:p>
    <w:p w:rsidR="00663E05" w:rsidRPr="00663E05" w:rsidRDefault="00663E05" w:rsidP="00663E05">
      <w:pPr>
        <w:spacing w:line="290" w:lineRule="exact"/>
        <w:rPr>
          <w:spacing w:val="-2"/>
        </w:rPr>
      </w:pPr>
      <w:r w:rsidRPr="00663E05">
        <w:rPr>
          <w:spacing w:val="-2"/>
        </w:rPr>
        <w:t xml:space="preserve">The Australian Government is committed to maintaining a strong focus on prevention and early intervention efforts to reduce the prevalence and impact of mental health problems in our young population. The survey shows that the investment by government in youth mental health is making an impact on service </w:t>
      </w:r>
      <w:proofErr w:type="gramStart"/>
      <w:r w:rsidRPr="00663E05">
        <w:rPr>
          <w:spacing w:val="-2"/>
        </w:rPr>
        <w:t>access,</w:t>
      </w:r>
      <w:proofErr w:type="gramEnd"/>
      <w:r w:rsidRPr="00663E05">
        <w:rPr>
          <w:spacing w:val="-2"/>
        </w:rPr>
        <w:t xml:space="preserve"> however, it also highlights the importance of targeting available resources to focus on emerging need.</w:t>
      </w:r>
    </w:p>
    <w:p w:rsidR="00663E05" w:rsidRPr="00663E05" w:rsidRDefault="00663E05" w:rsidP="00663E05">
      <w:pPr>
        <w:spacing w:line="290" w:lineRule="exact"/>
        <w:rPr>
          <w:spacing w:val="-2"/>
        </w:rPr>
      </w:pPr>
      <w:r w:rsidRPr="00663E05">
        <w:rPr>
          <w:spacing w:val="-2"/>
        </w:rPr>
        <w:t xml:space="preserve">This is why the Government tasked the National Mental Health Commission to conduct a comprehensive review of mental health services in Australia. Following the release of this review and its </w:t>
      </w:r>
      <w:proofErr w:type="gramStart"/>
      <w:r w:rsidRPr="00663E05">
        <w:rPr>
          <w:spacing w:val="-2"/>
        </w:rPr>
        <w:t>recommendations</w:t>
      </w:r>
      <w:proofErr w:type="gramEnd"/>
      <w:r w:rsidRPr="00663E05">
        <w:rPr>
          <w:spacing w:val="-2"/>
        </w:rPr>
        <w:t xml:space="preserve"> State, Territory and Commonwealth Governments agreed to recommit to a bipartisan approach to comprehensive mental health reform.</w:t>
      </w:r>
    </w:p>
    <w:p w:rsidR="00663E05" w:rsidRDefault="00663E05" w:rsidP="00663E05">
      <w:pPr>
        <w:spacing w:line="290" w:lineRule="exact"/>
      </w:pPr>
      <w:r w:rsidRPr="00663E05">
        <w:rPr>
          <w:spacing w:val="-2"/>
        </w:rPr>
        <w:t>Results from the Second Australian Child and Adolescent Survey of Mental Health and Wellbeing have produced a wealth of information that will guide the development of mental health policy and prog</w:t>
      </w:r>
      <w:r w:rsidR="001C2D08">
        <w:rPr>
          <w:spacing w:val="-2"/>
        </w:rPr>
        <w:t>rammes for young people well in</w:t>
      </w:r>
      <w:r w:rsidRPr="00663E05">
        <w:rPr>
          <w:spacing w:val="-2"/>
        </w:rPr>
        <w:t>to the future. Surveys of this type are highly specialist in nature, expensive and demanding on all involved. I wish to express our gratitude to all who contributed, particularly to the families who willingly gave their time to provide information about areas of their family life that are sensitive and deeply personal. I also wish to thank the team at the Telethon Kids Institute at the University of Western Australia who so ably planned and coordinated the survey, producing this publication.</w:t>
      </w:r>
    </w:p>
    <w:p w:rsidR="00663E05" w:rsidRPr="0043284E" w:rsidRDefault="0043284E" w:rsidP="00663E05">
      <w:pPr>
        <w:rPr>
          <w:i/>
        </w:rPr>
      </w:pPr>
      <w:r w:rsidRPr="0043284E">
        <w:rPr>
          <w:i/>
        </w:rPr>
        <w:t>SIGNED BY MINISTER FOR HEALTH AND MINISTER FOR SPORT, THE HON SUSSAN LEY MP</w:t>
      </w:r>
    </w:p>
    <w:p w:rsidR="00F06031" w:rsidRDefault="00663E05" w:rsidP="00F06031">
      <w:pPr>
        <w:spacing w:after="0"/>
        <w:rPr>
          <w:b/>
        </w:rPr>
      </w:pPr>
      <w:proofErr w:type="spellStart"/>
      <w:r w:rsidRPr="00537C8B">
        <w:rPr>
          <w:b/>
        </w:rPr>
        <w:t>Sussan</w:t>
      </w:r>
      <w:proofErr w:type="spellEnd"/>
      <w:r w:rsidRPr="00537C8B">
        <w:rPr>
          <w:b/>
        </w:rPr>
        <w:t xml:space="preserve"> Ley</w:t>
      </w:r>
      <w:r w:rsidRPr="00537C8B">
        <w:rPr>
          <w:b/>
        </w:rPr>
        <w:br/>
        <w:t>Minister for Health</w:t>
      </w:r>
    </w:p>
    <w:p w:rsidR="00DB066C" w:rsidRDefault="00F06031" w:rsidP="00F06031">
      <w:pPr>
        <w:spacing w:after="0"/>
      </w:pPr>
      <w:r>
        <w:rPr>
          <w:b/>
        </w:rPr>
        <w:t>Minister for Sport</w:t>
      </w:r>
      <w:r w:rsidR="00DB066C">
        <w:br w:type="page"/>
      </w:r>
    </w:p>
    <w:p w:rsidR="00134622" w:rsidRDefault="00134622" w:rsidP="00134622">
      <w:pPr>
        <w:pStyle w:val="Heading1"/>
      </w:pPr>
      <w:r>
        <w:lastRenderedPageBreak/>
        <w:t>Acknowledgements</w:t>
      </w:r>
    </w:p>
    <w:p w:rsidR="00E37519" w:rsidRDefault="00E37519" w:rsidP="00AE3CCE">
      <w:pPr>
        <w:pStyle w:val="BodyText"/>
      </w:pPr>
      <w:r>
        <w:t>The authors wish to express their gratitude to the 6,310 families who participated in the survey.</w:t>
      </w:r>
    </w:p>
    <w:p w:rsidR="00710960" w:rsidRDefault="00710960" w:rsidP="00AE3CCE">
      <w:pPr>
        <w:pStyle w:val="BodyText"/>
      </w:pPr>
      <w:r>
        <w:t xml:space="preserve">The survey was funded by the Australian Government Department of Health. </w:t>
      </w:r>
    </w:p>
    <w:p w:rsidR="00E37519" w:rsidRDefault="00E37519" w:rsidP="00AE3CCE">
      <w:pPr>
        <w:pStyle w:val="BodyText"/>
      </w:pPr>
      <w:r>
        <w:t>The survey was developed and conducted with advice from the Survey Reference Group (membership listed in Appendix 2).</w:t>
      </w:r>
    </w:p>
    <w:p w:rsidR="00710960" w:rsidRDefault="00710960" w:rsidP="00AE3CCE">
      <w:pPr>
        <w:pStyle w:val="BodyText"/>
      </w:pPr>
      <w:r>
        <w:t xml:space="preserve">The authors would like to particularly thank Bill Buckingham and Suzy Saw for their advice and support throughout the entire project. </w:t>
      </w:r>
    </w:p>
    <w:p w:rsidR="00134622" w:rsidRDefault="004963B8" w:rsidP="00AE3CCE">
      <w:pPr>
        <w:pStyle w:val="BodyText"/>
      </w:pPr>
      <w:r>
        <w:t>Special thanks to Rajni Walia (Project D</w:t>
      </w:r>
      <w:r w:rsidR="00134622">
        <w:t xml:space="preserve">irector), Gerry </w:t>
      </w:r>
      <w:proofErr w:type="spellStart"/>
      <w:r w:rsidR="00134622">
        <w:t>Bardsley</w:t>
      </w:r>
      <w:proofErr w:type="spellEnd"/>
      <w:r w:rsidR="00134622">
        <w:t>, Peta McDonald</w:t>
      </w:r>
      <w:r w:rsidR="00A1640B">
        <w:t>, Mary-Anne Patterson</w:t>
      </w:r>
      <w:r w:rsidR="004348D6">
        <w:t xml:space="preserve">, Caitlin </w:t>
      </w:r>
      <w:proofErr w:type="spellStart"/>
      <w:r w:rsidR="004348D6">
        <w:t>Bennetto</w:t>
      </w:r>
      <w:proofErr w:type="spellEnd"/>
      <w:r w:rsidR="00134622">
        <w:t xml:space="preserve"> </w:t>
      </w:r>
      <w:r w:rsidR="006B6AE6">
        <w:t xml:space="preserve">and Troy </w:t>
      </w:r>
      <w:proofErr w:type="spellStart"/>
      <w:r w:rsidR="006B6AE6">
        <w:t>Kohut</w:t>
      </w:r>
      <w:proofErr w:type="spellEnd"/>
      <w:r w:rsidR="006B6AE6">
        <w:t xml:space="preserve"> </w:t>
      </w:r>
      <w:r w:rsidR="00134622">
        <w:t xml:space="preserve">from Roy Morgan Research and the team of over 100 field interviewers who undertook the fieldwork for the survey. </w:t>
      </w:r>
    </w:p>
    <w:p w:rsidR="00134622" w:rsidRDefault="006B6AE6" w:rsidP="00AE3CCE">
      <w:pPr>
        <w:pStyle w:val="BodyText"/>
      </w:pPr>
      <w:r>
        <w:t>This survey would not have been possible without help from: Prudence Fisher (Columbia University), Robert Goodman (Institute of Psychiatry, London) and Katherine Stevens (University of Sheffield). Support and assistance from Philip Hazell</w:t>
      </w:r>
      <w:r w:rsidR="00A1640B">
        <w:t xml:space="preserve"> </w:t>
      </w:r>
      <w:r w:rsidR="009C345D">
        <w:t xml:space="preserve">and Joanna Blades </w:t>
      </w:r>
      <w:r w:rsidR="00A1640B">
        <w:t>(University of Sydney)</w:t>
      </w:r>
      <w:r>
        <w:t xml:space="preserve">, Julie </w:t>
      </w:r>
      <w:proofErr w:type="spellStart"/>
      <w:r>
        <w:t>Ratcliffe</w:t>
      </w:r>
      <w:proofErr w:type="spellEnd"/>
      <w:r>
        <w:t xml:space="preserve"> (University of Adelaide), </w:t>
      </w:r>
      <w:r w:rsidR="00A1640B">
        <w:t>Philip Burg</w:t>
      </w:r>
      <w:r w:rsidR="009C345D">
        <w:t>ess (University of Queensland)</w:t>
      </w:r>
      <w:r w:rsidR="00D87492">
        <w:t>, Gavin Stewart</w:t>
      </w:r>
      <w:r w:rsidR="00A1640B">
        <w:t xml:space="preserve"> </w:t>
      </w:r>
      <w:r>
        <w:t>and Helen Scales is gratefully acknowledged.</w:t>
      </w:r>
    </w:p>
    <w:p w:rsidR="009C345D" w:rsidRDefault="009C345D" w:rsidP="00AE3CCE">
      <w:pPr>
        <w:pStyle w:val="BodyText"/>
      </w:pPr>
      <w:r>
        <w:t xml:space="preserve">We would also like to thank the following </w:t>
      </w:r>
      <w:proofErr w:type="gramStart"/>
      <w:r>
        <w:t>staff of the Telethon Kids Institute who were</w:t>
      </w:r>
      <w:proofErr w:type="gramEnd"/>
      <w:r>
        <w:t xml:space="preserve"> vital to the success of the project: Allyson Browne, Daniel Christensen, Katherine Hafekost,</w:t>
      </w:r>
      <w:r w:rsidR="00B46FD8">
        <w:t xml:space="preserve"> Monique Robinson,</w:t>
      </w:r>
      <w:r>
        <w:t xml:space="preserve"> Francis Mitrou, Wavne Rikkers, Kirsten Hancock, Judy Straton,</w:t>
      </w:r>
      <w:r w:rsidRPr="009C345D">
        <w:t xml:space="preserve"> </w:t>
      </w:r>
      <w:r w:rsidR="00553D30">
        <w:t xml:space="preserve">Leanne Scott, </w:t>
      </w:r>
      <w:r>
        <w:t>Karina Allen, Beth Veitch and Donna Cross.</w:t>
      </w:r>
    </w:p>
    <w:p w:rsidR="00F70CEC" w:rsidRDefault="004C4DFC" w:rsidP="00AE3CCE">
      <w:pPr>
        <w:pStyle w:val="BodyText"/>
      </w:pPr>
      <w:r>
        <w:t xml:space="preserve">The survey team would like to thank survey ambassadors </w:t>
      </w:r>
      <w:r w:rsidR="00F70CEC">
        <w:t xml:space="preserve">Jessica Watson, Fiona Wood, </w:t>
      </w:r>
      <w:r w:rsidR="00553D30">
        <w:t xml:space="preserve">and </w:t>
      </w:r>
      <w:r w:rsidR="00F70CEC">
        <w:t>Fiona Stanley</w:t>
      </w:r>
      <w:r>
        <w:t xml:space="preserve"> for their support of the survey.</w:t>
      </w:r>
    </w:p>
    <w:p w:rsidR="005316C1" w:rsidRDefault="005316C1" w:rsidP="00AE3CCE">
      <w:pPr>
        <w:pStyle w:val="BodyText"/>
      </w:pPr>
      <w:r>
        <w:t>The authors thank PSMA Australia who generously donated access to G-NAF, the geocoded national address file, to support the project.</w:t>
      </w:r>
    </w:p>
    <w:p w:rsidR="00F90583" w:rsidRDefault="004348D6" w:rsidP="00AE3CCE">
      <w:pPr>
        <w:pStyle w:val="BodyText"/>
      </w:pPr>
      <w:r>
        <w:t xml:space="preserve">The authors wish to thank the following people who helped with the cognitive testing of the questionnaire: Caroline </w:t>
      </w:r>
      <w:proofErr w:type="spellStart"/>
      <w:r>
        <w:t>Goosens</w:t>
      </w:r>
      <w:proofErr w:type="spellEnd"/>
      <w:r>
        <w:t>, Margaret Jones, Simon Davies, Adrienne Wills, Jenn</w:t>
      </w:r>
      <w:r w:rsidR="002A0780">
        <w:t xml:space="preserve">ifer Griffiths, Julie Lambert, </w:t>
      </w:r>
      <w:r>
        <w:t xml:space="preserve">Haylee Clark, Vanessa Watson, Shannon </w:t>
      </w:r>
      <w:proofErr w:type="spellStart"/>
      <w:r>
        <w:t>McNeair</w:t>
      </w:r>
      <w:proofErr w:type="spellEnd"/>
      <w:r>
        <w:t>, Naomi D’Souza</w:t>
      </w:r>
      <w:r w:rsidR="00D8647D">
        <w:t xml:space="preserve"> and</w:t>
      </w:r>
      <w:r>
        <w:t xml:space="preserve"> Kym Thomas</w:t>
      </w:r>
      <w:r w:rsidR="00D8647D">
        <w:t>.</w:t>
      </w:r>
    </w:p>
    <w:p w:rsidR="00353A37" w:rsidRDefault="00353A37" w:rsidP="00DB066C">
      <w:pPr>
        <w:jc w:val="center"/>
        <w:sectPr w:rsidR="00353A37" w:rsidSect="003330E0">
          <w:headerReference w:type="even" r:id="rId9"/>
          <w:headerReference w:type="default" r:id="rId10"/>
          <w:pgSz w:w="11906" w:h="16838" w:code="9"/>
          <w:pgMar w:top="1440" w:right="1440" w:bottom="1440" w:left="1440" w:header="567" w:footer="567" w:gutter="0"/>
          <w:pgNumType w:fmt="lowerRoman"/>
          <w:cols w:space="720"/>
          <w:titlePg/>
          <w:docGrid w:linePitch="360"/>
        </w:sectPr>
      </w:pPr>
    </w:p>
    <w:p w:rsidR="00353A37" w:rsidRDefault="00411E41" w:rsidP="00353A37">
      <w:pPr>
        <w:pStyle w:val="Heading1"/>
      </w:pPr>
      <w:r>
        <w:lastRenderedPageBreak/>
        <w:t>Contents</w:t>
      </w:r>
    </w:p>
    <w:p w:rsidR="00353A37" w:rsidRDefault="00353A37" w:rsidP="00353A37">
      <w:pPr>
        <w:pStyle w:val="TOC2"/>
        <w:rPr>
          <w:rFonts w:eastAsiaTheme="minorEastAsia"/>
          <w:b w:val="0"/>
          <w:noProof/>
          <w:color w:val="auto"/>
          <w:sz w:val="22"/>
          <w:lang w:eastAsia="en-AU"/>
        </w:rPr>
      </w:pPr>
      <w:r>
        <w:rPr>
          <w:noProof/>
        </w:rPr>
        <w:t>Foreword</w:t>
      </w:r>
      <w:r>
        <w:rPr>
          <w:noProof/>
        </w:rPr>
        <w:tab/>
        <w:t>iii</w:t>
      </w:r>
    </w:p>
    <w:p w:rsidR="00353A37" w:rsidRDefault="00663E05" w:rsidP="00353A37">
      <w:pPr>
        <w:pStyle w:val="TOC2"/>
        <w:rPr>
          <w:rFonts w:eastAsiaTheme="minorEastAsia"/>
          <w:b w:val="0"/>
          <w:noProof/>
          <w:color w:val="auto"/>
          <w:sz w:val="22"/>
          <w:lang w:eastAsia="en-AU"/>
        </w:rPr>
      </w:pPr>
      <w:r>
        <w:rPr>
          <w:noProof/>
        </w:rPr>
        <w:t>Acknowledgements</w:t>
      </w:r>
      <w:r>
        <w:rPr>
          <w:noProof/>
        </w:rPr>
        <w:tab/>
      </w:r>
      <w:r w:rsidR="00353A37">
        <w:rPr>
          <w:noProof/>
        </w:rPr>
        <w:t>v</w:t>
      </w:r>
    </w:p>
    <w:p w:rsidR="00353A37" w:rsidRPr="005C4F80" w:rsidRDefault="00353A37" w:rsidP="005C4F80">
      <w:pPr>
        <w:pStyle w:val="TOC1"/>
        <w:rPr>
          <w:rFonts w:eastAsiaTheme="minorEastAsia"/>
          <w:lang w:eastAsia="en-AU"/>
        </w:rPr>
      </w:pPr>
      <w:r w:rsidRPr="005C4F80">
        <w:t>Highlights</w:t>
      </w:r>
      <w:r w:rsidRPr="005C4F80">
        <w:tab/>
        <w:t>1</w:t>
      </w:r>
    </w:p>
    <w:p w:rsidR="00353A37" w:rsidRDefault="00353A37" w:rsidP="005C4F80">
      <w:pPr>
        <w:pStyle w:val="TOC1"/>
        <w:rPr>
          <w:rFonts w:eastAsiaTheme="minorEastAsia"/>
          <w:lang w:eastAsia="en-AU"/>
        </w:rPr>
      </w:pPr>
      <w:r>
        <w:t xml:space="preserve">Part </w:t>
      </w:r>
      <w:r w:rsidRPr="008522BE">
        <w:t>1</w:t>
      </w:r>
      <w:r>
        <w:t xml:space="preserve"> – </w:t>
      </w:r>
      <w:r w:rsidRPr="008522BE">
        <w:t>Introduction</w:t>
      </w:r>
      <w:r>
        <w:tab/>
        <w:t>27</w:t>
      </w:r>
    </w:p>
    <w:p w:rsidR="00353A37" w:rsidRDefault="00353A37" w:rsidP="00353A37">
      <w:pPr>
        <w:pStyle w:val="TOC2"/>
        <w:tabs>
          <w:tab w:val="left" w:pos="454"/>
        </w:tabs>
        <w:rPr>
          <w:rFonts w:eastAsiaTheme="minorEastAsia"/>
          <w:b w:val="0"/>
          <w:noProof/>
          <w:color w:val="auto"/>
          <w:sz w:val="22"/>
          <w:lang w:eastAsia="en-AU"/>
        </w:rPr>
      </w:pPr>
      <w:r>
        <w:rPr>
          <w:noProof/>
        </w:rPr>
        <w:t>1</w:t>
      </w:r>
      <w:r>
        <w:rPr>
          <w:rFonts w:eastAsiaTheme="minorEastAsia"/>
          <w:b w:val="0"/>
          <w:noProof/>
          <w:color w:val="auto"/>
          <w:sz w:val="22"/>
          <w:lang w:eastAsia="en-AU"/>
        </w:rPr>
        <w:tab/>
      </w:r>
      <w:r>
        <w:rPr>
          <w:noProof/>
        </w:rPr>
        <w:t>Introduction</w:t>
      </w:r>
      <w:r>
        <w:rPr>
          <w:noProof/>
        </w:rPr>
        <w:tab/>
        <w:t>29</w:t>
      </w:r>
    </w:p>
    <w:p w:rsidR="00353A37" w:rsidRDefault="00353A37" w:rsidP="00353A37">
      <w:pPr>
        <w:pStyle w:val="TOC3"/>
        <w:rPr>
          <w:rFonts w:eastAsiaTheme="minorEastAsia"/>
          <w:noProof/>
          <w:lang w:eastAsia="en-AU"/>
        </w:rPr>
      </w:pPr>
      <w:r>
        <w:rPr>
          <w:noProof/>
        </w:rPr>
        <w:t>1.1</w:t>
      </w:r>
      <w:r>
        <w:rPr>
          <w:rFonts w:eastAsiaTheme="minorEastAsia"/>
          <w:noProof/>
          <w:lang w:eastAsia="en-AU"/>
        </w:rPr>
        <w:tab/>
      </w:r>
      <w:r w:rsidRPr="008522BE">
        <w:rPr>
          <w:i/>
          <w:iCs/>
          <w:noProof/>
        </w:rPr>
        <w:t>Young Minds Matter</w:t>
      </w:r>
      <w:r>
        <w:rPr>
          <w:noProof/>
        </w:rPr>
        <w:tab/>
        <w:t>29</w:t>
      </w:r>
    </w:p>
    <w:p w:rsidR="00353A37" w:rsidRDefault="00353A37" w:rsidP="00353A37">
      <w:pPr>
        <w:pStyle w:val="TOC3"/>
        <w:rPr>
          <w:rFonts w:eastAsiaTheme="minorEastAsia"/>
          <w:noProof/>
          <w:lang w:eastAsia="en-AU"/>
        </w:rPr>
      </w:pPr>
      <w:r>
        <w:rPr>
          <w:noProof/>
        </w:rPr>
        <w:t>1.2</w:t>
      </w:r>
      <w:r>
        <w:rPr>
          <w:rFonts w:eastAsiaTheme="minorEastAsia"/>
          <w:noProof/>
          <w:lang w:eastAsia="en-AU"/>
        </w:rPr>
        <w:tab/>
      </w:r>
      <w:r>
        <w:rPr>
          <w:noProof/>
        </w:rPr>
        <w:t>Who conducted the survey?</w:t>
      </w:r>
      <w:r>
        <w:rPr>
          <w:noProof/>
        </w:rPr>
        <w:tab/>
        <w:t>30</w:t>
      </w:r>
    </w:p>
    <w:p w:rsidR="00353A37" w:rsidRDefault="00353A37" w:rsidP="00353A37">
      <w:pPr>
        <w:pStyle w:val="TOC3"/>
        <w:rPr>
          <w:rFonts w:eastAsiaTheme="minorEastAsia"/>
          <w:noProof/>
          <w:lang w:eastAsia="en-AU"/>
        </w:rPr>
      </w:pPr>
      <w:r>
        <w:rPr>
          <w:noProof/>
        </w:rPr>
        <w:t>1.3</w:t>
      </w:r>
      <w:r>
        <w:rPr>
          <w:rFonts w:eastAsiaTheme="minorEastAsia"/>
          <w:noProof/>
          <w:lang w:eastAsia="en-AU"/>
        </w:rPr>
        <w:tab/>
      </w:r>
      <w:r>
        <w:rPr>
          <w:noProof/>
        </w:rPr>
        <w:t>Who was surveyed?</w:t>
      </w:r>
      <w:r>
        <w:rPr>
          <w:noProof/>
        </w:rPr>
        <w:tab/>
        <w:t>31</w:t>
      </w:r>
    </w:p>
    <w:p w:rsidR="00353A37" w:rsidRDefault="00353A37" w:rsidP="00353A37">
      <w:pPr>
        <w:pStyle w:val="TOC3"/>
        <w:rPr>
          <w:rFonts w:eastAsiaTheme="minorEastAsia"/>
          <w:noProof/>
          <w:lang w:eastAsia="en-AU"/>
        </w:rPr>
      </w:pPr>
      <w:r>
        <w:rPr>
          <w:noProof/>
        </w:rPr>
        <w:t>1.4</w:t>
      </w:r>
      <w:r>
        <w:rPr>
          <w:rFonts w:eastAsiaTheme="minorEastAsia"/>
          <w:noProof/>
          <w:lang w:eastAsia="en-AU"/>
        </w:rPr>
        <w:tab/>
      </w:r>
      <w:r>
        <w:rPr>
          <w:noProof/>
        </w:rPr>
        <w:t>What were they asked?</w:t>
      </w:r>
      <w:r>
        <w:rPr>
          <w:noProof/>
        </w:rPr>
        <w:tab/>
        <w:t>31</w:t>
      </w:r>
    </w:p>
    <w:p w:rsidR="00353A37" w:rsidRDefault="00353A37" w:rsidP="00353A37">
      <w:pPr>
        <w:pStyle w:val="TOC3"/>
        <w:rPr>
          <w:rFonts w:eastAsiaTheme="minorEastAsia"/>
          <w:noProof/>
          <w:lang w:eastAsia="en-AU"/>
        </w:rPr>
      </w:pPr>
      <w:r>
        <w:rPr>
          <w:noProof/>
        </w:rPr>
        <w:t>1.5</w:t>
      </w:r>
      <w:r>
        <w:rPr>
          <w:rFonts w:eastAsiaTheme="minorEastAsia"/>
          <w:noProof/>
          <w:lang w:eastAsia="en-AU"/>
        </w:rPr>
        <w:tab/>
      </w:r>
      <w:r>
        <w:rPr>
          <w:noProof/>
        </w:rPr>
        <w:t>Strengths and limitations of the survey</w:t>
      </w:r>
      <w:r>
        <w:rPr>
          <w:noProof/>
        </w:rPr>
        <w:tab/>
        <w:t>32</w:t>
      </w:r>
    </w:p>
    <w:p w:rsidR="00353A37" w:rsidRDefault="00353A37" w:rsidP="00353A37">
      <w:pPr>
        <w:pStyle w:val="TOC3"/>
        <w:rPr>
          <w:rFonts w:eastAsiaTheme="minorEastAsia"/>
          <w:noProof/>
          <w:lang w:eastAsia="en-AU"/>
        </w:rPr>
      </w:pPr>
      <w:r>
        <w:rPr>
          <w:noProof/>
        </w:rPr>
        <w:t>1.6</w:t>
      </w:r>
      <w:r>
        <w:rPr>
          <w:rFonts w:eastAsiaTheme="minorEastAsia"/>
          <w:noProof/>
          <w:lang w:eastAsia="en-AU"/>
        </w:rPr>
        <w:tab/>
      </w:r>
      <w:r>
        <w:rPr>
          <w:noProof/>
        </w:rPr>
        <w:t>Presentation of data and scope of the report</w:t>
      </w:r>
      <w:r>
        <w:rPr>
          <w:noProof/>
        </w:rPr>
        <w:tab/>
        <w:t>32</w:t>
      </w:r>
    </w:p>
    <w:p w:rsidR="00353A37" w:rsidRDefault="00353A37" w:rsidP="005C4F80">
      <w:pPr>
        <w:pStyle w:val="TOC1"/>
        <w:rPr>
          <w:rFonts w:eastAsiaTheme="minorEastAsia"/>
          <w:lang w:eastAsia="en-AU"/>
        </w:rPr>
      </w:pPr>
      <w:r>
        <w:t>Part 2 – Prevalence of mental disorders in children and adolescents</w:t>
      </w:r>
      <w:r>
        <w:tab/>
        <w:t>34</w:t>
      </w:r>
    </w:p>
    <w:p w:rsidR="00353A37" w:rsidRDefault="00353A37" w:rsidP="00353A37">
      <w:pPr>
        <w:pStyle w:val="TOC2"/>
        <w:tabs>
          <w:tab w:val="left" w:pos="454"/>
        </w:tabs>
        <w:rPr>
          <w:rFonts w:eastAsiaTheme="minorEastAsia"/>
          <w:b w:val="0"/>
          <w:noProof/>
          <w:color w:val="auto"/>
          <w:sz w:val="22"/>
          <w:lang w:eastAsia="en-AU"/>
        </w:rPr>
      </w:pPr>
      <w:r>
        <w:rPr>
          <w:noProof/>
        </w:rPr>
        <w:t>2</w:t>
      </w:r>
      <w:r>
        <w:rPr>
          <w:rFonts w:eastAsiaTheme="minorEastAsia"/>
          <w:b w:val="0"/>
          <w:noProof/>
          <w:color w:val="auto"/>
          <w:sz w:val="22"/>
          <w:lang w:eastAsia="en-AU"/>
        </w:rPr>
        <w:tab/>
      </w:r>
      <w:r>
        <w:rPr>
          <w:noProof/>
        </w:rPr>
        <w:t>Overview of mental disorders (DISC-IV)</w:t>
      </w:r>
      <w:r>
        <w:rPr>
          <w:noProof/>
        </w:rPr>
        <w:tab/>
        <w:t>36</w:t>
      </w:r>
    </w:p>
    <w:p w:rsidR="00353A37" w:rsidRDefault="00353A37" w:rsidP="00353A37">
      <w:pPr>
        <w:pStyle w:val="TOC3"/>
        <w:rPr>
          <w:rFonts w:eastAsiaTheme="minorEastAsia"/>
          <w:noProof/>
          <w:lang w:eastAsia="en-AU"/>
        </w:rPr>
      </w:pPr>
      <w:r>
        <w:rPr>
          <w:noProof/>
        </w:rPr>
        <w:t xml:space="preserve">2.1 </w:t>
      </w:r>
      <w:r>
        <w:rPr>
          <w:rFonts w:eastAsiaTheme="minorEastAsia"/>
          <w:noProof/>
          <w:lang w:eastAsia="en-AU"/>
        </w:rPr>
        <w:tab/>
      </w:r>
      <w:r>
        <w:rPr>
          <w:noProof/>
        </w:rPr>
        <w:t>Overall prevalence of mental disorders in children and adolescents</w:t>
      </w:r>
      <w:r>
        <w:rPr>
          <w:noProof/>
        </w:rPr>
        <w:tab/>
        <w:t>36</w:t>
      </w:r>
    </w:p>
    <w:p w:rsidR="00353A37" w:rsidRDefault="00353A37" w:rsidP="00353A37">
      <w:pPr>
        <w:pStyle w:val="TOC3"/>
        <w:rPr>
          <w:rFonts w:eastAsiaTheme="minorEastAsia"/>
          <w:noProof/>
          <w:lang w:eastAsia="en-AU"/>
        </w:rPr>
      </w:pPr>
      <w:r>
        <w:rPr>
          <w:noProof/>
        </w:rPr>
        <w:t xml:space="preserve">2.2 </w:t>
      </w:r>
      <w:r>
        <w:rPr>
          <w:rFonts w:eastAsiaTheme="minorEastAsia"/>
          <w:noProof/>
          <w:lang w:eastAsia="en-AU"/>
        </w:rPr>
        <w:tab/>
      </w:r>
      <w:r>
        <w:rPr>
          <w:noProof/>
        </w:rPr>
        <w:t>Social and demographic characteristics</w:t>
      </w:r>
      <w:r>
        <w:rPr>
          <w:noProof/>
        </w:rPr>
        <w:tab/>
        <w:t>37</w:t>
      </w:r>
    </w:p>
    <w:p w:rsidR="00353A37" w:rsidRDefault="00353A37" w:rsidP="00353A37">
      <w:pPr>
        <w:pStyle w:val="TOC3"/>
        <w:rPr>
          <w:rFonts w:eastAsiaTheme="minorEastAsia"/>
          <w:noProof/>
          <w:lang w:eastAsia="en-AU"/>
        </w:rPr>
      </w:pPr>
      <w:r>
        <w:rPr>
          <w:noProof/>
        </w:rPr>
        <w:t xml:space="preserve">2.3 </w:t>
      </w:r>
      <w:r>
        <w:rPr>
          <w:rFonts w:eastAsiaTheme="minorEastAsia"/>
          <w:noProof/>
          <w:lang w:eastAsia="en-AU"/>
        </w:rPr>
        <w:tab/>
      </w:r>
      <w:r>
        <w:rPr>
          <w:noProof/>
        </w:rPr>
        <w:t>Impact of mental disorders</w:t>
      </w:r>
      <w:r>
        <w:rPr>
          <w:noProof/>
        </w:rPr>
        <w:tab/>
        <w:t>40</w:t>
      </w:r>
    </w:p>
    <w:p w:rsidR="00353A37" w:rsidRDefault="00353A37" w:rsidP="00353A37">
      <w:pPr>
        <w:pStyle w:val="TOC3"/>
        <w:rPr>
          <w:rFonts w:eastAsiaTheme="minorEastAsia"/>
          <w:noProof/>
          <w:lang w:eastAsia="en-AU"/>
        </w:rPr>
      </w:pPr>
      <w:r>
        <w:rPr>
          <w:noProof/>
        </w:rPr>
        <w:t>2.4</w:t>
      </w:r>
      <w:r>
        <w:rPr>
          <w:rFonts w:eastAsiaTheme="minorEastAsia"/>
          <w:noProof/>
          <w:lang w:eastAsia="en-AU"/>
        </w:rPr>
        <w:tab/>
      </w:r>
      <w:r>
        <w:rPr>
          <w:noProof/>
        </w:rPr>
        <w:t>Comorbidity</w:t>
      </w:r>
      <w:r>
        <w:rPr>
          <w:noProof/>
        </w:rPr>
        <w:tab/>
        <w:t>42</w:t>
      </w:r>
    </w:p>
    <w:p w:rsidR="00353A37" w:rsidRDefault="00353A37" w:rsidP="00353A37">
      <w:pPr>
        <w:pStyle w:val="TOC3"/>
        <w:rPr>
          <w:rFonts w:eastAsiaTheme="minorEastAsia"/>
          <w:noProof/>
          <w:lang w:eastAsia="en-AU"/>
        </w:rPr>
      </w:pPr>
      <w:r>
        <w:rPr>
          <w:noProof/>
        </w:rPr>
        <w:t>2.5</w:t>
      </w:r>
      <w:r>
        <w:rPr>
          <w:rFonts w:eastAsiaTheme="minorEastAsia"/>
          <w:noProof/>
          <w:lang w:eastAsia="en-AU"/>
        </w:rPr>
        <w:tab/>
      </w:r>
      <w:r>
        <w:rPr>
          <w:noProof/>
        </w:rPr>
        <w:t>Principal condition</w:t>
      </w:r>
      <w:r>
        <w:rPr>
          <w:noProof/>
        </w:rPr>
        <w:tab/>
        <w:t>44</w:t>
      </w:r>
    </w:p>
    <w:p w:rsidR="00353A37" w:rsidRDefault="00353A37" w:rsidP="00353A37">
      <w:pPr>
        <w:pStyle w:val="TOC2"/>
        <w:tabs>
          <w:tab w:val="left" w:pos="454"/>
        </w:tabs>
        <w:rPr>
          <w:rFonts w:eastAsiaTheme="minorEastAsia"/>
          <w:b w:val="0"/>
          <w:noProof/>
          <w:color w:val="auto"/>
          <w:sz w:val="22"/>
          <w:lang w:eastAsia="en-AU"/>
        </w:rPr>
      </w:pPr>
      <w:r>
        <w:rPr>
          <w:noProof/>
        </w:rPr>
        <w:t>3</w:t>
      </w:r>
      <w:r>
        <w:rPr>
          <w:rFonts w:eastAsiaTheme="minorEastAsia"/>
          <w:b w:val="0"/>
          <w:noProof/>
          <w:color w:val="auto"/>
          <w:sz w:val="22"/>
          <w:lang w:eastAsia="en-AU"/>
        </w:rPr>
        <w:tab/>
      </w:r>
      <w:r>
        <w:rPr>
          <w:noProof/>
        </w:rPr>
        <w:t>Major depressive disorder</w:t>
      </w:r>
      <w:r>
        <w:rPr>
          <w:noProof/>
        </w:rPr>
        <w:tab/>
        <w:t>46</w:t>
      </w:r>
    </w:p>
    <w:p w:rsidR="00353A37" w:rsidRDefault="00353A37" w:rsidP="00353A37">
      <w:pPr>
        <w:pStyle w:val="TOC3"/>
        <w:rPr>
          <w:rFonts w:eastAsiaTheme="minorEastAsia"/>
          <w:noProof/>
          <w:lang w:eastAsia="en-AU"/>
        </w:rPr>
      </w:pPr>
      <w:r>
        <w:rPr>
          <w:noProof/>
        </w:rPr>
        <w:t>3.1</w:t>
      </w:r>
      <w:r>
        <w:rPr>
          <w:rFonts w:eastAsiaTheme="minorEastAsia"/>
          <w:noProof/>
          <w:lang w:eastAsia="en-AU"/>
        </w:rPr>
        <w:tab/>
      </w:r>
      <w:r>
        <w:rPr>
          <w:noProof/>
        </w:rPr>
        <w:t>Prevalence of major depressive disorder in children and adolescents</w:t>
      </w:r>
      <w:r>
        <w:rPr>
          <w:noProof/>
        </w:rPr>
        <w:tab/>
        <w:t>46</w:t>
      </w:r>
    </w:p>
    <w:p w:rsidR="00353A37" w:rsidRDefault="00353A37" w:rsidP="00353A37">
      <w:pPr>
        <w:pStyle w:val="TOC3"/>
        <w:rPr>
          <w:rFonts w:eastAsiaTheme="minorEastAsia"/>
          <w:noProof/>
          <w:lang w:eastAsia="en-AU"/>
        </w:rPr>
      </w:pPr>
      <w:r>
        <w:rPr>
          <w:noProof/>
        </w:rPr>
        <w:t>3.2</w:t>
      </w:r>
      <w:r>
        <w:rPr>
          <w:rFonts w:eastAsiaTheme="minorEastAsia"/>
          <w:noProof/>
          <w:lang w:eastAsia="en-AU"/>
        </w:rPr>
        <w:tab/>
      </w:r>
      <w:r>
        <w:rPr>
          <w:noProof/>
        </w:rPr>
        <w:t>Social and demographic characteristics</w:t>
      </w:r>
      <w:r>
        <w:rPr>
          <w:noProof/>
        </w:rPr>
        <w:tab/>
        <w:t>46</w:t>
      </w:r>
    </w:p>
    <w:p w:rsidR="00353A37" w:rsidRDefault="00353A37" w:rsidP="00353A37">
      <w:pPr>
        <w:pStyle w:val="TOC3"/>
        <w:rPr>
          <w:rFonts w:eastAsiaTheme="minorEastAsia"/>
          <w:noProof/>
          <w:lang w:eastAsia="en-AU"/>
        </w:rPr>
      </w:pPr>
      <w:r>
        <w:rPr>
          <w:noProof/>
        </w:rPr>
        <w:t>3.3</w:t>
      </w:r>
      <w:r>
        <w:rPr>
          <w:rFonts w:eastAsiaTheme="minorEastAsia"/>
          <w:noProof/>
          <w:lang w:eastAsia="en-AU"/>
        </w:rPr>
        <w:tab/>
      </w:r>
      <w:r>
        <w:rPr>
          <w:noProof/>
        </w:rPr>
        <w:t>Impact of major depressive disorder</w:t>
      </w:r>
      <w:r>
        <w:rPr>
          <w:noProof/>
        </w:rPr>
        <w:tab/>
        <w:t>49</w:t>
      </w:r>
    </w:p>
    <w:p w:rsidR="00353A37" w:rsidRDefault="00353A37" w:rsidP="00353A37">
      <w:pPr>
        <w:pStyle w:val="TOC2"/>
        <w:tabs>
          <w:tab w:val="left" w:pos="454"/>
        </w:tabs>
        <w:rPr>
          <w:rFonts w:eastAsiaTheme="minorEastAsia"/>
          <w:b w:val="0"/>
          <w:noProof/>
          <w:color w:val="auto"/>
          <w:sz w:val="22"/>
          <w:lang w:eastAsia="en-AU"/>
        </w:rPr>
      </w:pPr>
      <w:r>
        <w:rPr>
          <w:noProof/>
        </w:rPr>
        <w:t>4</w:t>
      </w:r>
      <w:r>
        <w:rPr>
          <w:rFonts w:eastAsiaTheme="minorEastAsia"/>
          <w:b w:val="0"/>
          <w:noProof/>
          <w:color w:val="auto"/>
          <w:sz w:val="22"/>
          <w:lang w:eastAsia="en-AU"/>
        </w:rPr>
        <w:tab/>
      </w:r>
      <w:r>
        <w:rPr>
          <w:noProof/>
        </w:rPr>
        <w:t>Anxiety disorders</w:t>
      </w:r>
      <w:r>
        <w:rPr>
          <w:noProof/>
        </w:rPr>
        <w:tab/>
        <w:t>51</w:t>
      </w:r>
    </w:p>
    <w:p w:rsidR="00353A37" w:rsidRDefault="00353A37" w:rsidP="00353A37">
      <w:pPr>
        <w:pStyle w:val="TOC3"/>
        <w:rPr>
          <w:rFonts w:eastAsiaTheme="minorEastAsia"/>
          <w:noProof/>
          <w:lang w:eastAsia="en-AU"/>
        </w:rPr>
      </w:pPr>
      <w:r>
        <w:rPr>
          <w:noProof/>
        </w:rPr>
        <w:t>4.1</w:t>
      </w:r>
      <w:r>
        <w:rPr>
          <w:rFonts w:eastAsiaTheme="minorEastAsia"/>
          <w:noProof/>
          <w:lang w:eastAsia="en-AU"/>
        </w:rPr>
        <w:tab/>
      </w:r>
      <w:r>
        <w:rPr>
          <w:noProof/>
        </w:rPr>
        <w:t>Prevalence of anxiety disorders in children and adolescents</w:t>
      </w:r>
      <w:r>
        <w:rPr>
          <w:noProof/>
        </w:rPr>
        <w:tab/>
        <w:t>52</w:t>
      </w:r>
    </w:p>
    <w:p w:rsidR="00353A37" w:rsidRDefault="00353A37" w:rsidP="00353A37">
      <w:pPr>
        <w:pStyle w:val="TOC3"/>
        <w:rPr>
          <w:rFonts w:eastAsiaTheme="minorEastAsia"/>
          <w:noProof/>
          <w:lang w:eastAsia="en-AU"/>
        </w:rPr>
      </w:pPr>
      <w:r>
        <w:rPr>
          <w:noProof/>
        </w:rPr>
        <w:t>4.2</w:t>
      </w:r>
      <w:r>
        <w:rPr>
          <w:rFonts w:eastAsiaTheme="minorEastAsia"/>
          <w:noProof/>
          <w:lang w:eastAsia="en-AU"/>
        </w:rPr>
        <w:tab/>
      </w:r>
      <w:r>
        <w:rPr>
          <w:noProof/>
        </w:rPr>
        <w:t>Social and demographic characteristics</w:t>
      </w:r>
      <w:r>
        <w:rPr>
          <w:noProof/>
        </w:rPr>
        <w:tab/>
        <w:t>53</w:t>
      </w:r>
    </w:p>
    <w:p w:rsidR="00353A37" w:rsidRDefault="00353A37" w:rsidP="00353A37">
      <w:pPr>
        <w:pStyle w:val="TOC3"/>
        <w:rPr>
          <w:rFonts w:eastAsiaTheme="minorEastAsia"/>
          <w:noProof/>
          <w:lang w:eastAsia="en-AU"/>
        </w:rPr>
      </w:pPr>
      <w:r>
        <w:rPr>
          <w:noProof/>
        </w:rPr>
        <w:t>4.3</w:t>
      </w:r>
      <w:r>
        <w:rPr>
          <w:rFonts w:eastAsiaTheme="minorEastAsia"/>
          <w:noProof/>
          <w:lang w:eastAsia="en-AU"/>
        </w:rPr>
        <w:tab/>
      </w:r>
      <w:r>
        <w:rPr>
          <w:noProof/>
        </w:rPr>
        <w:t>Impact of anxiety disorders</w:t>
      </w:r>
      <w:r>
        <w:rPr>
          <w:noProof/>
        </w:rPr>
        <w:tab/>
        <w:t>57</w:t>
      </w:r>
    </w:p>
    <w:p w:rsidR="00353A37" w:rsidRDefault="00353A37" w:rsidP="00353A37">
      <w:pPr>
        <w:pStyle w:val="TOC2"/>
        <w:tabs>
          <w:tab w:val="left" w:pos="454"/>
        </w:tabs>
        <w:rPr>
          <w:rFonts w:eastAsiaTheme="minorEastAsia"/>
          <w:b w:val="0"/>
          <w:noProof/>
          <w:color w:val="auto"/>
          <w:sz w:val="22"/>
          <w:lang w:eastAsia="en-AU"/>
        </w:rPr>
      </w:pPr>
      <w:r>
        <w:rPr>
          <w:noProof/>
        </w:rPr>
        <w:t>5</w:t>
      </w:r>
      <w:r>
        <w:rPr>
          <w:rFonts w:eastAsiaTheme="minorEastAsia"/>
          <w:b w:val="0"/>
          <w:noProof/>
          <w:color w:val="auto"/>
          <w:sz w:val="22"/>
          <w:lang w:eastAsia="en-AU"/>
        </w:rPr>
        <w:tab/>
      </w:r>
      <w:r>
        <w:rPr>
          <w:noProof/>
        </w:rPr>
        <w:t>Attention-deficit/hyperactivity disorder</w:t>
      </w:r>
      <w:r>
        <w:rPr>
          <w:noProof/>
        </w:rPr>
        <w:tab/>
        <w:t>60</w:t>
      </w:r>
    </w:p>
    <w:p w:rsidR="00353A37" w:rsidRDefault="00353A37" w:rsidP="00353A37">
      <w:pPr>
        <w:pStyle w:val="TOC3"/>
        <w:rPr>
          <w:rFonts w:eastAsiaTheme="minorEastAsia"/>
          <w:noProof/>
          <w:lang w:eastAsia="en-AU"/>
        </w:rPr>
      </w:pPr>
      <w:r>
        <w:rPr>
          <w:noProof/>
        </w:rPr>
        <w:t>5.1</w:t>
      </w:r>
      <w:r>
        <w:rPr>
          <w:rFonts w:eastAsiaTheme="minorEastAsia"/>
          <w:noProof/>
          <w:lang w:eastAsia="en-AU"/>
        </w:rPr>
        <w:tab/>
      </w:r>
      <w:r>
        <w:rPr>
          <w:noProof/>
        </w:rPr>
        <w:t>Prevalence of ADHD in children and adolescents</w:t>
      </w:r>
      <w:r>
        <w:rPr>
          <w:noProof/>
        </w:rPr>
        <w:tab/>
        <w:t>60</w:t>
      </w:r>
    </w:p>
    <w:p w:rsidR="00353A37" w:rsidRDefault="00353A37" w:rsidP="00353A37">
      <w:pPr>
        <w:pStyle w:val="TOC3"/>
        <w:rPr>
          <w:rFonts w:eastAsiaTheme="minorEastAsia"/>
          <w:noProof/>
          <w:lang w:eastAsia="en-AU"/>
        </w:rPr>
      </w:pPr>
      <w:r>
        <w:rPr>
          <w:noProof/>
        </w:rPr>
        <w:t>5.2</w:t>
      </w:r>
      <w:r>
        <w:rPr>
          <w:rFonts w:eastAsiaTheme="minorEastAsia"/>
          <w:noProof/>
          <w:lang w:eastAsia="en-AU"/>
        </w:rPr>
        <w:tab/>
      </w:r>
      <w:r>
        <w:rPr>
          <w:noProof/>
        </w:rPr>
        <w:t>Social and demographic characteristics</w:t>
      </w:r>
      <w:r>
        <w:rPr>
          <w:noProof/>
        </w:rPr>
        <w:tab/>
        <w:t>61</w:t>
      </w:r>
    </w:p>
    <w:p w:rsidR="00353A37" w:rsidRDefault="00353A37" w:rsidP="00353A37">
      <w:pPr>
        <w:pStyle w:val="TOC3"/>
        <w:rPr>
          <w:rFonts w:eastAsiaTheme="minorEastAsia"/>
          <w:noProof/>
          <w:lang w:eastAsia="en-AU"/>
        </w:rPr>
      </w:pPr>
      <w:r>
        <w:rPr>
          <w:noProof/>
        </w:rPr>
        <w:t>5.3</w:t>
      </w:r>
      <w:r>
        <w:rPr>
          <w:rFonts w:eastAsiaTheme="minorEastAsia"/>
          <w:noProof/>
          <w:lang w:eastAsia="en-AU"/>
        </w:rPr>
        <w:tab/>
      </w:r>
      <w:r>
        <w:rPr>
          <w:noProof/>
        </w:rPr>
        <w:t>Impact of ADHD</w:t>
      </w:r>
      <w:r>
        <w:rPr>
          <w:noProof/>
        </w:rPr>
        <w:tab/>
        <w:t>63</w:t>
      </w:r>
    </w:p>
    <w:p w:rsidR="00353A37" w:rsidRDefault="00353A37" w:rsidP="00353A37">
      <w:pPr>
        <w:pStyle w:val="TOC2"/>
        <w:tabs>
          <w:tab w:val="left" w:pos="454"/>
        </w:tabs>
        <w:rPr>
          <w:rFonts w:eastAsiaTheme="minorEastAsia"/>
          <w:b w:val="0"/>
          <w:noProof/>
          <w:color w:val="auto"/>
          <w:sz w:val="22"/>
          <w:lang w:eastAsia="en-AU"/>
        </w:rPr>
      </w:pPr>
      <w:r>
        <w:rPr>
          <w:noProof/>
        </w:rPr>
        <w:t>6</w:t>
      </w:r>
      <w:r>
        <w:rPr>
          <w:rFonts w:eastAsiaTheme="minorEastAsia"/>
          <w:b w:val="0"/>
          <w:noProof/>
          <w:color w:val="auto"/>
          <w:sz w:val="22"/>
          <w:lang w:eastAsia="en-AU"/>
        </w:rPr>
        <w:tab/>
      </w:r>
      <w:r>
        <w:rPr>
          <w:noProof/>
        </w:rPr>
        <w:t>Conduct disorder and oppositional problem behaviours</w:t>
      </w:r>
      <w:r>
        <w:rPr>
          <w:noProof/>
        </w:rPr>
        <w:tab/>
        <w:t>65</w:t>
      </w:r>
    </w:p>
    <w:p w:rsidR="00353A37" w:rsidRDefault="00353A37" w:rsidP="00353A37">
      <w:pPr>
        <w:pStyle w:val="TOC3"/>
        <w:rPr>
          <w:rFonts w:eastAsiaTheme="minorEastAsia"/>
          <w:noProof/>
          <w:lang w:eastAsia="en-AU"/>
        </w:rPr>
      </w:pPr>
      <w:r>
        <w:rPr>
          <w:noProof/>
        </w:rPr>
        <w:t>6.1</w:t>
      </w:r>
      <w:r>
        <w:rPr>
          <w:rFonts w:eastAsiaTheme="minorEastAsia"/>
          <w:noProof/>
          <w:lang w:eastAsia="en-AU"/>
        </w:rPr>
        <w:tab/>
      </w:r>
      <w:r>
        <w:rPr>
          <w:noProof/>
        </w:rPr>
        <w:t>Prevalence of conduct disorder in children and adolescents</w:t>
      </w:r>
      <w:r>
        <w:rPr>
          <w:noProof/>
        </w:rPr>
        <w:tab/>
        <w:t>65</w:t>
      </w:r>
    </w:p>
    <w:p w:rsidR="00353A37" w:rsidRDefault="00353A37" w:rsidP="00353A37">
      <w:pPr>
        <w:pStyle w:val="TOC3"/>
        <w:rPr>
          <w:rFonts w:eastAsiaTheme="minorEastAsia"/>
          <w:noProof/>
          <w:lang w:eastAsia="en-AU"/>
        </w:rPr>
      </w:pPr>
      <w:r>
        <w:rPr>
          <w:noProof/>
        </w:rPr>
        <w:t>6.2</w:t>
      </w:r>
      <w:r>
        <w:rPr>
          <w:rFonts w:eastAsiaTheme="minorEastAsia"/>
          <w:noProof/>
          <w:lang w:eastAsia="en-AU"/>
        </w:rPr>
        <w:tab/>
      </w:r>
      <w:r>
        <w:rPr>
          <w:noProof/>
        </w:rPr>
        <w:t>Social and demographic characteristics</w:t>
      </w:r>
      <w:r>
        <w:rPr>
          <w:noProof/>
        </w:rPr>
        <w:tab/>
        <w:t>65</w:t>
      </w:r>
    </w:p>
    <w:p w:rsidR="00353A37" w:rsidRDefault="00353A37" w:rsidP="00353A37">
      <w:pPr>
        <w:pStyle w:val="TOC3"/>
        <w:rPr>
          <w:rFonts w:eastAsiaTheme="minorEastAsia"/>
          <w:noProof/>
          <w:lang w:eastAsia="en-AU"/>
        </w:rPr>
      </w:pPr>
      <w:r>
        <w:rPr>
          <w:noProof/>
        </w:rPr>
        <w:lastRenderedPageBreak/>
        <w:t>6.3</w:t>
      </w:r>
      <w:r>
        <w:rPr>
          <w:rFonts w:eastAsiaTheme="minorEastAsia"/>
          <w:noProof/>
          <w:lang w:eastAsia="en-AU"/>
        </w:rPr>
        <w:tab/>
      </w:r>
      <w:r>
        <w:rPr>
          <w:noProof/>
        </w:rPr>
        <w:t>Impact of conduct disorder</w:t>
      </w:r>
      <w:r>
        <w:rPr>
          <w:noProof/>
        </w:rPr>
        <w:tab/>
        <w:t>68</w:t>
      </w:r>
    </w:p>
    <w:p w:rsidR="00353A37" w:rsidRDefault="00353A37" w:rsidP="00353A37">
      <w:pPr>
        <w:pStyle w:val="TOC3"/>
        <w:rPr>
          <w:rFonts w:eastAsiaTheme="minorEastAsia"/>
          <w:noProof/>
          <w:lang w:eastAsia="en-AU"/>
        </w:rPr>
      </w:pPr>
      <w:r>
        <w:rPr>
          <w:noProof/>
        </w:rPr>
        <w:t>6.4</w:t>
      </w:r>
      <w:r>
        <w:rPr>
          <w:rFonts w:eastAsiaTheme="minorEastAsia"/>
          <w:noProof/>
          <w:lang w:eastAsia="en-AU"/>
        </w:rPr>
        <w:tab/>
      </w:r>
      <w:r>
        <w:rPr>
          <w:noProof/>
        </w:rPr>
        <w:t>Oppositional problem behaviours</w:t>
      </w:r>
      <w:r>
        <w:rPr>
          <w:noProof/>
        </w:rPr>
        <w:tab/>
        <w:t>69</w:t>
      </w:r>
    </w:p>
    <w:p w:rsidR="00353A37" w:rsidRDefault="00353A37" w:rsidP="005C4F80">
      <w:pPr>
        <w:pStyle w:val="TOC1"/>
        <w:rPr>
          <w:rFonts w:eastAsiaTheme="minorEastAsia"/>
          <w:lang w:eastAsia="en-AU"/>
        </w:rPr>
      </w:pPr>
      <w:r>
        <w:t xml:space="preserve">Part 3 – </w:t>
      </w:r>
      <w:r w:rsidRPr="008522BE">
        <w:t>Service use</w:t>
      </w:r>
      <w:r>
        <w:tab/>
        <w:t>73</w:t>
      </w:r>
    </w:p>
    <w:p w:rsidR="00353A37" w:rsidRDefault="00353A37" w:rsidP="00353A37">
      <w:pPr>
        <w:pStyle w:val="TOC2"/>
        <w:tabs>
          <w:tab w:val="left" w:pos="454"/>
        </w:tabs>
        <w:rPr>
          <w:rFonts w:eastAsiaTheme="minorEastAsia"/>
          <w:b w:val="0"/>
          <w:noProof/>
          <w:color w:val="auto"/>
          <w:sz w:val="22"/>
          <w:lang w:eastAsia="en-AU"/>
        </w:rPr>
      </w:pPr>
      <w:r>
        <w:rPr>
          <w:noProof/>
        </w:rPr>
        <w:t>7</w:t>
      </w:r>
      <w:r>
        <w:rPr>
          <w:rFonts w:eastAsiaTheme="minorEastAsia"/>
          <w:b w:val="0"/>
          <w:noProof/>
          <w:color w:val="auto"/>
          <w:sz w:val="22"/>
          <w:lang w:eastAsia="en-AU"/>
        </w:rPr>
        <w:tab/>
      </w:r>
      <w:r>
        <w:rPr>
          <w:noProof/>
        </w:rPr>
        <w:t>Service use</w:t>
      </w:r>
      <w:r>
        <w:rPr>
          <w:noProof/>
        </w:rPr>
        <w:tab/>
        <w:t>75</w:t>
      </w:r>
    </w:p>
    <w:p w:rsidR="00353A37" w:rsidRDefault="00353A37" w:rsidP="00353A37">
      <w:pPr>
        <w:pStyle w:val="TOC3"/>
        <w:rPr>
          <w:rFonts w:eastAsiaTheme="minorEastAsia"/>
          <w:noProof/>
          <w:lang w:eastAsia="en-AU"/>
        </w:rPr>
      </w:pPr>
      <w:r>
        <w:rPr>
          <w:noProof/>
        </w:rPr>
        <w:t xml:space="preserve">7.1 </w:t>
      </w:r>
      <w:r>
        <w:rPr>
          <w:rFonts w:eastAsiaTheme="minorEastAsia"/>
          <w:noProof/>
          <w:lang w:eastAsia="en-AU"/>
        </w:rPr>
        <w:tab/>
      </w:r>
      <w:r>
        <w:rPr>
          <w:noProof/>
        </w:rPr>
        <w:t>Service use by all children and adolescents</w:t>
      </w:r>
      <w:r>
        <w:rPr>
          <w:noProof/>
        </w:rPr>
        <w:tab/>
        <w:t>75</w:t>
      </w:r>
    </w:p>
    <w:p w:rsidR="00353A37" w:rsidRDefault="00353A37" w:rsidP="00353A37">
      <w:pPr>
        <w:pStyle w:val="TOC3"/>
        <w:rPr>
          <w:rFonts w:eastAsiaTheme="minorEastAsia"/>
          <w:noProof/>
          <w:lang w:eastAsia="en-AU"/>
        </w:rPr>
      </w:pPr>
      <w:r>
        <w:rPr>
          <w:noProof/>
        </w:rPr>
        <w:t xml:space="preserve">7.2 </w:t>
      </w:r>
      <w:r>
        <w:rPr>
          <w:rFonts w:eastAsiaTheme="minorEastAsia"/>
          <w:noProof/>
          <w:lang w:eastAsia="en-AU"/>
        </w:rPr>
        <w:tab/>
      </w:r>
      <w:r>
        <w:rPr>
          <w:noProof/>
        </w:rPr>
        <w:t>Service use by children and adolescents with mental disorders</w:t>
      </w:r>
      <w:r>
        <w:rPr>
          <w:noProof/>
        </w:rPr>
        <w:tab/>
        <w:t>76</w:t>
      </w:r>
    </w:p>
    <w:p w:rsidR="00353A37" w:rsidRDefault="00353A37" w:rsidP="00353A37">
      <w:pPr>
        <w:pStyle w:val="TOC3"/>
        <w:rPr>
          <w:rFonts w:eastAsiaTheme="minorEastAsia"/>
          <w:noProof/>
          <w:lang w:eastAsia="en-AU"/>
        </w:rPr>
      </w:pPr>
      <w:r>
        <w:rPr>
          <w:noProof/>
        </w:rPr>
        <w:t xml:space="preserve">7.3 </w:t>
      </w:r>
      <w:r>
        <w:rPr>
          <w:rFonts w:eastAsiaTheme="minorEastAsia"/>
          <w:noProof/>
          <w:lang w:eastAsia="en-AU"/>
        </w:rPr>
        <w:tab/>
      </w:r>
      <w:r>
        <w:rPr>
          <w:noProof/>
        </w:rPr>
        <w:t>Health service use by children and adolescents with mental disorders</w:t>
      </w:r>
      <w:r>
        <w:rPr>
          <w:noProof/>
        </w:rPr>
        <w:tab/>
        <w:t>80</w:t>
      </w:r>
    </w:p>
    <w:p w:rsidR="00353A37" w:rsidRDefault="00353A37" w:rsidP="00353A37">
      <w:pPr>
        <w:pStyle w:val="TOC3"/>
        <w:rPr>
          <w:rFonts w:eastAsiaTheme="minorEastAsia"/>
          <w:noProof/>
          <w:lang w:eastAsia="en-AU"/>
        </w:rPr>
      </w:pPr>
      <w:r>
        <w:rPr>
          <w:noProof/>
        </w:rPr>
        <w:t xml:space="preserve">7.4 </w:t>
      </w:r>
      <w:r>
        <w:rPr>
          <w:rFonts w:eastAsiaTheme="minorEastAsia"/>
          <w:noProof/>
          <w:lang w:eastAsia="en-AU"/>
        </w:rPr>
        <w:tab/>
      </w:r>
      <w:r>
        <w:rPr>
          <w:noProof/>
        </w:rPr>
        <w:t>School service use by children and adolescents with mental disorders</w:t>
      </w:r>
      <w:r>
        <w:rPr>
          <w:noProof/>
        </w:rPr>
        <w:tab/>
        <w:t>83</w:t>
      </w:r>
    </w:p>
    <w:p w:rsidR="00353A37" w:rsidRDefault="00353A37" w:rsidP="00353A37">
      <w:pPr>
        <w:pStyle w:val="TOC3"/>
        <w:rPr>
          <w:rFonts w:eastAsiaTheme="minorEastAsia"/>
          <w:noProof/>
          <w:lang w:eastAsia="en-AU"/>
        </w:rPr>
      </w:pPr>
      <w:r>
        <w:rPr>
          <w:noProof/>
        </w:rPr>
        <w:t xml:space="preserve">7.5 </w:t>
      </w:r>
      <w:r>
        <w:rPr>
          <w:rFonts w:eastAsiaTheme="minorEastAsia"/>
          <w:noProof/>
          <w:lang w:eastAsia="en-AU"/>
        </w:rPr>
        <w:tab/>
      </w:r>
      <w:r>
        <w:rPr>
          <w:noProof/>
        </w:rPr>
        <w:t>Telephone counselling and online service use by children and adolescents with mental disorders</w:t>
      </w:r>
      <w:r>
        <w:rPr>
          <w:noProof/>
        </w:rPr>
        <w:tab/>
        <w:t>85</w:t>
      </w:r>
    </w:p>
    <w:p w:rsidR="00353A37" w:rsidRDefault="00353A37" w:rsidP="00353A37">
      <w:pPr>
        <w:pStyle w:val="TOC3"/>
        <w:rPr>
          <w:rFonts w:eastAsiaTheme="minorEastAsia"/>
          <w:noProof/>
          <w:lang w:eastAsia="en-AU"/>
        </w:rPr>
      </w:pPr>
      <w:r w:rsidRPr="008522BE">
        <w:rPr>
          <w:noProof/>
          <w:lang w:val="en-US"/>
        </w:rPr>
        <w:t xml:space="preserve">7.6 </w:t>
      </w:r>
      <w:r>
        <w:rPr>
          <w:rFonts w:eastAsiaTheme="minorEastAsia"/>
          <w:noProof/>
          <w:lang w:eastAsia="en-AU"/>
        </w:rPr>
        <w:tab/>
      </w:r>
      <w:r w:rsidRPr="008522BE">
        <w:rPr>
          <w:noProof/>
          <w:lang w:val="en-US"/>
        </w:rPr>
        <w:t>Use of services by parents and carers</w:t>
      </w:r>
      <w:r>
        <w:rPr>
          <w:noProof/>
        </w:rPr>
        <w:tab/>
        <w:t>85</w:t>
      </w:r>
    </w:p>
    <w:p w:rsidR="00353A37" w:rsidRDefault="00353A37" w:rsidP="00353A37">
      <w:pPr>
        <w:pStyle w:val="TOC3"/>
        <w:rPr>
          <w:rFonts w:eastAsiaTheme="minorEastAsia"/>
          <w:noProof/>
          <w:lang w:eastAsia="en-AU"/>
        </w:rPr>
      </w:pPr>
      <w:r w:rsidRPr="008522BE">
        <w:rPr>
          <w:noProof/>
          <w:lang w:val="en-US"/>
        </w:rPr>
        <w:t xml:space="preserve">7.7 </w:t>
      </w:r>
      <w:r>
        <w:rPr>
          <w:rFonts w:eastAsiaTheme="minorEastAsia"/>
          <w:noProof/>
          <w:lang w:eastAsia="en-AU"/>
        </w:rPr>
        <w:tab/>
      </w:r>
      <w:r w:rsidRPr="008522BE">
        <w:rPr>
          <w:noProof/>
          <w:lang w:val="en-US"/>
        </w:rPr>
        <w:t>Understanding who does and does not use services</w:t>
      </w:r>
      <w:r>
        <w:rPr>
          <w:noProof/>
        </w:rPr>
        <w:tab/>
        <w:t>87</w:t>
      </w:r>
    </w:p>
    <w:p w:rsidR="00353A37" w:rsidRDefault="00353A37" w:rsidP="00353A37">
      <w:pPr>
        <w:pStyle w:val="TOC3"/>
        <w:rPr>
          <w:rFonts w:eastAsiaTheme="minorEastAsia"/>
          <w:noProof/>
          <w:lang w:eastAsia="en-AU"/>
        </w:rPr>
      </w:pPr>
      <w:r>
        <w:rPr>
          <w:noProof/>
        </w:rPr>
        <w:t>7.8</w:t>
      </w:r>
      <w:r>
        <w:rPr>
          <w:rFonts w:eastAsiaTheme="minorEastAsia"/>
          <w:noProof/>
          <w:lang w:eastAsia="en-AU"/>
        </w:rPr>
        <w:tab/>
      </w:r>
      <w:r>
        <w:rPr>
          <w:noProof/>
        </w:rPr>
        <w:t>Young people with mental disorders who did not use services</w:t>
      </w:r>
      <w:r>
        <w:rPr>
          <w:noProof/>
        </w:rPr>
        <w:tab/>
        <w:t>88</w:t>
      </w:r>
    </w:p>
    <w:p w:rsidR="00353A37" w:rsidRDefault="00353A37" w:rsidP="00353A37">
      <w:pPr>
        <w:pStyle w:val="TOC2"/>
        <w:tabs>
          <w:tab w:val="left" w:pos="454"/>
        </w:tabs>
        <w:rPr>
          <w:rFonts w:eastAsiaTheme="minorEastAsia"/>
          <w:b w:val="0"/>
          <w:noProof/>
          <w:color w:val="auto"/>
          <w:sz w:val="22"/>
          <w:lang w:eastAsia="en-AU"/>
        </w:rPr>
      </w:pPr>
      <w:r>
        <w:rPr>
          <w:noProof/>
        </w:rPr>
        <w:t>8</w:t>
      </w:r>
      <w:r>
        <w:rPr>
          <w:rFonts w:eastAsiaTheme="minorEastAsia"/>
          <w:b w:val="0"/>
          <w:noProof/>
          <w:color w:val="auto"/>
          <w:sz w:val="22"/>
          <w:lang w:eastAsia="en-AU"/>
        </w:rPr>
        <w:tab/>
      </w:r>
      <w:r>
        <w:rPr>
          <w:noProof/>
        </w:rPr>
        <w:t>Perceived need and barriers to receiving mental health care</w:t>
      </w:r>
      <w:r>
        <w:rPr>
          <w:noProof/>
        </w:rPr>
        <w:tab/>
        <w:t>89</w:t>
      </w:r>
    </w:p>
    <w:p w:rsidR="00353A37" w:rsidRDefault="00353A37" w:rsidP="00353A37">
      <w:pPr>
        <w:pStyle w:val="TOC3"/>
        <w:rPr>
          <w:rFonts w:eastAsiaTheme="minorEastAsia"/>
          <w:noProof/>
          <w:lang w:eastAsia="en-AU"/>
        </w:rPr>
      </w:pPr>
      <w:r w:rsidRPr="008522BE">
        <w:rPr>
          <w:noProof/>
          <w:lang w:val="en-US"/>
        </w:rPr>
        <w:t xml:space="preserve">8.1 </w:t>
      </w:r>
      <w:r>
        <w:rPr>
          <w:rFonts w:eastAsiaTheme="minorEastAsia"/>
          <w:noProof/>
          <w:lang w:eastAsia="en-AU"/>
        </w:rPr>
        <w:tab/>
      </w:r>
      <w:r w:rsidRPr="008522BE">
        <w:rPr>
          <w:noProof/>
          <w:lang w:val="en-US"/>
        </w:rPr>
        <w:t>Perceived need for mental health care</w:t>
      </w:r>
      <w:r>
        <w:rPr>
          <w:noProof/>
        </w:rPr>
        <w:tab/>
        <w:t>89</w:t>
      </w:r>
    </w:p>
    <w:p w:rsidR="00353A37" w:rsidRDefault="00353A37" w:rsidP="00353A37">
      <w:pPr>
        <w:pStyle w:val="TOC3"/>
        <w:rPr>
          <w:rFonts w:eastAsiaTheme="minorEastAsia"/>
          <w:noProof/>
          <w:lang w:eastAsia="en-AU"/>
        </w:rPr>
      </w:pPr>
      <w:r w:rsidRPr="008522BE">
        <w:rPr>
          <w:noProof/>
          <w:lang w:val="en-US"/>
        </w:rPr>
        <w:t xml:space="preserve">8.2 </w:t>
      </w:r>
      <w:r>
        <w:rPr>
          <w:rFonts w:eastAsiaTheme="minorEastAsia"/>
          <w:noProof/>
          <w:lang w:eastAsia="en-AU"/>
        </w:rPr>
        <w:tab/>
      </w:r>
      <w:r w:rsidRPr="008522BE">
        <w:rPr>
          <w:noProof/>
          <w:lang w:val="en-US"/>
        </w:rPr>
        <w:t>Barriers to seeking and receiving help</w:t>
      </w:r>
      <w:r>
        <w:rPr>
          <w:noProof/>
        </w:rPr>
        <w:tab/>
        <w:t>93</w:t>
      </w:r>
    </w:p>
    <w:p w:rsidR="00353A37" w:rsidRDefault="00353A37" w:rsidP="00353A37">
      <w:pPr>
        <w:pStyle w:val="TOC3"/>
        <w:rPr>
          <w:rFonts w:eastAsiaTheme="minorEastAsia"/>
          <w:noProof/>
          <w:lang w:eastAsia="en-AU"/>
        </w:rPr>
      </w:pPr>
      <w:r>
        <w:rPr>
          <w:noProof/>
        </w:rPr>
        <w:t xml:space="preserve">8.3 </w:t>
      </w:r>
      <w:r>
        <w:rPr>
          <w:rFonts w:eastAsiaTheme="minorEastAsia"/>
          <w:noProof/>
          <w:lang w:eastAsia="en-AU"/>
        </w:rPr>
        <w:tab/>
      </w:r>
      <w:r>
        <w:rPr>
          <w:noProof/>
        </w:rPr>
        <w:t>Perceived need for help for parents and carers of children and adolescents with mental disorders</w:t>
      </w:r>
      <w:r>
        <w:rPr>
          <w:noProof/>
        </w:rPr>
        <w:tab/>
        <w:t>95</w:t>
      </w:r>
    </w:p>
    <w:p w:rsidR="00353A37" w:rsidRDefault="00353A37" w:rsidP="00353A37">
      <w:pPr>
        <w:pStyle w:val="TOC2"/>
        <w:tabs>
          <w:tab w:val="left" w:pos="454"/>
        </w:tabs>
        <w:rPr>
          <w:rFonts w:eastAsiaTheme="minorEastAsia"/>
          <w:b w:val="0"/>
          <w:noProof/>
          <w:color w:val="auto"/>
          <w:sz w:val="22"/>
          <w:lang w:eastAsia="en-AU"/>
        </w:rPr>
      </w:pPr>
      <w:r>
        <w:rPr>
          <w:noProof/>
        </w:rPr>
        <w:t>9</w:t>
      </w:r>
      <w:r>
        <w:rPr>
          <w:rFonts w:eastAsiaTheme="minorEastAsia"/>
          <w:b w:val="0"/>
          <w:noProof/>
          <w:color w:val="auto"/>
          <w:sz w:val="22"/>
          <w:lang w:eastAsia="en-AU"/>
        </w:rPr>
        <w:tab/>
      </w:r>
      <w:r>
        <w:rPr>
          <w:noProof/>
        </w:rPr>
        <w:t>The role of schools and impact on education</w:t>
      </w:r>
      <w:r>
        <w:rPr>
          <w:noProof/>
        </w:rPr>
        <w:tab/>
        <w:t>97</w:t>
      </w:r>
    </w:p>
    <w:p w:rsidR="00353A37" w:rsidRDefault="00353A37" w:rsidP="00353A37">
      <w:pPr>
        <w:pStyle w:val="TOC3"/>
        <w:rPr>
          <w:rFonts w:eastAsiaTheme="minorEastAsia"/>
          <w:noProof/>
          <w:lang w:eastAsia="en-AU"/>
        </w:rPr>
      </w:pPr>
      <w:r w:rsidRPr="008522BE">
        <w:rPr>
          <w:noProof/>
          <w:lang w:val="en-US"/>
        </w:rPr>
        <w:t xml:space="preserve">9.1 </w:t>
      </w:r>
      <w:r>
        <w:rPr>
          <w:rFonts w:eastAsiaTheme="minorEastAsia"/>
          <w:noProof/>
          <w:lang w:eastAsia="en-AU"/>
        </w:rPr>
        <w:tab/>
      </w:r>
      <w:r w:rsidRPr="008522BE">
        <w:rPr>
          <w:noProof/>
          <w:lang w:val="en-US"/>
        </w:rPr>
        <w:t>Identification of young people with emotional or behavioural problems by school staff</w:t>
      </w:r>
      <w:r>
        <w:rPr>
          <w:noProof/>
        </w:rPr>
        <w:tab/>
        <w:t>97</w:t>
      </w:r>
    </w:p>
    <w:p w:rsidR="00353A37" w:rsidRDefault="00353A37" w:rsidP="00353A37">
      <w:pPr>
        <w:pStyle w:val="TOC3"/>
        <w:rPr>
          <w:rFonts w:eastAsiaTheme="minorEastAsia"/>
          <w:noProof/>
          <w:lang w:eastAsia="en-AU"/>
        </w:rPr>
      </w:pPr>
      <w:r w:rsidRPr="008522BE">
        <w:rPr>
          <w:noProof/>
          <w:lang w:val="en-US"/>
        </w:rPr>
        <w:t>9.2</w:t>
      </w:r>
      <w:r>
        <w:rPr>
          <w:rFonts w:eastAsiaTheme="minorEastAsia"/>
          <w:noProof/>
          <w:lang w:eastAsia="en-AU"/>
        </w:rPr>
        <w:tab/>
      </w:r>
      <w:r w:rsidRPr="008522BE">
        <w:rPr>
          <w:noProof/>
          <w:lang w:val="en-US"/>
        </w:rPr>
        <w:t xml:space="preserve"> School contact with families</w:t>
      </w:r>
      <w:r>
        <w:rPr>
          <w:noProof/>
        </w:rPr>
        <w:tab/>
        <w:t>97</w:t>
      </w:r>
    </w:p>
    <w:p w:rsidR="00353A37" w:rsidRDefault="00353A37" w:rsidP="00353A37">
      <w:pPr>
        <w:pStyle w:val="TOC3"/>
        <w:rPr>
          <w:rFonts w:eastAsiaTheme="minorEastAsia"/>
          <w:noProof/>
          <w:lang w:eastAsia="en-AU"/>
        </w:rPr>
      </w:pPr>
      <w:r w:rsidRPr="008522BE">
        <w:rPr>
          <w:noProof/>
          <w:lang w:val="en-US"/>
        </w:rPr>
        <w:t xml:space="preserve">9.3 </w:t>
      </w:r>
      <w:r>
        <w:rPr>
          <w:rFonts w:eastAsiaTheme="minorEastAsia"/>
          <w:noProof/>
          <w:lang w:eastAsia="en-AU"/>
        </w:rPr>
        <w:tab/>
      </w:r>
      <w:r w:rsidRPr="008522BE">
        <w:rPr>
          <w:noProof/>
          <w:lang w:val="en-US"/>
        </w:rPr>
        <w:t>Services used at school</w:t>
      </w:r>
      <w:r>
        <w:rPr>
          <w:noProof/>
        </w:rPr>
        <w:tab/>
        <w:t>98</w:t>
      </w:r>
    </w:p>
    <w:p w:rsidR="00353A37" w:rsidRDefault="00353A37" w:rsidP="00353A37">
      <w:pPr>
        <w:pStyle w:val="TOC3"/>
        <w:rPr>
          <w:rFonts w:eastAsiaTheme="minorEastAsia"/>
          <w:noProof/>
          <w:lang w:eastAsia="en-AU"/>
        </w:rPr>
      </w:pPr>
      <w:r w:rsidRPr="008522BE">
        <w:rPr>
          <w:noProof/>
          <w:lang w:val="en-US"/>
        </w:rPr>
        <w:t xml:space="preserve">9.4 </w:t>
      </w:r>
      <w:r>
        <w:rPr>
          <w:rFonts w:eastAsiaTheme="minorEastAsia"/>
          <w:noProof/>
          <w:lang w:eastAsia="en-AU"/>
        </w:rPr>
        <w:tab/>
      </w:r>
      <w:r w:rsidRPr="008522BE">
        <w:rPr>
          <w:noProof/>
          <w:lang w:val="en-US"/>
        </w:rPr>
        <w:t>Informal support from teachers and other school staff</w:t>
      </w:r>
      <w:r>
        <w:rPr>
          <w:noProof/>
        </w:rPr>
        <w:tab/>
        <w:t>99</w:t>
      </w:r>
    </w:p>
    <w:p w:rsidR="00353A37" w:rsidRDefault="00353A37" w:rsidP="00353A37">
      <w:pPr>
        <w:pStyle w:val="TOC3"/>
        <w:rPr>
          <w:rFonts w:eastAsiaTheme="minorEastAsia"/>
          <w:noProof/>
          <w:lang w:eastAsia="en-AU"/>
        </w:rPr>
      </w:pPr>
      <w:r w:rsidRPr="008522BE">
        <w:rPr>
          <w:noProof/>
          <w:lang w:val="en-US"/>
        </w:rPr>
        <w:t xml:space="preserve">9.5 </w:t>
      </w:r>
      <w:r>
        <w:rPr>
          <w:rFonts w:eastAsiaTheme="minorEastAsia"/>
          <w:noProof/>
          <w:lang w:eastAsia="en-AU"/>
        </w:rPr>
        <w:tab/>
      </w:r>
      <w:r w:rsidRPr="008522BE">
        <w:rPr>
          <w:noProof/>
          <w:lang w:val="en-US"/>
        </w:rPr>
        <w:t>Relationship between mental disorders and schooling</w:t>
      </w:r>
      <w:r>
        <w:rPr>
          <w:noProof/>
        </w:rPr>
        <w:tab/>
        <w:t>100</w:t>
      </w:r>
    </w:p>
    <w:p w:rsidR="00353A37" w:rsidRDefault="00353A37" w:rsidP="005C4F80">
      <w:pPr>
        <w:pStyle w:val="TOC1"/>
        <w:rPr>
          <w:rFonts w:eastAsiaTheme="minorEastAsia"/>
          <w:lang w:eastAsia="en-AU"/>
        </w:rPr>
      </w:pPr>
      <w:r>
        <w:t xml:space="preserve">Part 4 – </w:t>
      </w:r>
      <w:r w:rsidRPr="008522BE">
        <w:t>What adolescents told us</w:t>
      </w:r>
      <w:r>
        <w:tab/>
        <w:t>103</w:t>
      </w:r>
    </w:p>
    <w:p w:rsidR="00353A37" w:rsidRDefault="00353A37" w:rsidP="00353A37">
      <w:pPr>
        <w:pStyle w:val="TOC2"/>
        <w:tabs>
          <w:tab w:val="left" w:pos="880"/>
        </w:tabs>
        <w:rPr>
          <w:rFonts w:eastAsiaTheme="minorEastAsia"/>
          <w:b w:val="0"/>
          <w:noProof/>
          <w:color w:val="auto"/>
          <w:sz w:val="22"/>
          <w:lang w:eastAsia="en-AU"/>
        </w:rPr>
      </w:pPr>
      <w:r>
        <w:rPr>
          <w:noProof/>
        </w:rPr>
        <w:t>10</w:t>
      </w:r>
      <w:r>
        <w:rPr>
          <w:rFonts w:eastAsiaTheme="minorEastAsia"/>
          <w:b w:val="0"/>
          <w:noProof/>
          <w:color w:val="auto"/>
          <w:sz w:val="22"/>
          <w:lang w:eastAsia="en-AU"/>
        </w:rPr>
        <w:tab/>
      </w:r>
      <w:r>
        <w:rPr>
          <w:noProof/>
        </w:rPr>
        <w:t>Mental disorders, self-reported problems and distress</w:t>
      </w:r>
      <w:r>
        <w:rPr>
          <w:noProof/>
        </w:rPr>
        <w:tab/>
        <w:t>105</w:t>
      </w:r>
    </w:p>
    <w:p w:rsidR="00353A37" w:rsidRDefault="00353A37" w:rsidP="00353A37">
      <w:pPr>
        <w:pStyle w:val="TOC3"/>
        <w:rPr>
          <w:rFonts w:eastAsiaTheme="minorEastAsia"/>
          <w:noProof/>
          <w:lang w:eastAsia="en-AU"/>
        </w:rPr>
      </w:pPr>
      <w:r>
        <w:rPr>
          <w:noProof/>
        </w:rPr>
        <w:t>10.1</w:t>
      </w:r>
      <w:r>
        <w:rPr>
          <w:rFonts w:eastAsiaTheme="minorEastAsia"/>
          <w:noProof/>
          <w:lang w:eastAsia="en-AU"/>
        </w:rPr>
        <w:tab/>
      </w:r>
      <w:r>
        <w:rPr>
          <w:noProof/>
        </w:rPr>
        <w:t>Prevalence of major depressive disorder</w:t>
      </w:r>
      <w:r>
        <w:rPr>
          <w:noProof/>
        </w:rPr>
        <w:tab/>
        <w:t>105</w:t>
      </w:r>
    </w:p>
    <w:p w:rsidR="00353A37" w:rsidRDefault="00353A37" w:rsidP="00353A37">
      <w:pPr>
        <w:pStyle w:val="TOC3"/>
        <w:rPr>
          <w:rFonts w:eastAsiaTheme="minorEastAsia"/>
          <w:noProof/>
          <w:lang w:eastAsia="en-AU"/>
        </w:rPr>
      </w:pPr>
      <w:r w:rsidRPr="008522BE">
        <w:rPr>
          <w:rFonts w:eastAsiaTheme="minorEastAsia"/>
          <w:noProof/>
          <w:lang w:eastAsia="en-AU"/>
        </w:rPr>
        <w:t>10.2</w:t>
      </w:r>
      <w:r>
        <w:rPr>
          <w:rFonts w:eastAsiaTheme="minorEastAsia"/>
          <w:noProof/>
          <w:lang w:eastAsia="en-AU"/>
        </w:rPr>
        <w:tab/>
      </w:r>
      <w:r w:rsidRPr="008522BE">
        <w:rPr>
          <w:rFonts w:eastAsiaTheme="minorEastAsia"/>
          <w:noProof/>
          <w:lang w:eastAsia="en-AU"/>
        </w:rPr>
        <w:t>Severity of impact on functioning of major depressive disorder</w:t>
      </w:r>
      <w:r>
        <w:rPr>
          <w:noProof/>
        </w:rPr>
        <w:tab/>
        <w:t>105</w:t>
      </w:r>
    </w:p>
    <w:p w:rsidR="00353A37" w:rsidRDefault="00353A37" w:rsidP="00353A37">
      <w:pPr>
        <w:pStyle w:val="TOC3"/>
        <w:rPr>
          <w:rFonts w:eastAsiaTheme="minorEastAsia"/>
          <w:noProof/>
          <w:lang w:eastAsia="en-AU"/>
        </w:rPr>
      </w:pPr>
      <w:r>
        <w:rPr>
          <w:noProof/>
        </w:rPr>
        <w:t>10.3</w:t>
      </w:r>
      <w:r>
        <w:rPr>
          <w:rFonts w:eastAsiaTheme="minorEastAsia"/>
          <w:noProof/>
          <w:lang w:eastAsia="en-AU"/>
        </w:rPr>
        <w:tab/>
      </w:r>
      <w:r>
        <w:rPr>
          <w:noProof/>
        </w:rPr>
        <w:t>Comparison of prevalence of major depressive disorder based on adolescent report with parent and carer report</w:t>
      </w:r>
      <w:r>
        <w:rPr>
          <w:noProof/>
        </w:rPr>
        <w:tab/>
        <w:t>106</w:t>
      </w:r>
    </w:p>
    <w:p w:rsidR="00353A37" w:rsidRDefault="00353A37" w:rsidP="00353A37">
      <w:pPr>
        <w:pStyle w:val="TOC3"/>
        <w:rPr>
          <w:rFonts w:eastAsiaTheme="minorEastAsia"/>
          <w:noProof/>
          <w:lang w:eastAsia="en-AU"/>
        </w:rPr>
      </w:pPr>
      <w:r>
        <w:rPr>
          <w:noProof/>
        </w:rPr>
        <w:t>10.4</w:t>
      </w:r>
      <w:r>
        <w:rPr>
          <w:rFonts w:eastAsiaTheme="minorEastAsia"/>
          <w:noProof/>
          <w:lang w:eastAsia="en-AU"/>
        </w:rPr>
        <w:tab/>
      </w:r>
      <w:r>
        <w:rPr>
          <w:noProof/>
        </w:rPr>
        <w:t>Psychological distress</w:t>
      </w:r>
      <w:r>
        <w:rPr>
          <w:noProof/>
        </w:rPr>
        <w:tab/>
        <w:t>108</w:t>
      </w:r>
    </w:p>
    <w:p w:rsidR="00353A37" w:rsidRDefault="00353A37" w:rsidP="00353A37">
      <w:pPr>
        <w:pStyle w:val="TOC3"/>
        <w:rPr>
          <w:rFonts w:eastAsiaTheme="minorEastAsia"/>
          <w:noProof/>
          <w:lang w:eastAsia="en-AU"/>
        </w:rPr>
      </w:pPr>
      <w:r w:rsidRPr="008522BE">
        <w:rPr>
          <w:rFonts w:eastAsiaTheme="minorEastAsia"/>
          <w:noProof/>
          <w:lang w:eastAsia="en-AU"/>
        </w:rPr>
        <w:t>10.5</w:t>
      </w:r>
      <w:r>
        <w:rPr>
          <w:rFonts w:eastAsiaTheme="minorEastAsia"/>
          <w:noProof/>
          <w:lang w:eastAsia="en-AU"/>
        </w:rPr>
        <w:tab/>
      </w:r>
      <w:r w:rsidRPr="008522BE">
        <w:rPr>
          <w:rFonts w:eastAsiaTheme="minorEastAsia"/>
          <w:noProof/>
          <w:lang w:eastAsia="en-AU"/>
        </w:rPr>
        <w:t>Strengths and difficulties questionnaire</w:t>
      </w:r>
      <w:r>
        <w:rPr>
          <w:noProof/>
        </w:rPr>
        <w:tab/>
        <w:t>109</w:t>
      </w:r>
    </w:p>
    <w:p w:rsidR="00353A37" w:rsidRDefault="00353A37" w:rsidP="00353A37">
      <w:pPr>
        <w:pStyle w:val="TOC2"/>
        <w:tabs>
          <w:tab w:val="left" w:pos="880"/>
        </w:tabs>
        <w:rPr>
          <w:rFonts w:eastAsiaTheme="minorEastAsia"/>
          <w:b w:val="0"/>
          <w:noProof/>
          <w:color w:val="auto"/>
          <w:sz w:val="22"/>
          <w:lang w:eastAsia="en-AU"/>
        </w:rPr>
      </w:pPr>
      <w:r>
        <w:rPr>
          <w:noProof/>
        </w:rPr>
        <w:t>11</w:t>
      </w:r>
      <w:r>
        <w:rPr>
          <w:rFonts w:eastAsiaTheme="minorEastAsia"/>
          <w:b w:val="0"/>
          <w:noProof/>
          <w:color w:val="auto"/>
          <w:sz w:val="22"/>
          <w:lang w:eastAsia="en-AU"/>
        </w:rPr>
        <w:tab/>
      </w:r>
      <w:r>
        <w:rPr>
          <w:noProof/>
        </w:rPr>
        <w:t>Adolescent reported self-harm and suicidal behaviours</w:t>
      </w:r>
      <w:r>
        <w:rPr>
          <w:noProof/>
        </w:rPr>
        <w:tab/>
        <w:t>111</w:t>
      </w:r>
    </w:p>
    <w:p w:rsidR="00353A37" w:rsidRDefault="00353A37" w:rsidP="00353A37">
      <w:pPr>
        <w:pStyle w:val="TOC3"/>
        <w:rPr>
          <w:rFonts w:eastAsiaTheme="minorEastAsia"/>
          <w:noProof/>
          <w:lang w:eastAsia="en-AU"/>
        </w:rPr>
      </w:pPr>
      <w:r>
        <w:rPr>
          <w:noProof/>
        </w:rPr>
        <w:t>11.1</w:t>
      </w:r>
      <w:r>
        <w:rPr>
          <w:rFonts w:eastAsiaTheme="minorEastAsia"/>
          <w:noProof/>
          <w:lang w:eastAsia="en-AU"/>
        </w:rPr>
        <w:tab/>
      </w:r>
      <w:r>
        <w:rPr>
          <w:noProof/>
        </w:rPr>
        <w:t>Self-harm</w:t>
      </w:r>
      <w:r>
        <w:rPr>
          <w:noProof/>
        </w:rPr>
        <w:tab/>
        <w:t>111</w:t>
      </w:r>
    </w:p>
    <w:p w:rsidR="00353A37" w:rsidRDefault="00353A37" w:rsidP="00353A37">
      <w:pPr>
        <w:pStyle w:val="TOC3"/>
        <w:rPr>
          <w:rFonts w:eastAsiaTheme="minorEastAsia"/>
          <w:noProof/>
          <w:lang w:eastAsia="en-AU"/>
        </w:rPr>
      </w:pPr>
      <w:r>
        <w:rPr>
          <w:noProof/>
        </w:rPr>
        <w:t>11.2</w:t>
      </w:r>
      <w:r>
        <w:rPr>
          <w:rFonts w:eastAsiaTheme="minorEastAsia"/>
          <w:noProof/>
          <w:lang w:eastAsia="en-AU"/>
        </w:rPr>
        <w:tab/>
      </w:r>
      <w:r>
        <w:rPr>
          <w:noProof/>
        </w:rPr>
        <w:t>Suicidal behaviours</w:t>
      </w:r>
      <w:r>
        <w:rPr>
          <w:noProof/>
        </w:rPr>
        <w:tab/>
        <w:t>114</w:t>
      </w:r>
    </w:p>
    <w:p w:rsidR="00353A37" w:rsidRDefault="00353A37" w:rsidP="00353A37">
      <w:pPr>
        <w:pStyle w:val="TOC2"/>
        <w:tabs>
          <w:tab w:val="left" w:pos="880"/>
        </w:tabs>
        <w:rPr>
          <w:rFonts w:eastAsiaTheme="minorEastAsia"/>
          <w:b w:val="0"/>
          <w:noProof/>
          <w:color w:val="auto"/>
          <w:sz w:val="22"/>
          <w:lang w:eastAsia="en-AU"/>
        </w:rPr>
      </w:pPr>
      <w:r>
        <w:rPr>
          <w:noProof/>
        </w:rPr>
        <w:lastRenderedPageBreak/>
        <w:t>12</w:t>
      </w:r>
      <w:r>
        <w:rPr>
          <w:rFonts w:eastAsiaTheme="minorEastAsia"/>
          <w:b w:val="0"/>
          <w:noProof/>
          <w:color w:val="auto"/>
          <w:sz w:val="22"/>
          <w:lang w:eastAsia="en-AU"/>
        </w:rPr>
        <w:tab/>
      </w:r>
      <w:r>
        <w:rPr>
          <w:noProof/>
        </w:rPr>
        <w:t>Self-reported problems, behaviours and risk factors in young people</w:t>
      </w:r>
      <w:r>
        <w:rPr>
          <w:noProof/>
        </w:rPr>
        <w:tab/>
        <w:t>118</w:t>
      </w:r>
    </w:p>
    <w:p w:rsidR="00353A37" w:rsidRDefault="00353A37" w:rsidP="00353A37">
      <w:pPr>
        <w:pStyle w:val="TOC3"/>
        <w:rPr>
          <w:rFonts w:eastAsiaTheme="minorEastAsia"/>
          <w:noProof/>
          <w:lang w:eastAsia="en-AU"/>
        </w:rPr>
      </w:pPr>
      <w:r>
        <w:rPr>
          <w:noProof/>
        </w:rPr>
        <w:t>12.1</w:t>
      </w:r>
      <w:r>
        <w:rPr>
          <w:rFonts w:eastAsiaTheme="minorEastAsia"/>
          <w:noProof/>
          <w:lang w:eastAsia="en-AU"/>
        </w:rPr>
        <w:tab/>
      </w:r>
      <w:r>
        <w:rPr>
          <w:noProof/>
        </w:rPr>
        <w:t>Smoking</w:t>
      </w:r>
      <w:r>
        <w:rPr>
          <w:noProof/>
        </w:rPr>
        <w:tab/>
        <w:t>118</w:t>
      </w:r>
    </w:p>
    <w:p w:rsidR="00353A37" w:rsidRDefault="00353A37" w:rsidP="00353A37">
      <w:pPr>
        <w:pStyle w:val="TOC3"/>
        <w:rPr>
          <w:rFonts w:eastAsiaTheme="minorEastAsia"/>
          <w:noProof/>
          <w:lang w:eastAsia="en-AU"/>
        </w:rPr>
      </w:pPr>
      <w:r w:rsidRPr="008522BE">
        <w:rPr>
          <w:rFonts w:eastAsiaTheme="minorEastAsia"/>
          <w:noProof/>
          <w:lang w:eastAsia="en-AU"/>
        </w:rPr>
        <w:t>12.2</w:t>
      </w:r>
      <w:r>
        <w:rPr>
          <w:rFonts w:eastAsiaTheme="minorEastAsia"/>
          <w:noProof/>
          <w:lang w:eastAsia="en-AU"/>
        </w:rPr>
        <w:tab/>
      </w:r>
      <w:r w:rsidRPr="008522BE">
        <w:rPr>
          <w:rFonts w:eastAsiaTheme="minorEastAsia"/>
          <w:noProof/>
          <w:lang w:eastAsia="en-AU"/>
        </w:rPr>
        <w:t>Alcohol</w:t>
      </w:r>
      <w:r>
        <w:rPr>
          <w:noProof/>
        </w:rPr>
        <w:tab/>
        <w:t>119</w:t>
      </w:r>
    </w:p>
    <w:p w:rsidR="00353A37" w:rsidRDefault="00353A37" w:rsidP="00353A37">
      <w:pPr>
        <w:pStyle w:val="TOC3"/>
        <w:rPr>
          <w:rFonts w:eastAsiaTheme="minorEastAsia"/>
          <w:noProof/>
          <w:lang w:eastAsia="en-AU"/>
        </w:rPr>
      </w:pPr>
      <w:r w:rsidRPr="008522BE">
        <w:rPr>
          <w:rFonts w:eastAsiaTheme="minorEastAsia"/>
          <w:noProof/>
          <w:lang w:eastAsia="en-AU"/>
        </w:rPr>
        <w:t>12.3</w:t>
      </w:r>
      <w:r>
        <w:rPr>
          <w:rFonts w:eastAsiaTheme="minorEastAsia"/>
          <w:noProof/>
          <w:lang w:eastAsia="en-AU"/>
        </w:rPr>
        <w:tab/>
      </w:r>
      <w:r w:rsidRPr="008522BE">
        <w:rPr>
          <w:rFonts w:eastAsiaTheme="minorEastAsia"/>
          <w:noProof/>
          <w:lang w:eastAsia="en-AU"/>
        </w:rPr>
        <w:t>Cannabis and other drugs</w:t>
      </w:r>
      <w:r>
        <w:rPr>
          <w:noProof/>
        </w:rPr>
        <w:tab/>
        <w:t>120</w:t>
      </w:r>
    </w:p>
    <w:p w:rsidR="00353A37" w:rsidRDefault="00353A37" w:rsidP="00353A37">
      <w:pPr>
        <w:pStyle w:val="TOC3"/>
        <w:rPr>
          <w:rFonts w:eastAsiaTheme="minorEastAsia"/>
          <w:noProof/>
          <w:lang w:eastAsia="en-AU"/>
        </w:rPr>
      </w:pPr>
      <w:r>
        <w:rPr>
          <w:noProof/>
        </w:rPr>
        <w:t>12.4</w:t>
      </w:r>
      <w:r>
        <w:rPr>
          <w:rFonts w:eastAsiaTheme="minorEastAsia"/>
          <w:noProof/>
          <w:lang w:eastAsia="en-AU"/>
        </w:rPr>
        <w:tab/>
      </w:r>
      <w:r>
        <w:rPr>
          <w:noProof/>
        </w:rPr>
        <w:t>Problem eating behaviours</w:t>
      </w:r>
      <w:r>
        <w:rPr>
          <w:noProof/>
        </w:rPr>
        <w:tab/>
        <w:t>121</w:t>
      </w:r>
    </w:p>
    <w:p w:rsidR="00353A37" w:rsidRDefault="00353A37" w:rsidP="00353A37">
      <w:pPr>
        <w:pStyle w:val="TOC3"/>
        <w:rPr>
          <w:rFonts w:eastAsiaTheme="minorEastAsia"/>
          <w:noProof/>
          <w:lang w:eastAsia="en-AU"/>
        </w:rPr>
      </w:pPr>
      <w:r>
        <w:rPr>
          <w:noProof/>
        </w:rPr>
        <w:t>12.5</w:t>
      </w:r>
      <w:r>
        <w:rPr>
          <w:rFonts w:eastAsiaTheme="minorEastAsia"/>
          <w:noProof/>
          <w:lang w:eastAsia="en-AU"/>
        </w:rPr>
        <w:tab/>
      </w:r>
      <w:r>
        <w:rPr>
          <w:noProof/>
        </w:rPr>
        <w:t>Sexual behaviours</w:t>
      </w:r>
      <w:r>
        <w:rPr>
          <w:noProof/>
        </w:rPr>
        <w:tab/>
        <w:t>123</w:t>
      </w:r>
    </w:p>
    <w:p w:rsidR="00353A37" w:rsidRDefault="00353A37" w:rsidP="00353A37">
      <w:pPr>
        <w:pStyle w:val="TOC3"/>
        <w:rPr>
          <w:rFonts w:eastAsiaTheme="minorEastAsia"/>
          <w:noProof/>
          <w:lang w:eastAsia="en-AU"/>
        </w:rPr>
      </w:pPr>
      <w:r>
        <w:rPr>
          <w:noProof/>
        </w:rPr>
        <w:t>12.6</w:t>
      </w:r>
      <w:r>
        <w:rPr>
          <w:rFonts w:eastAsiaTheme="minorEastAsia"/>
          <w:noProof/>
          <w:lang w:eastAsia="en-AU"/>
        </w:rPr>
        <w:tab/>
      </w:r>
      <w:r>
        <w:rPr>
          <w:noProof/>
        </w:rPr>
        <w:t>Bullying</w:t>
      </w:r>
      <w:r>
        <w:rPr>
          <w:noProof/>
        </w:rPr>
        <w:tab/>
        <w:t>124</w:t>
      </w:r>
    </w:p>
    <w:p w:rsidR="00353A37" w:rsidRDefault="00353A37" w:rsidP="00353A37">
      <w:pPr>
        <w:pStyle w:val="TOC3"/>
        <w:rPr>
          <w:rFonts w:eastAsiaTheme="minorEastAsia"/>
          <w:noProof/>
          <w:lang w:eastAsia="en-AU"/>
        </w:rPr>
      </w:pPr>
      <w:r>
        <w:rPr>
          <w:noProof/>
        </w:rPr>
        <w:t>12.7</w:t>
      </w:r>
      <w:r>
        <w:rPr>
          <w:rFonts w:eastAsiaTheme="minorEastAsia"/>
          <w:noProof/>
          <w:lang w:eastAsia="en-AU"/>
        </w:rPr>
        <w:tab/>
      </w:r>
      <w:r>
        <w:rPr>
          <w:noProof/>
        </w:rPr>
        <w:t>Internet use and electronic games</w:t>
      </w:r>
      <w:r>
        <w:rPr>
          <w:noProof/>
        </w:rPr>
        <w:tab/>
        <w:t>126</w:t>
      </w:r>
    </w:p>
    <w:p w:rsidR="00353A37" w:rsidRDefault="00353A37" w:rsidP="00353A37">
      <w:pPr>
        <w:pStyle w:val="TOC2"/>
        <w:tabs>
          <w:tab w:val="left" w:pos="880"/>
        </w:tabs>
        <w:rPr>
          <w:rFonts w:eastAsiaTheme="minorEastAsia"/>
          <w:b w:val="0"/>
          <w:noProof/>
          <w:color w:val="auto"/>
          <w:sz w:val="22"/>
          <w:lang w:eastAsia="en-AU"/>
        </w:rPr>
      </w:pPr>
      <w:r>
        <w:rPr>
          <w:noProof/>
        </w:rPr>
        <w:t>13</w:t>
      </w:r>
      <w:r>
        <w:rPr>
          <w:rFonts w:eastAsiaTheme="minorEastAsia"/>
          <w:b w:val="0"/>
          <w:noProof/>
          <w:color w:val="auto"/>
          <w:sz w:val="22"/>
          <w:lang w:eastAsia="en-AU"/>
        </w:rPr>
        <w:tab/>
      </w:r>
      <w:r>
        <w:rPr>
          <w:noProof/>
        </w:rPr>
        <w:t>What adolescents told us about service use and seeking help</w:t>
      </w:r>
      <w:r>
        <w:rPr>
          <w:noProof/>
        </w:rPr>
        <w:tab/>
        <w:t>129</w:t>
      </w:r>
    </w:p>
    <w:p w:rsidR="00353A37" w:rsidRDefault="00353A37" w:rsidP="00353A37">
      <w:pPr>
        <w:pStyle w:val="TOC3"/>
        <w:rPr>
          <w:rFonts w:eastAsiaTheme="minorEastAsia"/>
          <w:noProof/>
          <w:lang w:eastAsia="en-AU"/>
        </w:rPr>
      </w:pPr>
      <w:r>
        <w:rPr>
          <w:noProof/>
        </w:rPr>
        <w:t>13.1</w:t>
      </w:r>
      <w:r>
        <w:rPr>
          <w:rFonts w:eastAsiaTheme="minorEastAsia"/>
          <w:noProof/>
          <w:lang w:eastAsia="en-AU"/>
        </w:rPr>
        <w:tab/>
      </w:r>
      <w:r>
        <w:rPr>
          <w:noProof/>
        </w:rPr>
        <w:t>Service use by all adolescents</w:t>
      </w:r>
      <w:r>
        <w:rPr>
          <w:noProof/>
        </w:rPr>
        <w:tab/>
        <w:t>129</w:t>
      </w:r>
    </w:p>
    <w:p w:rsidR="00353A37" w:rsidRDefault="00353A37" w:rsidP="00353A37">
      <w:pPr>
        <w:pStyle w:val="TOC3"/>
        <w:rPr>
          <w:rFonts w:eastAsiaTheme="minorEastAsia"/>
          <w:noProof/>
          <w:lang w:eastAsia="en-AU"/>
        </w:rPr>
      </w:pPr>
      <w:r>
        <w:rPr>
          <w:noProof/>
        </w:rPr>
        <w:t>13.2</w:t>
      </w:r>
      <w:r>
        <w:rPr>
          <w:rFonts w:eastAsiaTheme="minorEastAsia"/>
          <w:noProof/>
          <w:lang w:eastAsia="en-AU"/>
        </w:rPr>
        <w:tab/>
      </w:r>
      <w:r>
        <w:rPr>
          <w:noProof/>
        </w:rPr>
        <w:t>headspace</w:t>
      </w:r>
      <w:r>
        <w:rPr>
          <w:noProof/>
        </w:rPr>
        <w:tab/>
        <w:t>130</w:t>
      </w:r>
    </w:p>
    <w:p w:rsidR="00353A37" w:rsidRDefault="00353A37" w:rsidP="00353A37">
      <w:pPr>
        <w:pStyle w:val="TOC3"/>
        <w:rPr>
          <w:rFonts w:eastAsiaTheme="minorEastAsia"/>
          <w:noProof/>
          <w:lang w:eastAsia="en-AU"/>
        </w:rPr>
      </w:pPr>
      <w:r>
        <w:rPr>
          <w:noProof/>
        </w:rPr>
        <w:t>13.3</w:t>
      </w:r>
      <w:r>
        <w:rPr>
          <w:rFonts w:eastAsiaTheme="minorEastAsia"/>
          <w:noProof/>
          <w:lang w:eastAsia="en-AU"/>
        </w:rPr>
        <w:tab/>
      </w:r>
      <w:r>
        <w:rPr>
          <w:noProof/>
        </w:rPr>
        <w:t>Telephone counselling and online services</w:t>
      </w:r>
      <w:r>
        <w:rPr>
          <w:noProof/>
        </w:rPr>
        <w:tab/>
        <w:t>131</w:t>
      </w:r>
    </w:p>
    <w:p w:rsidR="00353A37" w:rsidRDefault="00353A37" w:rsidP="00353A37">
      <w:pPr>
        <w:pStyle w:val="TOC3"/>
        <w:rPr>
          <w:rFonts w:eastAsiaTheme="minorEastAsia"/>
          <w:noProof/>
          <w:lang w:eastAsia="en-AU"/>
        </w:rPr>
      </w:pPr>
      <w:r>
        <w:rPr>
          <w:noProof/>
        </w:rPr>
        <w:t>13.4</w:t>
      </w:r>
      <w:r>
        <w:rPr>
          <w:rFonts w:eastAsiaTheme="minorEastAsia"/>
          <w:noProof/>
          <w:lang w:eastAsia="en-AU"/>
        </w:rPr>
        <w:tab/>
      </w:r>
      <w:r>
        <w:rPr>
          <w:noProof/>
        </w:rPr>
        <w:t>Informal help or support</w:t>
      </w:r>
      <w:r>
        <w:rPr>
          <w:noProof/>
        </w:rPr>
        <w:tab/>
        <w:t>133</w:t>
      </w:r>
    </w:p>
    <w:p w:rsidR="00353A37" w:rsidRDefault="00353A37" w:rsidP="00353A37">
      <w:pPr>
        <w:pStyle w:val="TOC3"/>
        <w:rPr>
          <w:rFonts w:eastAsiaTheme="minorEastAsia"/>
          <w:noProof/>
          <w:lang w:eastAsia="en-AU"/>
        </w:rPr>
      </w:pPr>
      <w:r>
        <w:rPr>
          <w:noProof/>
        </w:rPr>
        <w:t>13.5</w:t>
      </w:r>
      <w:r>
        <w:rPr>
          <w:rFonts w:eastAsiaTheme="minorEastAsia"/>
          <w:noProof/>
          <w:lang w:eastAsia="en-AU"/>
        </w:rPr>
        <w:tab/>
      </w:r>
      <w:r>
        <w:rPr>
          <w:noProof/>
        </w:rPr>
        <w:t>Self-help strategies</w:t>
      </w:r>
      <w:r>
        <w:rPr>
          <w:noProof/>
        </w:rPr>
        <w:tab/>
        <w:t>134</w:t>
      </w:r>
    </w:p>
    <w:p w:rsidR="00353A37" w:rsidRDefault="00353A37" w:rsidP="00353A37">
      <w:pPr>
        <w:pStyle w:val="TOC3"/>
        <w:rPr>
          <w:rFonts w:eastAsiaTheme="minorEastAsia"/>
          <w:noProof/>
          <w:lang w:eastAsia="en-AU"/>
        </w:rPr>
      </w:pPr>
      <w:r>
        <w:rPr>
          <w:noProof/>
        </w:rPr>
        <w:t>13.6</w:t>
      </w:r>
      <w:r>
        <w:rPr>
          <w:rFonts w:eastAsiaTheme="minorEastAsia"/>
          <w:noProof/>
          <w:lang w:eastAsia="en-AU"/>
        </w:rPr>
        <w:tab/>
      </w:r>
      <w:r>
        <w:rPr>
          <w:noProof/>
        </w:rPr>
        <w:t>Perceived need for help and barriers to receiving mental health care</w:t>
      </w:r>
      <w:r>
        <w:rPr>
          <w:noProof/>
        </w:rPr>
        <w:tab/>
        <w:t>136</w:t>
      </w:r>
    </w:p>
    <w:p w:rsidR="00353A37" w:rsidRDefault="00353A37" w:rsidP="005C4F80">
      <w:pPr>
        <w:pStyle w:val="TOC1"/>
        <w:rPr>
          <w:rFonts w:eastAsiaTheme="minorEastAsia"/>
          <w:lang w:eastAsia="en-AU"/>
        </w:rPr>
      </w:pPr>
      <w:r>
        <w:t xml:space="preserve">Part 5 – </w:t>
      </w:r>
      <w:r w:rsidRPr="008522BE">
        <w:t>Changes over time</w:t>
      </w:r>
      <w:r>
        <w:tab/>
        <w:t>142</w:t>
      </w:r>
    </w:p>
    <w:p w:rsidR="00353A37" w:rsidRDefault="00353A37" w:rsidP="00353A37">
      <w:pPr>
        <w:pStyle w:val="TOC2"/>
        <w:tabs>
          <w:tab w:val="left" w:pos="880"/>
        </w:tabs>
        <w:rPr>
          <w:rFonts w:eastAsiaTheme="minorEastAsia"/>
          <w:b w:val="0"/>
          <w:noProof/>
          <w:color w:val="auto"/>
          <w:sz w:val="22"/>
          <w:lang w:eastAsia="en-AU"/>
        </w:rPr>
      </w:pPr>
      <w:r>
        <w:rPr>
          <w:noProof/>
        </w:rPr>
        <w:t>14</w:t>
      </w:r>
      <w:r>
        <w:rPr>
          <w:rFonts w:eastAsiaTheme="minorEastAsia"/>
          <w:b w:val="0"/>
          <w:noProof/>
          <w:color w:val="auto"/>
          <w:sz w:val="22"/>
          <w:lang w:eastAsia="en-AU"/>
        </w:rPr>
        <w:tab/>
      </w:r>
      <w:r>
        <w:rPr>
          <w:noProof/>
        </w:rPr>
        <w:t>Comparison with 1998 National Survey of Mental Health and Wellbeing</w:t>
      </w:r>
      <w:r>
        <w:rPr>
          <w:noProof/>
        </w:rPr>
        <w:tab/>
        <w:t>144</w:t>
      </w:r>
    </w:p>
    <w:p w:rsidR="00353A37" w:rsidRDefault="00353A37" w:rsidP="00353A37">
      <w:pPr>
        <w:pStyle w:val="TOC3"/>
        <w:rPr>
          <w:rFonts w:eastAsiaTheme="minorEastAsia"/>
          <w:noProof/>
          <w:lang w:eastAsia="en-AU"/>
        </w:rPr>
      </w:pPr>
      <w:r>
        <w:rPr>
          <w:noProof/>
        </w:rPr>
        <w:t>14.1</w:t>
      </w:r>
      <w:r>
        <w:rPr>
          <w:rFonts w:eastAsiaTheme="minorEastAsia"/>
          <w:noProof/>
          <w:lang w:eastAsia="en-AU"/>
        </w:rPr>
        <w:tab/>
      </w:r>
      <w:r>
        <w:rPr>
          <w:noProof/>
        </w:rPr>
        <w:t>Prevalence of selected mental disorders by sex and age group</w:t>
      </w:r>
      <w:r>
        <w:rPr>
          <w:noProof/>
        </w:rPr>
        <w:tab/>
        <w:t>144</w:t>
      </w:r>
    </w:p>
    <w:p w:rsidR="00353A37" w:rsidRDefault="00353A37" w:rsidP="00353A37">
      <w:pPr>
        <w:pStyle w:val="TOC3"/>
        <w:rPr>
          <w:rFonts w:eastAsiaTheme="minorEastAsia"/>
          <w:noProof/>
          <w:lang w:eastAsia="en-AU"/>
        </w:rPr>
      </w:pPr>
      <w:r>
        <w:rPr>
          <w:noProof/>
        </w:rPr>
        <w:t>14.2</w:t>
      </w:r>
      <w:r>
        <w:rPr>
          <w:rFonts w:eastAsiaTheme="minorEastAsia"/>
          <w:noProof/>
          <w:lang w:eastAsia="en-AU"/>
        </w:rPr>
        <w:tab/>
      </w:r>
      <w:r>
        <w:rPr>
          <w:noProof/>
        </w:rPr>
        <w:t>Use of services</w:t>
      </w:r>
      <w:r>
        <w:rPr>
          <w:noProof/>
        </w:rPr>
        <w:tab/>
        <w:t>147</w:t>
      </w:r>
    </w:p>
    <w:p w:rsidR="00353A37" w:rsidRDefault="00353A37" w:rsidP="005C4F80">
      <w:pPr>
        <w:pStyle w:val="TOC1"/>
        <w:rPr>
          <w:rFonts w:eastAsiaTheme="minorEastAsia"/>
          <w:lang w:eastAsia="en-AU"/>
        </w:rPr>
      </w:pPr>
      <w:r>
        <w:t xml:space="preserve">Part 6 – </w:t>
      </w:r>
      <w:r w:rsidRPr="008522BE">
        <w:t>Appendices</w:t>
      </w:r>
      <w:r>
        <w:tab/>
        <w:t>148</w:t>
      </w:r>
    </w:p>
    <w:p w:rsidR="00353A37" w:rsidRDefault="00353A37" w:rsidP="00353A37">
      <w:pPr>
        <w:pStyle w:val="TOC2"/>
        <w:rPr>
          <w:rFonts w:eastAsiaTheme="minorEastAsia"/>
          <w:b w:val="0"/>
          <w:noProof/>
          <w:color w:val="auto"/>
          <w:sz w:val="22"/>
          <w:lang w:eastAsia="en-AU"/>
        </w:rPr>
      </w:pPr>
      <w:r>
        <w:rPr>
          <w:noProof/>
        </w:rPr>
        <w:t>Appendix 1 - conduct of the survey</w:t>
      </w:r>
      <w:r>
        <w:rPr>
          <w:noProof/>
        </w:rPr>
        <w:tab/>
        <w:t>150</w:t>
      </w:r>
    </w:p>
    <w:p w:rsidR="00353A37" w:rsidRDefault="00353A37" w:rsidP="00353A37">
      <w:pPr>
        <w:pStyle w:val="TOC3"/>
        <w:rPr>
          <w:rFonts w:eastAsiaTheme="minorEastAsia"/>
          <w:noProof/>
          <w:lang w:eastAsia="en-AU"/>
        </w:rPr>
      </w:pPr>
      <w:r>
        <w:rPr>
          <w:noProof/>
        </w:rPr>
        <w:t>1.</w:t>
      </w:r>
      <w:r>
        <w:rPr>
          <w:rFonts w:eastAsiaTheme="minorEastAsia"/>
          <w:noProof/>
          <w:lang w:eastAsia="en-AU"/>
        </w:rPr>
        <w:tab/>
      </w:r>
      <w:r>
        <w:rPr>
          <w:noProof/>
        </w:rPr>
        <w:t>Process issues</w:t>
      </w:r>
      <w:r>
        <w:rPr>
          <w:noProof/>
        </w:rPr>
        <w:tab/>
        <w:t>150</w:t>
      </w:r>
    </w:p>
    <w:p w:rsidR="00353A37" w:rsidRDefault="00353A37" w:rsidP="00353A37">
      <w:pPr>
        <w:pStyle w:val="TOC3"/>
        <w:rPr>
          <w:rFonts w:eastAsiaTheme="minorEastAsia"/>
          <w:noProof/>
          <w:lang w:eastAsia="en-AU"/>
        </w:rPr>
      </w:pPr>
      <w:r>
        <w:rPr>
          <w:noProof/>
        </w:rPr>
        <w:t>2.</w:t>
      </w:r>
      <w:r>
        <w:rPr>
          <w:rFonts w:eastAsiaTheme="minorEastAsia"/>
          <w:noProof/>
          <w:lang w:eastAsia="en-AU"/>
        </w:rPr>
        <w:tab/>
      </w:r>
      <w:r>
        <w:rPr>
          <w:noProof/>
        </w:rPr>
        <w:t>Sample, fieldwork and participant issues</w:t>
      </w:r>
      <w:r>
        <w:rPr>
          <w:noProof/>
        </w:rPr>
        <w:tab/>
        <w:t>152</w:t>
      </w:r>
    </w:p>
    <w:p w:rsidR="00353A37" w:rsidRDefault="00353A37" w:rsidP="00353A37">
      <w:pPr>
        <w:pStyle w:val="TOC3"/>
        <w:rPr>
          <w:rFonts w:eastAsiaTheme="minorEastAsia"/>
          <w:noProof/>
          <w:lang w:eastAsia="en-AU"/>
        </w:rPr>
      </w:pPr>
      <w:r>
        <w:rPr>
          <w:noProof/>
        </w:rPr>
        <w:t>3.</w:t>
      </w:r>
      <w:r>
        <w:rPr>
          <w:rFonts w:eastAsiaTheme="minorEastAsia"/>
          <w:noProof/>
          <w:lang w:eastAsia="en-AU"/>
        </w:rPr>
        <w:tab/>
      </w:r>
      <w:r>
        <w:rPr>
          <w:noProof/>
        </w:rPr>
        <w:t>Questionnaires</w:t>
      </w:r>
      <w:r>
        <w:rPr>
          <w:noProof/>
        </w:rPr>
        <w:tab/>
        <w:t>156</w:t>
      </w:r>
    </w:p>
    <w:p w:rsidR="00353A37" w:rsidRDefault="00353A37" w:rsidP="00353A37">
      <w:pPr>
        <w:pStyle w:val="TOC3"/>
        <w:rPr>
          <w:rFonts w:eastAsiaTheme="minorEastAsia"/>
          <w:noProof/>
          <w:lang w:eastAsia="en-AU"/>
        </w:rPr>
      </w:pPr>
      <w:r>
        <w:rPr>
          <w:noProof/>
        </w:rPr>
        <w:t>4.</w:t>
      </w:r>
      <w:r>
        <w:rPr>
          <w:rFonts w:eastAsiaTheme="minorEastAsia"/>
          <w:noProof/>
          <w:lang w:eastAsia="en-AU"/>
        </w:rPr>
        <w:tab/>
      </w:r>
      <w:r>
        <w:rPr>
          <w:noProof/>
        </w:rPr>
        <w:t>Content issues</w:t>
      </w:r>
      <w:r>
        <w:rPr>
          <w:noProof/>
        </w:rPr>
        <w:tab/>
        <w:t>157</w:t>
      </w:r>
    </w:p>
    <w:p w:rsidR="00353A37" w:rsidRDefault="00353A37" w:rsidP="00353A37">
      <w:pPr>
        <w:pStyle w:val="TOC3"/>
        <w:rPr>
          <w:rFonts w:eastAsiaTheme="minorEastAsia"/>
          <w:noProof/>
          <w:lang w:eastAsia="en-AU"/>
        </w:rPr>
      </w:pPr>
      <w:r>
        <w:rPr>
          <w:noProof/>
        </w:rPr>
        <w:t>5.</w:t>
      </w:r>
      <w:r>
        <w:rPr>
          <w:rFonts w:eastAsiaTheme="minorEastAsia"/>
          <w:noProof/>
          <w:lang w:eastAsia="en-AU"/>
        </w:rPr>
        <w:tab/>
      </w:r>
      <w:r>
        <w:rPr>
          <w:noProof/>
        </w:rPr>
        <w:t>Data issues</w:t>
      </w:r>
      <w:r>
        <w:rPr>
          <w:noProof/>
        </w:rPr>
        <w:tab/>
        <w:t>160</w:t>
      </w:r>
    </w:p>
    <w:p w:rsidR="00353A37" w:rsidRDefault="00353A37" w:rsidP="00353A37">
      <w:pPr>
        <w:pStyle w:val="TOC3"/>
        <w:rPr>
          <w:rFonts w:eastAsiaTheme="minorEastAsia"/>
          <w:noProof/>
          <w:lang w:eastAsia="en-AU"/>
        </w:rPr>
      </w:pPr>
      <w:r>
        <w:rPr>
          <w:noProof/>
        </w:rPr>
        <w:t>6.</w:t>
      </w:r>
      <w:r>
        <w:rPr>
          <w:rFonts w:eastAsiaTheme="minorEastAsia"/>
          <w:noProof/>
          <w:lang w:eastAsia="en-AU"/>
        </w:rPr>
        <w:tab/>
      </w:r>
      <w:r>
        <w:rPr>
          <w:noProof/>
        </w:rPr>
        <w:t>Comparability with 1998 survey</w:t>
      </w:r>
      <w:r>
        <w:rPr>
          <w:noProof/>
        </w:rPr>
        <w:tab/>
        <w:t>164</w:t>
      </w:r>
    </w:p>
    <w:p w:rsidR="00353A37" w:rsidRDefault="00353A37" w:rsidP="00353A37">
      <w:pPr>
        <w:pStyle w:val="TOC2"/>
        <w:rPr>
          <w:rFonts w:eastAsiaTheme="minorEastAsia"/>
          <w:b w:val="0"/>
          <w:noProof/>
          <w:color w:val="auto"/>
          <w:sz w:val="22"/>
          <w:lang w:eastAsia="en-AU"/>
        </w:rPr>
      </w:pPr>
      <w:r>
        <w:rPr>
          <w:noProof/>
        </w:rPr>
        <w:t>Appendix 2 - Survey reference group membership</w:t>
      </w:r>
      <w:r>
        <w:rPr>
          <w:noProof/>
        </w:rPr>
        <w:tab/>
        <w:t>167</w:t>
      </w:r>
    </w:p>
    <w:p w:rsidR="00353A37" w:rsidRDefault="00353A37" w:rsidP="00353A37">
      <w:pPr>
        <w:pStyle w:val="TOC2"/>
        <w:rPr>
          <w:noProof/>
        </w:rPr>
      </w:pPr>
      <w:r>
        <w:rPr>
          <w:noProof/>
        </w:rPr>
        <w:t>Appendix 3 - Glossary</w:t>
      </w:r>
      <w:r>
        <w:rPr>
          <w:noProof/>
        </w:rPr>
        <w:tab/>
        <w:t>169</w:t>
      </w:r>
    </w:p>
    <w:p w:rsidR="00353A37" w:rsidRPr="00821E24" w:rsidRDefault="00353A37" w:rsidP="00353A37">
      <w:pPr>
        <w:pStyle w:val="TOC2"/>
      </w:pPr>
      <w:r>
        <w:t>Appendix 4 - List of tables and figures in the main report</w:t>
      </w:r>
      <w:r>
        <w:tab/>
        <w:t>183</w:t>
      </w:r>
    </w:p>
    <w:p w:rsidR="00353A37" w:rsidRPr="00821E24" w:rsidRDefault="00353A37" w:rsidP="00353A37">
      <w:pPr>
        <w:pStyle w:val="TOC2"/>
      </w:pPr>
      <w:r>
        <w:t>Supplementary tables</w:t>
      </w:r>
      <w:r>
        <w:tab/>
        <w:t>191</w:t>
      </w:r>
    </w:p>
    <w:p w:rsidR="00353A37" w:rsidRDefault="00353A37" w:rsidP="00DB066C">
      <w:pPr>
        <w:jc w:val="center"/>
        <w:sectPr w:rsidR="00353A37" w:rsidSect="009E7D98">
          <w:headerReference w:type="even" r:id="rId11"/>
          <w:headerReference w:type="default" r:id="rId12"/>
          <w:footerReference w:type="default" r:id="rId13"/>
          <w:pgSz w:w="11906" w:h="16838" w:code="9"/>
          <w:pgMar w:top="1440" w:right="1440" w:bottom="1440" w:left="1440" w:header="567" w:footer="567" w:gutter="0"/>
          <w:pgNumType w:fmt="lowerRoman"/>
          <w:cols w:space="720"/>
          <w:docGrid w:linePitch="360"/>
        </w:sectPr>
      </w:pPr>
    </w:p>
    <w:bookmarkStart w:id="0" w:name="_Toc401758737"/>
    <w:p w:rsidR="00353A37" w:rsidRDefault="00353A37" w:rsidP="00353A37">
      <w:pPr>
        <w:pStyle w:val="BodyText"/>
      </w:pPr>
      <w:r w:rsidRPr="0008574D">
        <w:rPr>
          <w:noProof/>
          <w:lang w:eastAsia="en-AU"/>
        </w:rPr>
        <w:lastRenderedPageBreak/>
        <mc:AlternateContent>
          <mc:Choice Requires="wps">
            <w:drawing>
              <wp:anchor distT="0" distB="0" distL="114300" distR="114300" simplePos="0" relativeHeight="251659264" behindDoc="1" locked="0" layoutInCell="1" allowOverlap="1" wp14:anchorId="1BA53C7B" wp14:editId="2D0DEE76">
                <wp:simplePos x="0" y="0"/>
                <wp:positionH relativeFrom="column">
                  <wp:posOffset>-1474298</wp:posOffset>
                </wp:positionH>
                <wp:positionV relativeFrom="paragraph">
                  <wp:posOffset>-968991</wp:posOffset>
                </wp:positionV>
                <wp:extent cx="8218008" cy="11252200"/>
                <wp:effectExtent l="0" t="0" r="0" b="6350"/>
                <wp:wrapNone/>
                <wp:docPr id="3" name="Rectangle 3" descr="&quot; &quot;"/>
                <wp:cNvGraphicFramePr/>
                <a:graphic xmlns:a="http://schemas.openxmlformats.org/drawingml/2006/main">
                  <a:graphicData uri="http://schemas.microsoft.com/office/word/2010/wordprocessingShape">
                    <wps:wsp>
                      <wps:cNvSpPr/>
                      <wps:spPr>
                        <a:xfrm>
                          <a:off x="0" y="0"/>
                          <a:ext cx="8218008"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353A37">
                            <w:pPr>
                              <w:pStyle w:val="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quot; &quot;" style="position:absolute;margin-left:-116.1pt;margin-top:-76.3pt;width:647.1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" fillcolor="#eff3ff" stroked="f" strokeweight="2pt">
                <v:fill opacity="56283f"/>
                <v:textbox>
                  <w:txbxContent>
                    <w:p w:rsidR="00711229" w:rsidRDefault="00711229" w:rsidP="00353A37">
                      <w:pPr>
                        <w:pStyle w:val="BodyText"/>
                      </w:pPr>
                    </w:p>
                  </w:txbxContent>
                </v:textbox>
              </v:rect>
            </w:pict>
          </mc:Fallback>
        </mc:AlternateContent>
      </w:r>
    </w:p>
    <w:p w:rsidR="00353A37" w:rsidRPr="00722CA7" w:rsidRDefault="00353A37" w:rsidP="00353A37">
      <w:pPr>
        <w:pStyle w:val="PartHeading"/>
        <w:spacing w:before="4600"/>
        <w:rPr>
          <w:rFonts w:ascii="Garamond Premr Pro Disp" w:hAnsi="Garamond Premr Pro Disp"/>
        </w:rPr>
      </w:pPr>
      <w:r>
        <w:t>Highlights</w:t>
      </w:r>
    </w:p>
    <w:p w:rsidR="00353A37" w:rsidRPr="00CE239B" w:rsidRDefault="00353A37" w:rsidP="00353A37">
      <w:pPr>
        <w:pStyle w:val="BodyText"/>
      </w:pPr>
    </w:p>
    <w:p w:rsidR="00353A37" w:rsidRDefault="00353A37" w:rsidP="00353A37">
      <w:pPr>
        <w:pStyle w:val="BodyText"/>
        <w:sectPr w:rsidR="00353A37" w:rsidSect="003330E0">
          <w:headerReference w:type="even" r:id="rId14"/>
          <w:headerReference w:type="default" r:id="rId15"/>
          <w:pgSz w:w="11906" w:h="16838" w:code="9"/>
          <w:pgMar w:top="1440" w:right="2268" w:bottom="1440" w:left="2268" w:header="567" w:footer="567" w:gutter="0"/>
          <w:pgNumType w:start="1"/>
          <w:cols w:space="720"/>
          <w:titlePg/>
          <w:docGrid w:linePitch="360"/>
        </w:sectPr>
      </w:pPr>
    </w:p>
    <w:p w:rsidR="00353A37" w:rsidRDefault="00353A37" w:rsidP="00353A37">
      <w:pPr>
        <w:pStyle w:val="BodyText"/>
      </w:pPr>
    </w:p>
    <w:bookmarkEnd w:id="0"/>
    <w:p w:rsidR="00353A37" w:rsidRDefault="00353A37" w:rsidP="00DB066C">
      <w:pPr>
        <w:jc w:val="center"/>
        <w:sectPr w:rsidR="00353A37" w:rsidSect="003330E0">
          <w:headerReference w:type="first" r:id="rId16"/>
          <w:pgSz w:w="11906" w:h="16838" w:code="9"/>
          <w:pgMar w:top="1440" w:right="1440" w:bottom="1440" w:left="1440" w:header="567" w:footer="567" w:gutter="0"/>
          <w:cols w:space="720"/>
          <w:titlePg/>
          <w:docGrid w:linePitch="360"/>
        </w:sectPr>
      </w:pPr>
    </w:p>
    <w:p w:rsidR="00353A37" w:rsidRDefault="00261615" w:rsidP="00353A37">
      <w:pPr>
        <w:pStyle w:val="Heading1"/>
      </w:pPr>
      <w:r>
        <w:lastRenderedPageBreak/>
        <w:t>Second Australian C</w:t>
      </w:r>
      <w:r w:rsidR="00353A37">
        <w:t>hild and Adolescent Survey of Mental Health and Wellbeing HIGHLIGHTS</w:t>
      </w:r>
    </w:p>
    <w:p w:rsidR="00353A37" w:rsidRDefault="00353A37" w:rsidP="00353A37">
      <w:pPr>
        <w:pStyle w:val="BodyText"/>
      </w:pPr>
      <w:r w:rsidRPr="00301558">
        <w:rPr>
          <w:rStyle w:val="Emphasis"/>
        </w:rPr>
        <w:t>A second national survey of the mental health and wellbeing of Australian children and adolescents was conducted by the Telethon Kids Institute at The University of Western Australia in partnership with Roy Morgan Research in 2013-14</w:t>
      </w:r>
      <w:r>
        <w:t xml:space="preserve">. </w:t>
      </w:r>
    </w:p>
    <w:p w:rsidR="00353A37" w:rsidRDefault="00353A37" w:rsidP="00353A37">
      <w:pPr>
        <w:pStyle w:val="ListParagraph"/>
        <w:numPr>
          <w:ilvl w:val="0"/>
          <w:numId w:val="4"/>
        </w:numPr>
      </w:pPr>
      <w:r>
        <w:t>The second national child and adolescent survey was a household survey of parents and carers of 4-17 year-olds in the general population and 11-17 year-olds themselves.</w:t>
      </w:r>
    </w:p>
    <w:p w:rsidR="00353A37" w:rsidRDefault="00353A37" w:rsidP="00353A37">
      <w:pPr>
        <w:pStyle w:val="Heading2"/>
      </w:pPr>
      <w:r>
        <w:t>Aims of the survey</w:t>
      </w:r>
    </w:p>
    <w:p w:rsidR="00353A37" w:rsidRDefault="00353A37" w:rsidP="00353A37">
      <w:pPr>
        <w:pStyle w:val="ListParagraph"/>
        <w:numPr>
          <w:ilvl w:val="0"/>
          <w:numId w:val="4"/>
        </w:numPr>
      </w:pPr>
      <w:r>
        <w:t>The main aims were to determine:</w:t>
      </w:r>
    </w:p>
    <w:p w:rsidR="00353A37" w:rsidRDefault="00353A37" w:rsidP="00353A37">
      <w:pPr>
        <w:pStyle w:val="NumberedList"/>
      </w:pPr>
      <w:r>
        <w:t xml:space="preserve">1. </w:t>
      </w:r>
      <w:r>
        <w:tab/>
        <w:t xml:space="preserve">How many children and adolescents had which mental health problems and </w:t>
      </w:r>
      <w:proofErr w:type="gramStart"/>
      <w:r>
        <w:t>disorders.</w:t>
      </w:r>
      <w:proofErr w:type="gramEnd"/>
    </w:p>
    <w:p w:rsidR="00353A37" w:rsidRDefault="00353A37" w:rsidP="00353A37">
      <w:pPr>
        <w:pStyle w:val="NumberedList"/>
      </w:pPr>
      <w:r>
        <w:t xml:space="preserve">2. </w:t>
      </w:r>
      <w:r>
        <w:tab/>
        <w:t>The nature and impact of these.</w:t>
      </w:r>
    </w:p>
    <w:p w:rsidR="00353A37" w:rsidRDefault="00353A37" w:rsidP="00353A37">
      <w:pPr>
        <w:pStyle w:val="NumberedList"/>
      </w:pPr>
      <w:r>
        <w:t xml:space="preserve">3. </w:t>
      </w:r>
      <w:r>
        <w:tab/>
        <w:t xml:space="preserve">How many children and adolescents had used services for mental health </w:t>
      </w:r>
      <w:proofErr w:type="gramStart"/>
      <w:r>
        <w:t>problems.</w:t>
      </w:r>
      <w:proofErr w:type="gramEnd"/>
    </w:p>
    <w:p w:rsidR="00353A37" w:rsidRDefault="00353A37" w:rsidP="00353A37">
      <w:pPr>
        <w:pStyle w:val="NumberedList"/>
      </w:pPr>
      <w:r>
        <w:t xml:space="preserve">4. </w:t>
      </w:r>
      <w:r>
        <w:tab/>
        <w:t>The role of the education sector in providing these services.</w:t>
      </w:r>
    </w:p>
    <w:p w:rsidR="00353A37" w:rsidRDefault="00353A37" w:rsidP="00353A37">
      <w:pPr>
        <w:pStyle w:val="Heading2"/>
      </w:pPr>
      <w:r>
        <w:t>Diagnostic assessment of mental disorders</w:t>
      </w:r>
    </w:p>
    <w:p w:rsidR="00353A37" w:rsidRDefault="00353A37" w:rsidP="00353A37">
      <w:pPr>
        <w:pStyle w:val="ListParagraph"/>
        <w:numPr>
          <w:ilvl w:val="0"/>
          <w:numId w:val="4"/>
        </w:numPr>
      </w:pPr>
      <w:r>
        <w:t xml:space="preserve">The </w:t>
      </w:r>
      <w:r w:rsidRPr="008B708C">
        <w:t>Diagnostic Interview Schedule for Children Version IV (DISC-IV)</w:t>
      </w:r>
      <w:r>
        <w:t xml:space="preserve"> was used to assess young people against the </w:t>
      </w:r>
      <w:r w:rsidRPr="008B708C">
        <w:t>Diagnostic an</w:t>
      </w:r>
      <w:r>
        <w:t>d Statistical Manual of Mental D</w:t>
      </w:r>
      <w:r w:rsidRPr="008B708C">
        <w:t>isorders</w:t>
      </w:r>
      <w:r w:rsidRPr="00BD3F03">
        <w:t xml:space="preserve"> </w:t>
      </w:r>
      <w:r>
        <w:t>Version IV (DSM-</w:t>
      </w:r>
      <w:r w:rsidRPr="00BD3F03">
        <w:t>IV)</w:t>
      </w:r>
      <w:r>
        <w:t xml:space="preserve"> criteria.</w:t>
      </w:r>
    </w:p>
    <w:p w:rsidR="00353A37" w:rsidRDefault="00353A37" w:rsidP="00353A37">
      <w:pPr>
        <w:pStyle w:val="ListParagraph"/>
        <w:numPr>
          <w:ilvl w:val="0"/>
          <w:numId w:val="4"/>
        </w:numPr>
      </w:pPr>
      <w:r>
        <w:t xml:space="preserve">Disorders that were most common and had the greatest impact on children and adolescents were assessed. These were: </w:t>
      </w:r>
    </w:p>
    <w:p w:rsidR="00353A37" w:rsidRPr="00EC5259" w:rsidRDefault="00353A37" w:rsidP="00353A37">
      <w:pPr>
        <w:pStyle w:val="NumberedList"/>
      </w:pPr>
      <w:r w:rsidRPr="00EC5259">
        <w:t>1.</w:t>
      </w:r>
      <w:r w:rsidRPr="00EC5259">
        <w:tab/>
        <w:t xml:space="preserve">Anxiety disorders </w:t>
      </w:r>
    </w:p>
    <w:p w:rsidR="00353A37" w:rsidRPr="00EC5259" w:rsidRDefault="00353A37" w:rsidP="00353A37">
      <w:pPr>
        <w:pStyle w:val="ListParagraph2"/>
      </w:pPr>
      <w:r w:rsidRPr="00EC5259">
        <w:t xml:space="preserve">Social phobia </w:t>
      </w:r>
    </w:p>
    <w:p w:rsidR="00353A37" w:rsidRPr="00EC5259" w:rsidRDefault="00353A37" w:rsidP="00353A37">
      <w:pPr>
        <w:pStyle w:val="ListParagraph2"/>
      </w:pPr>
      <w:r w:rsidRPr="00EC5259">
        <w:t>Separation anxiety disorder</w:t>
      </w:r>
    </w:p>
    <w:p w:rsidR="00353A37" w:rsidRPr="00EC5259" w:rsidRDefault="00353A37" w:rsidP="00353A37">
      <w:pPr>
        <w:pStyle w:val="ListParagraph2"/>
      </w:pPr>
      <w:r w:rsidRPr="00EC5259">
        <w:t>Generalised anxiety disorder</w:t>
      </w:r>
    </w:p>
    <w:p w:rsidR="00353A37" w:rsidRPr="00EC5259" w:rsidRDefault="00353A37" w:rsidP="00353A37">
      <w:pPr>
        <w:pStyle w:val="ListParagraph2"/>
      </w:pPr>
      <w:r w:rsidRPr="00EC5259">
        <w:t>Obsessive-compulsive disorder</w:t>
      </w:r>
    </w:p>
    <w:p w:rsidR="00353A37" w:rsidRPr="00EC5259" w:rsidRDefault="00353A37" w:rsidP="00353A37">
      <w:pPr>
        <w:pStyle w:val="NumberedList"/>
      </w:pPr>
      <w:r w:rsidRPr="00EC5259">
        <w:t>2.</w:t>
      </w:r>
      <w:r w:rsidRPr="00EC5259">
        <w:tab/>
        <w:t>Major depressive disorder</w:t>
      </w:r>
    </w:p>
    <w:p w:rsidR="00353A37" w:rsidRPr="00EC5259" w:rsidRDefault="00353A37" w:rsidP="00353A37">
      <w:pPr>
        <w:pStyle w:val="NumberedList"/>
      </w:pPr>
      <w:r w:rsidRPr="00EC5259">
        <w:t xml:space="preserve">3. </w:t>
      </w:r>
      <w:r w:rsidRPr="00EC5259">
        <w:tab/>
        <w:t>Attention-Deficit/Hyperactivity Disorder (ADHD)</w:t>
      </w:r>
    </w:p>
    <w:p w:rsidR="00353A37" w:rsidRPr="00EC5259" w:rsidRDefault="00353A37" w:rsidP="00353A37">
      <w:pPr>
        <w:pStyle w:val="NumberedList"/>
      </w:pPr>
      <w:r w:rsidRPr="00EC5259">
        <w:t>4.</w:t>
      </w:r>
      <w:r w:rsidRPr="00EC5259">
        <w:tab/>
        <w:t>Conduct disorder.</w:t>
      </w:r>
    </w:p>
    <w:p w:rsidR="00353A37" w:rsidRDefault="00353A37" w:rsidP="00353A37">
      <w:pPr>
        <w:pStyle w:val="Heading2"/>
      </w:pPr>
      <w:r>
        <w:lastRenderedPageBreak/>
        <w:t>What participants were asked</w:t>
      </w:r>
    </w:p>
    <w:p w:rsidR="00353A37" w:rsidRDefault="00353A37" w:rsidP="00353A37">
      <w:pPr>
        <w:pStyle w:val="ListParagraph"/>
        <w:numPr>
          <w:ilvl w:val="0"/>
          <w:numId w:val="4"/>
        </w:numPr>
      </w:pPr>
      <w:r>
        <w:t xml:space="preserve">Parents and carers took on </w:t>
      </w:r>
      <w:r w:rsidRPr="00A173BA">
        <w:t>average 60 minutes</w:t>
      </w:r>
      <w:r>
        <w:t xml:space="preserve"> to complete a questionnaire with a trained interviewer. This included the following:</w:t>
      </w:r>
    </w:p>
    <w:p w:rsidR="00353A37" w:rsidRDefault="00353A37" w:rsidP="00353A37">
      <w:pPr>
        <w:pStyle w:val="ListParagraph2"/>
      </w:pPr>
      <w:r>
        <w:t>Family structure and socio-demographics;</w:t>
      </w:r>
    </w:p>
    <w:p w:rsidR="00353A37" w:rsidRDefault="00353A37" w:rsidP="00353A37">
      <w:pPr>
        <w:pStyle w:val="ListParagraph2"/>
      </w:pPr>
      <w:r>
        <w:t>General health of child and disabilities;</w:t>
      </w:r>
    </w:p>
    <w:p w:rsidR="00353A37" w:rsidRDefault="00353A37" w:rsidP="00353A37">
      <w:pPr>
        <w:pStyle w:val="ListParagraph2"/>
      </w:pPr>
      <w:r>
        <w:t>DISC-IV modules and functional impairment;</w:t>
      </w:r>
    </w:p>
    <w:p w:rsidR="00353A37" w:rsidRDefault="00353A37" w:rsidP="00353A37">
      <w:pPr>
        <w:pStyle w:val="ListParagraph2"/>
      </w:pPr>
      <w:r>
        <w:t>Strengths and Difficulties Questionnaire;</w:t>
      </w:r>
    </w:p>
    <w:p w:rsidR="00353A37" w:rsidRDefault="00353A37" w:rsidP="00353A37">
      <w:pPr>
        <w:pStyle w:val="ListParagraph2"/>
      </w:pPr>
      <w:r>
        <w:t>Service use in past 12 months and perceived need for help;</w:t>
      </w:r>
    </w:p>
    <w:p w:rsidR="00353A37" w:rsidRDefault="00353A37" w:rsidP="00353A37">
      <w:pPr>
        <w:pStyle w:val="ListParagraph2"/>
      </w:pPr>
      <w:r>
        <w:t>School attendance and performance; and</w:t>
      </w:r>
    </w:p>
    <w:p w:rsidR="00353A37" w:rsidRDefault="00353A37" w:rsidP="00353A37">
      <w:pPr>
        <w:pStyle w:val="ListParagraph2"/>
      </w:pPr>
      <w:r>
        <w:t>Family characteristics, life stressor events, and parent/carer mental health measures.</w:t>
      </w:r>
    </w:p>
    <w:p w:rsidR="00353A37" w:rsidRDefault="00353A37" w:rsidP="00353A37">
      <w:pPr>
        <w:pStyle w:val="ListParagraph"/>
        <w:numPr>
          <w:ilvl w:val="0"/>
          <w:numId w:val="4"/>
        </w:numPr>
      </w:pPr>
      <w:r>
        <w:t>Young people aged 11-17 years completed a questionnaire in private on a tablet computer, taking on average 35 minutes to do so. This included the following:</w:t>
      </w:r>
    </w:p>
    <w:p w:rsidR="00353A37" w:rsidRDefault="004C7179" w:rsidP="00353A37">
      <w:pPr>
        <w:pStyle w:val="ListParagraph2"/>
      </w:pPr>
      <w:r>
        <w:t>DISC-IV Major d</w:t>
      </w:r>
      <w:r w:rsidR="00353A37">
        <w:t>epressi</w:t>
      </w:r>
      <w:r>
        <w:t>ve disorder</w:t>
      </w:r>
      <w:r w:rsidR="00353A37">
        <w:t xml:space="preserve"> module;</w:t>
      </w:r>
    </w:p>
    <w:p w:rsidR="00353A37" w:rsidRDefault="00353A37" w:rsidP="00353A37">
      <w:pPr>
        <w:pStyle w:val="ListParagraph2"/>
      </w:pPr>
      <w:r>
        <w:t>Strengths and Difficulties Questionnaire;</w:t>
      </w:r>
    </w:p>
    <w:p w:rsidR="00353A37" w:rsidRDefault="00353A37" w:rsidP="00353A37">
      <w:pPr>
        <w:pStyle w:val="ListParagraph2"/>
      </w:pPr>
      <w:r>
        <w:t>Kessler Psychological Distress Scale;</w:t>
      </w:r>
    </w:p>
    <w:p w:rsidR="00353A37" w:rsidRDefault="00353A37" w:rsidP="00353A37">
      <w:pPr>
        <w:pStyle w:val="ListParagraph2"/>
      </w:pPr>
      <w:r>
        <w:t>Service use in past 12 months and perceived need for help;</w:t>
      </w:r>
    </w:p>
    <w:p w:rsidR="00353A37" w:rsidRDefault="00353A37" w:rsidP="00353A37">
      <w:pPr>
        <w:pStyle w:val="ListParagraph2"/>
      </w:pPr>
      <w:r>
        <w:t>Use of internet and informal supports;</w:t>
      </w:r>
    </w:p>
    <w:p w:rsidR="00353A37" w:rsidRDefault="00353A37" w:rsidP="00353A37">
      <w:pPr>
        <w:pStyle w:val="ListParagraph2"/>
      </w:pPr>
      <w:r>
        <w:t>Self-harm and suicidal behaviours;</w:t>
      </w:r>
    </w:p>
    <w:p w:rsidR="00353A37" w:rsidRDefault="00353A37" w:rsidP="00353A37">
      <w:pPr>
        <w:pStyle w:val="ListParagraph2"/>
      </w:pPr>
      <w:r>
        <w:t>Experience of bullying; and</w:t>
      </w:r>
    </w:p>
    <w:p w:rsidR="00353A37" w:rsidRDefault="00353A37" w:rsidP="00353A37">
      <w:pPr>
        <w:pStyle w:val="ListParagraph2"/>
      </w:pPr>
      <w:r>
        <w:t xml:space="preserve">Health-risk behaviours, including substance use and </w:t>
      </w:r>
      <w:r w:rsidR="004C7179">
        <w:t>problem</w:t>
      </w:r>
      <w:r>
        <w:t xml:space="preserve"> eating</w:t>
      </w:r>
      <w:r w:rsidR="004C7179">
        <w:t xml:space="preserve"> behaviours</w:t>
      </w:r>
      <w:r>
        <w:t>.</w:t>
      </w:r>
    </w:p>
    <w:p w:rsidR="00353A37" w:rsidRDefault="00353A37" w:rsidP="00353A37">
      <w:pPr>
        <w:pStyle w:val="Heading2"/>
      </w:pPr>
      <w:r>
        <w:t>Who participated</w:t>
      </w:r>
    </w:p>
    <w:p w:rsidR="00353A37" w:rsidRDefault="00353A37" w:rsidP="00353A37">
      <w:pPr>
        <w:pStyle w:val="ListParagraph"/>
        <w:numPr>
          <w:ilvl w:val="0"/>
          <w:numId w:val="4"/>
        </w:numPr>
      </w:pPr>
      <w:r>
        <w:t>In total 76,606 households were approached and visited up to 6 times each between June 2013 and April 2014.</w:t>
      </w:r>
    </w:p>
    <w:p w:rsidR="00353A37" w:rsidRDefault="00353A37" w:rsidP="00353A37">
      <w:pPr>
        <w:pStyle w:val="ListParagraph"/>
        <w:numPr>
          <w:ilvl w:val="0"/>
          <w:numId w:val="4"/>
        </w:numPr>
        <w:sectPr w:rsidR="00353A37" w:rsidSect="003330E0">
          <w:headerReference w:type="even" r:id="rId17"/>
          <w:headerReference w:type="default" r:id="rId18"/>
          <w:footerReference w:type="default" r:id="rId19"/>
          <w:pgSz w:w="11906" w:h="16838" w:code="9"/>
          <w:pgMar w:top="1440" w:right="1440" w:bottom="1440" w:left="1440" w:header="567" w:footer="567" w:gutter="0"/>
          <w:pgNumType w:start="3"/>
          <w:cols w:space="398"/>
          <w:docGrid w:linePitch="360"/>
        </w:sectPr>
      </w:pPr>
      <w:r>
        <w:t>This resulted in 6,310 or 55% of eligible households and 2,967 or 89% of eligible young people responding.</w:t>
      </w:r>
    </w:p>
    <w:p w:rsidR="00353A37" w:rsidRDefault="00353A37" w:rsidP="00353A37">
      <w:pPr>
        <w:pStyle w:val="ExecSummaryBulletPoint"/>
        <w:sectPr w:rsidR="00353A37" w:rsidSect="003330E0">
          <w:type w:val="continuous"/>
          <w:pgSz w:w="11906" w:h="16838" w:code="9"/>
          <w:pgMar w:top="1440" w:right="1440" w:bottom="1440" w:left="1440" w:header="567" w:footer="567" w:gutter="0"/>
          <w:cols w:num="2" w:space="398" w:equalWidth="0">
            <w:col w:w="4139" w:space="398"/>
            <w:col w:w="4489"/>
          </w:cols>
          <w:docGrid w:linePitch="360"/>
        </w:sectPr>
      </w:pPr>
    </w:p>
    <w:p w:rsidR="00353A37" w:rsidRDefault="00555E74" w:rsidP="00353A37">
      <w:pPr>
        <w:pStyle w:val="Heading1"/>
      </w:pPr>
      <w:r>
        <w:lastRenderedPageBreak/>
        <w:t>P</w:t>
      </w:r>
      <w:r w:rsidR="00353A37">
        <w:t>revalence of mental disorders in australian children and adolescents</w:t>
      </w:r>
    </w:p>
    <w:p w:rsidR="00353A37" w:rsidRDefault="00353A37" w:rsidP="00353A37">
      <w:pPr>
        <w:pStyle w:val="BodyText"/>
      </w:pPr>
      <w:r w:rsidRPr="00EC5259">
        <w:rPr>
          <w:rStyle w:val="Emphasis"/>
        </w:rPr>
        <w:t xml:space="preserve">The Australian Child and Adolescent Survey of Mental Health and Wellbeing </w:t>
      </w:r>
      <w:proofErr w:type="gramStart"/>
      <w:r w:rsidRPr="00EC5259">
        <w:rPr>
          <w:rStyle w:val="Emphasis"/>
        </w:rPr>
        <w:t>provides</w:t>
      </w:r>
      <w:proofErr w:type="gramEnd"/>
      <w:r w:rsidRPr="00EC5259">
        <w:rPr>
          <w:rStyle w:val="Emphasis"/>
        </w:rPr>
        <w:t xml:space="preserve"> information on the prevalence of mental disorders in children and adolescents in Australia. The prevalence of mental disorders is the proportion of children and adolescents in the population who meet DSM-IV criteria for a diagnosis of a mental disorder within the 12 months prior to the survey</w:t>
      </w:r>
      <w:r>
        <w:t>.</w:t>
      </w:r>
    </w:p>
    <w:p w:rsidR="00353A37" w:rsidRPr="0055226F" w:rsidRDefault="00353A37" w:rsidP="00353A37">
      <w:pPr>
        <w:pStyle w:val="BodyText"/>
        <w:sectPr w:rsidR="00353A37" w:rsidRPr="0055226F" w:rsidSect="003330E0">
          <w:headerReference w:type="even" r:id="rId20"/>
          <w:headerReference w:type="default" r:id="rId21"/>
          <w:footerReference w:type="default" r:id="rId22"/>
          <w:pgSz w:w="11906" w:h="16838" w:code="9"/>
          <w:pgMar w:top="1440" w:right="1440" w:bottom="1440" w:left="1440" w:header="567" w:footer="567" w:gutter="0"/>
          <w:cols w:space="720"/>
          <w:docGrid w:linePitch="360"/>
        </w:sectPr>
      </w:pPr>
    </w:p>
    <w:p w:rsidR="00353A37" w:rsidRDefault="00353A37" w:rsidP="00353A37">
      <w:pPr>
        <w:pStyle w:val="ListParagraph"/>
        <w:numPr>
          <w:ilvl w:val="0"/>
          <w:numId w:val="4"/>
        </w:numPr>
      </w:pPr>
      <w:r>
        <w:lastRenderedPageBreak/>
        <w:t>Almost one in seven (13.9%) 4-17 year-olds were assessed as having mental disorders in the previous 12 months. This is equivalent to 560,000 Australian children and adolescents.</w:t>
      </w:r>
    </w:p>
    <w:p w:rsidR="00353A37" w:rsidRDefault="00353A37" w:rsidP="00353A37">
      <w:pPr>
        <w:pStyle w:val="ListParagraph"/>
        <w:numPr>
          <w:ilvl w:val="0"/>
          <w:numId w:val="4"/>
        </w:numPr>
      </w:pPr>
      <w:r>
        <w:t>Males were more likely than females to have experienced mental disorders in the 12 months prior to the survey (16.3% compared with 11.5%).</w:t>
      </w:r>
    </w:p>
    <w:p w:rsidR="00353A37" w:rsidRDefault="00353A37" w:rsidP="00353A37">
      <w:pPr>
        <w:pStyle w:val="ListParagraph"/>
        <w:numPr>
          <w:ilvl w:val="0"/>
          <w:numId w:val="4"/>
        </w:numPr>
      </w:pPr>
      <w:r>
        <w:t>ADHD was the most common mental disorder in children and adolescents (7.4%), followed by anxiety disorders (6.9%), major depressive disorder (2.8%) and conduct disorder (2.1%).</w:t>
      </w:r>
    </w:p>
    <w:p w:rsidR="00353A37" w:rsidRDefault="00353A37" w:rsidP="00353A37">
      <w:pPr>
        <w:pStyle w:val="ListParagraph"/>
        <w:numPr>
          <w:ilvl w:val="0"/>
          <w:numId w:val="4"/>
        </w:numPr>
      </w:pPr>
      <w:r>
        <w:t>Based on these prevalence rates it is estimated that in the previous 12 months 298,000 Australian children and adolescents aged 4-17 years would have had ADHD, 278,000 had anxiety disorders, 112,000 had major depressive disorder and 83,600 had conduct disorder.</w:t>
      </w:r>
    </w:p>
    <w:p w:rsidR="00353A37" w:rsidRDefault="00353A37" w:rsidP="00353A37">
      <w:pPr>
        <w:pStyle w:val="ListParagraph"/>
        <w:numPr>
          <w:ilvl w:val="0"/>
          <w:numId w:val="4"/>
        </w:numPr>
      </w:pPr>
      <w:r w:rsidRPr="00CE7967">
        <w:t xml:space="preserve">Almost one </w:t>
      </w:r>
      <w:r w:rsidR="004C7179">
        <w:t>third</w:t>
      </w:r>
      <w:r w:rsidRPr="00CE7967">
        <w:t xml:space="preserve"> (</w:t>
      </w:r>
      <w:r w:rsidR="004C7179">
        <w:t>30</w:t>
      </w:r>
      <w:r w:rsidRPr="00CE7967">
        <w:t xml:space="preserve">.0% or </w:t>
      </w:r>
      <w:r w:rsidR="004C7179">
        <w:t>4</w:t>
      </w:r>
      <w:r w:rsidRPr="00CE7967">
        <w:t>.2% of all 4</w:t>
      </w:r>
      <w:r>
        <w:t>-</w:t>
      </w:r>
      <w:r w:rsidRPr="00CE7967">
        <w:t xml:space="preserve">17 year-olds) </w:t>
      </w:r>
      <w:r>
        <w:t xml:space="preserve">of children and adolescents with a disorder </w:t>
      </w:r>
      <w:r w:rsidRPr="00CE7967">
        <w:t>had two or more mental disorders at some time in the previous 12 months</w:t>
      </w:r>
      <w:r>
        <w:t>.</w:t>
      </w:r>
    </w:p>
    <w:p w:rsidR="00353A37" w:rsidRDefault="00353A37" w:rsidP="00353A37">
      <w:pPr>
        <w:pStyle w:val="ListParagraph"/>
        <w:numPr>
          <w:ilvl w:val="0"/>
          <w:numId w:val="4"/>
        </w:numPr>
      </w:pPr>
      <w:r>
        <w:t>Prevalence did not differ significantly with age for males (16.5% for 4</w:t>
      </w:r>
      <w:r>
        <w:noBreakHyphen/>
        <w:t>11 year-olds and 15.9% for 12</w:t>
      </w:r>
      <w:r>
        <w:noBreakHyphen/>
        <w:t>17 year</w:t>
      </w:r>
      <w:r>
        <w:noBreakHyphen/>
        <w:t>olds), but was slightly higher in older females than younger females (10.6% for 4</w:t>
      </w:r>
      <w:r>
        <w:noBreakHyphen/>
        <w:t>11 year</w:t>
      </w:r>
      <w:r>
        <w:noBreakHyphen/>
        <w:t>olds and 12.8% for 12</w:t>
      </w:r>
      <w:r>
        <w:noBreakHyphen/>
        <w:t>17 year</w:t>
      </w:r>
      <w:r>
        <w:noBreakHyphen/>
        <w:t>olds).</w:t>
      </w:r>
    </w:p>
    <w:p w:rsidR="00353A37" w:rsidRDefault="00353A37" w:rsidP="00353A37">
      <w:pPr>
        <w:pStyle w:val="ExecSummaryCaption"/>
      </w:pPr>
      <w:r>
        <w:t xml:space="preserve">Figure </w:t>
      </w:r>
      <w:r>
        <w:rPr>
          <w:noProof/>
        </w:rPr>
        <w:t>1</w:t>
      </w:r>
      <w:r>
        <w:t xml:space="preserve">: </w:t>
      </w:r>
      <w:r w:rsidRPr="00310FFF">
        <w:t xml:space="preserve">Prevalence of mental disorders in 4-17 year-olds in the </w:t>
      </w:r>
      <w:r>
        <w:t>past</w:t>
      </w:r>
      <w:r w:rsidRPr="00310FFF">
        <w:t xml:space="preserve"> 12 months</w:t>
      </w:r>
    </w:p>
    <w:p w:rsidR="00353A37" w:rsidRDefault="00353A37" w:rsidP="00353A37">
      <w:pPr>
        <w:pStyle w:val="FigurePilcrow"/>
      </w:pPr>
      <w:r>
        <w:rPr>
          <w:noProof/>
          <w:lang w:eastAsia="en-AU"/>
        </w:rPr>
        <w:drawing>
          <wp:inline distT="0" distB="0" distL="0" distR="0" wp14:anchorId="34D45C10" wp14:editId="51DC9B2B">
            <wp:extent cx="5401067" cy="2520701"/>
            <wp:effectExtent l="0" t="0" r="0" b="0"/>
            <wp:docPr id="9" name="Picture 9" descr="In figure 1, the prevalence of mental disorders in 4-17 year-olds in the previous 12 months was 16.3% in males, 11.5% in females, and 13.9% in all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SexWA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ageBreakBefore/>
      </w:pPr>
      <w:r>
        <w:lastRenderedPageBreak/>
        <w:t xml:space="preserve">Figure </w:t>
      </w:r>
      <w:r>
        <w:rPr>
          <w:noProof/>
        </w:rPr>
        <w:t>2</w:t>
      </w:r>
      <w:r>
        <w:t xml:space="preserve">: </w:t>
      </w:r>
      <w:r w:rsidRPr="00AC7337">
        <w:t xml:space="preserve">Prevalence of </w:t>
      </w:r>
      <w:r>
        <w:t xml:space="preserve">different types of </w:t>
      </w:r>
      <w:r w:rsidRPr="00AC7337">
        <w:t>mental disorders in the past 12 months in 4-17 year-olds</w:t>
      </w:r>
    </w:p>
    <w:p w:rsidR="00353A37" w:rsidRDefault="00353A37" w:rsidP="00353A37">
      <w:pPr>
        <w:pStyle w:val="FigurePilcrow"/>
      </w:pPr>
      <w:r>
        <w:rPr>
          <w:noProof/>
          <w:lang w:eastAsia="en-AU"/>
        </w:rPr>
        <w:drawing>
          <wp:inline distT="0" distB="0" distL="0" distR="0" wp14:anchorId="173993CB" wp14:editId="16E79E0D">
            <wp:extent cx="5401067" cy="2520701"/>
            <wp:effectExtent l="0" t="0" r="0" b="0"/>
            <wp:docPr id="19" name="Picture 19" descr="In figure 2, the prevalence of mental disorders in 4-17 year-olds in the previous 12 months by disorder was:&#10;&#10;Anxiety disorders: 6.9%&#10;Major depressive disorder: 2.8%&#10;ADHD: 7.4%&#10;Conduct disorder: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DisorderWA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Pr>
      <w:r>
        <w:t xml:space="preserve">Figure </w:t>
      </w:r>
      <w:r>
        <w:rPr>
          <w:noProof/>
        </w:rPr>
        <w:t>3</w:t>
      </w:r>
      <w:r>
        <w:t xml:space="preserve">: </w:t>
      </w:r>
      <w:r w:rsidRPr="00B70A16">
        <w:t>Prevalence of mental disorders in the past 12 months in 4-17 year-olds by sex and age group</w:t>
      </w:r>
    </w:p>
    <w:p w:rsidR="00353A37" w:rsidRDefault="004C7179" w:rsidP="00353A37">
      <w:pPr>
        <w:pStyle w:val="FigurePilcrow"/>
        <w:sectPr w:rsidR="00353A37" w:rsidSect="003330E0">
          <w:headerReference w:type="even" r:id="rId25"/>
          <w:headerReference w:type="default" r:id="rId26"/>
          <w:footerReference w:type="default" r:id="rId27"/>
          <w:type w:val="continuous"/>
          <w:pgSz w:w="11906" w:h="16838" w:code="9"/>
          <w:pgMar w:top="1440" w:right="1440" w:bottom="1440" w:left="1440" w:header="567" w:footer="567" w:gutter="0"/>
          <w:cols w:space="720"/>
          <w:docGrid w:linePitch="360"/>
        </w:sectPr>
      </w:pPr>
      <w:r>
        <w:rPr>
          <w:noProof/>
          <w:lang w:eastAsia="en-AU"/>
        </w:rPr>
        <w:drawing>
          <wp:inline distT="0" distB="0" distL="0" distR="0" wp14:anchorId="4EA72141" wp14:editId="7CB38DDB">
            <wp:extent cx="5401067" cy="2520701"/>
            <wp:effectExtent l="0" t="0" r="0" b="0"/>
            <wp:docPr id="1" name="Picture 1" descr="In figure 3, the prevalence of mental disorders in 4-17 year-olds in the previous 12 months by sex and age group were:&#10;&#10;Males 4-11 years: 16.5%&#10;Females 4-11 years: 10.6%&#10;Males 12-17 years: 15.9%&#10;Females 12-17 years: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SexAndAgeWA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Heading1"/>
      </w:pPr>
      <w:r w:rsidRPr="00F35122">
        <w:lastRenderedPageBreak/>
        <w:t>Impact of mental disorders</w:t>
      </w:r>
    </w:p>
    <w:p w:rsidR="00353A37" w:rsidRPr="00A52F86" w:rsidRDefault="00353A37" w:rsidP="00353A37">
      <w:pPr>
        <w:pStyle w:val="BodyText"/>
        <w:rPr>
          <w:rStyle w:val="Emphasis"/>
        </w:rPr>
      </w:pPr>
      <w:r w:rsidRPr="00A52F86">
        <w:rPr>
          <w:rStyle w:val="Emphasis"/>
        </w:rPr>
        <w:t>Mental disorders impact on individuals in a wide variety of ways and to varying extents. Assessment of the impact on functioning at school, with family and with friends, and the personal distress symptoms caused was used as the basis for determining the severity of disorders.</w:t>
      </w:r>
    </w:p>
    <w:p w:rsidR="00353A37" w:rsidRDefault="00353A37" w:rsidP="00353A37">
      <w:pPr>
        <w:pStyle w:val="BodyText"/>
        <w:sectPr w:rsidR="00353A37" w:rsidSect="003330E0">
          <w:pgSz w:w="11906" w:h="16838" w:code="9"/>
          <w:pgMar w:top="1440" w:right="1440" w:bottom="1440" w:left="1440" w:header="567" w:footer="567" w:gutter="0"/>
          <w:cols w:space="720"/>
          <w:docGrid w:linePitch="360"/>
        </w:sectPr>
      </w:pPr>
    </w:p>
    <w:p w:rsidR="00353A37" w:rsidRDefault="00353A37" w:rsidP="00353A37">
      <w:pPr>
        <w:pStyle w:val="ListParagraph"/>
        <w:numPr>
          <w:ilvl w:val="0"/>
          <w:numId w:val="4"/>
        </w:numPr>
      </w:pPr>
      <w:r>
        <w:lastRenderedPageBreak/>
        <w:t>Three fifths (59.8%) of 4-17 year-olds with a mental disorder or 8.3% of all children and adolescents had a mild disorder.</w:t>
      </w:r>
    </w:p>
    <w:p w:rsidR="00353A37" w:rsidRDefault="00353A37" w:rsidP="00353A37">
      <w:pPr>
        <w:pStyle w:val="ListParagraph"/>
        <w:numPr>
          <w:ilvl w:val="0"/>
          <w:numId w:val="4"/>
        </w:numPr>
      </w:pPr>
      <w:r>
        <w:t>One quarter (25.4%) of 4-17 year-olds with mental disorders or 3.5% of all children and adolescents had a moderate disorder.</w:t>
      </w:r>
    </w:p>
    <w:p w:rsidR="00353A37" w:rsidRDefault="00353A37" w:rsidP="00353A37">
      <w:pPr>
        <w:pStyle w:val="ListParagraph"/>
        <w:numPr>
          <w:ilvl w:val="0"/>
          <w:numId w:val="4"/>
        </w:numPr>
      </w:pPr>
      <w:r>
        <w:t xml:space="preserve">Just over one in seven (14.7%) 4-17 year-olds with a mental disorder </w:t>
      </w:r>
      <w:r w:rsidR="006E3821">
        <w:t>were</w:t>
      </w:r>
      <w:r>
        <w:t xml:space="preserve"> assessed as having a severe mental disorder. This is equivalent to one in 50 (2.1%) or approximately 82,000 Australian children and adolescents.</w:t>
      </w:r>
    </w:p>
    <w:p w:rsidR="00353A37" w:rsidRDefault="00353A37" w:rsidP="00353A37">
      <w:pPr>
        <w:pStyle w:val="ListParagraph"/>
        <w:numPr>
          <w:ilvl w:val="0"/>
          <w:numId w:val="4"/>
        </w:numPr>
      </w:pPr>
      <w:r>
        <w:t>Adolescents were almost three times more likely to experience a severe mental disorder – 23.1% of 12-17 year-olds with a mental disorder had a severe disorder compared with 8.2% of 4-11 year-olds with a mental disorder.</w:t>
      </w:r>
    </w:p>
    <w:p w:rsidR="00353A37" w:rsidRDefault="00353A37" w:rsidP="00353A37">
      <w:pPr>
        <w:pStyle w:val="ListParagraph"/>
        <w:numPr>
          <w:ilvl w:val="0"/>
          <w:numId w:val="4"/>
        </w:numPr>
      </w:pPr>
      <w:r>
        <w:t>Major depressive disorder had a greater impact on functioning than the other disorders, with two fifths or 42.8% of cases being severe and another 35.8</w:t>
      </w:r>
      <w:r w:rsidRPr="00EC012B">
        <w:t>% assessed as moderate</w:t>
      </w:r>
      <w:r>
        <w:t>.</w:t>
      </w:r>
    </w:p>
    <w:p w:rsidR="00353A37" w:rsidRDefault="00353A37" w:rsidP="00353A37">
      <w:pPr>
        <w:pStyle w:val="ListParagraph"/>
        <w:numPr>
          <w:ilvl w:val="0"/>
          <w:numId w:val="4"/>
        </w:numPr>
      </w:pPr>
      <w:r>
        <w:t>The majority of anxiety disorders, ADHD and conduct disorder cases were mild. Two thirds (65.7%) of 4-17 year-olds with ADHD, 53.8% with anxiety disorders and 58.7% with conduct disorder were assessed as having a mild disorder.</w:t>
      </w:r>
    </w:p>
    <w:p w:rsidR="00353A37" w:rsidRDefault="00353A37" w:rsidP="00353A37">
      <w:pPr>
        <w:pStyle w:val="ListParagraph"/>
        <w:numPr>
          <w:ilvl w:val="0"/>
          <w:numId w:val="4"/>
        </w:numPr>
      </w:pPr>
      <w:r>
        <w:t>3.3% of 12-17 year-olds had a severe mental disorder compared with 1.1% of 4-11 year-olds.</w:t>
      </w:r>
    </w:p>
    <w:p w:rsidR="00353A37" w:rsidRDefault="00353A37" w:rsidP="00353A37">
      <w:pPr>
        <w:pStyle w:val="ExecSummaryCaption"/>
      </w:pPr>
      <w:r>
        <w:t xml:space="preserve">Figure </w:t>
      </w:r>
      <w:r>
        <w:rPr>
          <w:noProof/>
        </w:rPr>
        <w:t>4</w:t>
      </w:r>
      <w:r>
        <w:t xml:space="preserve">: </w:t>
      </w:r>
      <w:r w:rsidRPr="00B562DD">
        <w:t xml:space="preserve">Severity of mental disorders </w:t>
      </w:r>
      <w:r>
        <w:t>experienced by</w:t>
      </w:r>
      <w:r w:rsidRPr="00B562DD">
        <w:t xml:space="preserve"> 4-17 year-olds in the past 12 months</w:t>
      </w:r>
    </w:p>
    <w:p w:rsidR="00353A37" w:rsidRDefault="00353A37" w:rsidP="00353A37">
      <w:pPr>
        <w:pStyle w:val="FigurePilcrow"/>
      </w:pPr>
      <w:r>
        <w:rPr>
          <w:noProof/>
          <w:lang w:eastAsia="en-AU"/>
        </w:rPr>
        <w:drawing>
          <wp:inline distT="0" distB="0" distL="0" distR="0" wp14:anchorId="0F560332" wp14:editId="71C559B9">
            <wp:extent cx="5401067" cy="2520701"/>
            <wp:effectExtent l="0" t="0" r="0" b="0"/>
            <wp:docPr id="28" name="Picture 28" descr="In figure 4, the prevalence of mental disorders in the past 12 months by severity of impact was:&#10;&#10;Mild: 8.3%&#10;Moderate: 3.5%&#10;Seve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SeverityWA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ageBreakBefore/>
      </w:pPr>
      <w:r>
        <w:lastRenderedPageBreak/>
        <w:t xml:space="preserve">Figure </w:t>
      </w:r>
      <w:r>
        <w:rPr>
          <w:noProof/>
        </w:rPr>
        <w:t>5</w:t>
      </w:r>
      <w:r>
        <w:t>: Severity of different types of mental disorders experienced by 4-17 year-olds in the past 12 months</w:t>
      </w:r>
    </w:p>
    <w:p w:rsidR="00353A37" w:rsidRDefault="006E3821" w:rsidP="00982311">
      <w:pPr>
        <w:pStyle w:val="FigurePilcrow"/>
      </w:pPr>
      <w:r>
        <w:rPr>
          <w:noProof/>
          <w:lang w:eastAsia="en-AU"/>
        </w:rPr>
        <w:drawing>
          <wp:inline distT="0" distB="0" distL="0" distR="0" wp14:anchorId="3B0FEFC4" wp14:editId="6D6DF8DC">
            <wp:extent cx="5401067" cy="3599695"/>
            <wp:effectExtent l="0" t="0" r="0" b="1270"/>
            <wp:docPr id="5" name="Picture 5" descr="In figure 5, the prevalence of different types of mental disorders experienced by 4-17 year-olds in the past 12 months by severity of impact was:&#10;&#10;Anxiety disorders:&#10;Mild: 3.7%&#10;Moderate: 1.9%&#10;Severe: 1.3%&#10;&#10;Major depressive disorder:&#10;Mild: 0.6%&#10;Moderate: 1.0%&#10;Severe: 1.2%&#10;&#10;ADHD:&#10;Mild: 4.9%&#10;Moderate: 1.8%&#10;Severe: 0.8%&#10;&#10;Conduct disorder:&#10;Mild: 1.2%&#10;Moderate: 0.5%&#10;Severe: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DisorderAndSeverityWA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1067" cy="3599695"/>
                    </a:xfrm>
                    <a:prstGeom prst="rect">
                      <a:avLst/>
                    </a:prstGeom>
                  </pic:spPr>
                </pic:pic>
              </a:graphicData>
            </a:graphic>
          </wp:inline>
        </w:drawing>
      </w:r>
    </w:p>
    <w:p w:rsidR="00353A37" w:rsidRDefault="00353A37" w:rsidP="00353A37">
      <w:pPr>
        <w:pStyle w:val="ExecSummaryCaption"/>
      </w:pPr>
      <w:r>
        <w:t xml:space="preserve">Figure </w:t>
      </w:r>
      <w:r>
        <w:rPr>
          <w:noProof/>
        </w:rPr>
        <w:t>6</w:t>
      </w:r>
      <w:r>
        <w:t xml:space="preserve">: </w:t>
      </w:r>
      <w:r w:rsidRPr="00070798">
        <w:t>Severity of mental disorders experienced by 4-17 year-olds in the past 12 months by age group</w:t>
      </w:r>
    </w:p>
    <w:p w:rsidR="00353A37" w:rsidRDefault="006E3821" w:rsidP="00353A37">
      <w:pPr>
        <w:pStyle w:val="FigurePilcrow"/>
        <w:sectPr w:rsidR="00353A37" w:rsidSect="003330E0">
          <w:type w:val="continuous"/>
          <w:pgSz w:w="11906" w:h="16838" w:code="9"/>
          <w:pgMar w:top="1440" w:right="1440" w:bottom="1440" w:left="1440" w:header="567" w:footer="567" w:gutter="0"/>
          <w:cols w:space="398"/>
          <w:docGrid w:linePitch="360"/>
        </w:sectPr>
      </w:pPr>
      <w:r>
        <w:rPr>
          <w:noProof/>
          <w:lang w:eastAsia="en-AU"/>
        </w:rPr>
        <w:drawing>
          <wp:inline distT="0" distB="0" distL="0" distR="0" wp14:anchorId="2EF0F4C7" wp14:editId="6CEB3CA6">
            <wp:extent cx="5401067" cy="2520701"/>
            <wp:effectExtent l="0" t="0" r="0" b="0"/>
            <wp:docPr id="4" name="Picture 4" descr="In figure 6, the severity of mental disorders experienced by 4-17 year-olds in the past 12 months by age group was:&#10;&#10;4-11 years:&#10;&#10;Mild: 9.8%&#10;Moderate: 2.7%&#10;Severe: 1.1%&#10;&#10;12-17 year-olds&#10;&#10;Mild: 6.4%&#10;Moderate: 4.7%&#10;Seve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BySeverityAndAgeWA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Heading1"/>
        <w:sectPr w:rsidR="00353A37" w:rsidSect="003330E0">
          <w:type w:val="continuous"/>
          <w:pgSz w:w="11906" w:h="16838" w:code="9"/>
          <w:pgMar w:top="1440" w:right="1440" w:bottom="1440" w:left="1440" w:header="567" w:footer="567" w:gutter="0"/>
          <w:pgNumType w:fmt="lowerRoman"/>
          <w:cols w:space="398"/>
          <w:docGrid w:linePitch="360"/>
        </w:sectPr>
      </w:pPr>
    </w:p>
    <w:p w:rsidR="00353A37" w:rsidRDefault="00261615" w:rsidP="00353A37">
      <w:pPr>
        <w:pStyle w:val="Heading1"/>
      </w:pPr>
      <w:r>
        <w:lastRenderedPageBreak/>
        <w:t>Service use f</w:t>
      </w:r>
      <w:r w:rsidR="00711229">
        <w:t xml:space="preserve">or </w:t>
      </w:r>
      <w:r>
        <w:t>e</w:t>
      </w:r>
      <w:r w:rsidR="00711229">
        <w:t xml:space="preserve">motional </w:t>
      </w:r>
      <w:r>
        <w:t>and behavioural p</w:t>
      </w:r>
      <w:r w:rsidR="00711229">
        <w:t>roblems</w:t>
      </w:r>
    </w:p>
    <w:p w:rsidR="00353A37" w:rsidRDefault="00353A37" w:rsidP="00353A37">
      <w:pPr>
        <w:pStyle w:val="BodyText"/>
      </w:pPr>
      <w:r w:rsidRPr="00A52F86">
        <w:rPr>
          <w:rStyle w:val="Emphasis"/>
        </w:rPr>
        <w:t>A wide range of services are available to assist young people with emotional and behavioural problems. Parents and carers reported on the health, school, telephone counselling and online services used by young people, as well as any medication taken</w:t>
      </w:r>
      <w:r>
        <w:t>.</w:t>
      </w:r>
    </w:p>
    <w:p w:rsidR="00353A37" w:rsidRDefault="00353A37" w:rsidP="00353A37">
      <w:pPr>
        <w:pStyle w:val="ListParagraph"/>
        <w:numPr>
          <w:ilvl w:val="0"/>
          <w:numId w:val="4"/>
        </w:numPr>
      </w:pPr>
      <w:r>
        <w:t>One in six (17.0%) children and adolescents aged 4-17 years had used services for emotional or behavioural problems in the previous 12 months.</w:t>
      </w:r>
    </w:p>
    <w:p w:rsidR="00353A37" w:rsidRDefault="00353A37" w:rsidP="00353A37">
      <w:pPr>
        <w:pStyle w:val="ListParagraph2"/>
      </w:pPr>
      <w:r>
        <w:t>One in seven (14.8%) used health services.</w:t>
      </w:r>
    </w:p>
    <w:p w:rsidR="00353A37" w:rsidRDefault="00353A37" w:rsidP="00353A37">
      <w:pPr>
        <w:pStyle w:val="ListParagraph2"/>
      </w:pPr>
      <w:r>
        <w:t>One in nine (11.5%) used school services.</w:t>
      </w:r>
    </w:p>
    <w:p w:rsidR="00353A37" w:rsidRPr="00253B8D" w:rsidRDefault="00353A37" w:rsidP="00353A37">
      <w:pPr>
        <w:pStyle w:val="ListParagraph2"/>
      </w:pPr>
      <w:r>
        <w:t xml:space="preserve">Just over half (53.5%) of 4-17 year-olds using services used both health and </w:t>
      </w:r>
      <w:r w:rsidRPr="00253B8D">
        <w:t>school services.</w:t>
      </w:r>
    </w:p>
    <w:p w:rsidR="00353A37" w:rsidRPr="00253B8D" w:rsidRDefault="00353A37" w:rsidP="00353A37">
      <w:pPr>
        <w:pStyle w:val="Heading2"/>
      </w:pPr>
      <w:r w:rsidRPr="00253B8D">
        <w:t xml:space="preserve">Services </w:t>
      </w:r>
      <w:r>
        <w:t>for young people with disorders</w:t>
      </w:r>
    </w:p>
    <w:p w:rsidR="00353A37" w:rsidRPr="00253B8D" w:rsidRDefault="00353A37" w:rsidP="00353A37">
      <w:pPr>
        <w:pStyle w:val="ListParagraph"/>
        <w:numPr>
          <w:ilvl w:val="0"/>
          <w:numId w:val="4"/>
        </w:numPr>
      </w:pPr>
      <w:r w:rsidRPr="00253B8D">
        <w:t xml:space="preserve">Just over half (56.0%) of 4-17 year-olds with mental disorders had used services </w:t>
      </w:r>
      <w:r>
        <w:t xml:space="preserve">for emotional and behavioural problems </w:t>
      </w:r>
      <w:r w:rsidRPr="00253B8D">
        <w:t>in the previous 12 months.</w:t>
      </w:r>
    </w:p>
    <w:p w:rsidR="00353A37" w:rsidRDefault="00353A37" w:rsidP="00353A37">
      <w:pPr>
        <w:pStyle w:val="ListParagraph"/>
        <w:numPr>
          <w:ilvl w:val="0"/>
          <w:numId w:val="4"/>
        </w:numPr>
      </w:pPr>
      <w:r>
        <w:t xml:space="preserve">Service use was higher among children and adolescents with more severe disorders. </w:t>
      </w:r>
    </w:p>
    <w:p w:rsidR="00353A37" w:rsidRDefault="00353A37" w:rsidP="00353A37">
      <w:pPr>
        <w:pStyle w:val="ListParagraph2"/>
      </w:pPr>
      <w:r>
        <w:t>Two fifths (41.2%) of those with mild disorders, 72.5% of those with moderate disorders and 87.6% of those with severe disorders had used services.</w:t>
      </w:r>
    </w:p>
    <w:p w:rsidR="00353A37" w:rsidRDefault="00353A37" w:rsidP="00353A37">
      <w:pPr>
        <w:pStyle w:val="ExecSummaryCaption"/>
      </w:pPr>
      <w:r>
        <w:t xml:space="preserve">Figure </w:t>
      </w:r>
      <w:r>
        <w:rPr>
          <w:noProof/>
        </w:rPr>
        <w:t>7</w:t>
      </w:r>
      <w:r>
        <w:t xml:space="preserve">: </w:t>
      </w:r>
      <w:r w:rsidRPr="00B82C36">
        <w:t>Service</w:t>
      </w:r>
      <w:r>
        <w:t xml:space="preserve"> use in the past 12 months by 4-</w:t>
      </w:r>
      <w:r w:rsidRPr="00B82C36">
        <w:t>17 year-olds with mental disorders by severity of the disorder</w:t>
      </w:r>
    </w:p>
    <w:p w:rsidR="00353A37" w:rsidRDefault="00353A37" w:rsidP="00353A37">
      <w:pPr>
        <w:pStyle w:val="FigurePilcrow"/>
      </w:pPr>
      <w:r>
        <w:rPr>
          <w:noProof/>
          <w:lang w:eastAsia="en-AU"/>
        </w:rPr>
        <w:drawing>
          <wp:inline distT="0" distB="0" distL="0" distR="0" wp14:anchorId="17829BA7" wp14:editId="089A0626">
            <wp:extent cx="5401067" cy="2520701"/>
            <wp:effectExtent l="0" t="0" r="0" b="0"/>
            <wp:docPr id="33" name="Picture 33" descr="In figure 7, the proportion of 4-17 year-olds with a mental disorder who have used services by different levels of severity is:&#10;&#10;Mild: 41.2%&#10;Moderate: 72.5%&#10;Severe: 8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UseBySeverityWA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ListParagraph"/>
        <w:numPr>
          <w:ilvl w:val="0"/>
          <w:numId w:val="4"/>
        </w:numPr>
      </w:pPr>
      <w:r>
        <w:t>One in eight (12.8%) children and adolescents with mental disorders had taken a medication for emotional or behavioural problems in the previous two weeks.</w:t>
      </w:r>
    </w:p>
    <w:p w:rsidR="00353A37" w:rsidRDefault="00353A37" w:rsidP="00353A37">
      <w:pPr>
        <w:pStyle w:val="ListParagraph"/>
        <w:numPr>
          <w:ilvl w:val="0"/>
          <w:numId w:val="4"/>
        </w:numPr>
      </w:pPr>
      <w:r>
        <w:t>The majority (94.6%) of young people with mental disorders using services in the previous 12 months had used health services.</w:t>
      </w:r>
    </w:p>
    <w:p w:rsidR="00353A37" w:rsidRPr="00A35ECC" w:rsidRDefault="00353A37" w:rsidP="00353A37">
      <w:pPr>
        <w:pStyle w:val="ListParagraph2"/>
      </w:pPr>
      <w:r w:rsidRPr="00A35ECC">
        <w:lastRenderedPageBreak/>
        <w:t xml:space="preserve">Just over one third (35.0%) </w:t>
      </w:r>
      <w:r>
        <w:t>of 4-17 year</w:t>
      </w:r>
      <w:r>
        <w:noBreakHyphen/>
        <w:t xml:space="preserve">olds </w:t>
      </w:r>
      <w:r w:rsidRPr="00A35ECC">
        <w:t>had seen a general practitioner.</w:t>
      </w:r>
    </w:p>
    <w:p w:rsidR="00353A37" w:rsidRDefault="00353A37" w:rsidP="00353A37">
      <w:pPr>
        <w:pStyle w:val="ListParagraph2"/>
      </w:pPr>
      <w:r>
        <w:t>Almost a quarter (</w:t>
      </w:r>
      <w:r w:rsidRPr="00977E31">
        <w:t>23.9%</w:t>
      </w:r>
      <w:r>
        <w:t>)</w:t>
      </w:r>
      <w:r w:rsidRPr="00977E31">
        <w:t xml:space="preserve"> had seen a psychologist.</w:t>
      </w:r>
    </w:p>
    <w:p w:rsidR="00353A37" w:rsidRDefault="00353A37" w:rsidP="00353A37">
      <w:pPr>
        <w:pStyle w:val="ListParagraph2"/>
      </w:pPr>
      <w:r>
        <w:t>One fifth (21.0%)</w:t>
      </w:r>
      <w:r w:rsidRPr="00977E31">
        <w:t xml:space="preserve"> had seen a paediatrician</w:t>
      </w:r>
      <w:r>
        <w:t>.</w:t>
      </w:r>
    </w:p>
    <w:p w:rsidR="00353A37" w:rsidRPr="00977E31" w:rsidRDefault="00353A37" w:rsidP="00353A37">
      <w:pPr>
        <w:pStyle w:val="ListParagraph2"/>
      </w:pPr>
      <w:r>
        <w:t xml:space="preserve">One fifth (20.7%) had seen a </w:t>
      </w:r>
      <w:r w:rsidRPr="00977E31">
        <w:t>counsell</w:t>
      </w:r>
      <w:r>
        <w:t>or or a family therapist</w:t>
      </w:r>
      <w:r w:rsidRPr="00977E31">
        <w:t>.</w:t>
      </w:r>
    </w:p>
    <w:p w:rsidR="00353A37" w:rsidRDefault="00353A37" w:rsidP="00353A37">
      <w:pPr>
        <w:pStyle w:val="ListParagraph"/>
        <w:numPr>
          <w:ilvl w:val="0"/>
          <w:numId w:val="4"/>
        </w:numPr>
      </w:pPr>
      <w:r>
        <w:t xml:space="preserve">One in sixteen (6.2%) 4-17 year-olds with mental disorders </w:t>
      </w:r>
      <w:proofErr w:type="gramStart"/>
      <w:r>
        <w:t>were</w:t>
      </w:r>
      <w:proofErr w:type="gramEnd"/>
      <w:r>
        <w:t xml:space="preserve"> admitted to hospital, or attended an emergency or outpatient department in the previous 12 months.</w:t>
      </w:r>
    </w:p>
    <w:p w:rsidR="00353A37" w:rsidRDefault="00353A37" w:rsidP="00353A37">
      <w:pPr>
        <w:pStyle w:val="ListParagraph"/>
        <w:numPr>
          <w:ilvl w:val="0"/>
          <w:numId w:val="4"/>
        </w:numPr>
      </w:pPr>
      <w:r>
        <w:t>Specialist child and adolescent mental health services were used by 3.3% of 4-17 year-olds with mental disorders</w:t>
      </w:r>
      <w:r w:rsidRPr="00E63B45">
        <w:t xml:space="preserve"> </w:t>
      </w:r>
      <w:r>
        <w:t>in the previous 12 months.</w:t>
      </w:r>
    </w:p>
    <w:p w:rsidR="00353A37" w:rsidRDefault="00353A37" w:rsidP="00353A37">
      <w:pPr>
        <w:pStyle w:val="ListParagraph"/>
        <w:numPr>
          <w:ilvl w:val="0"/>
          <w:numId w:val="4"/>
        </w:numPr>
      </w:pPr>
      <w:r>
        <w:rPr>
          <w:rFonts w:eastAsiaTheme="minorEastAsia" w:cs="Times New Roman"/>
          <w:color w:val="000000"/>
          <w:lang w:eastAsia="en-AU"/>
        </w:rPr>
        <w:t>Parents and carers reported that 7.3% of 12-17 year-olds with mental disorders visited a headspace centre in the previous 12 months</w:t>
      </w:r>
      <w:r>
        <w:t>.</w:t>
      </w:r>
    </w:p>
    <w:p w:rsidR="00353A37" w:rsidRDefault="00353A37" w:rsidP="00353A37">
      <w:pPr>
        <w:pStyle w:val="ListParagraph"/>
        <w:numPr>
          <w:ilvl w:val="0"/>
          <w:numId w:val="4"/>
        </w:numPr>
      </w:pPr>
      <w:r w:rsidRPr="001F4C31">
        <w:t xml:space="preserve">Schools provided services to 40.2% of </w:t>
      </w:r>
      <w:r>
        <w:t xml:space="preserve">the </w:t>
      </w:r>
      <w:r w:rsidRPr="001F4C31">
        <w:t>children and adolescents with mental</w:t>
      </w:r>
      <w:r>
        <w:t xml:space="preserve"> disorders who attended them:</w:t>
      </w:r>
    </w:p>
    <w:p w:rsidR="00353A37" w:rsidRDefault="00353A37" w:rsidP="00353A37">
      <w:pPr>
        <w:pStyle w:val="ListParagraph2"/>
      </w:pPr>
      <w:r>
        <w:t>28.4% received individual counselling;</w:t>
      </w:r>
    </w:p>
    <w:p w:rsidR="00353A37" w:rsidRDefault="00353A37" w:rsidP="00353A37">
      <w:pPr>
        <w:pStyle w:val="ListParagraph2"/>
      </w:pPr>
      <w:r>
        <w:t>9.2% attended a group counselling or support program;</w:t>
      </w:r>
    </w:p>
    <w:p w:rsidR="00353A37" w:rsidRDefault="00353A37" w:rsidP="00353A37">
      <w:pPr>
        <w:pStyle w:val="ListParagraph2"/>
      </w:pPr>
      <w:r>
        <w:t>13.1% used a special class or school;</w:t>
      </w:r>
    </w:p>
    <w:p w:rsidR="00353A37" w:rsidRDefault="00353A37" w:rsidP="00353A37">
      <w:pPr>
        <w:pStyle w:val="ListParagraph2"/>
      </w:pPr>
      <w:r>
        <w:t>5.6% had seen a school nurse; and</w:t>
      </w:r>
    </w:p>
    <w:p w:rsidR="00353A37" w:rsidRDefault="00353A37" w:rsidP="00353A37">
      <w:pPr>
        <w:pStyle w:val="ListParagraph2"/>
      </w:pPr>
      <w:r>
        <w:t>17.1% received other school services.</w:t>
      </w:r>
    </w:p>
    <w:p w:rsidR="00353A37" w:rsidRDefault="00353A37" w:rsidP="00353A37">
      <w:pPr>
        <w:pStyle w:val="Heading1"/>
        <w:sectPr w:rsidR="00353A37" w:rsidSect="003330E0">
          <w:pgSz w:w="11906" w:h="16838" w:code="9"/>
          <w:pgMar w:top="1440" w:right="1440" w:bottom="1440" w:left="1440" w:header="567" w:footer="567" w:gutter="0"/>
          <w:cols w:space="398"/>
          <w:docGrid w:linePitch="360"/>
        </w:sectPr>
      </w:pPr>
    </w:p>
    <w:p w:rsidR="00353A37" w:rsidRDefault="00353A37" w:rsidP="00353A37">
      <w:pPr>
        <w:pStyle w:val="Heading1"/>
      </w:pPr>
      <w:r w:rsidRPr="007B23BA">
        <w:lastRenderedPageBreak/>
        <w:t>Perceived need for services</w:t>
      </w:r>
    </w:p>
    <w:p w:rsidR="00353A37" w:rsidRDefault="00353A37" w:rsidP="00353A37">
      <w:pPr>
        <w:pStyle w:val="BodyText"/>
      </w:pPr>
      <w:r w:rsidRPr="00461A89">
        <w:rPr>
          <w:rStyle w:val="Emphasis"/>
        </w:rPr>
        <w:t xml:space="preserve">Parents and carers were asked about whether their children </w:t>
      </w:r>
      <w:r w:rsidR="00474A81">
        <w:rPr>
          <w:rStyle w:val="Emphasis"/>
        </w:rPr>
        <w:t>received</w:t>
      </w:r>
      <w:r w:rsidRPr="00461A89">
        <w:rPr>
          <w:rStyle w:val="Emphasis"/>
        </w:rPr>
        <w:t xml:space="preserve"> the services they needed for emotional and behavioural problems, and whether they had unmet needs or they had no need for services. They were also asked about the barriers to seeking help or receiving more help where their needs were not fully met</w:t>
      </w:r>
      <w:r w:rsidRPr="00BB367C">
        <w:t>.</w:t>
      </w:r>
      <w:r>
        <w:t xml:space="preserve"> </w:t>
      </w:r>
    </w:p>
    <w:p w:rsidR="00353A37" w:rsidRDefault="00353A37" w:rsidP="00353A37">
      <w:pPr>
        <w:pStyle w:val="ListParagraph"/>
        <w:numPr>
          <w:ilvl w:val="0"/>
          <w:numId w:val="4"/>
        </w:numPr>
      </w:pPr>
      <w:r>
        <w:t>Just over one quarter (26.8%) of parents and carers reported that their child or adolescent needed help for emotional or behavioural problems in the previous 12 months.</w:t>
      </w:r>
    </w:p>
    <w:p w:rsidR="00353A37" w:rsidRDefault="00353A37" w:rsidP="00353A37">
      <w:pPr>
        <w:pStyle w:val="ListParagraph"/>
        <w:numPr>
          <w:ilvl w:val="0"/>
          <w:numId w:val="4"/>
        </w:numPr>
      </w:pPr>
      <w:r>
        <w:t>Of those who had a need for help, four out of ten (42.9%) had their needs fully met and 27.3% partially met.</w:t>
      </w:r>
    </w:p>
    <w:p w:rsidR="00353A37" w:rsidRPr="00533274" w:rsidRDefault="00353A37" w:rsidP="00353A37">
      <w:pPr>
        <w:pStyle w:val="Heading2"/>
      </w:pPr>
      <w:r w:rsidRPr="00F6688F">
        <w:t>Service</w:t>
      </w:r>
      <w:r>
        <w:t xml:space="preserve"> needs of </w:t>
      </w:r>
      <w:r w:rsidRPr="00F6688F">
        <w:t xml:space="preserve">young people with </w:t>
      </w:r>
      <w:r>
        <w:t xml:space="preserve">mental </w:t>
      </w:r>
      <w:r w:rsidRPr="00F6688F">
        <w:t>disorders</w:t>
      </w:r>
    </w:p>
    <w:p w:rsidR="00353A37" w:rsidRDefault="00353A37" w:rsidP="00353A37">
      <w:pPr>
        <w:pStyle w:val="ListParagraph"/>
        <w:numPr>
          <w:ilvl w:val="0"/>
          <w:numId w:val="4"/>
        </w:numPr>
      </w:pPr>
      <w:r>
        <w:t>Nearly four fifths (78.6%) of 4-17 year-olds with mental disorders were reported as needing help in the previous 12 months. Three quarters (73.8%) of these had their needs for help fully or partially met.</w:t>
      </w:r>
    </w:p>
    <w:p w:rsidR="00353A37" w:rsidRDefault="00353A37" w:rsidP="00353A37">
      <w:pPr>
        <w:pStyle w:val="ListParagraph"/>
        <w:numPr>
          <w:ilvl w:val="0"/>
          <w:numId w:val="4"/>
        </w:numPr>
      </w:pPr>
      <w:r>
        <w:t>Counselling was identified as being needed more often, with two thirds (68.</w:t>
      </w:r>
      <w:r w:rsidRPr="000F7EE0">
        <w:t>1%)</w:t>
      </w:r>
      <w:r w:rsidRPr="00084BEB">
        <w:rPr>
          <w:b/>
        </w:rPr>
        <w:t xml:space="preserve"> </w:t>
      </w:r>
      <w:r>
        <w:t xml:space="preserve">of 4-17 year-olds needing counselling </w:t>
      </w:r>
      <w:r w:rsidRPr="000F7EE0">
        <w:t>and</w:t>
      </w:r>
      <w:r>
        <w:t xml:space="preserve"> two thirds of these (67.7%) having their needs fully or partially met.</w:t>
      </w:r>
    </w:p>
    <w:p w:rsidR="00353A37" w:rsidRDefault="00353A37" w:rsidP="00353A37">
      <w:pPr>
        <w:pStyle w:val="ListParagraph"/>
        <w:numPr>
          <w:ilvl w:val="0"/>
          <w:numId w:val="4"/>
        </w:numPr>
      </w:pPr>
      <w:r>
        <w:t>One third (36.0%) of 4-17 year-olds needed life skills training, but for the majority (60.9%) this need was not met.</w:t>
      </w:r>
    </w:p>
    <w:p w:rsidR="00353A37" w:rsidRDefault="00353A37" w:rsidP="00353A37">
      <w:pPr>
        <w:pStyle w:val="ListParagraph"/>
        <w:numPr>
          <w:ilvl w:val="0"/>
          <w:numId w:val="4"/>
        </w:numPr>
      </w:pPr>
      <w:r>
        <w:t>Met need increased with severity, with parents and carers reporting that 84.2% of those with severe disorders</w:t>
      </w:r>
      <w:r w:rsidDel="005259BF">
        <w:t xml:space="preserve"> </w:t>
      </w:r>
      <w:r>
        <w:t>and 81.8% of those with moderate had their needs for help fully or partially met.</w:t>
      </w:r>
    </w:p>
    <w:p w:rsidR="00353A37" w:rsidRDefault="00353A37" w:rsidP="00353A37">
      <w:pPr>
        <w:pStyle w:val="ListParagraph"/>
        <w:numPr>
          <w:ilvl w:val="0"/>
          <w:numId w:val="4"/>
        </w:numPr>
      </w:pPr>
      <w:r>
        <w:t>P</w:t>
      </w:r>
      <w:r w:rsidRPr="00E974A7">
        <w:t xml:space="preserve">arents and carers </w:t>
      </w:r>
      <w:r>
        <w:t>received a variety of help themselves to assist them with dealing with their children’s problems. This included information, counselling, parenting courses, respite care and support groups — 61.0% reported they needed this kind of help and for 78.1% their needs were fully or partially met.</w:t>
      </w:r>
    </w:p>
    <w:p w:rsidR="00353A37" w:rsidRDefault="00353A37" w:rsidP="00353A37">
      <w:pPr>
        <w:pStyle w:val="ExecSummaryCaption"/>
      </w:pPr>
      <w:r>
        <w:t xml:space="preserve">Figure </w:t>
      </w:r>
      <w:r>
        <w:rPr>
          <w:noProof/>
        </w:rPr>
        <w:t>8</w:t>
      </w:r>
      <w:r>
        <w:t>: Perceived need for help for emotional and behavioural problems in the past 12 months in 4-17 year-olds with mental disorder</w:t>
      </w:r>
    </w:p>
    <w:p w:rsidR="00353A37" w:rsidRDefault="00353A37" w:rsidP="00353A37">
      <w:pPr>
        <w:pStyle w:val="FigurePilcrow"/>
      </w:pPr>
      <w:r>
        <w:rPr>
          <w:noProof/>
          <w:lang w:eastAsia="en-AU"/>
        </w:rPr>
        <w:drawing>
          <wp:inline distT="0" distB="0" distL="0" distR="0" wp14:anchorId="17EAA74A" wp14:editId="2020804D">
            <wp:extent cx="5401067" cy="2520701"/>
            <wp:effectExtent l="0" t="0" r="0" b="0"/>
            <wp:docPr id="34" name="Picture 34" descr="In figure 8, the proportion of 4-17 year-olds with a mental disorder with a perceived need for services by level of perceived need was:&#10;&#10;Fully met: 27.4%&#10;Partially met: 30.6%&#10;Unmet: 20.6%&#10;No need: 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ivedNeedWA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Pr="00654C7B" w:rsidRDefault="00353A37" w:rsidP="00353A37">
      <w:pPr>
        <w:pStyle w:val="ExecSummaryCaption"/>
        <w:pageBreakBefore/>
      </w:pPr>
      <w:r w:rsidRPr="00654C7B">
        <w:lastRenderedPageBreak/>
        <w:t xml:space="preserve">Figure </w:t>
      </w:r>
      <w:r>
        <w:rPr>
          <w:noProof/>
        </w:rPr>
        <w:t>9</w:t>
      </w:r>
      <w:r w:rsidRPr="00654C7B">
        <w:t xml:space="preserve">: </w:t>
      </w:r>
      <w:r>
        <w:t>N</w:t>
      </w:r>
      <w:r w:rsidRPr="00654C7B">
        <w:t xml:space="preserve">eed for different types of help </w:t>
      </w:r>
      <w:r>
        <w:t xml:space="preserve">in the past 12 months </w:t>
      </w:r>
      <w:r w:rsidRPr="00654C7B">
        <w:t>in 4-17 year-olds with mental disorder</w:t>
      </w:r>
    </w:p>
    <w:p w:rsidR="00353A37" w:rsidRDefault="00353A37" w:rsidP="00353A37">
      <w:pPr>
        <w:pStyle w:val="FigurePilcrow"/>
      </w:pPr>
      <w:r>
        <w:rPr>
          <w:noProof/>
          <w:lang w:eastAsia="en-AU"/>
        </w:rPr>
        <w:drawing>
          <wp:inline distT="0" distB="0" distL="0" distR="0" wp14:anchorId="19E6C937" wp14:editId="45C20225">
            <wp:extent cx="5401067" cy="2520701"/>
            <wp:effectExtent l="0" t="0" r="0" b="0"/>
            <wp:docPr id="35" name="Picture 35" descr="In figure 9, the proportion of unmet need among 4-17 year-olds with mental disorder with a need for each type of help by type of service was:&#10;&#10;Information: 41.7%&#10;Medication: 22.3%&#10;Counselling: 68.1%&#10;Life skills: 3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ivedNeedTypeBWA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Pr>
      <w:r>
        <w:t xml:space="preserve">Figure </w:t>
      </w:r>
      <w:r>
        <w:rPr>
          <w:noProof/>
        </w:rPr>
        <w:t>10</w:t>
      </w:r>
      <w:r>
        <w:t xml:space="preserve">: </w:t>
      </w:r>
      <w:r w:rsidRPr="00150D45">
        <w:t>Fully or partially met need for help in the past 12 months in 4-17 year-olds with</w:t>
      </w:r>
      <w:r>
        <w:t xml:space="preserve"> need for help for</w:t>
      </w:r>
      <w:r w:rsidRPr="00150D45">
        <w:t xml:space="preserve"> mental disorder</w:t>
      </w:r>
      <w:r>
        <w:t>s</w:t>
      </w:r>
      <w:r w:rsidRPr="00150D45">
        <w:t xml:space="preserve"> by severity</w:t>
      </w:r>
    </w:p>
    <w:p w:rsidR="00353A37" w:rsidRDefault="00353A37" w:rsidP="00353A37">
      <w:pPr>
        <w:pStyle w:val="FigurePilcrow"/>
      </w:pPr>
      <w:r>
        <w:rPr>
          <w:noProof/>
          <w:lang w:eastAsia="en-AU"/>
        </w:rPr>
        <w:drawing>
          <wp:inline distT="0" distB="0" distL="0" distR="0" wp14:anchorId="3ED92400" wp14:editId="2B46F6AF">
            <wp:extent cx="5401067" cy="2520701"/>
            <wp:effectExtent l="0" t="0" r="0" b="0"/>
            <wp:docPr id="36" name="Picture 36" descr="In figure 10, the proportion of 4-17 year-olds with need for help for mental disorder with fully or partially met need for services by level of severity of mental disorder was:&#10;&#10;Mild: 65.6%&#10;Moderate: 81.8%&#10;Severe: 8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metNeedSeverityWA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spacing w:after="0" w:line="276" w:lineRule="auto"/>
        <w:rPr>
          <w:b/>
          <w:bCs/>
          <w:color w:val="2171B5"/>
          <w:sz w:val="20"/>
          <w:szCs w:val="18"/>
        </w:rPr>
      </w:pPr>
      <w:r>
        <w:br w:type="page"/>
      </w:r>
    </w:p>
    <w:p w:rsidR="00353A37" w:rsidRDefault="00353A37" w:rsidP="00353A37">
      <w:pPr>
        <w:pStyle w:val="FigurePilcrow"/>
        <w:sectPr w:rsidR="00353A37" w:rsidSect="003330E0">
          <w:pgSz w:w="11906" w:h="16838" w:code="9"/>
          <w:pgMar w:top="1440" w:right="1440" w:bottom="1440" w:left="1440" w:header="567" w:footer="567" w:gutter="0"/>
          <w:cols w:space="398"/>
          <w:docGrid w:linePitch="360"/>
        </w:sectPr>
      </w:pPr>
    </w:p>
    <w:p w:rsidR="00353A37" w:rsidRDefault="00353A37" w:rsidP="00353A37">
      <w:pPr>
        <w:pStyle w:val="Heading1"/>
      </w:pPr>
      <w:r w:rsidRPr="00446EAC">
        <w:lastRenderedPageBreak/>
        <w:t>School services and</w:t>
      </w:r>
      <w:r>
        <w:t xml:space="preserve"> supports, and the impact of problems on young people’s schooling</w:t>
      </w:r>
    </w:p>
    <w:p w:rsidR="00353A37" w:rsidRDefault="00353A37" w:rsidP="00353A37">
      <w:pPr>
        <w:pStyle w:val="BodyText"/>
      </w:pPr>
      <w:r w:rsidRPr="002F133C">
        <w:rPr>
          <w:rStyle w:val="Emphasis"/>
        </w:rPr>
        <w:t>Schools play a major role in supporting young people with emotional and behavioural problems and are often where symptoms of mental disorders are first identified. Data are for the 95.9% of 4-17 year-olds attending school or another educational institution</w:t>
      </w:r>
      <w:r>
        <w:t>.</w:t>
      </w:r>
    </w:p>
    <w:p w:rsidR="00353A37" w:rsidRDefault="00353A37" w:rsidP="00353A37">
      <w:pPr>
        <w:pStyle w:val="ListParagraph"/>
        <w:numPr>
          <w:ilvl w:val="0"/>
          <w:numId w:val="4"/>
        </w:numPr>
      </w:pPr>
      <w:r>
        <w:t xml:space="preserve">A school staff member was among those to suggest </w:t>
      </w:r>
      <w:r w:rsidRPr="00B66C42">
        <w:t xml:space="preserve">that some help for emotional or behavioural problems was needed </w:t>
      </w:r>
      <w:r>
        <w:t>in two fifths (40.5%) of cases</w:t>
      </w:r>
      <w:r w:rsidRPr="00B66C42">
        <w:t>.</w:t>
      </w:r>
    </w:p>
    <w:p w:rsidR="00353A37" w:rsidRPr="0029120C" w:rsidRDefault="00353A37" w:rsidP="00353A37">
      <w:pPr>
        <w:pStyle w:val="ListParagraph"/>
        <w:numPr>
          <w:ilvl w:val="0"/>
          <w:numId w:val="4"/>
        </w:numPr>
      </w:pPr>
      <w:r w:rsidRPr="00B66C42">
        <w:t xml:space="preserve">One in </w:t>
      </w:r>
      <w:r w:rsidR="00D55ED3">
        <w:t>nine</w:t>
      </w:r>
      <w:r w:rsidRPr="00B66C42">
        <w:t xml:space="preserve"> (11.5%) students had used a school service for emotional or behavioural problems in the previous 12 months</w:t>
      </w:r>
      <w:r>
        <w:rPr>
          <w:lang w:val="en-US"/>
        </w:rPr>
        <w:t>.</w:t>
      </w:r>
    </w:p>
    <w:p w:rsidR="00353A37" w:rsidRDefault="00353A37" w:rsidP="00353A37">
      <w:pPr>
        <w:pStyle w:val="ListParagraph2"/>
      </w:pPr>
      <w:r w:rsidRPr="0029120C">
        <w:t>8.0% received individual counselling</w:t>
      </w:r>
      <w:r>
        <w:t>.</w:t>
      </w:r>
    </w:p>
    <w:p w:rsidR="00353A37" w:rsidRDefault="00353A37" w:rsidP="00353A37">
      <w:pPr>
        <w:pStyle w:val="ListParagraph2"/>
      </w:pPr>
      <w:r>
        <w:t>2.7% received group counselling or participated in a support program.</w:t>
      </w:r>
    </w:p>
    <w:p w:rsidR="00353A37" w:rsidRDefault="00353A37" w:rsidP="00353A37">
      <w:pPr>
        <w:pStyle w:val="ListParagraph"/>
        <w:numPr>
          <w:ilvl w:val="0"/>
          <w:numId w:val="4"/>
        </w:numPr>
      </w:pPr>
      <w:r>
        <w:t>Just over one fifth (22.6%) of young people who used health services had been referred by their school.</w:t>
      </w:r>
    </w:p>
    <w:p w:rsidR="00353A37" w:rsidRDefault="00353A37" w:rsidP="00353A37">
      <w:pPr>
        <w:pStyle w:val="ListParagraph"/>
        <w:numPr>
          <w:ilvl w:val="0"/>
          <w:numId w:val="4"/>
        </w:numPr>
      </w:pPr>
      <w:r>
        <w:t>Teachers and other school staff provided 18.9% of students with informal support for emotional and behavioural problems. This was higher (51.0%) for students assessed as having a mental disorder.</w:t>
      </w:r>
    </w:p>
    <w:p w:rsidR="00353A37" w:rsidRDefault="00353A37" w:rsidP="00353A37">
      <w:pPr>
        <w:pStyle w:val="ListParagraph"/>
        <w:numPr>
          <w:ilvl w:val="0"/>
          <w:numId w:val="4"/>
        </w:numPr>
      </w:pPr>
      <w:r>
        <w:t>Of the four types of disorder, major depressive disorder had the greatest impact on school attendance</w:t>
      </w:r>
      <w:r w:rsidRPr="00483DA5">
        <w:t>.</w:t>
      </w:r>
      <w:r>
        <w:t xml:space="preserve"> </w:t>
      </w:r>
      <w:r w:rsidRPr="00483DA5">
        <w:t xml:space="preserve">Students with this disorder averaged 20 days absent from school in the previous </w:t>
      </w:r>
      <w:r>
        <w:t>12 months</w:t>
      </w:r>
      <w:r w:rsidRPr="00483DA5">
        <w:t xml:space="preserve"> due to its symptoms.</w:t>
      </w:r>
    </w:p>
    <w:p w:rsidR="00353A37" w:rsidRPr="00595DB0" w:rsidRDefault="00353A37" w:rsidP="00353A37">
      <w:pPr>
        <w:pStyle w:val="ListParagraph"/>
        <w:numPr>
          <w:ilvl w:val="0"/>
          <w:numId w:val="4"/>
        </w:numPr>
      </w:pPr>
      <w:r w:rsidRPr="00483DA5">
        <w:t xml:space="preserve">Major depressive disorder had the greatest impact on functioning at school, with one third (34.3%) of students experiencing </w:t>
      </w:r>
      <w:r>
        <w:t>severe</w:t>
      </w:r>
      <w:r w:rsidRPr="00483DA5">
        <w:t xml:space="preserve"> impact and </w:t>
      </w:r>
      <w:r w:rsidRPr="00595DB0">
        <w:t xml:space="preserve">another 34.1% a </w:t>
      </w:r>
      <w:r>
        <w:t>moderate</w:t>
      </w:r>
      <w:r w:rsidRPr="00595DB0">
        <w:t xml:space="preserve"> impact due to this disorder.</w:t>
      </w:r>
    </w:p>
    <w:p w:rsidR="00353A37" w:rsidRDefault="00353A37" w:rsidP="00353A37">
      <w:pPr>
        <w:pStyle w:val="ListParagraph"/>
        <w:numPr>
          <w:ilvl w:val="0"/>
          <w:numId w:val="4"/>
        </w:numPr>
      </w:pPr>
      <w:r w:rsidRPr="00595DB0">
        <w:t xml:space="preserve">For adolescents, conduct disorders had almost the same level of impact (22.8% </w:t>
      </w:r>
      <w:r>
        <w:t>severe</w:t>
      </w:r>
      <w:r w:rsidRPr="00595DB0">
        <w:t xml:space="preserve"> and 43.6% </w:t>
      </w:r>
      <w:r>
        <w:t>moderate</w:t>
      </w:r>
      <w:r w:rsidRPr="00595DB0">
        <w:t xml:space="preserve">), but conversely also had the highest proportion </w:t>
      </w:r>
      <w:r>
        <w:t xml:space="preserve">(21.8%) for </w:t>
      </w:r>
      <w:r w:rsidRPr="00595DB0">
        <w:t>who</w:t>
      </w:r>
      <w:r>
        <w:t>m</w:t>
      </w:r>
      <w:r w:rsidRPr="00595DB0">
        <w:t xml:space="preserve"> the disorder </w:t>
      </w:r>
      <w:r>
        <w:t>had no impact</w:t>
      </w:r>
      <w:r w:rsidRPr="00595DB0">
        <w:t>.</w:t>
      </w:r>
    </w:p>
    <w:p w:rsidR="00353A37" w:rsidRDefault="00353A37" w:rsidP="00353A37">
      <w:pPr>
        <w:pStyle w:val="ExecSummaryCaption"/>
      </w:pPr>
      <w:r>
        <w:t xml:space="preserve">Figure </w:t>
      </w:r>
      <w:r>
        <w:rPr>
          <w:noProof/>
        </w:rPr>
        <w:t>11</w:t>
      </w:r>
      <w:r>
        <w:t>: Proportion of students identified with problems by school staff</w:t>
      </w:r>
    </w:p>
    <w:p w:rsidR="00353A37" w:rsidRDefault="00353A37" w:rsidP="00353A37">
      <w:pPr>
        <w:pStyle w:val="FigurePilcrow"/>
      </w:pPr>
      <w:r>
        <w:rPr>
          <w:noProof/>
          <w:lang w:eastAsia="en-AU"/>
        </w:rPr>
        <w:drawing>
          <wp:inline distT="0" distB="0" distL="0" distR="0" wp14:anchorId="5C725384" wp14:editId="28FAD4C8">
            <wp:extent cx="5401067" cy="2520701"/>
            <wp:effectExtent l="0" t="0" r="0" b="0"/>
            <wp:docPr id="37" name="Picture 37" descr="In figure 11, the proportion of students first identified with problems by school staff by school staff type was:&#10;&#10;School teacher or principal: 35.6%&#10;School counsellor, psychologist or nurse: 12.0%&#10;Any school staff: 4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edAtSchoolWA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Pr>
      <w:r>
        <w:lastRenderedPageBreak/>
        <w:t xml:space="preserve">Figure </w:t>
      </w:r>
      <w:r>
        <w:rPr>
          <w:noProof/>
        </w:rPr>
        <w:t>12</w:t>
      </w:r>
      <w:r>
        <w:t>: Students using health service provider services in the past 12 months who were referred by their school</w:t>
      </w:r>
    </w:p>
    <w:p w:rsidR="00353A37" w:rsidRDefault="00353A37" w:rsidP="00353A37">
      <w:pPr>
        <w:pStyle w:val="FigurePilcrow"/>
      </w:pPr>
      <w:r>
        <w:rPr>
          <w:noProof/>
          <w:lang w:eastAsia="en-AU"/>
        </w:rPr>
        <w:drawing>
          <wp:inline distT="0" distB="0" distL="0" distR="0" wp14:anchorId="39C1D0BA" wp14:editId="5B7141C4">
            <wp:extent cx="5401067" cy="2520701"/>
            <wp:effectExtent l="0" t="0" r="0" b="0"/>
            <wp:docPr id="38" name="Picture 38" descr="In figure 12, the proportion of students using health service provider services in the past 12 months who were referred by their school, by health provider type, was:&#10;&#10;General practitioner: 15.8%&#10;Paediatrician: 25.3%&#10;Psychiatrist: 17.0%&#10;Psychologist: 16.9%&#10;Any health service provider: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IdentifiedAtSchoolWA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Pr>
      <w:r>
        <w:t xml:space="preserve">Figure </w:t>
      </w:r>
      <w:r>
        <w:rPr>
          <w:noProof/>
        </w:rPr>
        <w:t>13</w:t>
      </w:r>
      <w:r>
        <w:t>: Days absent from school in the past 12 months due to mental disorder symptoms</w:t>
      </w:r>
    </w:p>
    <w:p w:rsidR="00353A37" w:rsidRDefault="00353A37" w:rsidP="00353A37">
      <w:pPr>
        <w:pStyle w:val="FigurePilcrow"/>
        <w:jc w:val="center"/>
        <w:sectPr w:rsidR="00353A37" w:rsidSect="003330E0">
          <w:type w:val="continuous"/>
          <w:pgSz w:w="11906" w:h="16838" w:code="9"/>
          <w:pgMar w:top="1440" w:right="1440" w:bottom="1440" w:left="1440" w:header="567" w:footer="567" w:gutter="0"/>
          <w:cols w:space="398"/>
          <w:docGrid w:linePitch="360"/>
        </w:sectPr>
      </w:pPr>
      <w:r>
        <w:rPr>
          <w:noProof/>
          <w:lang w:eastAsia="en-AU"/>
        </w:rPr>
        <w:drawing>
          <wp:inline distT="0" distB="0" distL="0" distR="0" wp14:anchorId="22F4E002" wp14:editId="27428478">
            <wp:extent cx="5401067" cy="2520701"/>
            <wp:effectExtent l="0" t="0" r="0" b="0"/>
            <wp:docPr id="39" name="Picture 39" descr="&#10;In figure 13, the average number of days absent from school in the past 12 months due to mental disorder symptoms was:&#10; &#10;Anxiety disorders: 12 days&#10;Major depressive disorder: 20 days&#10;ADHD: 5 days&#10;Conduct disorder: 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AbsentFromSchoolWA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261615" w:rsidP="00353A37">
      <w:pPr>
        <w:pStyle w:val="Heading1"/>
      </w:pPr>
      <w:r>
        <w:lastRenderedPageBreak/>
        <w:t>What adolescents told us about their mental h</w:t>
      </w:r>
      <w:r w:rsidR="00555E74">
        <w:t>ealth</w:t>
      </w:r>
    </w:p>
    <w:p w:rsidR="00353A37" w:rsidRDefault="00353A37" w:rsidP="00353A37">
      <w:pPr>
        <w:pStyle w:val="BodyText"/>
        <w:rPr>
          <w:rStyle w:val="Emphasis"/>
        </w:rPr>
      </w:pPr>
      <w:r w:rsidRPr="003D1CD6">
        <w:rPr>
          <w:rStyle w:val="Emphasis"/>
        </w:rPr>
        <w:t xml:space="preserve">Young people aged 11 years and older were asked, with their parents and carers consent, to complete a questionnaire in private on a tablet computer — </w:t>
      </w:r>
      <w:r>
        <w:rPr>
          <w:rStyle w:val="Emphasis"/>
        </w:rPr>
        <w:t>89</w:t>
      </w:r>
      <w:r w:rsidRPr="003D1CD6">
        <w:rPr>
          <w:rStyle w:val="Emphasis"/>
        </w:rPr>
        <w:t>% did so. This included various measures of their mental health, as well as the same DISC-IV major depressi</w:t>
      </w:r>
      <w:r w:rsidR="00982311">
        <w:rPr>
          <w:rStyle w:val="Emphasis"/>
        </w:rPr>
        <w:t>ve disorder</w:t>
      </w:r>
      <w:r w:rsidRPr="003D1CD6">
        <w:rPr>
          <w:rStyle w:val="Emphasis"/>
        </w:rPr>
        <w:t xml:space="preserve"> diagnostic module completed by their parents and carers to assess if they had a major depressive disorder based on DSM-IV criteria.</w:t>
      </w:r>
    </w:p>
    <w:p w:rsidR="00353A37" w:rsidRPr="00DA33F8" w:rsidRDefault="00353A37" w:rsidP="00353A37">
      <w:pPr>
        <w:pStyle w:val="Heading2"/>
      </w:pPr>
      <w:r>
        <w:t>Major depressive disorder based on adolescent self-report</w:t>
      </w:r>
    </w:p>
    <w:p w:rsidR="00353A37" w:rsidRDefault="00353A37" w:rsidP="00353A37">
      <w:pPr>
        <w:pStyle w:val="ListParagraph"/>
        <w:numPr>
          <w:ilvl w:val="0"/>
          <w:numId w:val="4"/>
        </w:numPr>
      </w:pPr>
      <w:r>
        <w:t>One in thirteen (7.7%) adolescents aged 11</w:t>
      </w:r>
      <w:r>
        <w:noBreakHyphen/>
        <w:t>17 years met the DSM-IV diagnostic criteria for major depressive disorder in the previous 12 months.</w:t>
      </w:r>
    </w:p>
    <w:p w:rsidR="00353A37" w:rsidRDefault="00353A37" w:rsidP="00353A37">
      <w:pPr>
        <w:pStyle w:val="ListParagraph"/>
        <w:numPr>
          <w:ilvl w:val="0"/>
          <w:numId w:val="4"/>
        </w:numPr>
        <w:rPr>
          <w:lang w:eastAsia="en-AU"/>
        </w:rPr>
      </w:pPr>
      <w:r>
        <w:t>Major depressive disorder was more common in females and older adolescents, affecting 7.2% of males and 19.6% of females aged 16</w:t>
      </w:r>
      <w:r>
        <w:noBreakHyphen/>
        <w:t>17 years.</w:t>
      </w:r>
    </w:p>
    <w:p w:rsidR="00353A37" w:rsidRDefault="00353A37" w:rsidP="00353A37">
      <w:pPr>
        <w:pStyle w:val="Heading2"/>
      </w:pPr>
      <w:r>
        <w:t>Differences between youth reports and parent or carer reports of the same mental disorder</w:t>
      </w:r>
    </w:p>
    <w:p w:rsidR="00353A37" w:rsidRDefault="00353A37" w:rsidP="00353A37">
      <w:pPr>
        <w:pStyle w:val="ListParagraph"/>
        <w:numPr>
          <w:ilvl w:val="0"/>
          <w:numId w:val="4"/>
        </w:numPr>
        <w:rPr>
          <w:lang w:eastAsia="en-AU"/>
        </w:rPr>
      </w:pPr>
      <w:r>
        <w:rPr>
          <w:lang w:eastAsia="en-AU"/>
        </w:rPr>
        <w:t>The prevalence of major depressive disorder was far higher when young people provided the information themselves than when their parents and carers did so (7.7% compared with 4.7% of 11-17 year-olds).</w:t>
      </w:r>
    </w:p>
    <w:p w:rsidR="00353A37" w:rsidRPr="00087C68" w:rsidRDefault="00353A37" w:rsidP="00353A37">
      <w:pPr>
        <w:pStyle w:val="ListParagraph"/>
        <w:numPr>
          <w:ilvl w:val="0"/>
          <w:numId w:val="4"/>
        </w:numPr>
        <w:rPr>
          <w:lang w:eastAsia="en-AU"/>
        </w:rPr>
      </w:pPr>
      <w:r>
        <w:rPr>
          <w:lang w:eastAsia="en-AU"/>
        </w:rPr>
        <w:t>There was low agreement on the prevalence of major depressive disorder when comparing adolescent and parent or carer reported information (1.9%)</w:t>
      </w:r>
      <w:r w:rsidRPr="00087C68">
        <w:rPr>
          <w:lang w:eastAsia="en-AU"/>
        </w:rPr>
        <w:t>.</w:t>
      </w:r>
    </w:p>
    <w:p w:rsidR="00353A37" w:rsidRPr="00DA33F8" w:rsidRDefault="00353A37" w:rsidP="00353A37">
      <w:pPr>
        <w:pStyle w:val="Heading2"/>
      </w:pPr>
      <w:r w:rsidRPr="00DA33F8">
        <w:t>Psychological distress</w:t>
      </w:r>
    </w:p>
    <w:p w:rsidR="00353A37" w:rsidRDefault="00353A37" w:rsidP="00353A37">
      <w:pPr>
        <w:pStyle w:val="ListParagraph"/>
        <w:numPr>
          <w:ilvl w:val="0"/>
          <w:numId w:val="4"/>
        </w:numPr>
      </w:pPr>
      <w:r>
        <w:t>One fifth (19.9%) of adolescents had very high or high levels of psychological distress.</w:t>
      </w:r>
    </w:p>
    <w:p w:rsidR="00353A37" w:rsidRDefault="00353A37" w:rsidP="00353A37">
      <w:pPr>
        <w:pStyle w:val="ListParagraph2"/>
      </w:pPr>
      <w:r>
        <w:t>This was almost twice as high for females (25.9% and 14.8% for males).</w:t>
      </w:r>
    </w:p>
    <w:p w:rsidR="00353A37" w:rsidRPr="00AA770F" w:rsidRDefault="00353A37" w:rsidP="00353A37">
      <w:pPr>
        <w:pStyle w:val="ListParagraph2"/>
      </w:pPr>
      <w:r w:rsidRPr="00AA770F">
        <w:t>This was four times higher (80.7%) for those with major depressive disorder based on self-report.</w:t>
      </w:r>
    </w:p>
    <w:p w:rsidR="00353A37" w:rsidRDefault="00353A37" w:rsidP="00353A37">
      <w:pPr>
        <w:pStyle w:val="ExecSummaryCaption"/>
      </w:pPr>
      <w:r>
        <w:br w:type="column"/>
      </w:r>
      <w:r>
        <w:lastRenderedPageBreak/>
        <w:t xml:space="preserve">Figure </w:t>
      </w:r>
      <w:r>
        <w:rPr>
          <w:noProof/>
        </w:rPr>
        <w:t>14</w:t>
      </w:r>
      <w:r>
        <w:t>: Prevalence of major depressive disorder in the past 12 months based on self-reports in 11-17 year-olds</w:t>
      </w:r>
    </w:p>
    <w:p w:rsidR="00353A37" w:rsidRPr="00057529" w:rsidRDefault="00353A37" w:rsidP="00353A37">
      <w:pPr>
        <w:pStyle w:val="FigurePilcrow"/>
      </w:pPr>
      <w:r>
        <w:rPr>
          <w:noProof/>
          <w:lang w:eastAsia="en-AU"/>
        </w:rPr>
        <w:drawing>
          <wp:inline distT="0" distB="0" distL="0" distR="0" wp14:anchorId="3DE0BDF8" wp14:editId="71E4ACC8">
            <wp:extent cx="5401067" cy="2520701"/>
            <wp:effectExtent l="0" t="0" r="0" b="0"/>
            <wp:docPr id="40" name="Picture 40" descr="&#10;In figure 14, the prevalence of major depressive disorder in the past 12 months based on self-reports by 11-17 year-olds was:&#10;&#10;Males 11-15 years: 3.1%&#10;Females 11-15 years: 7.2%&#10;&#10;Males 16-17 years: 8.2%&#10;Females 16-17 years: 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BySexAndAgeWA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ExecSummaryCaption"/>
      </w:pPr>
      <w:r>
        <w:t xml:space="preserve">Figure </w:t>
      </w:r>
      <w:r>
        <w:rPr>
          <w:noProof/>
        </w:rPr>
        <w:t>15</w:t>
      </w:r>
      <w:r>
        <w:t>: Prevalence of major depressive disorder in the past 12 months in 11-17 year-olds based on self-report and/or parent/carer reports</w:t>
      </w:r>
    </w:p>
    <w:p w:rsidR="00353A37" w:rsidRPr="00422384" w:rsidRDefault="00353A37" w:rsidP="00353A37">
      <w:pPr>
        <w:pStyle w:val="FigurePilcrow"/>
      </w:pPr>
      <w:r>
        <w:rPr>
          <w:noProof/>
          <w:lang w:eastAsia="en-AU"/>
        </w:rPr>
        <w:drawing>
          <wp:inline distT="0" distB="0" distL="0" distR="0" wp14:anchorId="6CC55EC1" wp14:editId="6AD0F3BE">
            <wp:extent cx="2746254" cy="1901956"/>
            <wp:effectExtent l="0" t="0" r="0" b="3175"/>
            <wp:docPr id="41" name="Picture 41" descr="In figure 15, the prevalence of major depressive disorder in the past 12 months in 11-17 year-olds based on self-reports and/or parent/carer reports was:&#10;&#10;Adolescent self-report only: 5.8%&#10;Parent or carer report only: 2.8%&#10;Both adolescent self-report and parent or carer report: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DiagramYouthParentMDDWA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6254" cy="1901956"/>
                    </a:xfrm>
                    <a:prstGeom prst="rect">
                      <a:avLst/>
                    </a:prstGeom>
                  </pic:spPr>
                </pic:pic>
              </a:graphicData>
            </a:graphic>
          </wp:inline>
        </w:drawing>
      </w:r>
    </w:p>
    <w:p w:rsidR="00353A37" w:rsidRDefault="00353A37" w:rsidP="00353A37">
      <w:pPr>
        <w:pStyle w:val="ExecSummaryCaption"/>
      </w:pPr>
      <w:r>
        <w:t xml:space="preserve">Figure </w:t>
      </w:r>
      <w:r>
        <w:rPr>
          <w:noProof/>
        </w:rPr>
        <w:t>16</w:t>
      </w:r>
      <w:r>
        <w:t>: Psychological distress levels in 11-17 year-olds</w:t>
      </w:r>
    </w:p>
    <w:p w:rsidR="00353A37" w:rsidRPr="00057529" w:rsidRDefault="00353A37" w:rsidP="00353A37">
      <w:pPr>
        <w:pStyle w:val="FigurePilcrow"/>
      </w:pPr>
      <w:r>
        <w:rPr>
          <w:noProof/>
          <w:lang w:eastAsia="en-AU"/>
        </w:rPr>
        <w:drawing>
          <wp:inline distT="0" distB="0" distL="0" distR="0" wp14:anchorId="6D23B3EF" wp14:editId="0DBAD808">
            <wp:extent cx="5401067" cy="2520701"/>
            <wp:effectExtent l="0" t="0" r="0" b="0"/>
            <wp:docPr id="42" name="Picture 42" descr="In figure 16, the proportion of 11-17 year olds by level of psychological distress was:&#10;&#10;Low: 50.9%&#10;Moderate: 29.1%&#10;High: 13.3%&#10;Very high: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K10WA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FigurePilcrow"/>
        <w:sectPr w:rsidR="00353A37" w:rsidSect="003330E0">
          <w:pgSz w:w="11906" w:h="16838" w:code="9"/>
          <w:pgMar w:top="1440" w:right="1440" w:bottom="1440" w:left="1440" w:header="567" w:footer="567" w:gutter="0"/>
          <w:cols w:space="398"/>
          <w:docGrid w:linePitch="360"/>
        </w:sectPr>
      </w:pPr>
    </w:p>
    <w:p w:rsidR="00353A37" w:rsidRDefault="00353A37" w:rsidP="00353A37">
      <w:pPr>
        <w:pStyle w:val="Heading1"/>
      </w:pPr>
      <w:r>
        <w:lastRenderedPageBreak/>
        <w:t xml:space="preserve">What adolescents </w:t>
      </w:r>
      <w:r w:rsidRPr="0044378C">
        <w:t>told us</w:t>
      </w:r>
      <w:r w:rsidR="00711229">
        <w:t xml:space="preserve"> </w:t>
      </w:r>
      <w:r w:rsidR="00261615">
        <w:t>a</w:t>
      </w:r>
      <w:r w:rsidRPr="0044378C">
        <w:t>bout services they used, other sources of support and what else they did to help themselves</w:t>
      </w:r>
    </w:p>
    <w:p w:rsidR="00353A37" w:rsidRDefault="00353A37" w:rsidP="00353A37">
      <w:pPr>
        <w:pStyle w:val="BodyText"/>
      </w:pPr>
      <w:r w:rsidRPr="00096D28">
        <w:rPr>
          <w:rStyle w:val="Emphasis"/>
        </w:rPr>
        <w:t>Young people aged 13 years and older were asked to provide information on the health, school and telephone counselling services that they used, as well as if they had used the internet to help them with emotional and behavioural problems. They also provided their perspective on whether their needs for help were met, as well as barriers to seeking help</w:t>
      </w:r>
      <w:r>
        <w:t>.</w:t>
      </w:r>
    </w:p>
    <w:p w:rsidR="00353A37" w:rsidRDefault="00353A37" w:rsidP="00353A37">
      <w:pPr>
        <w:pStyle w:val="Heading2"/>
      </w:pPr>
      <w:r>
        <w:t>Services and support</w:t>
      </w:r>
    </w:p>
    <w:p w:rsidR="00353A37" w:rsidRDefault="00353A37" w:rsidP="00353A37">
      <w:pPr>
        <w:pStyle w:val="ListParagraph"/>
        <w:numPr>
          <w:ilvl w:val="0"/>
          <w:numId w:val="4"/>
        </w:numPr>
        <w:rPr>
          <w:lang w:eastAsia="en-AU"/>
        </w:rPr>
      </w:pPr>
      <w:r>
        <w:rPr>
          <w:lang w:eastAsia="en-AU"/>
        </w:rPr>
        <w:t>In addition to receiving health and school services, young people used a variety of other sources of support for their emotional and behavioural problems.</w:t>
      </w:r>
    </w:p>
    <w:p w:rsidR="00353A37" w:rsidRPr="0044378C" w:rsidRDefault="00353A37" w:rsidP="00353A37">
      <w:pPr>
        <w:pStyle w:val="ListParagraph"/>
        <w:numPr>
          <w:ilvl w:val="0"/>
          <w:numId w:val="4"/>
        </w:numPr>
        <w:rPr>
          <w:lang w:eastAsia="en-AU"/>
        </w:rPr>
      </w:pPr>
      <w:r w:rsidRPr="0044378C">
        <w:rPr>
          <w:lang w:eastAsia="en-AU"/>
        </w:rPr>
        <w:t>Of all young people aged 13-17 years 3.6% reported using telephone counselling</w:t>
      </w:r>
      <w:r w:rsidR="00982311">
        <w:rPr>
          <w:lang w:eastAsia="en-AU"/>
        </w:rPr>
        <w:t>.</w:t>
      </w:r>
    </w:p>
    <w:p w:rsidR="00353A37" w:rsidRDefault="00353A37" w:rsidP="00353A37">
      <w:pPr>
        <w:pStyle w:val="ListParagraph"/>
        <w:numPr>
          <w:ilvl w:val="0"/>
          <w:numId w:val="4"/>
        </w:numPr>
        <w:rPr>
          <w:lang w:eastAsia="en-AU"/>
        </w:rPr>
      </w:pPr>
      <w:r>
        <w:rPr>
          <w:lang w:eastAsia="en-AU"/>
        </w:rPr>
        <w:t>Just over a fifth (22.2%) of 13-17 year</w:t>
      </w:r>
      <w:r>
        <w:rPr>
          <w:lang w:eastAsia="en-AU"/>
        </w:rPr>
        <w:noBreakHyphen/>
        <w:t>olds had used internet services.</w:t>
      </w:r>
    </w:p>
    <w:p w:rsidR="00353A37" w:rsidRDefault="00353A37" w:rsidP="00353A37">
      <w:pPr>
        <w:pStyle w:val="ListParagraph2"/>
      </w:pPr>
      <w:r>
        <w:t>10.0% used online assessment tools.</w:t>
      </w:r>
    </w:p>
    <w:p w:rsidR="00353A37" w:rsidRDefault="00353A37" w:rsidP="00353A37">
      <w:pPr>
        <w:pStyle w:val="ListParagraph2"/>
      </w:pPr>
      <w:r>
        <w:t>4.4% used online self-help.</w:t>
      </w:r>
    </w:p>
    <w:p w:rsidR="00353A37" w:rsidRDefault="00353A37" w:rsidP="00353A37">
      <w:pPr>
        <w:pStyle w:val="ListParagraph2"/>
      </w:pPr>
      <w:r>
        <w:t>3.1% participated in a chat room or online support group.</w:t>
      </w:r>
    </w:p>
    <w:p w:rsidR="00353A37" w:rsidRDefault="00353A37" w:rsidP="00353A37">
      <w:pPr>
        <w:pStyle w:val="ListParagraph2"/>
      </w:pPr>
      <w:r>
        <w:t>1.7% received online personal support or counselling.</w:t>
      </w:r>
    </w:p>
    <w:p w:rsidR="00353A37" w:rsidRDefault="00353A37" w:rsidP="00353A37">
      <w:pPr>
        <w:pStyle w:val="ListParagraph"/>
        <w:numPr>
          <w:ilvl w:val="0"/>
          <w:numId w:val="4"/>
        </w:numPr>
        <w:rPr>
          <w:lang w:eastAsia="en-AU"/>
        </w:rPr>
      </w:pPr>
      <w:r>
        <w:rPr>
          <w:lang w:eastAsia="en-AU"/>
        </w:rPr>
        <w:t>Three fifths (62.9%) of adolescents reported receiving informal help or support for emotional and behavioural problems, most often from parents and friends. The proportion was much higher at 93.9% for adolescents with major depressive disorder based on self-report.</w:t>
      </w:r>
    </w:p>
    <w:p w:rsidR="00353A37" w:rsidRPr="00FA0534" w:rsidRDefault="00353A37" w:rsidP="00353A37">
      <w:pPr>
        <w:pStyle w:val="Heading2"/>
      </w:pPr>
      <w:r w:rsidRPr="00FA0534">
        <w:t>Behaviours to assist with mental health</w:t>
      </w:r>
    </w:p>
    <w:p w:rsidR="00353A37" w:rsidRPr="00AB45BB" w:rsidRDefault="00353A37" w:rsidP="00353A37">
      <w:pPr>
        <w:pStyle w:val="ListParagraph"/>
        <w:numPr>
          <w:ilvl w:val="0"/>
          <w:numId w:val="4"/>
        </w:numPr>
        <w:rPr>
          <w:lang w:eastAsia="en-AU"/>
        </w:rPr>
      </w:pPr>
      <w:r>
        <w:t xml:space="preserve">Two thirds (66.4%) of </w:t>
      </w:r>
      <w:r w:rsidRPr="00DF45A5">
        <w:rPr>
          <w:lang w:eastAsia="en-AU"/>
        </w:rPr>
        <w:t>adolescents reported other strategies to help them manage any emotional or behavioural problems that they may have had or to avoid having problems</w:t>
      </w:r>
      <w:r>
        <w:rPr>
          <w:lang w:eastAsia="en-AU"/>
        </w:rPr>
        <w:t>.</w:t>
      </w:r>
    </w:p>
    <w:p w:rsidR="00353A37" w:rsidRPr="00DF45A5" w:rsidRDefault="00353A37" w:rsidP="00353A37">
      <w:pPr>
        <w:pStyle w:val="ListParagraph"/>
        <w:numPr>
          <w:ilvl w:val="0"/>
          <w:numId w:val="4"/>
        </w:numPr>
        <w:rPr>
          <w:lang w:eastAsia="en-AU"/>
        </w:rPr>
      </w:pPr>
      <w:r w:rsidRPr="00AB2D51">
        <w:rPr>
          <w:lang w:eastAsia="en-AU"/>
        </w:rPr>
        <w:t>More often they did positive things, such as doing more exercise or taking up a sport (37.9%), doing more activities they enjoyed (45.1%), seeking support from friends (24.4%) and improving their diet (23.2%).</w:t>
      </w:r>
    </w:p>
    <w:p w:rsidR="00353A37" w:rsidRDefault="00353A37" w:rsidP="00353A37">
      <w:pPr>
        <w:pStyle w:val="ListParagraph"/>
        <w:numPr>
          <w:ilvl w:val="0"/>
          <w:numId w:val="4"/>
        </w:numPr>
        <w:rPr>
          <w:lang w:eastAsia="en-AU"/>
        </w:rPr>
      </w:pPr>
      <w:r w:rsidRPr="008F481D">
        <w:rPr>
          <w:lang w:eastAsia="en-AU"/>
        </w:rPr>
        <w:t xml:space="preserve">Just under one in 12 (7.9%) </w:t>
      </w:r>
      <w:r>
        <w:rPr>
          <w:lang w:eastAsia="en-AU"/>
        </w:rPr>
        <w:t>reported s</w:t>
      </w:r>
      <w:r w:rsidRPr="0041026D">
        <w:rPr>
          <w:lang w:eastAsia="en-AU"/>
        </w:rPr>
        <w:t>mok</w:t>
      </w:r>
      <w:r>
        <w:rPr>
          <w:lang w:eastAsia="en-AU"/>
        </w:rPr>
        <w:t>ing</w:t>
      </w:r>
      <w:r w:rsidRPr="0041026D">
        <w:rPr>
          <w:lang w:eastAsia="en-AU"/>
        </w:rPr>
        <w:t xml:space="preserve"> cigarettes, or us</w:t>
      </w:r>
      <w:r>
        <w:rPr>
          <w:lang w:eastAsia="en-AU"/>
        </w:rPr>
        <w:t>ing</w:t>
      </w:r>
      <w:r w:rsidRPr="0041026D">
        <w:rPr>
          <w:lang w:eastAsia="en-AU"/>
        </w:rPr>
        <w:t xml:space="preserve"> alcohol or drugs</w:t>
      </w:r>
      <w:r>
        <w:rPr>
          <w:lang w:eastAsia="en-AU"/>
        </w:rPr>
        <w:t xml:space="preserve"> to help. The proportion was much higher at 31.5% for adolescents with major depressive disorder based on self-report.</w:t>
      </w:r>
    </w:p>
    <w:p w:rsidR="00353A37" w:rsidRDefault="00353A37" w:rsidP="00353A37">
      <w:pPr>
        <w:pStyle w:val="Heading2"/>
      </w:pPr>
      <w:r w:rsidRPr="006569D0">
        <w:t>Perceived need for help</w:t>
      </w:r>
    </w:p>
    <w:p w:rsidR="00353A37" w:rsidRDefault="00353A37" w:rsidP="00353A37">
      <w:pPr>
        <w:pStyle w:val="ListParagraph"/>
        <w:numPr>
          <w:ilvl w:val="0"/>
          <w:numId w:val="4"/>
        </w:numPr>
        <w:rPr>
          <w:lang w:eastAsia="en-AU"/>
        </w:rPr>
      </w:pPr>
      <w:r>
        <w:rPr>
          <w:lang w:eastAsia="en-AU"/>
        </w:rPr>
        <w:t>Four fifths (82.4%) of 13-17 year-olds reported needing some type of help for emotional and behavioural problems in the previous 12 months. Of these, three quarters (76.8%) had their needs fully or partially met.</w:t>
      </w:r>
    </w:p>
    <w:p w:rsidR="00353A37" w:rsidRDefault="00353A37" w:rsidP="00353A37">
      <w:pPr>
        <w:pStyle w:val="ListParagraph"/>
        <w:numPr>
          <w:ilvl w:val="0"/>
          <w:numId w:val="4"/>
        </w:numPr>
        <w:rPr>
          <w:lang w:eastAsia="en-AU"/>
        </w:rPr>
      </w:pPr>
      <w:r>
        <w:rPr>
          <w:lang w:eastAsia="en-AU"/>
        </w:rPr>
        <w:t>The proportions needing help and whose needs were met were far higher for those with more severe disorders, with 90.6% of 13</w:t>
      </w:r>
      <w:r>
        <w:rPr>
          <w:lang w:eastAsia="en-AU"/>
        </w:rPr>
        <w:noBreakHyphen/>
        <w:t>17 year-olds with major depressive disorder based on self-</w:t>
      </w:r>
      <w:r>
        <w:rPr>
          <w:lang w:eastAsia="en-AU"/>
        </w:rPr>
        <w:lastRenderedPageBreak/>
        <w:t xml:space="preserve">report indicating they had needed </w:t>
      </w:r>
      <w:r w:rsidRPr="00AB7B62">
        <w:rPr>
          <w:lang w:eastAsia="en-AU"/>
        </w:rPr>
        <w:t>help and 88.0% that</w:t>
      </w:r>
      <w:r>
        <w:rPr>
          <w:lang w:eastAsia="en-AU"/>
        </w:rPr>
        <w:t xml:space="preserve"> these needs were met in the previous 12 months.</w:t>
      </w:r>
    </w:p>
    <w:p w:rsidR="00353A37" w:rsidRDefault="00353A37" w:rsidP="00353A37">
      <w:pPr>
        <w:pStyle w:val="Heading2"/>
      </w:pPr>
      <w:r>
        <w:t>Barriers to seeking help or receiving more help</w:t>
      </w:r>
    </w:p>
    <w:p w:rsidR="00353A37" w:rsidRDefault="00353A37" w:rsidP="00353A37">
      <w:pPr>
        <w:pStyle w:val="ListParagraph"/>
        <w:numPr>
          <w:ilvl w:val="0"/>
          <w:numId w:val="4"/>
        </w:numPr>
        <w:rPr>
          <w:lang w:eastAsia="en-AU"/>
        </w:rPr>
      </w:pPr>
      <w:r>
        <w:rPr>
          <w:lang w:eastAsia="en-AU"/>
        </w:rPr>
        <w:t xml:space="preserve">The most common reasons </w:t>
      </w:r>
      <w:r w:rsidRPr="0044378C">
        <w:rPr>
          <w:lang w:eastAsia="en-AU"/>
        </w:rPr>
        <w:t>for not seeking help or receiving more help</w:t>
      </w:r>
      <w:r>
        <w:rPr>
          <w:lang w:eastAsia="en-AU"/>
        </w:rPr>
        <w:t xml:space="preserve"> given by 13-17 year-old </w:t>
      </w:r>
      <w:r w:rsidRPr="0044378C">
        <w:rPr>
          <w:lang w:eastAsia="en-AU"/>
        </w:rPr>
        <w:t>adolescents with major depressive disorder based on self</w:t>
      </w:r>
      <w:r w:rsidRPr="0044378C">
        <w:rPr>
          <w:lang w:eastAsia="en-AU"/>
        </w:rPr>
        <w:noBreakHyphen/>
        <w:t xml:space="preserve">report </w:t>
      </w:r>
      <w:r>
        <w:rPr>
          <w:lang w:eastAsia="en-AU"/>
        </w:rPr>
        <w:t>were related to stigma or poor mental health literacy.</w:t>
      </w:r>
    </w:p>
    <w:p w:rsidR="00353A37" w:rsidRDefault="00353A37" w:rsidP="00353A37">
      <w:pPr>
        <w:pStyle w:val="ListParagraph2"/>
      </w:pPr>
      <w:r>
        <w:t>62.9% worried what other people might think or not want to talk to a stranger.</w:t>
      </w:r>
    </w:p>
    <w:p w:rsidR="00353A37" w:rsidRDefault="00353A37" w:rsidP="00353A37">
      <w:pPr>
        <w:pStyle w:val="ListParagraph2"/>
      </w:pPr>
      <w:r>
        <w:t>61.7% thought the problem would get better by itself.</w:t>
      </w:r>
    </w:p>
    <w:p w:rsidR="00353A37" w:rsidRDefault="00353A37" w:rsidP="00353A37">
      <w:pPr>
        <w:pStyle w:val="ListParagraph2"/>
      </w:pPr>
      <w:r>
        <w:t>57.1% wanted to work out the problem on their own or with help from family or friends.</w:t>
      </w:r>
    </w:p>
    <w:p w:rsidR="00353A37" w:rsidRDefault="00353A37" w:rsidP="00353A37">
      <w:pPr>
        <w:pStyle w:val="Heading1"/>
        <w:sectPr w:rsidR="00353A37" w:rsidSect="003330E0">
          <w:type w:val="continuous"/>
          <w:pgSz w:w="11906" w:h="16838" w:code="9"/>
          <w:pgMar w:top="1440" w:right="1440" w:bottom="1440" w:left="1440" w:header="567" w:footer="567" w:gutter="0"/>
          <w:cols w:space="398"/>
          <w:docGrid w:linePitch="360"/>
        </w:sectPr>
      </w:pPr>
    </w:p>
    <w:p w:rsidR="00353A37" w:rsidRDefault="00261615" w:rsidP="00353A37">
      <w:pPr>
        <w:pStyle w:val="Heading1"/>
      </w:pPr>
      <w:r>
        <w:lastRenderedPageBreak/>
        <w:t>What adolescents told us about s</w:t>
      </w:r>
      <w:r w:rsidR="00353A37">
        <w:t>elf-harm</w:t>
      </w:r>
    </w:p>
    <w:p w:rsidR="00353A37" w:rsidRDefault="00353A37" w:rsidP="00353A37">
      <w:pPr>
        <w:pStyle w:val="BodyText"/>
        <w:rPr>
          <w:rStyle w:val="Emphasis"/>
        </w:rPr>
      </w:pPr>
      <w:r w:rsidRPr="00035860">
        <w:rPr>
          <w:rStyle w:val="Emphasis"/>
        </w:rPr>
        <w:t>The term self-harm refers to deliberately hurting or injuring yourself without trying to end your life. It is often done secretively.</w:t>
      </w:r>
    </w:p>
    <w:p w:rsidR="00353A37" w:rsidRDefault="00353A37" w:rsidP="00353A37">
      <w:pPr>
        <w:pStyle w:val="ListParagraph"/>
        <w:numPr>
          <w:ilvl w:val="0"/>
          <w:numId w:val="4"/>
        </w:numPr>
      </w:pPr>
      <w:r>
        <w:t xml:space="preserve">Around one in 10 </w:t>
      </w:r>
      <w:r w:rsidR="00982311">
        <w:t>12-17 year-olds</w:t>
      </w:r>
      <w:r>
        <w:t xml:space="preserve"> (10.9%) reported having ever self-harmed.</w:t>
      </w:r>
    </w:p>
    <w:p w:rsidR="00353A37" w:rsidRDefault="00353A37" w:rsidP="00353A37">
      <w:pPr>
        <w:pStyle w:val="ListParagraph2"/>
      </w:pPr>
      <w:r>
        <w:t xml:space="preserve">This is equivalent </w:t>
      </w:r>
      <w:r w:rsidR="00982311">
        <w:t>to 186,000 young people aged 12-</w:t>
      </w:r>
      <w:r>
        <w:t>17 years who had deliberately injured themselves.</w:t>
      </w:r>
    </w:p>
    <w:p w:rsidR="00353A37" w:rsidRDefault="00353A37" w:rsidP="00353A37">
      <w:pPr>
        <w:pStyle w:val="ListParagraph2"/>
      </w:pPr>
      <w:r>
        <w:t xml:space="preserve">About three quarters </w:t>
      </w:r>
      <w:r w:rsidRPr="00FA0125">
        <w:t>(</w:t>
      </w:r>
      <w:r>
        <w:t>73.5</w:t>
      </w:r>
      <w:r w:rsidRPr="00FA0125">
        <w:t>%)</w:t>
      </w:r>
      <w:r>
        <w:t xml:space="preserve"> of these adolescents had harmed themselves in the previous 12 months.</w:t>
      </w:r>
    </w:p>
    <w:p w:rsidR="00353A37" w:rsidRPr="00427F14" w:rsidRDefault="00353A37" w:rsidP="00353A37">
      <w:pPr>
        <w:pStyle w:val="ListParagraph"/>
        <w:numPr>
          <w:ilvl w:val="0"/>
          <w:numId w:val="4"/>
        </w:numPr>
      </w:pPr>
      <w:r w:rsidRPr="00427F14">
        <w:t>Self-harm was roughly twice as high in females compared with males and also in older compared with younger adolescents.</w:t>
      </w:r>
    </w:p>
    <w:p w:rsidR="00353A37" w:rsidRDefault="00353A37" w:rsidP="00353A37">
      <w:pPr>
        <w:pStyle w:val="ListParagraph"/>
        <w:numPr>
          <w:ilvl w:val="0"/>
          <w:numId w:val="4"/>
        </w:numPr>
      </w:pPr>
      <w:r>
        <w:t>Females aged 16-17 years had the highest rates of self-harm, with 16.8% having harmed themselves in the previous 12 months.</w:t>
      </w:r>
    </w:p>
    <w:p w:rsidR="00353A37" w:rsidRDefault="00353A37" w:rsidP="00353A37">
      <w:pPr>
        <w:pStyle w:val="ListParagraph"/>
        <w:numPr>
          <w:ilvl w:val="0"/>
          <w:numId w:val="4"/>
        </w:numPr>
      </w:pPr>
      <w:r>
        <w:t>Self-harm was markedly higher in young people with major depressive disorder. One quarter (25.8%) of males and just over half (54.9%) of females with major depressive disorder (based on self-report) had harmed themselves in the previous 12 months.</w:t>
      </w:r>
    </w:p>
    <w:p w:rsidR="00353A37" w:rsidRPr="009001C9" w:rsidRDefault="00353A37" w:rsidP="00353A37">
      <w:pPr>
        <w:pStyle w:val="ListParagraph"/>
        <w:numPr>
          <w:ilvl w:val="0"/>
          <w:numId w:val="4"/>
        </w:numPr>
      </w:pPr>
      <w:r w:rsidRPr="009001C9">
        <w:t>Self-harm can result in serious injuries and 0.8% of young people had been admitted to hospital as a direct result of these injuries.</w:t>
      </w:r>
    </w:p>
    <w:p w:rsidR="00353A37" w:rsidRDefault="00353A37" w:rsidP="00353A37">
      <w:pPr>
        <w:pStyle w:val="ExecSummaryCaption"/>
        <w:spacing w:before="0"/>
        <w:sectPr w:rsidR="00353A37" w:rsidSect="003330E0">
          <w:pgSz w:w="11906" w:h="16838" w:code="9"/>
          <w:pgMar w:top="1440" w:right="1440" w:bottom="1440" w:left="1440" w:header="567" w:footer="567" w:gutter="0"/>
          <w:cols w:space="398"/>
          <w:docGrid w:linePitch="360"/>
        </w:sectPr>
      </w:pPr>
    </w:p>
    <w:p w:rsidR="00353A37" w:rsidRDefault="00353A37" w:rsidP="00353A37">
      <w:pPr>
        <w:pStyle w:val="FigurePilcrow"/>
      </w:pPr>
      <w:r>
        <w:lastRenderedPageBreak/>
        <w:t xml:space="preserve">Figure </w:t>
      </w:r>
      <w:r>
        <w:rPr>
          <w:noProof/>
        </w:rPr>
        <w:t>17</w:t>
      </w:r>
      <w:r>
        <w:t xml:space="preserve">: Self harm in the past 12 months </w:t>
      </w:r>
      <w:r w:rsidR="0054079B">
        <w:t xml:space="preserve">in 12-17 year-olds </w:t>
      </w:r>
      <w:r>
        <w:t>by sex and age group</w:t>
      </w:r>
    </w:p>
    <w:p w:rsidR="00353A37" w:rsidRDefault="0054079B" w:rsidP="00353A37">
      <w:pPr>
        <w:pStyle w:val="FigurePilcrow"/>
      </w:pPr>
      <w:r>
        <w:rPr>
          <w:noProof/>
          <w:lang w:eastAsia="en-AU"/>
        </w:rPr>
        <w:drawing>
          <wp:inline distT="0" distB="0" distL="0" distR="0" wp14:anchorId="53FE564A" wp14:editId="5F41353D">
            <wp:extent cx="5401067" cy="2520701"/>
            <wp:effectExtent l="0" t="0" r="0" b="0"/>
            <wp:docPr id="7" name="Picture 7" descr="In figure 17, the proportion of young people who have self-harmed in the past 12 months was:&#10;&#10;Males 12-15 years: 3.0%&#10;Females 12-15 years: 9.8%&#10;&#10;Males 16-17 years: 6.2%&#10;Females 16-17 years: 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HarmBySexAndAgeWA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FigurePilcrow"/>
      </w:pPr>
    </w:p>
    <w:p w:rsidR="00353A37" w:rsidRDefault="00353A37" w:rsidP="00353A37">
      <w:pPr>
        <w:pStyle w:val="ExecSummaryCaption"/>
        <w:pageBreakBefore/>
      </w:pPr>
      <w:r>
        <w:lastRenderedPageBreak/>
        <w:t xml:space="preserve">Figure </w:t>
      </w:r>
      <w:r>
        <w:rPr>
          <w:noProof/>
        </w:rPr>
        <w:t>18</w:t>
      </w:r>
      <w:r>
        <w:t>: Self-harm in the past 12 months in 1</w:t>
      </w:r>
      <w:r w:rsidR="0054079B">
        <w:t>2</w:t>
      </w:r>
      <w:r>
        <w:t>-17 year-olds with major depressive disorder based on self-report and for all adolescents by sex</w:t>
      </w:r>
    </w:p>
    <w:p w:rsidR="00353A37" w:rsidRDefault="00353A37" w:rsidP="00353A37">
      <w:pPr>
        <w:pStyle w:val="FigurePilcrow"/>
      </w:pPr>
      <w:r>
        <w:rPr>
          <w:noProof/>
          <w:lang w:eastAsia="en-AU"/>
        </w:rPr>
        <w:drawing>
          <wp:inline distT="0" distB="0" distL="0" distR="0" wp14:anchorId="63A455A0" wp14:editId="3275CD9E">
            <wp:extent cx="5401067" cy="2520701"/>
            <wp:effectExtent l="0" t="0" r="0" b="0"/>
            <wp:docPr id="44" name="Picture 44" descr="In figure 18, the proportion of young people with major depressive disorder based on adolescent self-report who self-harmed in the past 12 months was:&#10;&#10;Males: 25.8%&#10;Females: 54.9%.&#10;&#10;The proportion of all young people who self-harmed in the past 12 months was:&#10;&#10;Males: 4.0%&#10;Females: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HarmDepressionBWA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FigurePilcrow"/>
      </w:pPr>
    </w:p>
    <w:p w:rsidR="00353A37" w:rsidRDefault="00353A37" w:rsidP="00353A37">
      <w:pPr>
        <w:pStyle w:val="Heading1"/>
        <w:sectPr w:rsidR="00353A37" w:rsidSect="003330E0">
          <w:type w:val="continuous"/>
          <w:pgSz w:w="11906" w:h="16838" w:code="9"/>
          <w:pgMar w:top="1440" w:right="1440" w:bottom="1440" w:left="1440" w:header="567" w:footer="567" w:gutter="0"/>
          <w:cols w:space="398"/>
          <w:docGrid w:linePitch="360"/>
        </w:sectPr>
      </w:pPr>
    </w:p>
    <w:p w:rsidR="00353A37" w:rsidRDefault="00353A37" w:rsidP="00353A37">
      <w:pPr>
        <w:pStyle w:val="Heading1"/>
      </w:pPr>
      <w:r>
        <w:lastRenderedPageBreak/>
        <w:t>What adolescents told us about suicidal behaviours</w:t>
      </w:r>
    </w:p>
    <w:p w:rsidR="00353A37" w:rsidRDefault="00353A37" w:rsidP="00353A37">
      <w:pPr>
        <w:pStyle w:val="BodyText"/>
        <w:rPr>
          <w:rStyle w:val="Emphasis"/>
        </w:rPr>
      </w:pPr>
      <w:r w:rsidRPr="00F579A0">
        <w:rPr>
          <w:rStyle w:val="Emphasis"/>
        </w:rPr>
        <w:t>Suicidal behaviours include suicidal ideation (serious thoughts about taking one’s own life), suicide plans and suicide attempts. These differ from self-harm in that the self-injury is intended to end in death.</w:t>
      </w:r>
    </w:p>
    <w:p w:rsidR="00353A37" w:rsidRPr="00D60943" w:rsidRDefault="00353A37" w:rsidP="00353A37">
      <w:pPr>
        <w:pStyle w:val="ListParagraph"/>
        <w:numPr>
          <w:ilvl w:val="0"/>
          <w:numId w:val="4"/>
        </w:numPr>
      </w:pPr>
      <w:r>
        <w:t xml:space="preserve">About one in thirteen (7.5%) </w:t>
      </w:r>
      <w:r w:rsidRPr="00D60943">
        <w:t>12-17 year</w:t>
      </w:r>
      <w:r w:rsidR="007B272E">
        <w:t>-old</w:t>
      </w:r>
      <w:r w:rsidRPr="00D60943">
        <w:t>s had seriously considered attempting suicide in the previous 12 months.</w:t>
      </w:r>
      <w:r>
        <w:t xml:space="preserve"> This is equivalent to a</w:t>
      </w:r>
      <w:r w:rsidRPr="00D60943">
        <w:t>round 12</w:t>
      </w:r>
      <w:r>
        <w:t>8</w:t>
      </w:r>
      <w:r w:rsidRPr="00D60943">
        <w:t xml:space="preserve">,000 young people aged 12-17 </w:t>
      </w:r>
      <w:r>
        <w:t>years</w:t>
      </w:r>
    </w:p>
    <w:p w:rsidR="00353A37" w:rsidRDefault="00353A37" w:rsidP="00353A37">
      <w:pPr>
        <w:pStyle w:val="ListParagraph"/>
        <w:numPr>
          <w:ilvl w:val="0"/>
          <w:numId w:val="4"/>
        </w:numPr>
      </w:pPr>
      <w:r w:rsidRPr="00EC7C87">
        <w:t>One in twenty (5.2%) had made a plan.</w:t>
      </w:r>
    </w:p>
    <w:p w:rsidR="00353A37" w:rsidRPr="00EC7C87" w:rsidRDefault="00353A37" w:rsidP="00353A37">
      <w:pPr>
        <w:pStyle w:val="ListParagraph"/>
        <w:numPr>
          <w:ilvl w:val="0"/>
          <w:numId w:val="4"/>
        </w:numPr>
      </w:pPr>
      <w:r>
        <w:t>One in forty (2.4%) or around 41,000 12</w:t>
      </w:r>
      <w:r>
        <w:noBreakHyphen/>
        <w:t>17 year</w:t>
      </w:r>
      <w:r>
        <w:noBreakHyphen/>
        <w:t>olds reported having attempted suicide in the previous 12 months. One quarter or 0.6%</w:t>
      </w:r>
      <w:r w:rsidRPr="00EC7C87">
        <w:t xml:space="preserve"> received medical treatment as a result of their injuries.</w:t>
      </w:r>
    </w:p>
    <w:p w:rsidR="00353A37" w:rsidRDefault="00353A37" w:rsidP="00353A37">
      <w:pPr>
        <w:pStyle w:val="ListParagraph"/>
        <w:numPr>
          <w:ilvl w:val="0"/>
          <w:numId w:val="4"/>
        </w:numPr>
      </w:pPr>
      <w:r>
        <w:rPr>
          <w:lang w:eastAsia="en-AU"/>
        </w:rPr>
        <w:t>Suicidal behaviours were more common in females than males and in 16-17 year-olds compared with younger adolescents</w:t>
      </w:r>
      <w:r>
        <w:t>.</w:t>
      </w:r>
    </w:p>
    <w:p w:rsidR="00353A37" w:rsidRDefault="00353A37" w:rsidP="00353A37">
      <w:pPr>
        <w:pStyle w:val="ListParagraph"/>
        <w:numPr>
          <w:ilvl w:val="0"/>
          <w:numId w:val="4"/>
        </w:numPr>
      </w:pPr>
      <w:r>
        <w:t xml:space="preserve"> Around one in seven (15.4%) females aged 16-17 years had seriously considered attempting suicide and one in twenty (4.7%) had attempted suicide in the previous 12 months.</w:t>
      </w:r>
    </w:p>
    <w:p w:rsidR="00353A37" w:rsidRDefault="00353A37" w:rsidP="00353A37">
      <w:pPr>
        <w:pStyle w:val="ListParagraph"/>
        <w:numPr>
          <w:ilvl w:val="0"/>
          <w:numId w:val="4"/>
        </w:numPr>
        <w:rPr>
          <w:lang w:eastAsia="en-AU"/>
        </w:rPr>
      </w:pPr>
      <w:r>
        <w:rPr>
          <w:lang w:eastAsia="en-AU"/>
        </w:rPr>
        <w:t>The rates of all suicidal behaviours were markedly higher in young people with major depressive disorder. These were even higher for young females with major depressive disorder.</w:t>
      </w:r>
    </w:p>
    <w:p w:rsidR="00353A37" w:rsidRDefault="00353A37" w:rsidP="00353A37">
      <w:pPr>
        <w:pStyle w:val="ListParagraph2"/>
      </w:pPr>
      <w:r>
        <w:t>Approximately half (56.4%) of females aged 12</w:t>
      </w:r>
      <w:r>
        <w:noBreakHyphen/>
        <w:t>17 years with major depressive disorder (based on self-report) had seriously considered suicide and just over a fifth (22.1%) had attempted suicide in the previous 12 months.</w:t>
      </w:r>
    </w:p>
    <w:p w:rsidR="00353A37" w:rsidRDefault="00353A37" w:rsidP="00353A37">
      <w:pPr>
        <w:pStyle w:val="ListParagraph2"/>
      </w:pPr>
      <w:r>
        <w:t>13.8% of males aged 12-17 years with major depressive disorder (based on self-report) had attempted suicide in the previous 12 months.</w:t>
      </w:r>
    </w:p>
    <w:p w:rsidR="00353A37" w:rsidRDefault="00353A37" w:rsidP="00353A37">
      <w:pPr>
        <w:pStyle w:val="ExecSummaryCaption"/>
        <w:spacing w:before="60"/>
        <w:sectPr w:rsidR="00353A37" w:rsidSect="003330E0">
          <w:pgSz w:w="11906" w:h="16838" w:code="9"/>
          <w:pgMar w:top="1440" w:right="1440" w:bottom="1440" w:left="1440" w:header="567" w:footer="567" w:gutter="0"/>
          <w:cols w:space="398"/>
          <w:docGrid w:linePitch="360"/>
        </w:sectPr>
      </w:pPr>
    </w:p>
    <w:p w:rsidR="00353A37" w:rsidRDefault="00353A37" w:rsidP="00353A37">
      <w:pPr>
        <w:pStyle w:val="ExecSummaryCaption"/>
      </w:pPr>
      <w:r>
        <w:lastRenderedPageBreak/>
        <w:t xml:space="preserve">Figure </w:t>
      </w:r>
      <w:r>
        <w:rPr>
          <w:noProof/>
        </w:rPr>
        <w:t>19</w:t>
      </w:r>
      <w:r>
        <w:t>: Suicidal behaviours in the past 12 months among 12-17 year-olds by sex and age group</w:t>
      </w:r>
    </w:p>
    <w:p w:rsidR="00353A37" w:rsidRDefault="00353A37" w:rsidP="00353A37">
      <w:pPr>
        <w:pStyle w:val="FigurePilcrow"/>
      </w:pPr>
      <w:r>
        <w:rPr>
          <w:noProof/>
          <w:lang w:eastAsia="en-AU"/>
        </w:rPr>
        <w:drawing>
          <wp:inline distT="0" distB="0" distL="0" distR="0" wp14:anchorId="6C5DEEDA" wp14:editId="6AA113D5">
            <wp:extent cx="5401067" cy="2520701"/>
            <wp:effectExtent l="0" t="0" r="0" b="0"/>
            <wp:docPr id="45" name="Picture 45" descr="In figure 19, the proportion of 12-17 year-olds who had suicidal behaviours in the past 12 months was:&#10;&#10;Males 12-15 years: &#10;Suicidal ideation: 3.4%&#10;Suicide plan: 2.0%&#10;Suicide attempt: 0.8%&#10;&#10;Males 16-17 years:&#10;Suicidal ideation: 6.8%&#10;Suicide plan: 4.9%&#10;Suicide attempt: 2.9%&#10;&#10;Females 12-15 years:&#10;Suicidal ideation: 8.1%&#10;Suicide plan: 5.9%&#10;Suicide attempt: 2.7%&#10;&#10;Females 16-17 years:&#10;Suicide ideation: 15.4%&#10;Suicide plan: 10.6%&#10;Suicide attempt: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5WA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Default="00353A37" w:rsidP="00353A37">
      <w:pPr>
        <w:pStyle w:val="FigurePilcrow"/>
      </w:pPr>
    </w:p>
    <w:p w:rsidR="00353A37" w:rsidRDefault="00353A37" w:rsidP="00353A37">
      <w:pPr>
        <w:pStyle w:val="ExecSummaryCaption"/>
        <w:pageBreakBefore/>
      </w:pPr>
      <w:r>
        <w:lastRenderedPageBreak/>
        <w:t xml:space="preserve">Figure </w:t>
      </w:r>
      <w:r>
        <w:rPr>
          <w:noProof/>
        </w:rPr>
        <w:t>20</w:t>
      </w:r>
      <w:r>
        <w:t>: Suicide attempts in the past 12 months in 12-17 year-olds with major depressive disorder based on self-report and for all adolescents by sex</w:t>
      </w:r>
    </w:p>
    <w:p w:rsidR="00353A37" w:rsidRPr="00EA133C" w:rsidRDefault="00353A37" w:rsidP="00353A37">
      <w:pPr>
        <w:pStyle w:val="FigurePilcrow"/>
      </w:pPr>
      <w:r>
        <w:rPr>
          <w:noProof/>
          <w:lang w:eastAsia="en-AU"/>
        </w:rPr>
        <w:drawing>
          <wp:inline distT="0" distB="0" distL="0" distR="0" wp14:anchorId="4082CF49" wp14:editId="7556F57D">
            <wp:extent cx="5401067" cy="2520701"/>
            <wp:effectExtent l="0" t="0" r="0" b="0"/>
            <wp:docPr id="48" name="Picture 48" descr="In figure 20, the proportion of 12-17 year olds with major depressive disorder based on adolescent self-report who have attempted suicide in the past 12 months was:&#10;&#10;Males: 13.8%&#10;Females: 22.1%&#10;&#10;The proportion of all 12-17 year-olds who have attempted suicide in the past 12 months was:&#10;&#10;Males: 1.5%&#10;Females: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eAttemptDepressionWA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353A37" w:rsidRPr="00EA133C" w:rsidRDefault="00353A37" w:rsidP="00353A37">
      <w:pPr>
        <w:pStyle w:val="FigurePilcrow"/>
      </w:pPr>
    </w:p>
    <w:p w:rsidR="00353A37" w:rsidRDefault="00353A37" w:rsidP="00353A37">
      <w:pPr>
        <w:pStyle w:val="Heading1"/>
        <w:sectPr w:rsidR="00353A37" w:rsidSect="003330E0">
          <w:type w:val="continuous"/>
          <w:pgSz w:w="11906" w:h="16838" w:code="9"/>
          <w:pgMar w:top="1440" w:right="1440" w:bottom="1440" w:left="1440" w:header="567" w:footer="567" w:gutter="0"/>
          <w:cols w:space="398"/>
          <w:docGrid w:linePitch="360"/>
        </w:sectPr>
      </w:pPr>
    </w:p>
    <w:p w:rsidR="00353A37" w:rsidRDefault="00353A37" w:rsidP="00353A37">
      <w:pPr>
        <w:pStyle w:val="Heading1"/>
        <w:sectPr w:rsidR="00353A37" w:rsidSect="003330E0">
          <w:type w:val="continuous"/>
          <w:pgSz w:w="11906" w:h="16838" w:code="9"/>
          <w:pgMar w:top="1440" w:right="1440" w:bottom="1440" w:left="1440" w:header="567" w:footer="567" w:gutter="0"/>
          <w:cols w:space="398"/>
          <w:docGrid w:linePitch="360"/>
        </w:sectPr>
      </w:pPr>
    </w:p>
    <w:p w:rsidR="00353A37" w:rsidRDefault="00353A37" w:rsidP="00353A37">
      <w:pPr>
        <w:pStyle w:val="Heading1"/>
      </w:pPr>
      <w:r>
        <w:lastRenderedPageBreak/>
        <w:t>What adolescents told us about behaviours that could put them at risk</w:t>
      </w:r>
    </w:p>
    <w:p w:rsidR="00353A37" w:rsidRDefault="00353A37" w:rsidP="00353A37">
      <w:pPr>
        <w:pStyle w:val="BodyText"/>
      </w:pPr>
      <w:r w:rsidRPr="00EB0B9E">
        <w:rPr>
          <w:rStyle w:val="Emphasis"/>
        </w:rPr>
        <w:t>Young people aged 11 years and older provided information on face-to-face and cyber bullying, problem eating behaviours and other behaviours that could put them at risk physically and/or mentally</w:t>
      </w:r>
      <w:r>
        <w:t>.</w:t>
      </w:r>
    </w:p>
    <w:p w:rsidR="00353A37" w:rsidRDefault="00353A37" w:rsidP="00353A37">
      <w:pPr>
        <w:pStyle w:val="Heading2"/>
      </w:pPr>
      <w:r>
        <w:t>Bullying</w:t>
      </w:r>
    </w:p>
    <w:p w:rsidR="00353A37" w:rsidRDefault="00353A37" w:rsidP="00353A37">
      <w:pPr>
        <w:pStyle w:val="ListParagraph"/>
        <w:numPr>
          <w:ilvl w:val="0"/>
          <w:numId w:val="4"/>
        </w:numPr>
      </w:pPr>
      <w:r>
        <w:t>One third (34.3%) of 11-17 year-olds had been bullied in the previous 12 months. 11.3% felt a lot or extremely upset when bullied.</w:t>
      </w:r>
    </w:p>
    <w:p w:rsidR="00353A37" w:rsidRPr="00D25328" w:rsidRDefault="00353A37" w:rsidP="00353A37">
      <w:pPr>
        <w:pStyle w:val="ListParagraph"/>
        <w:numPr>
          <w:ilvl w:val="0"/>
          <w:numId w:val="4"/>
        </w:numPr>
      </w:pPr>
      <w:r w:rsidRPr="00D25328">
        <w:t>Three fifths (62.8%) of young people with major depressive disorder based on self</w:t>
      </w:r>
      <w:r w:rsidRPr="00D25328">
        <w:noBreakHyphen/>
        <w:t>report had been bullied in the previous 12 months</w:t>
      </w:r>
      <w:r>
        <w:t>, and they were bullied more often</w:t>
      </w:r>
      <w:r w:rsidRPr="00D25328">
        <w:t>.</w:t>
      </w:r>
    </w:p>
    <w:p w:rsidR="00353A37" w:rsidRPr="00D25328" w:rsidRDefault="00353A37" w:rsidP="00353A37">
      <w:pPr>
        <w:pStyle w:val="ListParagraph2"/>
      </w:pPr>
      <w:r w:rsidRPr="00D25328">
        <w:t>Three times as many (28.3% compared with 10.0% of all adolescents) were bullied every few weeks or more often.</w:t>
      </w:r>
    </w:p>
    <w:p w:rsidR="00353A37" w:rsidRPr="00F830E3" w:rsidRDefault="00353A37" w:rsidP="00353A37">
      <w:pPr>
        <w:pStyle w:val="ListParagraph2"/>
      </w:pPr>
      <w:r w:rsidRPr="00D25328">
        <w:t>Two fifths (39.4%) felt a lot or extremely</w:t>
      </w:r>
      <w:r w:rsidRPr="00F830E3">
        <w:t xml:space="preserve"> upset</w:t>
      </w:r>
      <w:r>
        <w:t xml:space="preserve"> when bullied</w:t>
      </w:r>
      <w:r w:rsidRPr="00F830E3">
        <w:t>.</w:t>
      </w:r>
    </w:p>
    <w:p w:rsidR="00353A37" w:rsidRDefault="00353A37" w:rsidP="00353A37">
      <w:pPr>
        <w:pStyle w:val="ListParagraph"/>
        <w:numPr>
          <w:ilvl w:val="0"/>
          <w:numId w:val="4"/>
        </w:numPr>
      </w:pPr>
      <w:r w:rsidRPr="00F830E3">
        <w:t>One in eight (12.7%) young people</w:t>
      </w:r>
      <w:r>
        <w:t xml:space="preserve"> bullied someone else every few months or less and 2.0% did so every few weeks or more often in the previous 12 months. Young people with major depressive disorder were roughly twice as likely (22.5%) to bully someone else.</w:t>
      </w:r>
    </w:p>
    <w:p w:rsidR="00353A37" w:rsidRDefault="00353A37" w:rsidP="00353A37">
      <w:pPr>
        <w:pStyle w:val="Heading2"/>
      </w:pPr>
      <w:r>
        <w:t>Problem eating behaviours</w:t>
      </w:r>
    </w:p>
    <w:p w:rsidR="00353A37" w:rsidRDefault="00353A37" w:rsidP="00353A37">
      <w:pPr>
        <w:pStyle w:val="ListParagraph"/>
        <w:numPr>
          <w:ilvl w:val="0"/>
          <w:numId w:val="4"/>
        </w:numPr>
      </w:pPr>
      <w:r>
        <w:t>Low weight problem eating behaviours (underweight on the age-adjusted BMI and practising weight controlling behaviours) were reported by 1.1% of 11-17 year-olds</w:t>
      </w:r>
    </w:p>
    <w:p w:rsidR="00353A37" w:rsidRDefault="00353A37" w:rsidP="00353A37">
      <w:pPr>
        <w:pStyle w:val="ListParagraph"/>
        <w:numPr>
          <w:ilvl w:val="0"/>
          <w:numId w:val="4"/>
        </w:numPr>
      </w:pPr>
      <w:r>
        <w:t>Binge eating and purging were reported by 1.3% of 11-17 year-olds.</w:t>
      </w:r>
    </w:p>
    <w:p w:rsidR="00353A37" w:rsidRDefault="00353A37" w:rsidP="00353A37">
      <w:pPr>
        <w:pStyle w:val="Heading2"/>
      </w:pPr>
      <w:r>
        <w:t>Smoking, alcohol and other substance use</w:t>
      </w:r>
    </w:p>
    <w:p w:rsidR="00353A37" w:rsidRDefault="00353A37" w:rsidP="00353A37">
      <w:pPr>
        <w:pStyle w:val="ListParagraph"/>
        <w:numPr>
          <w:ilvl w:val="0"/>
          <w:numId w:val="4"/>
        </w:numPr>
      </w:pPr>
      <w:r>
        <w:t>One in fourteen (7.2%) 13-17 year-olds had smoked in the last 30 days.</w:t>
      </w:r>
    </w:p>
    <w:p w:rsidR="00353A37" w:rsidRDefault="00353A37" w:rsidP="00353A37">
      <w:pPr>
        <w:pStyle w:val="ListParagraph"/>
        <w:numPr>
          <w:ilvl w:val="0"/>
          <w:numId w:val="4"/>
        </w:numPr>
      </w:pPr>
      <w:r w:rsidRPr="008D391D">
        <w:t xml:space="preserve">Smoking was higher for young people with </w:t>
      </w:r>
      <w:r>
        <w:t>major depressive disorder, with one quarter</w:t>
      </w:r>
      <w:r w:rsidRPr="008D391D">
        <w:t xml:space="preserve"> (24.4%) </w:t>
      </w:r>
      <w:r>
        <w:t>having</w:t>
      </w:r>
      <w:r w:rsidRPr="008D391D">
        <w:t xml:space="preserve"> smoked in the last 30 days.</w:t>
      </w:r>
    </w:p>
    <w:p w:rsidR="00353A37" w:rsidRDefault="00353A37" w:rsidP="00353A37">
      <w:pPr>
        <w:pStyle w:val="ListParagraph"/>
        <w:numPr>
          <w:ilvl w:val="0"/>
          <w:numId w:val="4"/>
        </w:numPr>
      </w:pPr>
      <w:r>
        <w:t>Just over one in six (18.1%) young people had drunk alcohol in the last 30 days and 12.5% had drunk more than four drinks in a row in the last 30 days.</w:t>
      </w:r>
    </w:p>
    <w:p w:rsidR="00353A37" w:rsidRPr="00FA05ED" w:rsidRDefault="00353A37" w:rsidP="00353A37">
      <w:pPr>
        <w:pStyle w:val="ListParagraph"/>
        <w:numPr>
          <w:ilvl w:val="0"/>
          <w:numId w:val="4"/>
        </w:numPr>
      </w:pPr>
      <w:r>
        <w:t>Alcohol c</w:t>
      </w:r>
      <w:r w:rsidRPr="00FA05ED">
        <w:t xml:space="preserve">onsumption was higher among young people </w:t>
      </w:r>
      <w:r w:rsidRPr="00523099">
        <w:t>with major depressive disorder based on self-report, with</w:t>
      </w:r>
      <w:r w:rsidRPr="00FA05ED">
        <w:t xml:space="preserve"> 27.6% having drunk more than four drinks in a row in the last 30 days.</w:t>
      </w:r>
    </w:p>
    <w:p w:rsidR="00353A37" w:rsidRDefault="00353A37" w:rsidP="00353A37">
      <w:pPr>
        <w:pStyle w:val="ListParagraph"/>
        <w:numPr>
          <w:ilvl w:val="0"/>
          <w:numId w:val="4"/>
        </w:numPr>
      </w:pPr>
      <w:r>
        <w:t>One in twenty (5.0%) young people had used cannabis and 1.6% had used other drugs in the last 30 days.</w:t>
      </w:r>
    </w:p>
    <w:p w:rsidR="00353A37" w:rsidRDefault="00353A37" w:rsidP="00353A37">
      <w:pPr>
        <w:pStyle w:val="ListParagraph"/>
        <w:numPr>
          <w:ilvl w:val="0"/>
          <w:numId w:val="4"/>
        </w:numPr>
      </w:pPr>
      <w:r>
        <w:t>Use was far higher for young people with major depressive disorder based on self</w:t>
      </w:r>
      <w:r>
        <w:noBreakHyphen/>
        <w:t>report, with 13.1% having used cannabis and 6.1% other drugs in the last 30 days.</w:t>
      </w:r>
    </w:p>
    <w:p w:rsidR="00353A37" w:rsidRPr="00EB7241" w:rsidRDefault="00353A37" w:rsidP="00353A37">
      <w:pPr>
        <w:pStyle w:val="Heading2"/>
      </w:pPr>
      <w:r w:rsidRPr="00EB7241">
        <w:lastRenderedPageBreak/>
        <w:t>Internet use and electronic gaming</w:t>
      </w:r>
    </w:p>
    <w:p w:rsidR="00353A37" w:rsidRDefault="00353A37" w:rsidP="00353A37">
      <w:pPr>
        <w:pStyle w:val="ListParagraph"/>
        <w:numPr>
          <w:ilvl w:val="0"/>
          <w:numId w:val="4"/>
        </w:numPr>
      </w:pPr>
      <w:r w:rsidRPr="00CB4D1C">
        <w:t>One quarter (24.9%) of 11-17 year-olds spen</w:t>
      </w:r>
      <w:r>
        <w:t>t</w:t>
      </w:r>
      <w:r w:rsidRPr="00CB4D1C">
        <w:t xml:space="preserve"> 3-4 hours a day on weekdays on the internet, while 17.6% spent 5-8 hours and 10.3% spent 9 hours or more</w:t>
      </w:r>
      <w:r>
        <w:t>. Use was similar on the weekend (25.9%, 23.7% and 12.1%).</w:t>
      </w:r>
    </w:p>
    <w:p w:rsidR="00353A37" w:rsidRDefault="00353A37" w:rsidP="00353A37">
      <w:pPr>
        <w:pStyle w:val="ListParagraph"/>
        <w:numPr>
          <w:ilvl w:val="0"/>
          <w:numId w:val="4"/>
        </w:numPr>
      </w:pPr>
      <w:r>
        <w:t>One eighth</w:t>
      </w:r>
      <w:r w:rsidRPr="00CB4D1C">
        <w:t xml:space="preserve"> (</w:t>
      </w:r>
      <w:r>
        <w:t>12.2</w:t>
      </w:r>
      <w:r w:rsidRPr="00CB4D1C">
        <w:t xml:space="preserve">%) of 11-17 year-olds </w:t>
      </w:r>
      <w:r>
        <w:t>spent</w:t>
      </w:r>
      <w:r w:rsidRPr="00CB4D1C">
        <w:t xml:space="preserve"> 3-4 hours a day on weekdays </w:t>
      </w:r>
      <w:r>
        <w:t>playing electronic games</w:t>
      </w:r>
      <w:r w:rsidRPr="00CB4D1C">
        <w:t xml:space="preserve">, while </w:t>
      </w:r>
      <w:r>
        <w:t>6.9</w:t>
      </w:r>
      <w:r w:rsidRPr="00CB4D1C">
        <w:t xml:space="preserve">% spent 5-8 hours and </w:t>
      </w:r>
      <w:r>
        <w:t>2.5</w:t>
      </w:r>
      <w:r w:rsidRPr="00CB4D1C">
        <w:t>% spent 9 hours or more</w:t>
      </w:r>
      <w:r>
        <w:t>. Use almost doubled on the weekend (19.7%, 12.3% and 4.7%).</w:t>
      </w:r>
    </w:p>
    <w:p w:rsidR="00353A37" w:rsidRDefault="00353A37" w:rsidP="00353A37">
      <w:pPr>
        <w:pStyle w:val="ListParagraph"/>
        <w:numPr>
          <w:ilvl w:val="0"/>
          <w:numId w:val="4"/>
        </w:numPr>
      </w:pPr>
      <w:r>
        <w:t>Internet use and/or electronic gaming were highly problematic for 3.9% of 11-17 year</w:t>
      </w:r>
      <w:r>
        <w:noBreakHyphen/>
        <w:t>olds, affecting their ability to eat, sleep, and spend time with family, friends and doing homework.</w:t>
      </w:r>
    </w:p>
    <w:p w:rsidR="00353A37" w:rsidRDefault="00353A37" w:rsidP="00353A37">
      <w:pPr>
        <w:pStyle w:val="Heading1"/>
        <w:sectPr w:rsidR="00353A37" w:rsidSect="003330E0">
          <w:pgSz w:w="11906" w:h="16838" w:code="9"/>
          <w:pgMar w:top="1440" w:right="1440" w:bottom="1440" w:left="1440" w:header="567" w:footer="567" w:gutter="0"/>
          <w:cols w:space="398"/>
          <w:docGrid w:linePitch="360"/>
        </w:sectPr>
      </w:pPr>
    </w:p>
    <w:p w:rsidR="00353A37" w:rsidRPr="00833A2E" w:rsidRDefault="00555E74" w:rsidP="00353A37">
      <w:pPr>
        <w:pStyle w:val="Heading1"/>
      </w:pPr>
      <w:r>
        <w:lastRenderedPageBreak/>
        <w:t xml:space="preserve">Comparisons </w:t>
      </w:r>
      <w:r w:rsidR="00353A37" w:rsidRPr="00833A2E">
        <w:t xml:space="preserve">between </w:t>
      </w:r>
      <w:r>
        <w:t>the</w:t>
      </w:r>
      <w:r w:rsidR="00353A37" w:rsidRPr="00833A2E">
        <w:t xml:space="preserve"> </w:t>
      </w:r>
      <w:r w:rsidR="00261615">
        <w:t>first</w:t>
      </w:r>
      <w:r w:rsidR="00353A37" w:rsidRPr="00833A2E">
        <w:t xml:space="preserve"> </w:t>
      </w:r>
      <w:r w:rsidR="00261615">
        <w:t>and</w:t>
      </w:r>
      <w:r w:rsidR="00353A37" w:rsidRPr="00833A2E">
        <w:t xml:space="preserve"> </w:t>
      </w:r>
      <w:r w:rsidR="00261615">
        <w:t>second</w:t>
      </w:r>
      <w:r w:rsidR="00353A37" w:rsidRPr="00833A2E">
        <w:t xml:space="preserve"> </w:t>
      </w:r>
      <w:r w:rsidR="00261615">
        <w:t>surveys</w:t>
      </w:r>
    </w:p>
    <w:p w:rsidR="00353A37" w:rsidRDefault="00353A37" w:rsidP="00353A37">
      <w:pPr>
        <w:pStyle w:val="BodyText"/>
        <w:rPr>
          <w:rStyle w:val="Emphasis"/>
        </w:rPr>
      </w:pPr>
      <w:r w:rsidRPr="006C6B7C">
        <w:rPr>
          <w:rStyle w:val="Emphasis"/>
        </w:rPr>
        <w:t>The first national survey of the mental health of children and adolescent was undertaken in 1998. This produced the first evidence of the prevalence of mental disorders in Australian young people and their use of services for these problems. While the second survey has the same focus and was designed to enable comparisons to be made, there are some significant differences in the mental disorders assessed, and the service use timeframe and scope.</w:t>
      </w:r>
    </w:p>
    <w:p w:rsidR="00353A37" w:rsidRPr="00C62183" w:rsidRDefault="00353A37" w:rsidP="00353A37">
      <w:pPr>
        <w:pStyle w:val="Heading2"/>
      </w:pPr>
      <w:r w:rsidRPr="00C62183">
        <w:t>Prevalence of disorders</w:t>
      </w:r>
    </w:p>
    <w:p w:rsidR="00353A37" w:rsidRDefault="00353A37" w:rsidP="00353A37">
      <w:pPr>
        <w:pStyle w:val="ListParagraph"/>
        <w:numPr>
          <w:ilvl w:val="0"/>
          <w:numId w:val="4"/>
        </w:numPr>
      </w:pPr>
      <w:r>
        <w:t>T</w:t>
      </w:r>
      <w:r w:rsidRPr="004817CE">
        <w:t xml:space="preserve">he DISC-IV </w:t>
      </w:r>
      <w:r>
        <w:t xml:space="preserve">was used in both the first and second surveys </w:t>
      </w:r>
      <w:r w:rsidRPr="004817CE">
        <w:t xml:space="preserve">to assess </w:t>
      </w:r>
      <w:r>
        <w:t xml:space="preserve">whether young people had </w:t>
      </w:r>
      <w:r w:rsidRPr="004817CE">
        <w:t xml:space="preserve">mental disorders </w:t>
      </w:r>
      <w:r>
        <w:t>according to the standard DSM-IV diagnostic criteria.</w:t>
      </w:r>
    </w:p>
    <w:p w:rsidR="00353A37" w:rsidRDefault="00353A37" w:rsidP="00353A37">
      <w:pPr>
        <w:pStyle w:val="ListParagraph"/>
        <w:numPr>
          <w:ilvl w:val="0"/>
          <w:numId w:val="4"/>
        </w:numPr>
      </w:pPr>
      <w:r>
        <w:t>In 1998 major depressive disorder, dysthymic disorder, attention-deficit/hyperactivity disorder, conduct disorder and eating disorders were assessed.</w:t>
      </w:r>
    </w:p>
    <w:p w:rsidR="00353A37" w:rsidRDefault="00353A37" w:rsidP="00353A37">
      <w:pPr>
        <w:pStyle w:val="ListParagraph"/>
        <w:numPr>
          <w:ilvl w:val="0"/>
          <w:numId w:val="4"/>
        </w:numPr>
      </w:pPr>
      <w:r>
        <w:t>In 2013-14 the dysthymic and eating disorders modules were not included, as the prevalences for these were found to be too low for reporting in 1998.</w:t>
      </w:r>
    </w:p>
    <w:p w:rsidR="00353A37" w:rsidRDefault="00353A37" w:rsidP="00353A37">
      <w:pPr>
        <w:pStyle w:val="ListParagraph"/>
        <w:numPr>
          <w:ilvl w:val="0"/>
          <w:numId w:val="4"/>
        </w:numPr>
        <w:rPr>
          <w:lang w:eastAsia="en-AU"/>
        </w:rPr>
      </w:pPr>
      <w:r w:rsidRPr="00B54D20">
        <w:t>Four types of an</w:t>
      </w:r>
      <w:r>
        <w:t>xiety disorder (</w:t>
      </w:r>
      <w:r w:rsidRPr="00B54D20">
        <w:t>social phobia, separation anxiety, generalised anxiety and obsessive-compulsive disorder</w:t>
      </w:r>
      <w:r>
        <w:t>)</w:t>
      </w:r>
      <w:r w:rsidRPr="00B54D20">
        <w:t xml:space="preserve"> were </w:t>
      </w:r>
      <w:r>
        <w:t xml:space="preserve">also </w:t>
      </w:r>
      <w:r w:rsidRPr="00B54D20">
        <w:t>included in 2013-14.</w:t>
      </w:r>
      <w:r>
        <w:t xml:space="preserve"> </w:t>
      </w:r>
      <w:r>
        <w:rPr>
          <w:lang w:eastAsia="en-AU"/>
        </w:rPr>
        <w:t>These were found to affect 6.9% of children and adolescents, with the majority only experiencing anxiety disorders. This has a significant impact on comparisons between surveys of the overall prevalence of mental disorders.</w:t>
      </w:r>
    </w:p>
    <w:p w:rsidR="00353A37" w:rsidRDefault="00353A37" w:rsidP="00353A37">
      <w:pPr>
        <w:pStyle w:val="ListParagraph"/>
        <w:numPr>
          <w:ilvl w:val="0"/>
          <w:numId w:val="4"/>
        </w:numPr>
      </w:pPr>
      <w:r w:rsidRPr="009D3F3A">
        <w:t xml:space="preserve">Comparison of </w:t>
      </w:r>
      <w:r>
        <w:t xml:space="preserve">prevalence data from 1998 and 2013-14 did not reveal a great deal of change overall, however, there were significant changes in the prevalence of each of </w:t>
      </w:r>
      <w:r w:rsidRPr="009D3F3A">
        <w:t xml:space="preserve">those mental disorders covered </w:t>
      </w:r>
      <w:r>
        <w:t>by both surveys.</w:t>
      </w:r>
    </w:p>
    <w:p w:rsidR="00353A37" w:rsidRDefault="00353A37" w:rsidP="00353A37">
      <w:pPr>
        <w:pStyle w:val="ListParagraph2"/>
      </w:pPr>
      <w:r>
        <w:t>The prevalence of major depressive disorder increased from 2.1% to 3.2% in 2013-14.</w:t>
      </w:r>
    </w:p>
    <w:p w:rsidR="00353A37" w:rsidRDefault="00353A37" w:rsidP="00353A37">
      <w:pPr>
        <w:pStyle w:val="ListParagraph2"/>
      </w:pPr>
      <w:r>
        <w:t>The prevalence of ADHD decreased from 9.8% to 7.8%.</w:t>
      </w:r>
    </w:p>
    <w:p w:rsidR="00353A37" w:rsidRDefault="00353A37" w:rsidP="00353A37">
      <w:pPr>
        <w:pStyle w:val="ListParagraph2"/>
      </w:pPr>
      <w:r>
        <w:t>Conduct disorder decreased slightly from 2.7% to 2.1%.</w:t>
      </w:r>
    </w:p>
    <w:p w:rsidR="00353A37" w:rsidRPr="00C62183" w:rsidRDefault="00353A37" w:rsidP="00353A37">
      <w:pPr>
        <w:pStyle w:val="Heading2"/>
      </w:pPr>
      <w:r w:rsidRPr="00C62183">
        <w:t>Service use</w:t>
      </w:r>
    </w:p>
    <w:p w:rsidR="00353A37" w:rsidRDefault="00353A37" w:rsidP="00353A37">
      <w:pPr>
        <w:pStyle w:val="ListParagraph"/>
        <w:numPr>
          <w:ilvl w:val="0"/>
          <w:numId w:val="4"/>
        </w:numPr>
      </w:pPr>
      <w:r>
        <w:t xml:space="preserve">The service use module was </w:t>
      </w:r>
      <w:r w:rsidRPr="00A14D5F">
        <w:t>redesigned for the second survey</w:t>
      </w:r>
      <w:r>
        <w:t>, both to ensure its relevance to the current mental health care environment, particularly the development of online information and services, and to better capture the role of schools in providing services, referrals and support.</w:t>
      </w:r>
    </w:p>
    <w:p w:rsidR="00353A37" w:rsidRDefault="00353A37" w:rsidP="00353A37">
      <w:pPr>
        <w:pStyle w:val="ListParagraph"/>
        <w:numPr>
          <w:ilvl w:val="0"/>
          <w:numId w:val="4"/>
        </w:numPr>
      </w:pPr>
      <w:r>
        <w:t xml:space="preserve">The first survey produced evidence of service use in the previous 6 months, and found that only 31.2% of 6-17 year olds with mental disorders used services in 1998. By contrast the second survey found 68.3% of this population </w:t>
      </w:r>
      <w:r w:rsidR="005350D3">
        <w:t xml:space="preserve">used </w:t>
      </w:r>
      <w:r>
        <w:t xml:space="preserve">services, but this was measured over a 12-month period. </w:t>
      </w:r>
    </w:p>
    <w:p w:rsidR="00353A37" w:rsidRDefault="00353A37" w:rsidP="00353A37">
      <w:pPr>
        <w:pStyle w:val="ListParagraph"/>
        <w:numPr>
          <w:ilvl w:val="0"/>
          <w:numId w:val="4"/>
        </w:numPr>
      </w:pPr>
      <w:r w:rsidRPr="001A1DBF">
        <w:t xml:space="preserve">While differences in </w:t>
      </w:r>
      <w:r>
        <w:t xml:space="preserve">survey content </w:t>
      </w:r>
      <w:r w:rsidRPr="001A1DBF">
        <w:t>and time period</w:t>
      </w:r>
      <w:r>
        <w:t xml:space="preserve">s covered </w:t>
      </w:r>
      <w:r w:rsidRPr="001A1DBF">
        <w:t xml:space="preserve">make comparisons difficult, the increase in use of services is higher than is likely to be attributable to changes in methodology alone. </w:t>
      </w:r>
      <w:r>
        <w:t xml:space="preserve"> </w:t>
      </w:r>
      <w:r w:rsidRPr="001A1DBF">
        <w:t>On balance, the data suggest that there has been a significant increase in service use by children and adolescents with mental disorders in Australia between 1998 and 2013-14.</w:t>
      </w:r>
    </w:p>
    <w:p w:rsidR="00353A37" w:rsidRDefault="00353A37" w:rsidP="00353A37">
      <w:pPr>
        <w:pStyle w:val="ExecSummaryCaption"/>
        <w:pageBreakBefore/>
      </w:pPr>
      <w:r>
        <w:lastRenderedPageBreak/>
        <w:t xml:space="preserve">Figure </w:t>
      </w:r>
      <w:r>
        <w:rPr>
          <w:noProof/>
        </w:rPr>
        <w:t>21</w:t>
      </w:r>
      <w:r>
        <w:t>: 12-month prevalence of selected mental disorders among 6-17 year-olds in 1998 and 2013-14</w:t>
      </w:r>
    </w:p>
    <w:p w:rsidR="00353A37" w:rsidRPr="008909BD" w:rsidRDefault="00353A37" w:rsidP="00353A37">
      <w:pPr>
        <w:pStyle w:val="FigurePilcrow"/>
        <w:rPr>
          <w:lang w:eastAsia="en-AU"/>
        </w:rPr>
      </w:pPr>
      <w:r>
        <w:rPr>
          <w:noProof/>
          <w:lang w:eastAsia="en-AU"/>
        </w:rPr>
        <w:drawing>
          <wp:inline distT="0" distB="0" distL="0" distR="0" wp14:anchorId="2414B1AD" wp14:editId="48F0F7AA">
            <wp:extent cx="5401067" cy="2520701"/>
            <wp:effectExtent l="0" t="0" r="0" b="0"/>
            <wp:docPr id="47" name="Picture 47" descr="In figure 21, the 12-month prevalence of selected mental disorders among 6-17 year-olds in 1998 and 2013-14 was:&#10;&#10;Major depressive disorder:&#10;1998: 2.1%&#10;2013-14: 3.2%&#10;&#10;ADHD:&#10;1998: 9.8%&#10;2013-14: 7.8%&#10;&#10;Conduct disorder:&#10;1998: 2.7%&#10;2013-14: 2.1%&#10;&#10;Any of the above 3 disorders:&#10;1998: 12.2%&#10;2013-14: 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changeWA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1067" cy="2520701"/>
                    </a:xfrm>
                    <a:prstGeom prst="rect">
                      <a:avLst/>
                    </a:prstGeom>
                  </pic:spPr>
                </pic:pic>
              </a:graphicData>
            </a:graphic>
          </wp:inline>
        </w:drawing>
      </w:r>
    </w:p>
    <w:p w:rsidR="00DB066C" w:rsidRPr="00555E74" w:rsidRDefault="00DB066C" w:rsidP="00555E74"/>
    <w:p w:rsidR="00427869" w:rsidRDefault="00427869" w:rsidP="00DB066C">
      <w:pPr>
        <w:jc w:val="center"/>
        <w:sectPr w:rsidR="00427869" w:rsidSect="003330E0">
          <w:pgSz w:w="11906" w:h="16838" w:code="9"/>
          <w:pgMar w:top="1440" w:right="1440" w:bottom="1440" w:left="1440" w:header="567" w:footer="567" w:gutter="0"/>
          <w:cols w:space="398"/>
          <w:docGrid w:linePitch="360"/>
        </w:sectPr>
      </w:pPr>
    </w:p>
    <w:p w:rsidR="00427869" w:rsidRPr="00611AF2" w:rsidRDefault="00427869" w:rsidP="00427869">
      <w:pPr>
        <w:pStyle w:val="BodyText"/>
      </w:pPr>
      <w:r w:rsidRPr="00611AF2">
        <w:rPr>
          <w:noProof/>
          <w:lang w:eastAsia="en-AU"/>
        </w:rPr>
        <w:lastRenderedPageBreak/>
        <mc:AlternateContent>
          <mc:Choice Requires="wps">
            <w:drawing>
              <wp:anchor distT="0" distB="0" distL="114300" distR="114300" simplePos="0" relativeHeight="251661312" behindDoc="1" locked="0" layoutInCell="1" allowOverlap="1" wp14:anchorId="5F5A08FA" wp14:editId="1C173EF5">
                <wp:simplePos x="0" y="0"/>
                <wp:positionH relativeFrom="column">
                  <wp:posOffset>-1474298</wp:posOffset>
                </wp:positionH>
                <wp:positionV relativeFrom="paragraph">
                  <wp:posOffset>-968991</wp:posOffset>
                </wp:positionV>
                <wp:extent cx="8218008" cy="11252200"/>
                <wp:effectExtent l="0" t="0" r="0" b="6350"/>
                <wp:wrapNone/>
                <wp:docPr id="12" name="Rectangle 12"/>
                <wp:cNvGraphicFramePr/>
                <a:graphic xmlns:a="http://schemas.openxmlformats.org/drawingml/2006/main">
                  <a:graphicData uri="http://schemas.microsoft.com/office/word/2010/wordprocessingShape">
                    <wps:wsp>
                      <wps:cNvSpPr/>
                      <wps:spPr>
                        <a:xfrm>
                          <a:off x="0" y="0"/>
                          <a:ext cx="8218008" cy="11252200"/>
                        </a:xfrm>
                        <a:prstGeom prst="rect">
                          <a:avLst/>
                        </a:prstGeom>
                        <a:solidFill>
                          <a:srgbClr val="EFF3FF">
                            <a:alpha val="8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Pr="00611AF2" w:rsidRDefault="00711229" w:rsidP="00427869">
                            <w:pPr>
                              <w:pStyle w:val="BodyText"/>
                            </w:pPr>
                            <w:r w:rsidRPr="00611AF2">
                              <w:softHyphen/>
                            </w:r>
                            <w:r w:rsidRPr="00611AF2">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margin-left:-116.1pt;margin-top:-76.3pt;width:647.1pt;height:8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" fillcolor="#eff3ff" stroked="f" strokeweight="2pt">
                <v:fill opacity="56283f"/>
                <v:textbox>
                  <w:txbxContent>
                    <w:p w:rsidR="00711229" w:rsidRPr="00611AF2" w:rsidRDefault="00711229" w:rsidP="00427869">
                      <w:pPr>
                        <w:pStyle w:val="BodyText"/>
                      </w:pPr>
                      <w:r w:rsidRPr="00611AF2">
                        <w:softHyphen/>
                      </w:r>
                      <w:r w:rsidRPr="00611AF2">
                        <w:softHyphen/>
                      </w:r>
                    </w:p>
                  </w:txbxContent>
                </v:textbox>
              </v:rect>
            </w:pict>
          </mc:Fallback>
        </mc:AlternateContent>
      </w:r>
    </w:p>
    <w:p w:rsidR="00427869" w:rsidRPr="00611AF2" w:rsidRDefault="00427869" w:rsidP="00427869">
      <w:pPr>
        <w:pStyle w:val="PartHeading"/>
      </w:pPr>
      <w:r w:rsidRPr="00611AF2">
        <w:t>PART 1</w:t>
      </w:r>
    </w:p>
    <w:p w:rsidR="00427869" w:rsidRPr="00611AF2" w:rsidRDefault="00427869" w:rsidP="00427869">
      <w:pPr>
        <w:pStyle w:val="PartHeading"/>
      </w:pPr>
      <w:r w:rsidRPr="00611AF2">
        <w:t>Introduction</w:t>
      </w:r>
    </w:p>
    <w:p w:rsidR="00427869" w:rsidRPr="00611AF2" w:rsidRDefault="00BC6E60" w:rsidP="00427869">
      <w:pPr>
        <w:pStyle w:val="IntroText"/>
        <w:spacing w:before="900"/>
      </w:pPr>
      <w:r>
        <w:t>The s</w:t>
      </w:r>
      <w:r w:rsidR="00427869" w:rsidRPr="00611AF2">
        <w:t xml:space="preserve">econd Australian Child and Adolescent Survey of Mental Health and Wellbeing (Young Minds Matter) was designed to provide current information about the mental health and wellbeing of children and adolescents in Australia and the extent to which they use health and education services to obtain help with problems. </w:t>
      </w:r>
    </w:p>
    <w:p w:rsidR="00427869" w:rsidRPr="00611AF2" w:rsidRDefault="00427869" w:rsidP="00427869">
      <w:pPr>
        <w:pStyle w:val="BodyText"/>
        <w:rPr>
          <w:sz w:val="24"/>
          <w:szCs w:val="24"/>
        </w:rPr>
      </w:pPr>
      <w:r w:rsidRPr="00611AF2">
        <w:rPr>
          <w:sz w:val="24"/>
          <w:szCs w:val="24"/>
        </w:rPr>
        <w:t>The main aims of the survey were to determine:</w:t>
      </w:r>
    </w:p>
    <w:p w:rsidR="00427869" w:rsidRPr="00611AF2" w:rsidRDefault="00427869" w:rsidP="005C4F80">
      <w:pPr>
        <w:pStyle w:val="IntroText"/>
        <w:ind w:left="720" w:hanging="720"/>
      </w:pPr>
      <w:r w:rsidRPr="00611AF2">
        <w:t xml:space="preserve">1. </w:t>
      </w:r>
      <w:r w:rsidRPr="00611AF2">
        <w:tab/>
        <w:t xml:space="preserve">How many children and adolescents have which mental health problems and </w:t>
      </w:r>
      <w:proofErr w:type="gramStart"/>
      <w:r w:rsidRPr="00611AF2">
        <w:t>disorders.</w:t>
      </w:r>
      <w:proofErr w:type="gramEnd"/>
    </w:p>
    <w:p w:rsidR="00427869" w:rsidRPr="00611AF2" w:rsidRDefault="00427869" w:rsidP="00427869">
      <w:pPr>
        <w:pStyle w:val="IntroText"/>
        <w:ind w:left="720" w:hanging="720"/>
      </w:pPr>
      <w:r w:rsidRPr="00611AF2">
        <w:t xml:space="preserve">2. </w:t>
      </w:r>
      <w:r w:rsidRPr="00611AF2">
        <w:tab/>
        <w:t>The nature of these mental health problems and disorders.</w:t>
      </w:r>
    </w:p>
    <w:p w:rsidR="00427869" w:rsidRPr="00611AF2" w:rsidRDefault="00427869" w:rsidP="00427869">
      <w:pPr>
        <w:pStyle w:val="IntroText"/>
        <w:ind w:left="720" w:hanging="720"/>
      </w:pPr>
      <w:r w:rsidRPr="00611AF2">
        <w:t xml:space="preserve">3. </w:t>
      </w:r>
      <w:r w:rsidRPr="00611AF2">
        <w:tab/>
        <w:t>The impact of these problems and disorders.</w:t>
      </w:r>
    </w:p>
    <w:p w:rsidR="00427869" w:rsidRPr="00611AF2" w:rsidRDefault="00427869" w:rsidP="00427869">
      <w:pPr>
        <w:pStyle w:val="IntroText"/>
        <w:ind w:left="720" w:hanging="720"/>
      </w:pPr>
      <w:r w:rsidRPr="00611AF2">
        <w:t xml:space="preserve">4. </w:t>
      </w:r>
      <w:r w:rsidRPr="00611AF2">
        <w:tab/>
        <w:t xml:space="preserve">How many children and adolescents have used services for mental health problems and </w:t>
      </w:r>
      <w:proofErr w:type="gramStart"/>
      <w:r w:rsidRPr="00611AF2">
        <w:t>disorders.</w:t>
      </w:r>
      <w:proofErr w:type="gramEnd"/>
    </w:p>
    <w:p w:rsidR="00427869" w:rsidRPr="00611AF2" w:rsidRDefault="00427869" w:rsidP="00427869">
      <w:pPr>
        <w:pStyle w:val="IntroText"/>
        <w:ind w:left="720" w:hanging="720"/>
      </w:pPr>
      <w:r w:rsidRPr="00611AF2">
        <w:t xml:space="preserve">5. </w:t>
      </w:r>
      <w:r w:rsidRPr="00611AF2">
        <w:tab/>
        <w:t>The role of the education sector in providing services for children and adolescents with mental health problems and disorders.</w:t>
      </w:r>
    </w:p>
    <w:p w:rsidR="00427869" w:rsidRDefault="00427869" w:rsidP="00427869">
      <w:pPr>
        <w:pStyle w:val="BodyText"/>
      </w:pPr>
    </w:p>
    <w:p w:rsidR="00427869" w:rsidRDefault="00427869" w:rsidP="00427869">
      <w:pPr>
        <w:pStyle w:val="BodyText"/>
        <w:sectPr w:rsidR="00427869" w:rsidSect="003330E0">
          <w:headerReference w:type="even" r:id="rId47"/>
          <w:headerReference w:type="default" r:id="rId48"/>
          <w:footerReference w:type="even" r:id="rId49"/>
          <w:footerReference w:type="default" r:id="rId50"/>
          <w:headerReference w:type="first" r:id="rId51"/>
          <w:footerReference w:type="first" r:id="rId52"/>
          <w:pgSz w:w="11906" w:h="16838" w:code="9"/>
          <w:pgMar w:top="1440" w:right="2268" w:bottom="1440" w:left="2268" w:header="567" w:footer="567" w:gutter="0"/>
          <w:pgNumType w:start="15"/>
          <w:cols w:space="720"/>
          <w:titlePg/>
          <w:docGrid w:linePitch="360"/>
        </w:sectPr>
      </w:pPr>
    </w:p>
    <w:p w:rsidR="00427869" w:rsidRPr="00611AF2" w:rsidRDefault="00427869" w:rsidP="00427869">
      <w:pPr>
        <w:pStyle w:val="BodyText"/>
      </w:pPr>
    </w:p>
    <w:p w:rsidR="00427869" w:rsidRDefault="00427869" w:rsidP="00DB066C">
      <w:pPr>
        <w:jc w:val="center"/>
        <w:sectPr w:rsidR="00427869" w:rsidSect="003330E0">
          <w:headerReference w:type="first" r:id="rId53"/>
          <w:pgSz w:w="11906" w:h="16838" w:code="9"/>
          <w:pgMar w:top="1440" w:right="1440" w:bottom="1440" w:left="1440" w:header="567" w:footer="567" w:gutter="0"/>
          <w:pgNumType w:start="28"/>
          <w:cols w:space="720"/>
          <w:titlePg/>
          <w:docGrid w:linePitch="360"/>
        </w:sectPr>
      </w:pPr>
    </w:p>
    <w:p w:rsidR="00427869" w:rsidRDefault="00427869" w:rsidP="00427869">
      <w:pPr>
        <w:pStyle w:val="Heading1"/>
      </w:pPr>
      <w:bookmarkStart w:id="1" w:name="_Toc401758733"/>
      <w:r>
        <w:lastRenderedPageBreak/>
        <w:t>1</w:t>
      </w:r>
      <w:r>
        <w:tab/>
        <w:t>Introduction</w:t>
      </w:r>
      <w:bookmarkEnd w:id="1"/>
    </w:p>
    <w:p w:rsidR="00427869" w:rsidRDefault="00BC6E60" w:rsidP="00427869">
      <w:pPr>
        <w:pStyle w:val="BodyText"/>
      </w:pPr>
      <w:r>
        <w:rPr>
          <w:rStyle w:val="Emphasis"/>
        </w:rPr>
        <w:t>Young Minds Matter: The s</w:t>
      </w:r>
      <w:r w:rsidR="00427869" w:rsidRPr="003B1461">
        <w:rPr>
          <w:rStyle w:val="Emphasis"/>
        </w:rPr>
        <w:t xml:space="preserve">econd Australian Child and Adolescent Survey of Mental Health and Wellbeing </w:t>
      </w:r>
      <w:proofErr w:type="gramStart"/>
      <w:r w:rsidR="00427869">
        <w:t>is</w:t>
      </w:r>
      <w:proofErr w:type="gramEnd"/>
      <w:r w:rsidR="00427869">
        <w:t xml:space="preserve"> part of the National Survey of Mental Health and Wellbeing initiative. This is an Australian Government Department of Health funded initiative comprising national surveys of adults in the general population in 1997 and 2007, those with psychotic illnesses in 1997-98 and 2010, and the first national child and adolescent survey.</w:t>
      </w:r>
    </w:p>
    <w:p w:rsidR="00427869" w:rsidRDefault="00427869" w:rsidP="00427869">
      <w:pPr>
        <w:pStyle w:val="BodyText"/>
      </w:pPr>
      <w:r>
        <w:t xml:space="preserve">The 1998 Australian Child and Adolescent Survey of Mental Health and Wellbeing </w:t>
      </w:r>
      <w:proofErr w:type="gramStart"/>
      <w:r>
        <w:t>was</w:t>
      </w:r>
      <w:proofErr w:type="gramEnd"/>
      <w:r>
        <w:t xml:space="preserve"> the first national survey anywhere in the world to focus on the mental health of children and adolescents. The survey found that mental health problems were relatively common, with approximately 14% of children and adolescents having mental health problems based on scores obtained from the Child Behaviour Checklist (CBCL). It also found that only one in four children and adolescents with mental health problems had attended professional services in the six months prior to the survey. </w:t>
      </w:r>
    </w:p>
    <w:p w:rsidR="00427869" w:rsidRDefault="00427869" w:rsidP="00427869">
      <w:pPr>
        <w:pStyle w:val="BodyText"/>
      </w:pPr>
      <w:r w:rsidRPr="009C2A7D">
        <w:t>Since 1998</w:t>
      </w:r>
      <w:r>
        <w:t xml:space="preserve"> there have been substantial changes in the way mental health care is provided in Australia. There have been significant changes in people’s understanding of mental health. A range of new programmes and services has been developed in the education and health sectors that provide information, support, and specialist help for young people and their families. Programmes such as </w:t>
      </w:r>
      <w:proofErr w:type="spellStart"/>
      <w:r w:rsidRPr="003B1461">
        <w:rPr>
          <w:rStyle w:val="Emphasis"/>
        </w:rPr>
        <w:t>KidsMatter</w:t>
      </w:r>
      <w:proofErr w:type="spellEnd"/>
      <w:r>
        <w:t xml:space="preserve"> and </w:t>
      </w:r>
      <w:r w:rsidRPr="003B1461">
        <w:rPr>
          <w:rStyle w:val="Emphasis"/>
        </w:rPr>
        <w:t>Mind Matters</w:t>
      </w:r>
      <w:r>
        <w:t xml:space="preserve"> promote mental health through the school environment. While each jurisdiction has taken its own approach, schools are generally providing higher levels of support, including access to specialist counselling. Through the Australian Government’s </w:t>
      </w:r>
      <w:r w:rsidRPr="003B1461">
        <w:rPr>
          <w:rStyle w:val="Emphasis"/>
        </w:rPr>
        <w:t>Better Access</w:t>
      </w:r>
      <w:r>
        <w:t xml:space="preserve"> programme introduced in November 2006, more general practitioners have been trained in supporting the mental health needs of children and adolescents and their families, and children and families now have access to Medicare-subsidised psychological therapy. Also launched in 2006, </w:t>
      </w:r>
      <w:r w:rsidRPr="002D58C6">
        <w:rPr>
          <w:rStyle w:val="Emphasis"/>
        </w:rPr>
        <w:t>headspace</w:t>
      </w:r>
      <w:r>
        <w:t xml:space="preserve"> has rapidly expanded and provides a range of support services for young people aged 12-25 years with emotional and behavioural problems and substance use problems. Additionally, several counselling services are now available by </w:t>
      </w:r>
      <w:proofErr w:type="gramStart"/>
      <w:r>
        <w:t>telephone,</w:t>
      </w:r>
      <w:proofErr w:type="gramEnd"/>
      <w:r>
        <w:t xml:space="preserve"> and a range of internet-based services has also been created that provide information and counselling support online.</w:t>
      </w:r>
    </w:p>
    <w:p w:rsidR="00427869" w:rsidRDefault="00427869" w:rsidP="00427869">
      <w:pPr>
        <w:pStyle w:val="BodyText"/>
      </w:pPr>
      <w:r>
        <w:t xml:space="preserve">A second national adult survey of mental health and wellbeing was conducted in 2007. The survey found approximately one in five adults had experienced a mental health problem in the preceding year, and for a substantial proportion of these adults, their problems first started in childhood or adolescence. While access to mental health services has improved considerably, it is recognised that for many people there can still be substantial delays in seeking help, at the time when early interventions may have the greatest impact. </w:t>
      </w:r>
    </w:p>
    <w:p w:rsidR="00427869" w:rsidRDefault="00BC6E60" w:rsidP="00427869">
      <w:pPr>
        <w:pStyle w:val="BodyText"/>
      </w:pPr>
      <w:r>
        <w:t>The s</w:t>
      </w:r>
      <w:r w:rsidR="00427869">
        <w:t>econd Australian Child and Adolescent Survey not only provides data that complements other national surveys, but also presents a contemporary picture of mental disorders and services used by those young people who have mental health problems.</w:t>
      </w:r>
    </w:p>
    <w:p w:rsidR="00427869" w:rsidRPr="0098352A" w:rsidRDefault="00427869" w:rsidP="00427869">
      <w:pPr>
        <w:pStyle w:val="Heading2"/>
      </w:pPr>
      <w:bookmarkStart w:id="2" w:name="_Toc401758734"/>
      <w:r>
        <w:t>1.1</w:t>
      </w:r>
      <w:r>
        <w:tab/>
      </w:r>
      <w:r w:rsidRPr="00F51165">
        <w:rPr>
          <w:rStyle w:val="Emphasis"/>
        </w:rPr>
        <w:t>Young Minds Matter</w:t>
      </w:r>
      <w:bookmarkEnd w:id="2"/>
    </w:p>
    <w:p w:rsidR="00427869" w:rsidRDefault="00BC6E60" w:rsidP="00427869">
      <w:pPr>
        <w:pStyle w:val="BodyText"/>
      </w:pPr>
      <w:r>
        <w:t>The s</w:t>
      </w:r>
      <w:r w:rsidR="00427869">
        <w:t>econd Australian Child and Adolescent Survey of Mental Health and Wellbeing (</w:t>
      </w:r>
      <w:r w:rsidR="00427869" w:rsidRPr="002D58C6">
        <w:rPr>
          <w:rStyle w:val="Emphasis"/>
        </w:rPr>
        <w:t>Young Minds Matter</w:t>
      </w:r>
      <w:r w:rsidR="00427869">
        <w:t xml:space="preserve">) was designed to provide current information about the mental health and wellbeing of </w:t>
      </w:r>
      <w:r w:rsidR="00427869">
        <w:lastRenderedPageBreak/>
        <w:t xml:space="preserve">children and adolescents in Australia and the extent to which they use health and education services to obtain help with problems. </w:t>
      </w:r>
    </w:p>
    <w:p w:rsidR="00427869" w:rsidRDefault="00427869" w:rsidP="00427869">
      <w:pPr>
        <w:pStyle w:val="BodyText"/>
      </w:pPr>
      <w:r>
        <w:t>The main aims of the survey were to determine:</w:t>
      </w:r>
    </w:p>
    <w:p w:rsidR="00427869" w:rsidRDefault="00427869" w:rsidP="00427869">
      <w:pPr>
        <w:pStyle w:val="NumberedList"/>
        <w:ind w:left="1003" w:hanging="357"/>
      </w:pPr>
      <w:r>
        <w:t xml:space="preserve">1. </w:t>
      </w:r>
      <w:r>
        <w:tab/>
        <w:t xml:space="preserve">How many children and adolescents have which mental health problems and </w:t>
      </w:r>
      <w:proofErr w:type="gramStart"/>
      <w:r>
        <w:t>disorders.</w:t>
      </w:r>
      <w:proofErr w:type="gramEnd"/>
    </w:p>
    <w:p w:rsidR="00427869" w:rsidRDefault="00427869" w:rsidP="00427869">
      <w:pPr>
        <w:pStyle w:val="NumberedList"/>
        <w:ind w:left="1003" w:hanging="357"/>
      </w:pPr>
      <w:r>
        <w:t xml:space="preserve">2. </w:t>
      </w:r>
      <w:r>
        <w:tab/>
        <w:t>The nature of these mental health problems and disorders.</w:t>
      </w:r>
    </w:p>
    <w:p w:rsidR="00427869" w:rsidRDefault="00427869" w:rsidP="00427869">
      <w:pPr>
        <w:pStyle w:val="NumberedList"/>
        <w:ind w:left="1003" w:hanging="357"/>
      </w:pPr>
      <w:r>
        <w:t xml:space="preserve">3. </w:t>
      </w:r>
      <w:r>
        <w:tab/>
        <w:t>The impact of these problems and disorders.</w:t>
      </w:r>
    </w:p>
    <w:p w:rsidR="00427869" w:rsidRDefault="00427869" w:rsidP="00427869">
      <w:pPr>
        <w:pStyle w:val="NumberedList"/>
        <w:ind w:left="1003" w:hanging="357"/>
      </w:pPr>
      <w:r>
        <w:t xml:space="preserve">4. </w:t>
      </w:r>
      <w:r>
        <w:tab/>
        <w:t xml:space="preserve">How many children and adolescents have used services for mental health problems and </w:t>
      </w:r>
      <w:proofErr w:type="gramStart"/>
      <w:r>
        <w:t>disorders.</w:t>
      </w:r>
      <w:proofErr w:type="gramEnd"/>
    </w:p>
    <w:p w:rsidR="00427869" w:rsidRDefault="00427869" w:rsidP="00427869">
      <w:pPr>
        <w:pStyle w:val="NumberedList"/>
        <w:ind w:left="1003" w:hanging="357"/>
      </w:pPr>
      <w:r>
        <w:t xml:space="preserve">5. </w:t>
      </w:r>
      <w:r>
        <w:tab/>
        <w:t>The role of the education sector in providing services for children and adolescents with mental health problems and disorders.</w:t>
      </w:r>
    </w:p>
    <w:p w:rsidR="00427869" w:rsidRDefault="00427869" w:rsidP="00427869">
      <w:pPr>
        <w:pStyle w:val="BodyText"/>
      </w:pPr>
      <w:r>
        <w:t xml:space="preserve">In order to fulfil these aims a broad range of information was collected from parents and carers, and adolescents themselves. This included diagnostic modules, questions specifically tailored for the Australian health care environment and schools, and sections dealing with current practices, including the use of the internet. Background information about the environment in which </w:t>
      </w:r>
      <w:proofErr w:type="gramStart"/>
      <w:r>
        <w:t>young people live and develop, including the functioning of families and mental health of their parents and carers, and their experiences at school and online, was</w:t>
      </w:r>
      <w:proofErr w:type="gramEnd"/>
      <w:r>
        <w:t xml:space="preserve"> also collected.</w:t>
      </w:r>
    </w:p>
    <w:p w:rsidR="00427869" w:rsidRDefault="00427869" w:rsidP="00427869">
      <w:pPr>
        <w:pStyle w:val="BodyText"/>
      </w:pPr>
      <w:r>
        <w:t xml:space="preserve">Mental disorders were assessed using specific diagnostic modules from the </w:t>
      </w:r>
      <w:r w:rsidRPr="008B708C">
        <w:t>Diagnostic Interview Schedule for Children Version IV (DISC-IV)</w:t>
      </w:r>
      <w:r>
        <w:t xml:space="preserve"> and a specifically developed Impact on Functioning module. The DISC-IV</w:t>
      </w:r>
      <w:r w:rsidRPr="008B708C">
        <w:t xml:space="preserve"> is a standardised</w:t>
      </w:r>
      <w:r>
        <w:t xml:space="preserve"> diagnostic</w:t>
      </w:r>
      <w:r w:rsidRPr="008B708C">
        <w:t xml:space="preserve"> instrument developed under the auspices of the United States National Institute of Mental Health</w:t>
      </w:r>
      <w:r>
        <w:t xml:space="preserve">, which is </w:t>
      </w:r>
      <w:r w:rsidRPr="00E879E7">
        <w:t>used worldwide</w:t>
      </w:r>
      <w:r>
        <w:t xml:space="preserve"> to assess mental disorders in large samples. Disorder status is determined according to the </w:t>
      </w:r>
      <w:r w:rsidRPr="00BD3F03">
        <w:t xml:space="preserve">criteria of the </w:t>
      </w:r>
      <w:r w:rsidRPr="003B1461">
        <w:rPr>
          <w:rStyle w:val="Emphasis"/>
        </w:rPr>
        <w:t>Diagnostic and Statistical Manual of Mental Disorders Version IV</w:t>
      </w:r>
      <w:r>
        <w:t xml:space="preserve"> </w:t>
      </w:r>
      <w:r w:rsidRPr="00BD3F03">
        <w:t>(DSM</w:t>
      </w:r>
      <w:r w:rsidRPr="00BD3F03">
        <w:noBreakHyphen/>
        <w:t>IV), which is the diagnostic classification system</w:t>
      </w:r>
      <w:r w:rsidR="00105148">
        <w:t xml:space="preserve"> used clinically world</w:t>
      </w:r>
      <w:r>
        <w:t xml:space="preserve">wide. DISC-IV modules for seven disorders were included in the survey: </w:t>
      </w:r>
    </w:p>
    <w:p w:rsidR="00427869" w:rsidRDefault="00427869" w:rsidP="00590512">
      <w:pPr>
        <w:pStyle w:val="NumberedList"/>
        <w:numPr>
          <w:ilvl w:val="0"/>
          <w:numId w:val="6"/>
        </w:numPr>
      </w:pPr>
      <w:r>
        <w:t>Anxiety disorders: Social phobia, separation anxiety disorder, generalised anxiety disorder and obsessive-compulsive disorder;</w:t>
      </w:r>
    </w:p>
    <w:p w:rsidR="00427869" w:rsidRDefault="00427869" w:rsidP="00590512">
      <w:pPr>
        <w:pStyle w:val="NumberedList"/>
        <w:numPr>
          <w:ilvl w:val="0"/>
          <w:numId w:val="6"/>
        </w:numPr>
      </w:pPr>
      <w:r>
        <w:t>Major depressive disorder;</w:t>
      </w:r>
    </w:p>
    <w:p w:rsidR="00427869" w:rsidRDefault="00427869" w:rsidP="00590512">
      <w:pPr>
        <w:pStyle w:val="NumberedList"/>
        <w:numPr>
          <w:ilvl w:val="0"/>
          <w:numId w:val="6"/>
        </w:numPr>
      </w:pPr>
      <w:r>
        <w:t>Attention-Deficit/Hyperactivity Disorder (ADHD); and</w:t>
      </w:r>
    </w:p>
    <w:p w:rsidR="00427869" w:rsidRDefault="00427869" w:rsidP="00590512">
      <w:pPr>
        <w:pStyle w:val="NumberedList"/>
        <w:numPr>
          <w:ilvl w:val="0"/>
          <w:numId w:val="6"/>
        </w:numPr>
      </w:pPr>
      <w:r>
        <w:t>Conduct disorder.</w:t>
      </w:r>
    </w:p>
    <w:p w:rsidR="00427869" w:rsidRPr="00B25F74" w:rsidRDefault="00427869" w:rsidP="00427869">
      <w:pPr>
        <w:pStyle w:val="Heading2"/>
      </w:pPr>
      <w:bookmarkStart w:id="3" w:name="_Toc401758735"/>
      <w:r w:rsidRPr="00B25F74">
        <w:t>1.2</w:t>
      </w:r>
      <w:r w:rsidRPr="00B25F74">
        <w:tab/>
        <w:t>Who conducted the survey</w:t>
      </w:r>
      <w:bookmarkEnd w:id="3"/>
      <w:r>
        <w:t>?</w:t>
      </w:r>
    </w:p>
    <w:p w:rsidR="00427869" w:rsidRDefault="00427869" w:rsidP="00427869">
      <w:pPr>
        <w:pStyle w:val="BodyText"/>
      </w:pPr>
      <w:r>
        <w:t xml:space="preserve">The Australian Government Department of Health funded </w:t>
      </w:r>
      <w:r w:rsidRPr="003B1461">
        <w:rPr>
          <w:rStyle w:val="Emphasis"/>
        </w:rPr>
        <w:t>Young Minds Matter</w:t>
      </w:r>
      <w:r w:rsidR="005C3769">
        <w:t xml:space="preserve"> and commissioned T</w:t>
      </w:r>
      <w:r>
        <w:t xml:space="preserve">he University of Western Australia to undertake the survey through the Telethon Kids Institute in partnership with Roy Morgan Research. Data were collected between June 2013 and April 2014 by trained interviewers. </w:t>
      </w:r>
    </w:p>
    <w:p w:rsidR="00427869" w:rsidRDefault="00427869" w:rsidP="00427869">
      <w:pPr>
        <w:pStyle w:val="BodyText"/>
      </w:pPr>
      <w:r>
        <w:lastRenderedPageBreak/>
        <w:t>The survey was developed with guidance from a Survey Reference Group, comprising over 20 experts in mental health for children and adolescents (spanning the health, education and community sectors), as well as consumer and community representatives.</w:t>
      </w:r>
    </w:p>
    <w:p w:rsidR="00427869" w:rsidRDefault="00427869" w:rsidP="00427869">
      <w:pPr>
        <w:pStyle w:val="Heading2"/>
      </w:pPr>
      <w:bookmarkStart w:id="4" w:name="_Toc401758736"/>
      <w:r w:rsidRPr="00B25F74">
        <w:t>1.3</w:t>
      </w:r>
      <w:r w:rsidRPr="00B25F74">
        <w:tab/>
      </w:r>
      <w:r>
        <w:t>Who was surveyed?</w:t>
      </w:r>
    </w:p>
    <w:p w:rsidR="00427869" w:rsidRDefault="00427869" w:rsidP="00427869">
      <w:pPr>
        <w:pStyle w:val="BodyText"/>
      </w:pPr>
      <w:r>
        <w:t>The survey aimed to collect information from 5,500 randomly sampled families who had children and adolescents aged 4-17 years from across the country, with the exception of very remote areas. An additional random sample of 800 families with adolescents aged 16-17 years was also undertaken to enable specific estimates to be produced for this age group. In total 76,606 households were approached and those eligible households with children in the age range were visited up to a maximum of six times to make contact with the household.</w:t>
      </w:r>
    </w:p>
    <w:p w:rsidR="00427869" w:rsidRDefault="00427869" w:rsidP="00427869">
      <w:pPr>
        <w:pStyle w:val="BodyText"/>
      </w:pPr>
      <w:r>
        <w:t>Area based sampling was used to select both samples and where there was more than one child in a household, a child was selected at random by a computer.</w:t>
      </w:r>
    </w:p>
    <w:p w:rsidR="00427869" w:rsidRDefault="00427869" w:rsidP="00427869">
      <w:pPr>
        <w:pStyle w:val="BodyText"/>
      </w:pPr>
      <w:r>
        <w:t>In total 6,310 parents and carers or 55% of eligible households responded and 2,967 or 89% young people aged 11-17 years in those households for whom their parents or carers had given permission also completed a questionnaire.</w:t>
      </w:r>
    </w:p>
    <w:p w:rsidR="00427869" w:rsidRDefault="00427869" w:rsidP="00427869">
      <w:pPr>
        <w:pStyle w:val="BodyText"/>
      </w:pPr>
      <w:r>
        <w:t>Analyses showed the sample to be representative of Australian children and adolescents aged 4-17 years on the basis of the age and sex of the child, family structure, parental education, income and employment, housing tenure and country of birth of both children and adolescents and their parents and carers.</w:t>
      </w:r>
    </w:p>
    <w:p w:rsidR="00427869" w:rsidRDefault="00427869" w:rsidP="00427869">
      <w:pPr>
        <w:pStyle w:val="Heading2"/>
      </w:pPr>
      <w:r>
        <w:t>1.4</w:t>
      </w:r>
      <w:r w:rsidRPr="00B25F74">
        <w:tab/>
      </w:r>
      <w:r>
        <w:t>What were they asked?</w:t>
      </w:r>
    </w:p>
    <w:p w:rsidR="00427869" w:rsidRDefault="00427869" w:rsidP="00427869">
      <w:pPr>
        <w:pStyle w:val="BodyText"/>
      </w:pPr>
      <w:r>
        <w:t>The survey was based on a face-to-face interview with the parent or primary carer for each selected child. When the selected child was aged 11 years or older, they were also invited to complete a confidential questionnaire on a tablet computer.</w:t>
      </w:r>
    </w:p>
    <w:p w:rsidR="00427869" w:rsidRDefault="00427869" w:rsidP="00427869">
      <w:pPr>
        <w:pStyle w:val="BodyText"/>
      </w:pPr>
      <w:r>
        <w:t>The parent and carer interview comprised the following modules:</w:t>
      </w:r>
    </w:p>
    <w:p w:rsidR="00427869" w:rsidRDefault="00427869" w:rsidP="00590512">
      <w:pPr>
        <w:pStyle w:val="ListParagraph"/>
        <w:numPr>
          <w:ilvl w:val="0"/>
          <w:numId w:val="5"/>
        </w:numPr>
      </w:pPr>
      <w:r>
        <w:t>Demographics;</w:t>
      </w:r>
    </w:p>
    <w:p w:rsidR="00427869" w:rsidRDefault="00427869" w:rsidP="00590512">
      <w:pPr>
        <w:pStyle w:val="ListParagraph"/>
        <w:numPr>
          <w:ilvl w:val="0"/>
          <w:numId w:val="5"/>
        </w:numPr>
      </w:pPr>
      <w:r>
        <w:t>Diagnostic Interview Schedule for Children (DISC-IV) modules;</w:t>
      </w:r>
    </w:p>
    <w:p w:rsidR="00427869" w:rsidRDefault="00427869" w:rsidP="00590512">
      <w:pPr>
        <w:pStyle w:val="ListParagraph"/>
        <w:numPr>
          <w:ilvl w:val="0"/>
          <w:numId w:val="5"/>
        </w:numPr>
      </w:pPr>
      <w:r>
        <w:t>Level of functional impairment;</w:t>
      </w:r>
    </w:p>
    <w:p w:rsidR="00427869" w:rsidRDefault="00427869" w:rsidP="00590512">
      <w:pPr>
        <w:pStyle w:val="ListParagraph"/>
        <w:numPr>
          <w:ilvl w:val="0"/>
          <w:numId w:val="5"/>
        </w:numPr>
      </w:pPr>
      <w:r>
        <w:t>Strengths and Difficulties Questionnaire (SDQ);</w:t>
      </w:r>
    </w:p>
    <w:p w:rsidR="00427869" w:rsidRDefault="00427869" w:rsidP="00590512">
      <w:pPr>
        <w:pStyle w:val="ListParagraph"/>
        <w:numPr>
          <w:ilvl w:val="0"/>
          <w:numId w:val="5"/>
        </w:numPr>
      </w:pPr>
      <w:r>
        <w:t>Use of services and perceived need for services;</w:t>
      </w:r>
    </w:p>
    <w:p w:rsidR="00427869" w:rsidRDefault="00427869" w:rsidP="00590512">
      <w:pPr>
        <w:pStyle w:val="ListParagraph"/>
        <w:numPr>
          <w:ilvl w:val="0"/>
          <w:numId w:val="5"/>
        </w:numPr>
      </w:pPr>
      <w:r>
        <w:t>Education; and</w:t>
      </w:r>
    </w:p>
    <w:p w:rsidR="00427869" w:rsidRDefault="00427869" w:rsidP="00590512">
      <w:pPr>
        <w:pStyle w:val="ListParagraph"/>
        <w:numPr>
          <w:ilvl w:val="0"/>
          <w:numId w:val="5"/>
        </w:numPr>
      </w:pPr>
      <w:r>
        <w:t>Family characteristics, including measures of parental mental health and family functioning.</w:t>
      </w:r>
    </w:p>
    <w:p w:rsidR="00427869" w:rsidRDefault="00427869" w:rsidP="00427869">
      <w:pPr>
        <w:pStyle w:val="BodyText"/>
      </w:pPr>
      <w:r>
        <w:t>The youth questionnaire comprised the following modules:</w:t>
      </w:r>
    </w:p>
    <w:p w:rsidR="00427869" w:rsidRDefault="00427869" w:rsidP="00590512">
      <w:pPr>
        <w:pStyle w:val="ListParagraph"/>
        <w:numPr>
          <w:ilvl w:val="0"/>
          <w:numId w:val="5"/>
        </w:numPr>
      </w:pPr>
      <w:r>
        <w:t>DISC-IV major depressive disorder module;</w:t>
      </w:r>
    </w:p>
    <w:p w:rsidR="00427869" w:rsidRDefault="00427869" w:rsidP="00590512">
      <w:pPr>
        <w:pStyle w:val="ListParagraph"/>
        <w:numPr>
          <w:ilvl w:val="0"/>
          <w:numId w:val="5"/>
        </w:numPr>
      </w:pPr>
      <w:r>
        <w:t>Presence of symptoms of psychosis;</w:t>
      </w:r>
    </w:p>
    <w:p w:rsidR="00427869" w:rsidRDefault="00427869" w:rsidP="00590512">
      <w:pPr>
        <w:pStyle w:val="ListParagraph"/>
        <w:numPr>
          <w:ilvl w:val="0"/>
          <w:numId w:val="5"/>
        </w:numPr>
      </w:pPr>
      <w:r>
        <w:t>Strengths and Difficulties Questionnaire (SDQ);</w:t>
      </w:r>
    </w:p>
    <w:p w:rsidR="00427869" w:rsidRDefault="00427869" w:rsidP="00590512">
      <w:pPr>
        <w:pStyle w:val="ListParagraph"/>
        <w:numPr>
          <w:ilvl w:val="0"/>
          <w:numId w:val="5"/>
        </w:numPr>
      </w:pPr>
      <w:r>
        <w:lastRenderedPageBreak/>
        <w:t>An enhanced version of the Kessler 10 Psychological Distress Scale (K10+);</w:t>
      </w:r>
    </w:p>
    <w:p w:rsidR="00427869" w:rsidRDefault="00427869" w:rsidP="00590512">
      <w:pPr>
        <w:pStyle w:val="ListParagraph"/>
        <w:numPr>
          <w:ilvl w:val="0"/>
          <w:numId w:val="5"/>
        </w:numPr>
      </w:pPr>
      <w:r>
        <w:t>Use of services and perceived need for services;</w:t>
      </w:r>
    </w:p>
    <w:p w:rsidR="00427869" w:rsidRDefault="00427869" w:rsidP="00590512">
      <w:pPr>
        <w:pStyle w:val="ListParagraph"/>
        <w:numPr>
          <w:ilvl w:val="0"/>
          <w:numId w:val="5"/>
        </w:numPr>
      </w:pPr>
      <w:r>
        <w:t>Use of internet and electronic games;</w:t>
      </w:r>
    </w:p>
    <w:p w:rsidR="00427869" w:rsidRDefault="00427869" w:rsidP="00590512">
      <w:pPr>
        <w:pStyle w:val="ListParagraph"/>
        <w:numPr>
          <w:ilvl w:val="0"/>
          <w:numId w:val="5"/>
        </w:numPr>
      </w:pPr>
      <w:r>
        <w:t>Youth health-risk behaviours, including self-harm, suicidal behaviours, substance use, problem eating behaviours and sexual behaviour;</w:t>
      </w:r>
    </w:p>
    <w:p w:rsidR="00427869" w:rsidRDefault="00427869" w:rsidP="00590512">
      <w:pPr>
        <w:pStyle w:val="ListParagraph"/>
        <w:numPr>
          <w:ilvl w:val="0"/>
          <w:numId w:val="5"/>
        </w:numPr>
      </w:pPr>
      <w:r>
        <w:t>Experience of bullying;</w:t>
      </w:r>
    </w:p>
    <w:p w:rsidR="00427869" w:rsidRDefault="00427869" w:rsidP="00590512">
      <w:pPr>
        <w:pStyle w:val="ListParagraph"/>
        <w:numPr>
          <w:ilvl w:val="0"/>
          <w:numId w:val="5"/>
        </w:numPr>
      </w:pPr>
      <w:r>
        <w:t>Level of education; and</w:t>
      </w:r>
    </w:p>
    <w:p w:rsidR="00427869" w:rsidRDefault="00427869" w:rsidP="00590512">
      <w:pPr>
        <w:pStyle w:val="ListParagraph"/>
        <w:numPr>
          <w:ilvl w:val="0"/>
          <w:numId w:val="5"/>
        </w:numPr>
      </w:pPr>
      <w:r>
        <w:t>Level of self-esteem.</w:t>
      </w:r>
    </w:p>
    <w:p w:rsidR="00427869" w:rsidRDefault="00427869" w:rsidP="00427869">
      <w:pPr>
        <w:pStyle w:val="Heading2"/>
      </w:pPr>
      <w:r>
        <w:t>1.5</w:t>
      </w:r>
      <w:r>
        <w:tab/>
      </w:r>
      <w:r w:rsidRPr="006E3C68">
        <w:t>Strengths and limitations of the survey</w:t>
      </w:r>
    </w:p>
    <w:p w:rsidR="00427869" w:rsidRDefault="00427869" w:rsidP="00427869">
      <w:pPr>
        <w:pStyle w:val="BodyText"/>
      </w:pPr>
      <w:r>
        <w:t>The survey provides estimates of the prevalence of mental disorders in children and adolescents in Australia using a methodology that assesses these against the DSM-IV diagnostic criteria used in most clinical settings. For the purposes of the survey seven DISC-IV modules were used, assessing seven mental disorders. T</w:t>
      </w:r>
      <w:r w:rsidRPr="0033715E">
        <w:t>he most recent version of the DISC-IV</w:t>
      </w:r>
      <w:r>
        <w:t xml:space="preserve">, however, is </w:t>
      </w:r>
      <w:r w:rsidRPr="0033715E">
        <w:t>able to address more than 30 psychiatric diagnoses</w:t>
      </w:r>
      <w:r>
        <w:t>. This has had a three-fold effect. Firstly, prevalence data are not available for less common mental disorders. Secondly, there is an underestimation of the comorbidity of disorders, as some young people who participated in the survey may have had other mental disorders not covered. Finally, the overall prevalence of mental disorders among children and adolescents is an underestimate. From evidence of other surveys both in Australia and internationally, these seven disorders are the most common disorders. So, while the exact level of this underestimation is unable to be determined, it is considered to be small in relation to the overall prevalence.</w:t>
      </w:r>
    </w:p>
    <w:p w:rsidR="00427869" w:rsidRDefault="00427869" w:rsidP="00427869">
      <w:pPr>
        <w:pStyle w:val="BodyText"/>
      </w:pPr>
      <w:r>
        <w:t xml:space="preserve">International, standardised instruments for the assessment of mental disorders and mental health problems have been used whenever possible. These include the DISC-IV, the Strengths and Difficulties Questionnaire (SDQ) and the Kessler 10. This will facilitate international comparability of the results, and will allow for the data to be analysed together with that of other Australian surveys and data collections. </w:t>
      </w:r>
    </w:p>
    <w:p w:rsidR="00427869" w:rsidRDefault="00427869" w:rsidP="00427869">
      <w:pPr>
        <w:pStyle w:val="BodyText"/>
      </w:pPr>
      <w:r>
        <w:t>Additional questions have been added to the survey to improve its applicability to the Australian context, particularly in relation to use of services. These questions have been written specifically for this survey to be relevant to the Australian health and education context.</w:t>
      </w:r>
    </w:p>
    <w:p w:rsidR="00427869" w:rsidRDefault="00427869" w:rsidP="00427869">
      <w:pPr>
        <w:pStyle w:val="BodyText"/>
      </w:pPr>
      <w:r>
        <w:t>While it is possible to provide data on primary and secondary school-aged children, the sample was not large enough to provide prevalence data or support further disaggregation of data for single year age groups.</w:t>
      </w:r>
    </w:p>
    <w:p w:rsidR="00427869" w:rsidRDefault="00427869" w:rsidP="00427869">
      <w:pPr>
        <w:pStyle w:val="BodyText"/>
      </w:pPr>
      <w:r>
        <w:t>In spite of systematic efforts to improve approaches to households, reduce refusals and provide incentives for participation, the 55% response rate was lower than expected, and lower than the 70% achieved in the 1998 survey. However, there is little evidence of any systematic biases and the results are considered to be statistically representative of Australian children and adolescents aged 4-17 years.</w:t>
      </w:r>
    </w:p>
    <w:p w:rsidR="00427869" w:rsidRPr="00B25F74" w:rsidRDefault="00427869" w:rsidP="00427869">
      <w:pPr>
        <w:pStyle w:val="Heading2"/>
      </w:pPr>
      <w:r>
        <w:t>1.6</w:t>
      </w:r>
      <w:r>
        <w:tab/>
        <w:t>Presentation of data and s</w:t>
      </w:r>
      <w:r w:rsidRPr="00B25F74">
        <w:t>cope of the report</w:t>
      </w:r>
      <w:bookmarkEnd w:id="4"/>
    </w:p>
    <w:p w:rsidR="00427869" w:rsidRDefault="00427869" w:rsidP="00427869">
      <w:pPr>
        <w:pStyle w:val="BodyText"/>
      </w:pPr>
      <w:r>
        <w:t xml:space="preserve">This report provides the main summary results from </w:t>
      </w:r>
      <w:r w:rsidRPr="003B1461">
        <w:rPr>
          <w:rStyle w:val="Emphasis"/>
        </w:rPr>
        <w:t>Young Minds Matter</w:t>
      </w:r>
      <w:r>
        <w:t>.</w:t>
      </w:r>
    </w:p>
    <w:p w:rsidR="00427869" w:rsidRDefault="00427869" w:rsidP="00427869">
      <w:pPr>
        <w:pStyle w:val="BodyText"/>
      </w:pPr>
      <w:r>
        <w:lastRenderedPageBreak/>
        <w:t>Standard statistical and reporting protocols have been observed throughout the report, and the data processed, analysed and presented as follows:</w:t>
      </w:r>
    </w:p>
    <w:p w:rsidR="00427869" w:rsidRDefault="00427869" w:rsidP="00590512">
      <w:pPr>
        <w:pStyle w:val="NumberedList"/>
        <w:numPr>
          <w:ilvl w:val="0"/>
          <w:numId w:val="6"/>
        </w:numPr>
      </w:pPr>
      <w:r>
        <w:t>Data from both the main sample and oversample of 16 and 17 year</w:t>
      </w:r>
      <w:r>
        <w:noBreakHyphen/>
        <w:t>olds have been combined into a single data set and weighted appropriately to represent the population of children and adolescents aged 4-17 years in Australia.</w:t>
      </w:r>
    </w:p>
    <w:p w:rsidR="00427869" w:rsidRDefault="00427869" w:rsidP="00590512">
      <w:pPr>
        <w:pStyle w:val="NumberedList"/>
        <w:numPr>
          <w:ilvl w:val="0"/>
          <w:numId w:val="6"/>
        </w:numPr>
      </w:pPr>
      <w:r>
        <w:t>The data have been collated from the responses by parents and carers, and adolescents aged 11-17 years. When they are from adolescent self-reports this has been noted.</w:t>
      </w:r>
    </w:p>
    <w:p w:rsidR="00427869" w:rsidRDefault="00427869" w:rsidP="00590512">
      <w:pPr>
        <w:pStyle w:val="NumberedList"/>
        <w:numPr>
          <w:ilvl w:val="0"/>
          <w:numId w:val="6"/>
        </w:numPr>
      </w:pPr>
      <w:r>
        <w:t>Where table cells were based on less than five individuals, the data have been suppressed.</w:t>
      </w:r>
    </w:p>
    <w:p w:rsidR="00427869" w:rsidRDefault="00427869" w:rsidP="00590512">
      <w:pPr>
        <w:pStyle w:val="NumberedList"/>
        <w:numPr>
          <w:ilvl w:val="0"/>
          <w:numId w:val="6"/>
        </w:numPr>
      </w:pPr>
      <w:r>
        <w:t>The 95% confidence intervals for all data have been examined and only those differences that are statistically significant (i.e. not likely to be due to chance) with this level of confidence have been highlighted in the text.</w:t>
      </w:r>
    </w:p>
    <w:p w:rsidR="00427869" w:rsidRDefault="00427869" w:rsidP="00427869">
      <w:pPr>
        <w:pStyle w:val="BodyText"/>
      </w:pPr>
      <w:r>
        <w:t>The report includes estimates of the number of children and adolescents who have mental disorders and social and emotional problems. The primary findings on the prevalence of mental disorders presented in Chapter 2 and data on the four specific types of disorders covered in Chapters 3 to 6 are based on the reports of the parent or primary carer for each child. Prevalence of major depressive disorder based on the reports of young people themselves is included in Chapter 10.</w:t>
      </w:r>
    </w:p>
    <w:p w:rsidR="00427869" w:rsidRDefault="00427869" w:rsidP="00427869">
      <w:pPr>
        <w:pStyle w:val="BodyText"/>
      </w:pPr>
      <w:r>
        <w:t>A particular focus of the survey was on the use of services in the health and education sectors. Service use, by health service providers, in schools, telephone and online services are covered in Chapter 7 and Chapter 13 presents what young people reported about what they used, also including informal supports. Further information on the role of schools is provided in Chapter 9.</w:t>
      </w:r>
    </w:p>
    <w:p w:rsidR="00427869" w:rsidRDefault="00427869" w:rsidP="00427869">
      <w:pPr>
        <w:pStyle w:val="BodyText"/>
      </w:pPr>
      <w:r>
        <w:t>The survey included an assessment by each primary carer of whether they felt their child needed help or support for any emotional or behavioural problems, what support or services they received, and whether they felt the support met their children’s needs. Where parents or carers identified needs that were not being met, the survey sought to identify the reasons or barriers for not seeking or receiving further services. This information on perceived need is covered in Chapter 8.</w:t>
      </w:r>
    </w:p>
    <w:p w:rsidR="00427869" w:rsidRDefault="00427869" w:rsidP="00427869">
      <w:pPr>
        <w:pStyle w:val="BodyText"/>
      </w:pPr>
      <w:r>
        <w:t xml:space="preserve">Self-harm and suicidality, and the use of alcohol and other drugs, and problem eating behaviours, as reported by young people themselves, are covered in Chapters 11 and 12. </w:t>
      </w:r>
    </w:p>
    <w:p w:rsidR="00427869" w:rsidRDefault="00427869" w:rsidP="00427869">
      <w:pPr>
        <w:pStyle w:val="BodyText"/>
      </w:pPr>
      <w:r>
        <w:t>The Appendix provides more detailed information on the methodology and technical issues, as well as further information on access to online tables and the Confidentialised Unit Record File, which is available subject to the necessary approvals through the Australian Data Archive.</w:t>
      </w:r>
    </w:p>
    <w:p w:rsidR="00427869" w:rsidRDefault="00427869" w:rsidP="00427869">
      <w:pPr>
        <w:pStyle w:val="BodyText"/>
      </w:pPr>
      <w:r>
        <w:t>A Glossary of terms used in the survey and this report is also appended.</w:t>
      </w:r>
      <w:r>
        <w:tab/>
      </w:r>
    </w:p>
    <w:p w:rsidR="00427869" w:rsidRDefault="00427869" w:rsidP="00427869">
      <w:pPr>
        <w:pStyle w:val="BodyText"/>
      </w:pPr>
    </w:p>
    <w:p w:rsidR="00C827EF" w:rsidRDefault="00C827EF" w:rsidP="00DB066C">
      <w:pPr>
        <w:jc w:val="center"/>
        <w:sectPr w:rsidR="00C827EF" w:rsidSect="003330E0">
          <w:headerReference w:type="even" r:id="rId54"/>
          <w:headerReference w:type="default" r:id="rId55"/>
          <w:footerReference w:type="default" r:id="rId56"/>
          <w:pgSz w:w="11906" w:h="16838" w:code="9"/>
          <w:pgMar w:top="1440" w:right="1440" w:bottom="1440" w:left="1440" w:header="567" w:footer="567" w:gutter="0"/>
          <w:pgNumType w:start="29"/>
          <w:cols w:space="720"/>
          <w:docGrid w:linePitch="360"/>
        </w:sectPr>
      </w:pPr>
    </w:p>
    <w:p w:rsidR="00C827EF" w:rsidRPr="00021881" w:rsidRDefault="00C827EF" w:rsidP="00C827EF">
      <w:pPr>
        <w:pStyle w:val="IntroText"/>
      </w:pPr>
      <w:r w:rsidRPr="00021881">
        <w:rPr>
          <w:noProof/>
          <w:lang w:eastAsia="en-AU"/>
        </w:rPr>
        <w:lastRenderedPageBreak/>
        <mc:AlternateContent>
          <mc:Choice Requires="wps">
            <w:drawing>
              <wp:anchor distT="0" distB="0" distL="114300" distR="114300" simplePos="0" relativeHeight="251663360" behindDoc="1" locked="0" layoutInCell="1" allowOverlap="1" wp14:anchorId="42D6F234" wp14:editId="4B168D61">
                <wp:simplePos x="0" y="0"/>
                <wp:positionH relativeFrom="column">
                  <wp:posOffset>-1474298</wp:posOffset>
                </wp:positionH>
                <wp:positionV relativeFrom="paragraph">
                  <wp:posOffset>-968991</wp:posOffset>
                </wp:positionV>
                <wp:extent cx="8218008" cy="11252200"/>
                <wp:effectExtent l="0" t="0" r="0" b="6350"/>
                <wp:wrapNone/>
                <wp:docPr id="15" name="Rectangle 15"/>
                <wp:cNvGraphicFramePr/>
                <a:graphic xmlns:a="http://schemas.openxmlformats.org/drawingml/2006/main">
                  <a:graphicData uri="http://schemas.microsoft.com/office/word/2010/wordprocessingShape">
                    <wps:wsp>
                      <wps:cNvSpPr/>
                      <wps:spPr>
                        <a:xfrm>
                          <a:off x="0" y="0"/>
                          <a:ext cx="8218008"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C827EF">
                            <w:pPr>
                              <w:pStyle w:val="Intro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116.1pt;margin-top:-76.3pt;width:647.1pt;height:8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" fillcolor="#eff3ff" stroked="f" strokeweight="2pt">
                <v:fill opacity="56283f"/>
                <v:textbox>
                  <w:txbxContent>
                    <w:p w:rsidR="00711229" w:rsidRDefault="00711229" w:rsidP="00C827EF">
                      <w:pPr>
                        <w:pStyle w:val="IntroText"/>
                      </w:pPr>
                      <w:r>
                        <w:softHyphen/>
                      </w:r>
                      <w:r>
                        <w:softHyphen/>
                      </w:r>
                    </w:p>
                  </w:txbxContent>
                </v:textbox>
              </v:rect>
            </w:pict>
          </mc:Fallback>
        </mc:AlternateContent>
      </w:r>
    </w:p>
    <w:p w:rsidR="00C827EF" w:rsidRPr="00426007" w:rsidRDefault="00C827EF" w:rsidP="00C827EF">
      <w:pPr>
        <w:pStyle w:val="PartHeading"/>
        <w:rPr>
          <w:sz w:val="40"/>
          <w:szCs w:val="40"/>
        </w:rPr>
      </w:pPr>
      <w:r w:rsidRPr="00426007">
        <w:rPr>
          <w:sz w:val="40"/>
          <w:szCs w:val="40"/>
        </w:rPr>
        <w:t>PART 2</w:t>
      </w:r>
    </w:p>
    <w:p w:rsidR="00C827EF" w:rsidRPr="00021881" w:rsidRDefault="00C827EF" w:rsidP="00C827EF">
      <w:pPr>
        <w:pStyle w:val="PartHeading"/>
      </w:pPr>
      <w:r w:rsidRPr="00021881">
        <w:t>Prevalence of mental disorders in children and adolescents</w:t>
      </w:r>
    </w:p>
    <w:p w:rsidR="00C827EF" w:rsidRPr="00021881" w:rsidRDefault="00C827EF" w:rsidP="00C827EF">
      <w:pPr>
        <w:pStyle w:val="IntroText"/>
        <w:spacing w:before="900"/>
      </w:pPr>
      <w:r w:rsidRPr="00021881">
        <w:t>A key aim of the survey was to provide current estimates of the prevalence of mental disorders in Australian children and adolescents.</w:t>
      </w:r>
    </w:p>
    <w:p w:rsidR="00C827EF" w:rsidRPr="00021881" w:rsidRDefault="00C827EF" w:rsidP="00C827EF">
      <w:pPr>
        <w:pStyle w:val="IntroText"/>
      </w:pPr>
      <w:r w:rsidRPr="00021881">
        <w:t>Parents and carers were asked to complete a questionnaire with a trained interviewer consisting of 22 modules. This included a number of diagnostic modules to determine the prevalence of mental disorders in children and adolescents.</w:t>
      </w:r>
    </w:p>
    <w:p w:rsidR="00C827EF" w:rsidRPr="00021881" w:rsidRDefault="00C827EF" w:rsidP="00C827EF">
      <w:pPr>
        <w:pStyle w:val="IntroText"/>
      </w:pPr>
      <w:r w:rsidRPr="00021881">
        <w:t xml:space="preserve">The </w:t>
      </w:r>
      <w:r w:rsidRPr="00021881">
        <w:rPr>
          <w:rStyle w:val="Emphasis"/>
        </w:rPr>
        <w:t>Diagnostic Interview Schedule for Children Version IV</w:t>
      </w:r>
      <w:r w:rsidRPr="00021881">
        <w:rPr>
          <w:i/>
        </w:rPr>
        <w:t xml:space="preserve"> </w:t>
      </w:r>
      <w:r w:rsidRPr="00021881">
        <w:t xml:space="preserve">(DISC-IV) is a validated tool for identifying mental disorders in children and adolescents according to criteria specified in the </w:t>
      </w:r>
      <w:r w:rsidRPr="00021881">
        <w:rPr>
          <w:rStyle w:val="Emphasis"/>
        </w:rPr>
        <w:t>Diagnostic and Statistical Manual for Mental Disorders Version IV</w:t>
      </w:r>
      <w:r w:rsidRPr="00021881">
        <w:rPr>
          <w:i/>
        </w:rPr>
        <w:t xml:space="preserve"> </w:t>
      </w:r>
      <w:r w:rsidRPr="00021881">
        <w:t>(DSM-IV). The DISC-IV was the main tool used to assess mental disorders in children and adolescents. Modules from the DISC-IV administered to parents and carers included:</w:t>
      </w:r>
    </w:p>
    <w:p w:rsidR="00C827EF" w:rsidRPr="00021881" w:rsidRDefault="00C827EF" w:rsidP="00590512">
      <w:pPr>
        <w:pStyle w:val="ListParagraph"/>
        <w:numPr>
          <w:ilvl w:val="0"/>
          <w:numId w:val="7"/>
        </w:numPr>
        <w:rPr>
          <w:sz w:val="24"/>
          <w:szCs w:val="24"/>
        </w:rPr>
      </w:pPr>
      <w:r w:rsidRPr="00021881">
        <w:rPr>
          <w:sz w:val="24"/>
          <w:szCs w:val="24"/>
        </w:rPr>
        <w:t>Anxiety disorders</w:t>
      </w:r>
    </w:p>
    <w:p w:rsidR="00C827EF" w:rsidRPr="00021881" w:rsidRDefault="00C827EF" w:rsidP="00590512">
      <w:pPr>
        <w:pStyle w:val="ListParagraph"/>
        <w:numPr>
          <w:ilvl w:val="1"/>
          <w:numId w:val="8"/>
        </w:numPr>
        <w:rPr>
          <w:sz w:val="24"/>
          <w:szCs w:val="24"/>
        </w:rPr>
      </w:pPr>
      <w:r w:rsidRPr="00021881">
        <w:rPr>
          <w:sz w:val="24"/>
          <w:szCs w:val="24"/>
        </w:rPr>
        <w:t>Social phobia</w:t>
      </w:r>
    </w:p>
    <w:p w:rsidR="00C827EF" w:rsidRPr="00021881" w:rsidRDefault="00C827EF" w:rsidP="00590512">
      <w:pPr>
        <w:pStyle w:val="ListParagraph"/>
        <w:numPr>
          <w:ilvl w:val="1"/>
          <w:numId w:val="8"/>
        </w:numPr>
        <w:rPr>
          <w:sz w:val="24"/>
          <w:szCs w:val="24"/>
        </w:rPr>
      </w:pPr>
      <w:r w:rsidRPr="00021881">
        <w:rPr>
          <w:sz w:val="24"/>
          <w:szCs w:val="24"/>
        </w:rPr>
        <w:t>Separation anxiety disorder</w:t>
      </w:r>
    </w:p>
    <w:p w:rsidR="00C827EF" w:rsidRPr="00021881" w:rsidRDefault="00C827EF" w:rsidP="00590512">
      <w:pPr>
        <w:pStyle w:val="ListParagraph"/>
        <w:numPr>
          <w:ilvl w:val="1"/>
          <w:numId w:val="8"/>
        </w:numPr>
        <w:rPr>
          <w:sz w:val="24"/>
          <w:szCs w:val="24"/>
        </w:rPr>
      </w:pPr>
      <w:r w:rsidRPr="00021881">
        <w:rPr>
          <w:sz w:val="24"/>
          <w:szCs w:val="24"/>
        </w:rPr>
        <w:t>Generalised anxiety disorder</w:t>
      </w:r>
    </w:p>
    <w:p w:rsidR="00C827EF" w:rsidRPr="00021881" w:rsidRDefault="00C827EF" w:rsidP="00590512">
      <w:pPr>
        <w:pStyle w:val="ListParagraph"/>
        <w:numPr>
          <w:ilvl w:val="1"/>
          <w:numId w:val="8"/>
        </w:numPr>
        <w:rPr>
          <w:sz w:val="24"/>
          <w:szCs w:val="24"/>
        </w:rPr>
      </w:pPr>
      <w:r w:rsidRPr="00021881">
        <w:rPr>
          <w:sz w:val="24"/>
          <w:szCs w:val="24"/>
        </w:rPr>
        <w:t>Obsessive-compulsive disorder</w:t>
      </w:r>
    </w:p>
    <w:p w:rsidR="00C827EF" w:rsidRPr="00021881" w:rsidRDefault="00C827EF" w:rsidP="00590512">
      <w:pPr>
        <w:pStyle w:val="ListParagraph"/>
        <w:numPr>
          <w:ilvl w:val="0"/>
          <w:numId w:val="7"/>
        </w:numPr>
        <w:rPr>
          <w:sz w:val="24"/>
          <w:szCs w:val="24"/>
        </w:rPr>
      </w:pPr>
      <w:r w:rsidRPr="00021881">
        <w:rPr>
          <w:sz w:val="24"/>
          <w:szCs w:val="24"/>
        </w:rPr>
        <w:t>Major depressive disorder</w:t>
      </w:r>
    </w:p>
    <w:p w:rsidR="00C827EF" w:rsidRPr="00021881" w:rsidRDefault="00C827EF" w:rsidP="00590512">
      <w:pPr>
        <w:pStyle w:val="ListParagraph"/>
        <w:numPr>
          <w:ilvl w:val="0"/>
          <w:numId w:val="7"/>
        </w:numPr>
        <w:rPr>
          <w:sz w:val="24"/>
          <w:szCs w:val="24"/>
        </w:rPr>
      </w:pPr>
      <w:r w:rsidRPr="00021881">
        <w:rPr>
          <w:sz w:val="24"/>
          <w:szCs w:val="24"/>
        </w:rPr>
        <w:t>Attention-deficit/hyperactivity disorder</w:t>
      </w:r>
    </w:p>
    <w:p w:rsidR="00C827EF" w:rsidRPr="00021881" w:rsidRDefault="00C827EF" w:rsidP="00590512">
      <w:pPr>
        <w:pStyle w:val="ListParagraph"/>
        <w:numPr>
          <w:ilvl w:val="0"/>
          <w:numId w:val="7"/>
        </w:numPr>
        <w:rPr>
          <w:sz w:val="24"/>
          <w:szCs w:val="24"/>
        </w:rPr>
      </w:pPr>
      <w:r w:rsidRPr="00021881">
        <w:rPr>
          <w:sz w:val="24"/>
          <w:szCs w:val="24"/>
        </w:rPr>
        <w:t>Conduct disorder</w:t>
      </w:r>
    </w:p>
    <w:p w:rsidR="00C827EF" w:rsidRDefault="00C827EF" w:rsidP="00C827EF">
      <w:pPr>
        <w:pStyle w:val="IntroText"/>
        <w:rPr>
          <w:rFonts w:ascii="Source Sans Pro" w:hAnsi="Source Sans Pro"/>
        </w:rPr>
        <w:sectPr w:rsidR="00C827EF" w:rsidSect="003330E0">
          <w:headerReference w:type="even" r:id="rId57"/>
          <w:headerReference w:type="default" r:id="rId58"/>
          <w:footerReference w:type="even" r:id="rId59"/>
          <w:footerReference w:type="default" r:id="rId60"/>
          <w:headerReference w:type="first" r:id="rId61"/>
          <w:footerReference w:type="first" r:id="rId62"/>
          <w:pgSz w:w="11906" w:h="16838" w:code="9"/>
          <w:pgMar w:top="1440" w:right="2268" w:bottom="1440" w:left="2268" w:header="567" w:footer="567" w:gutter="0"/>
          <w:pgNumType w:start="23"/>
          <w:cols w:space="720"/>
          <w:titlePg/>
          <w:docGrid w:linePitch="360"/>
        </w:sectPr>
      </w:pPr>
      <w:r w:rsidRPr="00021881">
        <w:t>Responses from parents and carers provided the information necessary for diagnoses of each of these mental disorders according to the DSM-IV diagnostic classification, as well as a measure of the impact of these disorders.</w:t>
      </w:r>
    </w:p>
    <w:p w:rsidR="00C827EF" w:rsidRDefault="00C827EF" w:rsidP="00C827EF">
      <w:pPr>
        <w:pStyle w:val="IntroText"/>
      </w:pPr>
    </w:p>
    <w:p w:rsidR="00C827EF" w:rsidRDefault="00C827EF" w:rsidP="00DB066C">
      <w:pPr>
        <w:jc w:val="center"/>
        <w:sectPr w:rsidR="00C827EF" w:rsidSect="003330E0">
          <w:headerReference w:type="first" r:id="rId63"/>
          <w:pgSz w:w="11906" w:h="16838" w:code="9"/>
          <w:pgMar w:top="1440" w:right="1440" w:bottom="1440" w:left="1440" w:header="567" w:footer="567" w:gutter="0"/>
          <w:pgNumType w:start="35"/>
          <w:cols w:space="720"/>
          <w:titlePg/>
          <w:docGrid w:linePitch="360"/>
        </w:sectPr>
      </w:pPr>
    </w:p>
    <w:p w:rsidR="00C827EF" w:rsidRPr="00F5508B" w:rsidRDefault="00C827EF" w:rsidP="00C827EF">
      <w:pPr>
        <w:pStyle w:val="Heading1"/>
      </w:pPr>
      <w:bookmarkStart w:id="5" w:name="_Toc401758744"/>
      <w:r>
        <w:lastRenderedPageBreak/>
        <w:t>2</w:t>
      </w:r>
      <w:r>
        <w:tab/>
        <w:t>Overview of mental d</w:t>
      </w:r>
      <w:r w:rsidRPr="00F5508B">
        <w:t>isorders (DISC-IV)</w:t>
      </w:r>
      <w:bookmarkEnd w:id="5"/>
    </w:p>
    <w:p w:rsidR="00C827EF" w:rsidRDefault="00C827EF" w:rsidP="00C827EF">
      <w:pPr>
        <w:pStyle w:val="BodyText"/>
      </w:pPr>
      <w:r>
        <w:t xml:space="preserve">Diagnostic modules from the </w:t>
      </w:r>
      <w:r w:rsidRPr="00032B21">
        <w:rPr>
          <w:rStyle w:val="Emphasis"/>
        </w:rPr>
        <w:t xml:space="preserve">Diagnostic Interview Schedule for Children Version IV </w:t>
      </w:r>
      <w:r>
        <w:t>(DISC-IV) were used to assess the seven most common and disabling mental disorders experienced by children and adolescents. These included major depressive disorder, attention-deficit/hyperactivity disorder (ADHD), conduct disorder, and four anxiety disorders. Anxiety is not a single disorder, but a class of disorders, and children and adolescents were assessed for the four anxiety disorders that are most common and cause the greatest distress, namely: social phobia, separation anxiety, generalised anxiety and obsessive-compulsive disorder. The DISC-IV is a standardised instrument used worldwide and developed under the auspices of the United States National Institute of Mental Health. It was used in the first child and adolescent survey in Australia in 1998 and again in this survey to assess the prevalence of mental disorders and the severity of impact of these on Australian children and adolescents.</w:t>
      </w:r>
    </w:p>
    <w:p w:rsidR="00C827EF" w:rsidRPr="00F5508B" w:rsidRDefault="00C827EF" w:rsidP="00C827EF">
      <w:pPr>
        <w:pStyle w:val="Heading2"/>
      </w:pPr>
      <w:bookmarkStart w:id="6" w:name="_Toc401758745"/>
      <w:r>
        <w:t>2</w:t>
      </w:r>
      <w:r w:rsidRPr="00F5508B">
        <w:t xml:space="preserve">.1 </w:t>
      </w:r>
      <w:r>
        <w:tab/>
      </w:r>
      <w:r w:rsidRPr="00F5508B">
        <w:t xml:space="preserve">Overall </w:t>
      </w:r>
      <w:r>
        <w:t>p</w:t>
      </w:r>
      <w:r w:rsidRPr="00F5508B">
        <w:t xml:space="preserve">revalence of </w:t>
      </w:r>
      <w:r>
        <w:t>m</w:t>
      </w:r>
      <w:r w:rsidRPr="00F5508B">
        <w:t>ental disorders</w:t>
      </w:r>
      <w:r>
        <w:t xml:space="preserve"> in children and adolescents</w:t>
      </w:r>
      <w:bookmarkEnd w:id="6"/>
    </w:p>
    <w:p w:rsidR="00C827EF" w:rsidRDefault="00C827EF" w:rsidP="00C827EF">
      <w:pPr>
        <w:pStyle w:val="BodyText"/>
      </w:pPr>
      <w:r>
        <w:t>In the 12 months prior to the survey around one in seven (13.9%) children and adolescents aged 4-17 years experienced a mental disorder (Table 2-</w:t>
      </w:r>
      <w:r>
        <w:rPr>
          <w:noProof/>
        </w:rPr>
        <w:t>1</w:t>
      </w:r>
      <w:r>
        <w:t>). This is equivalent to an estimated 560,000 Australian children and adolescents.</w:t>
      </w:r>
    </w:p>
    <w:p w:rsidR="00C827EF" w:rsidRDefault="00C827EF" w:rsidP="00C827EF">
      <w:pPr>
        <w:pStyle w:val="BodyText"/>
      </w:pPr>
      <w:r w:rsidRPr="00F5508B">
        <w:t>ADHD was the most common mental disorder overall</w:t>
      </w:r>
      <w:r>
        <w:t>, with</w:t>
      </w:r>
      <w:r w:rsidRPr="00F5508B">
        <w:t xml:space="preserve"> </w:t>
      </w:r>
      <w:r>
        <w:t xml:space="preserve">7.4% of children and adolescents assessed as having </w:t>
      </w:r>
      <w:r w:rsidRPr="00F5508B">
        <w:t xml:space="preserve">ADHD in the previous 12 months. </w:t>
      </w:r>
      <w:r>
        <w:t>Anxiety disorders were the next most common (</w:t>
      </w:r>
      <w:r w:rsidRPr="00F5508B">
        <w:t>6.9%</w:t>
      </w:r>
      <w:r>
        <w:t>),</w:t>
      </w:r>
      <w:r w:rsidRPr="00F5508B">
        <w:t xml:space="preserve"> </w:t>
      </w:r>
      <w:r>
        <w:t>followed by</w:t>
      </w:r>
      <w:r w:rsidRPr="00F5508B">
        <w:t xml:space="preserve"> </w:t>
      </w:r>
      <w:r>
        <w:t xml:space="preserve">major </w:t>
      </w:r>
      <w:r w:rsidRPr="00F5508B">
        <w:t xml:space="preserve">depressive disorder </w:t>
      </w:r>
      <w:r>
        <w:t>(</w:t>
      </w:r>
      <w:r w:rsidRPr="00F5508B">
        <w:t>2.8%</w:t>
      </w:r>
      <w:r>
        <w:t>)</w:t>
      </w:r>
      <w:r w:rsidRPr="00F5508B">
        <w:t xml:space="preserve"> and conduct disorder</w:t>
      </w:r>
      <w:r w:rsidRPr="00997D48">
        <w:t xml:space="preserve"> </w:t>
      </w:r>
      <w:r>
        <w:t>(</w:t>
      </w:r>
      <w:r w:rsidRPr="00F5508B">
        <w:t>2.1%</w:t>
      </w:r>
      <w:r>
        <w:t>)</w:t>
      </w:r>
      <w:r w:rsidRPr="00F5508B">
        <w:t>.</w:t>
      </w:r>
      <w:r w:rsidRPr="00484737">
        <w:t xml:space="preserve"> </w:t>
      </w:r>
    </w:p>
    <w:p w:rsidR="00C827EF" w:rsidRDefault="00C827EF" w:rsidP="00C827EF">
      <w:pPr>
        <w:pStyle w:val="Heading3"/>
      </w:pPr>
      <w:bookmarkStart w:id="7" w:name="_Toc401758746"/>
      <w:r>
        <w:t>2.1.1</w:t>
      </w:r>
      <w:r>
        <w:tab/>
        <w:t>Sex and age differences</w:t>
      </w:r>
      <w:bookmarkEnd w:id="7"/>
    </w:p>
    <w:p w:rsidR="00C827EF" w:rsidRDefault="00C827EF" w:rsidP="00C827EF">
      <w:pPr>
        <w:pStyle w:val="BodyText"/>
      </w:pPr>
      <w:r>
        <w:t>The prevalence of mental disorders varied considerably between males and females, with 16.3% of males and 11.5% of females having had a mental disorder in the previous 12 months.</w:t>
      </w:r>
    </w:p>
    <w:p w:rsidR="00C827EF" w:rsidRPr="00F5508B" w:rsidRDefault="00C827EF" w:rsidP="00C827EF">
      <w:pPr>
        <w:pStyle w:val="BodyText"/>
      </w:pPr>
      <w:r>
        <w:t xml:space="preserve">The difference between the sexes was mainly due to the higher prevalence of ADHD in males (10.4% compared with 4.3% for females). Conduct disorder was also more common in males (2.5%) than females (1.6%). However, the </w:t>
      </w:r>
      <w:r w:rsidRPr="00F5508B">
        <w:t>rate of depression</w:t>
      </w:r>
      <w:r>
        <w:t xml:space="preserve"> was slightly higher in females (</w:t>
      </w:r>
      <w:r w:rsidRPr="00F5508B">
        <w:t>3.1% compared</w:t>
      </w:r>
      <w:r>
        <w:t xml:space="preserve"> with</w:t>
      </w:r>
      <w:r w:rsidRPr="00F5508B">
        <w:t xml:space="preserve"> 2.5% in males</w:t>
      </w:r>
      <w:r>
        <w:t>). There was little difference in the prevalence of anxiety disorders.</w:t>
      </w:r>
    </w:p>
    <w:p w:rsidR="00C827EF" w:rsidRDefault="00C827EF" w:rsidP="00C827EF">
      <w:pPr>
        <w:pStyle w:val="Caption"/>
        <w:keepNext/>
      </w:pPr>
      <w:bookmarkStart w:id="8" w:name="_Ref405541806"/>
      <w:bookmarkStart w:id="9" w:name="_Ref405541801"/>
      <w:r>
        <w:t>Table 2-</w:t>
      </w:r>
      <w:r>
        <w:rPr>
          <w:noProof/>
        </w:rPr>
        <w:t>1</w:t>
      </w:r>
      <w:bookmarkEnd w:id="8"/>
      <w:r>
        <w:t xml:space="preserve">: </w:t>
      </w:r>
      <w:r w:rsidRPr="009631AF">
        <w:t>12-month prevalence of mental disorders among 4-17 year-olds by sex</w:t>
      </w:r>
      <w:bookmarkEnd w:id="9"/>
    </w:p>
    <w:tbl>
      <w:tblPr>
        <w:tblW w:w="9099" w:type="dxa"/>
        <w:jc w:val="center"/>
        <w:tblLayout w:type="fixed"/>
        <w:tblCellMar>
          <w:left w:w="0" w:type="dxa"/>
          <w:right w:w="0" w:type="dxa"/>
        </w:tblCellMar>
        <w:tblLook w:val="0020" w:firstRow="1" w:lastRow="0" w:firstColumn="0" w:lastColumn="0" w:noHBand="0" w:noVBand="0"/>
        <w:tblDescription w:val="In Table 2-1 the first column defines mental disorder. Read across the rows for the estimated number of males, the proportion of males, the estimated number of females, the proportion of females and then the estimated number of persons and proportion of persons who have each mental disorder."/>
      </w:tblPr>
      <w:tblGrid>
        <w:gridCol w:w="2264"/>
        <w:gridCol w:w="1139"/>
        <w:gridCol w:w="1139"/>
        <w:gridCol w:w="1139"/>
        <w:gridCol w:w="1139"/>
        <w:gridCol w:w="1139"/>
        <w:gridCol w:w="1140"/>
      </w:tblGrid>
      <w:tr w:rsidR="00C827EF" w:rsidRPr="000862B8" w:rsidTr="00C827EF">
        <w:trPr>
          <w:cantSplit/>
          <w:tblHeader/>
          <w:jc w:val="center"/>
        </w:trPr>
        <w:tc>
          <w:tcPr>
            <w:tcW w:w="2264"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jc w:val="left"/>
              <w:rPr>
                <w:rStyle w:val="Strong"/>
              </w:rPr>
            </w:pPr>
            <w:r w:rsidRPr="00C07B86">
              <w:rPr>
                <w:rStyle w:val="Strong"/>
              </w:rPr>
              <w:t>Disorder</w:t>
            </w:r>
          </w:p>
        </w:tc>
        <w:tc>
          <w:tcPr>
            <w:tcW w:w="113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population estimate</w:t>
            </w:r>
          </w:p>
        </w:tc>
        <w:tc>
          <w:tcPr>
            <w:tcW w:w="1139" w:type="dxa"/>
            <w:tcBorders>
              <w:top w:val="single" w:sz="6" w:space="0" w:color="000000"/>
              <w:left w:val="single" w:sz="4" w:space="0" w:color="FFFFFF"/>
              <w:bottom w:val="single" w:sz="4" w:space="0" w:color="000000"/>
              <w:right w:val="nil"/>
            </w:tcBorders>
            <w:shd w:val="clear" w:color="auto" w:fill="EFF3FF"/>
            <w:vAlign w:val="bottom"/>
          </w:tcPr>
          <w:p w:rsidR="00C827EF" w:rsidRPr="00C07B86" w:rsidRDefault="00C827EF" w:rsidP="00C827EF">
            <w:pPr>
              <w:pStyle w:val="TableColumnHeadings"/>
              <w:rPr>
                <w:rStyle w:val="Strong"/>
              </w:rPr>
            </w:pPr>
            <w:proofErr w:type="gramStart"/>
            <w:r w:rsidRPr="00C07B86">
              <w:rPr>
                <w:rStyle w:val="Strong"/>
              </w:rPr>
              <w:t>Males</w:t>
            </w:r>
            <w:proofErr w:type="gramEnd"/>
            <w:r w:rsidRPr="00C07B86">
              <w:rPr>
                <w:rStyle w:val="Strong"/>
              </w:rPr>
              <w:t xml:space="preserve"> prevalence (%)</w:t>
            </w:r>
          </w:p>
        </w:tc>
        <w:tc>
          <w:tcPr>
            <w:tcW w:w="113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population estimate</w:t>
            </w:r>
          </w:p>
        </w:tc>
        <w:tc>
          <w:tcPr>
            <w:tcW w:w="1139" w:type="dxa"/>
            <w:tcBorders>
              <w:top w:val="single" w:sz="6" w:space="0" w:color="000000"/>
              <w:left w:val="single" w:sz="4" w:space="0" w:color="FFFFFF"/>
              <w:bottom w:val="single" w:sz="4" w:space="0" w:color="000000"/>
              <w:right w:val="nil"/>
            </w:tcBorders>
            <w:shd w:val="clear" w:color="auto" w:fill="EFF3FF"/>
            <w:vAlign w:val="bottom"/>
          </w:tcPr>
          <w:p w:rsidR="00C827EF" w:rsidRPr="00C07B86" w:rsidRDefault="00C827EF" w:rsidP="00C827EF">
            <w:pPr>
              <w:pStyle w:val="TableColumnHeadings"/>
              <w:rPr>
                <w:rStyle w:val="Strong"/>
              </w:rPr>
            </w:pPr>
            <w:proofErr w:type="gramStart"/>
            <w:r w:rsidRPr="00C07B86">
              <w:rPr>
                <w:rStyle w:val="Strong"/>
              </w:rPr>
              <w:t>Females</w:t>
            </w:r>
            <w:proofErr w:type="gramEnd"/>
            <w:r w:rsidRPr="00C07B86">
              <w:rPr>
                <w:rStyle w:val="Strong"/>
              </w:rPr>
              <w:t xml:space="preserve"> prevalence (%)</w:t>
            </w:r>
          </w:p>
        </w:tc>
        <w:tc>
          <w:tcPr>
            <w:tcW w:w="1139"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Persons population estimate</w:t>
            </w:r>
          </w:p>
        </w:tc>
        <w:tc>
          <w:tcPr>
            <w:tcW w:w="1140" w:type="dxa"/>
            <w:tcBorders>
              <w:top w:val="single" w:sz="6" w:space="0" w:color="000000"/>
              <w:left w:val="single" w:sz="4" w:space="0" w:color="FFFFFF"/>
              <w:bottom w:val="single" w:sz="4" w:space="0" w:color="000000"/>
            </w:tcBorders>
            <w:shd w:val="clear" w:color="auto" w:fill="EFF3FF"/>
            <w:vAlign w:val="bottom"/>
          </w:tcPr>
          <w:p w:rsidR="00C827EF" w:rsidRPr="00C07B86" w:rsidRDefault="00C827EF" w:rsidP="00C827EF">
            <w:pPr>
              <w:pStyle w:val="TableColumnHeadings"/>
              <w:rPr>
                <w:rStyle w:val="Strong"/>
              </w:rPr>
            </w:pPr>
            <w:proofErr w:type="gramStart"/>
            <w:r w:rsidRPr="00C07B86">
              <w:rPr>
                <w:rStyle w:val="Strong"/>
              </w:rPr>
              <w:t>Persons</w:t>
            </w:r>
            <w:proofErr w:type="gramEnd"/>
            <w:r w:rsidRPr="00C07B86">
              <w:rPr>
                <w:rStyle w:val="Strong"/>
              </w:rPr>
              <w:t xml:space="preserve"> prevalence (%)</w:t>
            </w:r>
          </w:p>
        </w:tc>
      </w:tr>
      <w:tr w:rsidR="00C827EF" w:rsidRPr="000862B8" w:rsidTr="00C827EF">
        <w:trPr>
          <w:cantSplit/>
          <w:jc w:val="center"/>
        </w:trPr>
        <w:tc>
          <w:tcPr>
            <w:tcW w:w="2264" w:type="dxa"/>
            <w:tcBorders>
              <w:top w:val="nil"/>
              <w:bottom w:val="single" w:sz="4" w:space="0" w:color="FFFFFF"/>
              <w:right w:val="nil"/>
            </w:tcBorders>
            <w:shd w:val="clear" w:color="auto" w:fill="EFF3FF"/>
            <w:tcMar>
              <w:left w:w="40" w:type="dxa"/>
              <w:right w:w="40" w:type="dxa"/>
            </w:tcMar>
          </w:tcPr>
          <w:p w:rsidR="00C827EF" w:rsidRPr="000862B8" w:rsidRDefault="00C827EF" w:rsidP="00C827EF">
            <w:pPr>
              <w:pStyle w:val="TableRowHeadings"/>
            </w:pPr>
            <w:r w:rsidRPr="000862B8">
              <w:t>Anxiety disorders</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145,000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7.0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133,000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6.8</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278,000</w:t>
            </w:r>
          </w:p>
        </w:tc>
        <w:tc>
          <w:tcPr>
            <w:tcW w:w="1140"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6.9</w:t>
            </w:r>
          </w:p>
        </w:tc>
      </w:tr>
      <w:tr w:rsidR="00C827EF" w:rsidRPr="000862B8" w:rsidTr="00C827EF">
        <w:trPr>
          <w:cantSplit/>
          <w:jc w:val="center"/>
        </w:trPr>
        <w:tc>
          <w:tcPr>
            <w:tcW w:w="2264" w:type="dxa"/>
            <w:tcBorders>
              <w:top w:val="nil"/>
              <w:bottom w:val="single" w:sz="4" w:space="0" w:color="FFFFFF"/>
              <w:right w:val="nil"/>
            </w:tcBorders>
            <w:shd w:val="clear" w:color="auto" w:fill="EFF3FF"/>
            <w:tcMar>
              <w:left w:w="40" w:type="dxa"/>
              <w:right w:w="40" w:type="dxa"/>
            </w:tcMar>
          </w:tcPr>
          <w:p w:rsidR="00C827EF" w:rsidRPr="000862B8" w:rsidRDefault="00C827EF" w:rsidP="00C827EF">
            <w:pPr>
              <w:pStyle w:val="TableRowHeadings"/>
            </w:pPr>
            <w:r w:rsidRPr="000862B8">
              <w:t>Major depressive disorder</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50,900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2.5</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61,300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3.1</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112,000</w:t>
            </w:r>
          </w:p>
        </w:tc>
        <w:tc>
          <w:tcPr>
            <w:tcW w:w="1140"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2.8</w:t>
            </w:r>
          </w:p>
        </w:tc>
      </w:tr>
      <w:tr w:rsidR="00C827EF" w:rsidRPr="000862B8" w:rsidTr="00C827EF">
        <w:trPr>
          <w:cantSplit/>
          <w:jc w:val="center"/>
        </w:trPr>
        <w:tc>
          <w:tcPr>
            <w:tcW w:w="2264" w:type="dxa"/>
            <w:tcBorders>
              <w:top w:val="nil"/>
              <w:bottom w:val="single" w:sz="4" w:space="0" w:color="FFFFFF"/>
              <w:right w:val="nil"/>
            </w:tcBorders>
            <w:shd w:val="clear" w:color="auto" w:fill="EFF3FF"/>
            <w:tcMar>
              <w:left w:w="40" w:type="dxa"/>
              <w:right w:w="40" w:type="dxa"/>
            </w:tcMar>
          </w:tcPr>
          <w:p w:rsidR="00C827EF" w:rsidRPr="000862B8" w:rsidRDefault="00C827EF" w:rsidP="00C827EF">
            <w:pPr>
              <w:pStyle w:val="TableRowHeadings"/>
            </w:pPr>
            <w:r w:rsidRPr="000862B8">
              <w:t>ADHD</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215,000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10.4</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83,200</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4.3</w:t>
            </w:r>
          </w:p>
        </w:tc>
        <w:tc>
          <w:tcPr>
            <w:tcW w:w="1139"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298,000</w:t>
            </w:r>
          </w:p>
        </w:tc>
        <w:tc>
          <w:tcPr>
            <w:tcW w:w="1140" w:type="dxa"/>
            <w:tcBorders>
              <w:top w:val="nil"/>
              <w:left w:val="nil"/>
              <w:bottom w:val="nil"/>
              <w:right w:val="nil"/>
            </w:tcBorders>
            <w:shd w:val="clear" w:color="auto" w:fill="FFFFFF"/>
            <w:tcMar>
              <w:left w:w="40" w:type="dxa"/>
              <w:right w:w="40" w:type="dxa"/>
            </w:tcMar>
            <w:vAlign w:val="bottom"/>
          </w:tcPr>
          <w:p w:rsidR="00C827EF" w:rsidRPr="000862B8" w:rsidRDefault="00C827EF" w:rsidP="00C827EF">
            <w:pPr>
              <w:pStyle w:val="TableDataCell"/>
            </w:pPr>
            <w:r w:rsidRPr="000862B8">
              <w:t>7.4</w:t>
            </w:r>
          </w:p>
        </w:tc>
      </w:tr>
      <w:tr w:rsidR="00C827EF" w:rsidRPr="000862B8" w:rsidTr="00C827EF">
        <w:trPr>
          <w:cantSplit/>
          <w:jc w:val="center"/>
        </w:trPr>
        <w:tc>
          <w:tcPr>
            <w:tcW w:w="2264" w:type="dxa"/>
            <w:tcBorders>
              <w:top w:val="nil"/>
              <w:bottom w:val="single" w:sz="4" w:space="0" w:color="auto"/>
              <w:right w:val="nil"/>
            </w:tcBorders>
            <w:shd w:val="clear" w:color="auto" w:fill="EFF3FF"/>
            <w:tcMar>
              <w:left w:w="40" w:type="dxa"/>
              <w:right w:w="40" w:type="dxa"/>
            </w:tcMar>
          </w:tcPr>
          <w:p w:rsidR="00C827EF" w:rsidRPr="000862B8" w:rsidRDefault="00C827EF" w:rsidP="00C827EF">
            <w:pPr>
              <w:pStyle w:val="TableRowHeadings"/>
            </w:pPr>
            <w:r w:rsidRPr="000862B8">
              <w:t>Conduct disorder</w:t>
            </w:r>
          </w:p>
        </w:tc>
        <w:tc>
          <w:tcPr>
            <w:tcW w:w="1139"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52,400</w:t>
            </w:r>
          </w:p>
        </w:tc>
        <w:tc>
          <w:tcPr>
            <w:tcW w:w="1139"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2.5</w:t>
            </w:r>
          </w:p>
        </w:tc>
        <w:tc>
          <w:tcPr>
            <w:tcW w:w="1139"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31,200</w:t>
            </w:r>
          </w:p>
        </w:tc>
        <w:tc>
          <w:tcPr>
            <w:tcW w:w="1139"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1.6</w:t>
            </w:r>
          </w:p>
        </w:tc>
        <w:tc>
          <w:tcPr>
            <w:tcW w:w="1139"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83,600</w:t>
            </w:r>
          </w:p>
        </w:tc>
        <w:tc>
          <w:tcPr>
            <w:tcW w:w="1140" w:type="dxa"/>
            <w:tcBorders>
              <w:top w:val="nil"/>
              <w:left w:val="nil"/>
              <w:bottom w:val="single" w:sz="4" w:space="0" w:color="auto"/>
              <w:right w:val="nil"/>
            </w:tcBorders>
            <w:shd w:val="clear" w:color="auto" w:fill="FFFFFF"/>
            <w:tcMar>
              <w:left w:w="40" w:type="dxa"/>
              <w:right w:w="40" w:type="dxa"/>
            </w:tcMar>
            <w:vAlign w:val="bottom"/>
          </w:tcPr>
          <w:p w:rsidR="00C827EF" w:rsidRPr="000862B8" w:rsidRDefault="00C827EF" w:rsidP="00C827EF">
            <w:pPr>
              <w:pStyle w:val="TableDataCell"/>
            </w:pPr>
            <w:r w:rsidRPr="000862B8">
              <w:t>2.1</w:t>
            </w:r>
          </w:p>
        </w:tc>
      </w:tr>
      <w:tr w:rsidR="00C827EF" w:rsidRPr="000862B8" w:rsidTr="00C827EF">
        <w:trPr>
          <w:cantSplit/>
          <w:jc w:val="center"/>
        </w:trPr>
        <w:tc>
          <w:tcPr>
            <w:tcW w:w="2264" w:type="dxa"/>
            <w:tcBorders>
              <w:top w:val="single" w:sz="4" w:space="0" w:color="auto"/>
              <w:bottom w:val="single" w:sz="6" w:space="0" w:color="000000"/>
              <w:right w:val="nil"/>
            </w:tcBorders>
            <w:shd w:val="clear" w:color="auto" w:fill="EFF3FF"/>
            <w:tcMar>
              <w:left w:w="40" w:type="dxa"/>
              <w:right w:w="40" w:type="dxa"/>
            </w:tcMar>
          </w:tcPr>
          <w:p w:rsidR="00C827EF" w:rsidRPr="00032B21" w:rsidRDefault="00C827EF" w:rsidP="00C827EF">
            <w:pPr>
              <w:pStyle w:val="TableRowHeadings"/>
              <w:rPr>
                <w:rStyle w:val="Strong"/>
              </w:rPr>
            </w:pPr>
            <w:r w:rsidRPr="00032B21">
              <w:rPr>
                <w:rStyle w:val="Strong"/>
              </w:rPr>
              <w:t>Any mental disorder (a)</w:t>
            </w:r>
          </w:p>
        </w:tc>
        <w:tc>
          <w:tcPr>
            <w:tcW w:w="11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335,000</w:t>
            </w:r>
          </w:p>
        </w:tc>
        <w:tc>
          <w:tcPr>
            <w:tcW w:w="11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16.3</w:t>
            </w:r>
          </w:p>
        </w:tc>
        <w:tc>
          <w:tcPr>
            <w:tcW w:w="11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225,000</w:t>
            </w:r>
          </w:p>
        </w:tc>
        <w:tc>
          <w:tcPr>
            <w:tcW w:w="11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11.5</w:t>
            </w:r>
          </w:p>
        </w:tc>
        <w:tc>
          <w:tcPr>
            <w:tcW w:w="11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560,000</w:t>
            </w:r>
          </w:p>
        </w:tc>
        <w:tc>
          <w:tcPr>
            <w:tcW w:w="1140"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032B21" w:rsidRDefault="00C827EF" w:rsidP="00C827EF">
            <w:pPr>
              <w:pStyle w:val="TableDataCell"/>
              <w:rPr>
                <w:rStyle w:val="Strong"/>
              </w:rPr>
            </w:pPr>
            <w:r w:rsidRPr="00032B21">
              <w:rPr>
                <w:rStyle w:val="Strong"/>
              </w:rPr>
              <w:t>13.9</w:t>
            </w:r>
          </w:p>
        </w:tc>
      </w:tr>
    </w:tbl>
    <w:p w:rsidR="00C827EF" w:rsidRDefault="00C827EF" w:rsidP="00C827EF">
      <w:pPr>
        <w:pStyle w:val="TableFootnote"/>
        <w:spacing w:before="0"/>
      </w:pPr>
      <w:r>
        <w:t>(a)</w:t>
      </w:r>
      <w:r>
        <w:tab/>
        <w:t>Totals are lower than the sum of disorders as children and adolescents may have had more than one class of mental disorder in the previous 12 months.</w:t>
      </w:r>
    </w:p>
    <w:p w:rsidR="00C827EF" w:rsidRDefault="00C827EF" w:rsidP="00C827EF">
      <w:pPr>
        <w:pStyle w:val="BodyText"/>
      </w:pPr>
      <w:r>
        <w:lastRenderedPageBreak/>
        <w:t>There were some distinct differences in the prevalence of disorders between children and adolescents (Table 2-</w:t>
      </w:r>
      <w:r>
        <w:rPr>
          <w:noProof/>
        </w:rPr>
        <w:t>2).</w:t>
      </w:r>
    </w:p>
    <w:p w:rsidR="00C827EF" w:rsidRDefault="00C827EF" w:rsidP="00C827EF">
      <w:pPr>
        <w:pStyle w:val="BodyText"/>
      </w:pPr>
      <w:r>
        <w:t>ADHD continued to be the most common disorder for males into their teen years (10.9% for 4-11 year-olds and 9.8% for 12-17 year-olds), but the prevalence halved for females (5.4% for 4-11 year-olds to 2.7% for 12-17 year-olds).</w:t>
      </w:r>
    </w:p>
    <w:p w:rsidR="00C827EF" w:rsidRDefault="00C827EF" w:rsidP="00C827EF">
      <w:pPr>
        <w:pStyle w:val="BodyText"/>
      </w:pPr>
      <w:r>
        <w:t>The p</w:t>
      </w:r>
      <w:r w:rsidRPr="00F5508B">
        <w:t xml:space="preserve">revalence of </w:t>
      </w:r>
      <w:r>
        <w:t xml:space="preserve">major </w:t>
      </w:r>
      <w:r w:rsidRPr="00F5508B">
        <w:t>depressi</w:t>
      </w:r>
      <w:r>
        <w:t>ve disorder wa</w:t>
      </w:r>
      <w:r w:rsidRPr="00F5508B">
        <w:t>s</w:t>
      </w:r>
      <w:r>
        <w:t xml:space="preserve"> higher in adolescents compared to those aged 4-11 years for both sexes. Among those aged 4-11 years prevalence was almost the same at 1.2% for females and 1.1% for males. However, among adolescents the prevalence of major depressive disorder was 5.8% for females and 4.3% for males. </w:t>
      </w:r>
    </w:p>
    <w:p w:rsidR="00C827EF" w:rsidRDefault="00C827EF" w:rsidP="00C827EF">
      <w:pPr>
        <w:pStyle w:val="Caption"/>
        <w:keepNext/>
      </w:pPr>
      <w:bookmarkStart w:id="10" w:name="_Ref403396409"/>
      <w:r>
        <w:t>Table 2-</w:t>
      </w:r>
      <w:r>
        <w:rPr>
          <w:noProof/>
        </w:rPr>
        <w:t>2</w:t>
      </w:r>
      <w:bookmarkEnd w:id="10"/>
      <w:r>
        <w:t xml:space="preserve">: </w:t>
      </w:r>
      <w:r w:rsidRPr="002E3508">
        <w:t>12-month prevalence of mental disorders among 4-17 year-olds by sex and age group</w:t>
      </w:r>
    </w:p>
    <w:tbl>
      <w:tblPr>
        <w:tblW w:w="9149" w:type="dxa"/>
        <w:jc w:val="center"/>
        <w:tblLayout w:type="fixed"/>
        <w:tblCellMar>
          <w:left w:w="0" w:type="dxa"/>
          <w:right w:w="0" w:type="dxa"/>
        </w:tblCellMar>
        <w:tblLook w:val="0020" w:firstRow="1" w:lastRow="0" w:firstColumn="0" w:lastColumn="0" w:noHBand="0" w:noVBand="0"/>
        <w:tblDescription w:val="In Table 2-2 the first column defines mental disorder. Read across the rows for the proportion of males 4-11 years, males 12-17 years, females 4-11 years and finally females 12-17 years who have each mental disorder."/>
      </w:tblPr>
      <w:tblGrid>
        <w:gridCol w:w="1779"/>
        <w:gridCol w:w="1228"/>
        <w:gridCol w:w="1228"/>
        <w:gridCol w:w="1229"/>
        <w:gridCol w:w="1228"/>
        <w:gridCol w:w="1228"/>
        <w:gridCol w:w="1229"/>
      </w:tblGrid>
      <w:tr w:rsidR="00C827EF" w:rsidTr="00C827EF">
        <w:trPr>
          <w:cantSplit/>
          <w:tblHeader/>
          <w:jc w:val="center"/>
        </w:trPr>
        <w:tc>
          <w:tcPr>
            <w:tcW w:w="1779"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jc w:val="left"/>
              <w:rPr>
                <w:rStyle w:val="Strong"/>
              </w:rPr>
            </w:pPr>
            <w:r w:rsidRPr="00C07B86">
              <w:rPr>
                <w:rStyle w:val="Strong"/>
              </w:rPr>
              <w:t>Disorder</w:t>
            </w:r>
          </w:p>
        </w:tc>
        <w:tc>
          <w:tcPr>
            <w:tcW w:w="122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4-11 years (%)</w:t>
            </w:r>
          </w:p>
        </w:tc>
        <w:tc>
          <w:tcPr>
            <w:tcW w:w="122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12-17 years (%)</w:t>
            </w:r>
          </w:p>
        </w:tc>
        <w:tc>
          <w:tcPr>
            <w:tcW w:w="12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4-11 years (%)</w:t>
            </w:r>
          </w:p>
        </w:tc>
        <w:tc>
          <w:tcPr>
            <w:tcW w:w="122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12-17 years (%)</w:t>
            </w:r>
          </w:p>
        </w:tc>
        <w:tc>
          <w:tcPr>
            <w:tcW w:w="122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Persons 4-11 years (%)</w:t>
            </w:r>
          </w:p>
        </w:tc>
        <w:tc>
          <w:tcPr>
            <w:tcW w:w="122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Persons 12-17 years (%)</w:t>
            </w:r>
          </w:p>
        </w:tc>
      </w:tr>
      <w:tr w:rsidR="00C827EF" w:rsidTr="00C827EF">
        <w:trPr>
          <w:cantSplit/>
          <w:jc w:val="center"/>
        </w:trPr>
        <w:tc>
          <w:tcPr>
            <w:tcW w:w="1779" w:type="dxa"/>
            <w:tcBorders>
              <w:top w:val="single" w:sz="4" w:space="0" w:color="000000"/>
              <w:bottom w:val="single" w:sz="4" w:space="0" w:color="FFFFFF"/>
              <w:right w:val="nil"/>
            </w:tcBorders>
            <w:shd w:val="clear" w:color="auto" w:fill="EFF3FF"/>
            <w:tcMar>
              <w:left w:w="40" w:type="dxa"/>
              <w:right w:w="40" w:type="dxa"/>
            </w:tcMar>
          </w:tcPr>
          <w:p w:rsidR="00C827EF" w:rsidRDefault="00C827EF" w:rsidP="00C827EF">
            <w:pPr>
              <w:pStyle w:val="TableRowHeadings"/>
            </w:pPr>
            <w:r>
              <w:t>Anxiety disorders</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7.6</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6.3</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6.1</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7.7</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6.9</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7.0</w:t>
            </w:r>
          </w:p>
        </w:tc>
      </w:tr>
      <w:tr w:rsidR="00C827EF" w:rsidTr="00C827EF">
        <w:trPr>
          <w:cantSplit/>
          <w:jc w:val="center"/>
        </w:trPr>
        <w:tc>
          <w:tcPr>
            <w:tcW w:w="1779" w:type="dxa"/>
            <w:tcBorders>
              <w:top w:val="single" w:sz="4" w:space="0" w:color="FFFFFF"/>
              <w:bottom w:val="single" w:sz="4" w:space="0" w:color="FFFFFF"/>
              <w:right w:val="nil"/>
            </w:tcBorders>
            <w:shd w:val="clear" w:color="auto" w:fill="EFF3FF"/>
            <w:tcMar>
              <w:left w:w="40" w:type="dxa"/>
              <w:right w:w="40" w:type="dxa"/>
            </w:tcMar>
          </w:tcPr>
          <w:p w:rsidR="00C827EF" w:rsidRDefault="00C827EF" w:rsidP="00C827EF">
            <w:pPr>
              <w:pStyle w:val="TableRowHeadings"/>
            </w:pPr>
            <w:r>
              <w:t>Major depressive disorder</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4.3</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5.8</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5.0</w:t>
            </w:r>
          </w:p>
        </w:tc>
      </w:tr>
      <w:tr w:rsidR="00C827EF" w:rsidTr="00C827EF">
        <w:trPr>
          <w:cantSplit/>
          <w:jc w:val="center"/>
        </w:trPr>
        <w:tc>
          <w:tcPr>
            <w:tcW w:w="1779" w:type="dxa"/>
            <w:tcBorders>
              <w:top w:val="single" w:sz="4" w:space="0" w:color="FFFFFF"/>
              <w:bottom w:val="single" w:sz="4" w:space="0" w:color="FFFFFF"/>
              <w:right w:val="nil"/>
            </w:tcBorders>
            <w:shd w:val="clear" w:color="auto" w:fill="EFF3FF"/>
            <w:tcMar>
              <w:left w:w="40" w:type="dxa"/>
              <w:right w:w="40" w:type="dxa"/>
            </w:tcMar>
          </w:tcPr>
          <w:p w:rsidR="00C827EF" w:rsidRDefault="00C827EF" w:rsidP="00C827EF">
            <w:pPr>
              <w:pStyle w:val="TableRowHeadings"/>
            </w:pPr>
            <w:r>
              <w:t>ADHD</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10.9</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9.8</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5.4</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2.7</w:t>
            </w:r>
          </w:p>
        </w:tc>
        <w:tc>
          <w:tcPr>
            <w:tcW w:w="122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8.2</w:t>
            </w:r>
          </w:p>
        </w:tc>
        <w:tc>
          <w:tcPr>
            <w:tcW w:w="122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6.3</w:t>
            </w:r>
          </w:p>
        </w:tc>
      </w:tr>
      <w:tr w:rsidR="00C827EF" w:rsidTr="00C827EF">
        <w:trPr>
          <w:cantSplit/>
          <w:jc w:val="center"/>
        </w:trPr>
        <w:tc>
          <w:tcPr>
            <w:tcW w:w="1779" w:type="dxa"/>
            <w:tcBorders>
              <w:top w:val="single" w:sz="4" w:space="0" w:color="FFFFFF"/>
              <w:bottom w:val="single" w:sz="4" w:space="0" w:color="auto"/>
              <w:right w:val="nil"/>
            </w:tcBorders>
            <w:shd w:val="clear" w:color="auto" w:fill="EFF3FF"/>
            <w:tcMar>
              <w:left w:w="40" w:type="dxa"/>
              <w:right w:w="40" w:type="dxa"/>
            </w:tcMar>
          </w:tcPr>
          <w:p w:rsidR="00C827EF" w:rsidRDefault="00C827EF" w:rsidP="00C827EF">
            <w:pPr>
              <w:pStyle w:val="TableRowHeadings"/>
            </w:pPr>
            <w:r>
              <w:t>Conduct disorder</w:t>
            </w:r>
          </w:p>
        </w:tc>
        <w:tc>
          <w:tcPr>
            <w:tcW w:w="1228"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2.5</w:t>
            </w:r>
          </w:p>
        </w:tc>
        <w:tc>
          <w:tcPr>
            <w:tcW w:w="1228"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2.6</w:t>
            </w:r>
          </w:p>
        </w:tc>
        <w:tc>
          <w:tcPr>
            <w:tcW w:w="1229"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1.6</w:t>
            </w:r>
          </w:p>
        </w:tc>
        <w:tc>
          <w:tcPr>
            <w:tcW w:w="1228"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1.6</w:t>
            </w:r>
          </w:p>
        </w:tc>
        <w:tc>
          <w:tcPr>
            <w:tcW w:w="1228"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2.0</w:t>
            </w:r>
          </w:p>
        </w:tc>
        <w:tc>
          <w:tcPr>
            <w:tcW w:w="1229"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2.1</w:t>
            </w:r>
          </w:p>
        </w:tc>
      </w:tr>
      <w:tr w:rsidR="00C827EF" w:rsidTr="00C827EF">
        <w:trPr>
          <w:cantSplit/>
          <w:jc w:val="center"/>
        </w:trPr>
        <w:tc>
          <w:tcPr>
            <w:tcW w:w="1779" w:type="dxa"/>
            <w:tcBorders>
              <w:top w:val="single" w:sz="4" w:space="0" w:color="auto"/>
              <w:bottom w:val="single" w:sz="6" w:space="0" w:color="000000"/>
              <w:right w:val="nil"/>
            </w:tcBorders>
            <w:shd w:val="clear" w:color="auto" w:fill="EFF3FF"/>
            <w:tcMar>
              <w:left w:w="40" w:type="dxa"/>
              <w:right w:w="40" w:type="dxa"/>
            </w:tcMar>
          </w:tcPr>
          <w:p w:rsidR="00C827EF" w:rsidRPr="0077716D" w:rsidRDefault="00C827EF" w:rsidP="00C827EF">
            <w:pPr>
              <w:pStyle w:val="TableRowHeadings"/>
              <w:rPr>
                <w:rStyle w:val="Strong"/>
              </w:rPr>
            </w:pPr>
            <w:r w:rsidRPr="0077716D">
              <w:rPr>
                <w:rStyle w:val="Strong"/>
              </w:rPr>
              <w:t>Any mental disorder</w:t>
            </w:r>
          </w:p>
        </w:tc>
        <w:tc>
          <w:tcPr>
            <w:tcW w:w="1228"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16.5</w:t>
            </w:r>
          </w:p>
        </w:tc>
        <w:tc>
          <w:tcPr>
            <w:tcW w:w="1228"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15.9</w:t>
            </w:r>
          </w:p>
        </w:tc>
        <w:tc>
          <w:tcPr>
            <w:tcW w:w="122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10.6</w:t>
            </w:r>
          </w:p>
        </w:tc>
        <w:tc>
          <w:tcPr>
            <w:tcW w:w="1228"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12.8</w:t>
            </w:r>
          </w:p>
        </w:tc>
        <w:tc>
          <w:tcPr>
            <w:tcW w:w="1228"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13.6</w:t>
            </w:r>
          </w:p>
        </w:tc>
        <w:tc>
          <w:tcPr>
            <w:tcW w:w="122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77716D" w:rsidRDefault="00C827EF" w:rsidP="00C827EF">
            <w:pPr>
              <w:pStyle w:val="TableDataCell"/>
              <w:rPr>
                <w:rStyle w:val="Strong"/>
              </w:rPr>
            </w:pPr>
            <w:r w:rsidRPr="0077716D">
              <w:rPr>
                <w:rStyle w:val="Strong"/>
              </w:rPr>
              <w:t>14.4</w:t>
            </w:r>
          </w:p>
        </w:tc>
      </w:tr>
    </w:tbl>
    <w:p w:rsidR="00C827EF" w:rsidRPr="00F5508B" w:rsidRDefault="00C827EF" w:rsidP="00C827EF">
      <w:pPr>
        <w:pStyle w:val="Heading2"/>
        <w:ind w:left="720" w:hanging="720"/>
      </w:pPr>
      <w:bookmarkStart w:id="11" w:name="IDX"/>
      <w:bookmarkStart w:id="12" w:name="_Toc401758747"/>
      <w:bookmarkEnd w:id="11"/>
      <w:r>
        <w:t>2</w:t>
      </w:r>
      <w:r w:rsidRPr="00F5508B">
        <w:t>.</w:t>
      </w:r>
      <w:r>
        <w:t>2</w:t>
      </w:r>
      <w:r w:rsidRPr="00F5508B">
        <w:t xml:space="preserve"> </w:t>
      </w:r>
      <w:r>
        <w:tab/>
        <w:t xml:space="preserve">Social and </w:t>
      </w:r>
      <w:r w:rsidRPr="00F5508B">
        <w:t>demographic characteristics</w:t>
      </w:r>
      <w:bookmarkEnd w:id="12"/>
    </w:p>
    <w:p w:rsidR="00C827EF" w:rsidRDefault="00C827EF" w:rsidP="00C827EF">
      <w:pPr>
        <w:pStyle w:val="BodyText"/>
      </w:pPr>
      <w:r>
        <w:t>Several</w:t>
      </w:r>
      <w:r w:rsidRPr="00F5508B">
        <w:t xml:space="preserve"> </w:t>
      </w:r>
      <w:r>
        <w:t>socio-</w:t>
      </w:r>
      <w:r w:rsidRPr="00F5508B">
        <w:t xml:space="preserve">demographic characteristics </w:t>
      </w:r>
      <w:r>
        <w:t>were examined for their association</w:t>
      </w:r>
      <w:r w:rsidRPr="00F5508B">
        <w:t xml:space="preserve"> with </w:t>
      </w:r>
      <w:r>
        <w:t xml:space="preserve">the prevalence of </w:t>
      </w:r>
      <w:r w:rsidRPr="00F5508B">
        <w:t>mental disorders.</w:t>
      </w:r>
      <w:r>
        <w:t xml:space="preserve"> These included family type, household income, level of parent and carer education, parent and carer labour force status, area of residence and family functioning. Table 2-</w:t>
      </w:r>
      <w:r>
        <w:rPr>
          <w:noProof/>
        </w:rPr>
        <w:t>3</w:t>
      </w:r>
      <w:r>
        <w:t xml:space="preserve"> to Table 2-</w:t>
      </w:r>
      <w:r>
        <w:rPr>
          <w:noProof/>
        </w:rPr>
        <w:t>8</w:t>
      </w:r>
      <w:r>
        <w:t xml:space="preserve"> show the relationships of these characteristics to the prevalence of mental disorders. </w:t>
      </w:r>
    </w:p>
    <w:p w:rsidR="00C827EF" w:rsidRPr="00F5508B" w:rsidRDefault="00C827EF" w:rsidP="00C827EF">
      <w:pPr>
        <w:pStyle w:val="BodyText"/>
      </w:pPr>
      <w:r>
        <w:t>Children and adolescents in low-</w:t>
      </w:r>
      <w:r w:rsidRPr="00F5508B">
        <w:t xml:space="preserve">income families, with </w:t>
      </w:r>
      <w:r>
        <w:t xml:space="preserve">parents and carers with </w:t>
      </w:r>
      <w:r w:rsidRPr="00F5508B">
        <w:t>lower levels of education</w:t>
      </w:r>
      <w:r>
        <w:t xml:space="preserve"> and with</w:t>
      </w:r>
      <w:r w:rsidRPr="00F5508B">
        <w:t xml:space="preserve"> higher levels of unemployment </w:t>
      </w:r>
      <w:r>
        <w:t>had higher rates of</w:t>
      </w:r>
      <w:r w:rsidRPr="00F5508B">
        <w:t xml:space="preserve"> mental disorder</w:t>
      </w:r>
      <w:r>
        <w:t>s</w:t>
      </w:r>
      <w:r w:rsidRPr="00F5508B">
        <w:t xml:space="preserve"> in the </w:t>
      </w:r>
      <w:r>
        <w:t>previous</w:t>
      </w:r>
      <w:r w:rsidRPr="00F5508B">
        <w:t xml:space="preserve"> 12 months. </w:t>
      </w:r>
      <w:r>
        <w:t xml:space="preserve">There was also a strong relationship with where they lived with higher rates of mental disorders in non-metropolitan areas. </w:t>
      </w:r>
      <w:r w:rsidRPr="00F5508B">
        <w:t xml:space="preserve">This </w:t>
      </w:r>
      <w:r>
        <w:t>wa</w:t>
      </w:r>
      <w:r w:rsidRPr="00F5508B">
        <w:t>s particular</w:t>
      </w:r>
      <w:r>
        <w:t>ly</w:t>
      </w:r>
      <w:r w:rsidRPr="00F5508B">
        <w:t xml:space="preserve"> evident in males.</w:t>
      </w:r>
      <w:r w:rsidRPr="00351ED0">
        <w:t xml:space="preserve"> </w:t>
      </w:r>
      <w:r>
        <w:t xml:space="preserve">However, while it is possible to identify sub-groups in which the prevalence of mental disorders is relatively high, it is not possible to draw conclusions about the causal relationships </w:t>
      </w:r>
      <w:r w:rsidRPr="006F6B1D">
        <w:t>between these demographic characteristics and mental illness</w:t>
      </w:r>
      <w:r>
        <w:t xml:space="preserve">, or to exclude the possibility that the association may be due to another factor with which both are associated. </w:t>
      </w:r>
    </w:p>
    <w:p w:rsidR="00C827EF" w:rsidRDefault="00C827EF" w:rsidP="00C827EF">
      <w:pPr>
        <w:pStyle w:val="Heading3"/>
      </w:pPr>
      <w:bookmarkStart w:id="13" w:name="_Toc401758748"/>
      <w:r>
        <w:t>2.2.1</w:t>
      </w:r>
      <w:r>
        <w:tab/>
        <w:t>Family type</w:t>
      </w:r>
      <w:bookmarkEnd w:id="13"/>
    </w:p>
    <w:p w:rsidR="00C827EF" w:rsidRDefault="00C827EF" w:rsidP="00C827EF">
      <w:pPr>
        <w:pStyle w:val="BodyText"/>
      </w:pPr>
      <w:r>
        <w:t>Table 2-</w:t>
      </w:r>
      <w:r>
        <w:rPr>
          <w:noProof/>
        </w:rPr>
        <w:t>3</w:t>
      </w:r>
      <w:r>
        <w:t xml:space="preserve"> shows the prevalence of mental disorders for children and adolescents in different types of families. Young people in step, blended and one parent or carer families had higher rates of mental disorders than young people living in original families, that is where at least one child was living with both their natural, adoptive or foster parents and there were no step children. The prevalence was higher for males than females in both two parent and one parent families.</w:t>
      </w:r>
    </w:p>
    <w:p w:rsidR="00C827EF" w:rsidRDefault="00C827EF" w:rsidP="00C827EF">
      <w:pPr>
        <w:pStyle w:val="Caption"/>
        <w:keepNext/>
      </w:pPr>
      <w:bookmarkStart w:id="14" w:name="_Ref403396459"/>
      <w:r>
        <w:lastRenderedPageBreak/>
        <w:t>Table 2-</w:t>
      </w:r>
      <w:r>
        <w:rPr>
          <w:noProof/>
        </w:rPr>
        <w:t>3</w:t>
      </w:r>
      <w:bookmarkEnd w:id="14"/>
      <w:r>
        <w:t xml:space="preserve">: </w:t>
      </w:r>
      <w:r w:rsidRPr="00541668">
        <w:t>12-month prevalence of mental disorders among 4-17 year-olds by family type and sex</w:t>
      </w:r>
    </w:p>
    <w:tbl>
      <w:tblPr>
        <w:tblW w:w="9146" w:type="dxa"/>
        <w:jc w:val="center"/>
        <w:tblLayout w:type="fixed"/>
        <w:tblCellMar>
          <w:left w:w="0" w:type="dxa"/>
          <w:right w:w="0" w:type="dxa"/>
        </w:tblCellMar>
        <w:tblLook w:val="0020" w:firstRow="1" w:lastRow="0" w:firstColumn="0" w:lastColumn="0" w:noHBand="0" w:noVBand="0"/>
        <w:tblDescription w:val="In Table 2-3 the first column defines family type. Read across the row to obtain the prevalence in males, the prevalence in females and the prevalence in persons."/>
      </w:tblPr>
      <w:tblGrid>
        <w:gridCol w:w="4162"/>
        <w:gridCol w:w="1661"/>
        <w:gridCol w:w="1661"/>
        <w:gridCol w:w="1662"/>
      </w:tblGrid>
      <w:tr w:rsidR="00C827EF" w:rsidTr="00C827EF">
        <w:trPr>
          <w:cantSplit/>
          <w:tblHeader/>
          <w:jc w:val="center"/>
        </w:trPr>
        <w:tc>
          <w:tcPr>
            <w:tcW w:w="4162"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Family type</w:t>
            </w:r>
          </w:p>
        </w:tc>
        <w:tc>
          <w:tcPr>
            <w:tcW w:w="166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661"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662" w:type="dxa"/>
            <w:tcBorders>
              <w:top w:val="single" w:sz="6" w:space="0" w:color="000000"/>
              <w:left w:val="single" w:sz="4" w:space="0" w:color="FFFFFF"/>
              <w:bottom w:val="single" w:sz="4" w:space="0" w:color="000000"/>
            </w:tcBorders>
            <w:shd w:val="clear" w:color="auto" w:fill="EFF3FF"/>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Families with two parents or carers</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13.9</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9.6</w:t>
            </w:r>
          </w:p>
        </w:tc>
        <w:tc>
          <w:tcPr>
            <w:tcW w:w="1662" w:type="dxa"/>
            <w:tcBorders>
              <w:top w:val="nil"/>
              <w:left w:val="nil"/>
              <w:bottom w:val="nil"/>
              <w:right w:val="nil"/>
            </w:tcBorders>
            <w:shd w:val="clear" w:color="auto" w:fill="FFFFFF"/>
            <w:vAlign w:val="bottom"/>
          </w:tcPr>
          <w:p w:rsidR="00C827EF" w:rsidRDefault="00C827EF" w:rsidP="00C827EF">
            <w:pPr>
              <w:pStyle w:val="TableDataCell"/>
            </w:pPr>
            <w:r>
              <w:t>11.8</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tabs>
                <w:tab w:val="left" w:pos="283"/>
              </w:tabs>
            </w:pPr>
            <w:r>
              <w:tab/>
              <w:t>Original family</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12.4</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8.4</w:t>
            </w:r>
          </w:p>
        </w:tc>
        <w:tc>
          <w:tcPr>
            <w:tcW w:w="1662" w:type="dxa"/>
            <w:tcBorders>
              <w:top w:val="nil"/>
              <w:left w:val="nil"/>
              <w:bottom w:val="nil"/>
              <w:right w:val="nil"/>
            </w:tcBorders>
            <w:shd w:val="clear" w:color="auto" w:fill="FFFFFF"/>
            <w:vAlign w:val="bottom"/>
          </w:tcPr>
          <w:p w:rsidR="00C827EF" w:rsidRDefault="00C827EF" w:rsidP="00C827EF">
            <w:pPr>
              <w:pStyle w:val="TableDataCell"/>
            </w:pPr>
            <w:r>
              <w:t>10.4</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tabs>
                <w:tab w:val="left" w:pos="283"/>
              </w:tabs>
            </w:pPr>
            <w:r>
              <w:tab/>
              <w:t>Step family</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21.1</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15.6</w:t>
            </w:r>
          </w:p>
        </w:tc>
        <w:tc>
          <w:tcPr>
            <w:tcW w:w="1662" w:type="dxa"/>
            <w:tcBorders>
              <w:top w:val="nil"/>
              <w:left w:val="nil"/>
              <w:bottom w:val="nil"/>
              <w:right w:val="nil"/>
            </w:tcBorders>
            <w:shd w:val="clear" w:color="auto" w:fill="FFFFFF"/>
            <w:vAlign w:val="bottom"/>
          </w:tcPr>
          <w:p w:rsidR="00C827EF" w:rsidRDefault="00C827EF" w:rsidP="00C827EF">
            <w:pPr>
              <w:pStyle w:val="TableDataCell"/>
            </w:pPr>
            <w:r>
              <w:t>18.3</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tabs>
                <w:tab w:val="left" w:pos="283"/>
              </w:tabs>
            </w:pPr>
            <w:r>
              <w:tab/>
              <w:t>Blended family</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24.0</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16.4</w:t>
            </w:r>
          </w:p>
        </w:tc>
        <w:tc>
          <w:tcPr>
            <w:tcW w:w="1662" w:type="dxa"/>
            <w:tcBorders>
              <w:top w:val="nil"/>
              <w:left w:val="nil"/>
              <w:bottom w:val="nil"/>
              <w:right w:val="nil"/>
            </w:tcBorders>
            <w:shd w:val="clear" w:color="auto" w:fill="FFFFFF"/>
            <w:vAlign w:val="bottom"/>
          </w:tcPr>
          <w:p w:rsidR="00C827EF" w:rsidRDefault="00C827EF" w:rsidP="00C827EF">
            <w:pPr>
              <w:pStyle w:val="TableDataCell"/>
            </w:pPr>
            <w:r>
              <w:t>20.2</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tabs>
                <w:tab w:val="left" w:pos="283"/>
              </w:tabs>
            </w:pPr>
            <w:r>
              <w:tab/>
              <w:t>Other family (a)</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29.5</w:t>
            </w:r>
          </w:p>
        </w:tc>
        <w:tc>
          <w:tcPr>
            <w:tcW w:w="1661" w:type="dxa"/>
            <w:tcBorders>
              <w:top w:val="nil"/>
              <w:left w:val="nil"/>
              <w:bottom w:val="nil"/>
              <w:right w:val="nil"/>
            </w:tcBorders>
            <w:shd w:val="clear" w:color="auto" w:fill="FFFFFF"/>
            <w:tcMar>
              <w:left w:w="40" w:type="dxa"/>
              <w:right w:w="40" w:type="dxa"/>
            </w:tcMar>
            <w:vAlign w:val="bottom"/>
          </w:tcPr>
          <w:p w:rsidR="00C827EF" w:rsidRPr="0076182F" w:rsidRDefault="00C827EF" w:rsidP="00C827EF">
            <w:pPr>
              <w:pStyle w:val="TableDataCell"/>
            </w:pPr>
            <w:r w:rsidRPr="0076182F">
              <w:t>18.4</w:t>
            </w:r>
          </w:p>
        </w:tc>
        <w:tc>
          <w:tcPr>
            <w:tcW w:w="1662" w:type="dxa"/>
            <w:tcBorders>
              <w:top w:val="nil"/>
              <w:left w:val="nil"/>
              <w:bottom w:val="nil"/>
              <w:right w:val="nil"/>
            </w:tcBorders>
            <w:shd w:val="clear" w:color="auto" w:fill="FFFFFF"/>
            <w:vAlign w:val="bottom"/>
          </w:tcPr>
          <w:p w:rsidR="00C827EF" w:rsidRDefault="00C827EF" w:rsidP="00C827EF">
            <w:pPr>
              <w:pStyle w:val="TableDataCell"/>
            </w:pPr>
            <w:r>
              <w:t>23.7</w:t>
            </w:r>
          </w:p>
        </w:tc>
      </w:tr>
      <w:tr w:rsidR="00C827EF" w:rsidTr="00C827EF">
        <w:trPr>
          <w:cantSplit/>
          <w:jc w:val="center"/>
        </w:trPr>
        <w:tc>
          <w:tcPr>
            <w:tcW w:w="4162" w:type="dxa"/>
            <w:tcBorders>
              <w:top w:val="nil"/>
              <w:bottom w:val="single" w:sz="6" w:space="0" w:color="000000"/>
              <w:right w:val="nil"/>
            </w:tcBorders>
            <w:shd w:val="clear" w:color="auto" w:fill="EFF3FF"/>
            <w:tcMar>
              <w:left w:w="40" w:type="dxa"/>
              <w:right w:w="40" w:type="dxa"/>
            </w:tcMar>
          </w:tcPr>
          <w:p w:rsidR="00C827EF" w:rsidRDefault="00C827EF" w:rsidP="00C827EF">
            <w:pPr>
              <w:pStyle w:val="TableRowHeadings"/>
            </w:pPr>
            <w:r>
              <w:t>Families with one parent or carer</w:t>
            </w:r>
          </w:p>
        </w:tc>
        <w:tc>
          <w:tcPr>
            <w:tcW w:w="1661" w:type="dxa"/>
            <w:tcBorders>
              <w:top w:val="nil"/>
              <w:left w:val="nil"/>
              <w:bottom w:val="single" w:sz="6" w:space="0" w:color="000000"/>
              <w:right w:val="nil"/>
            </w:tcBorders>
            <w:shd w:val="clear" w:color="auto" w:fill="FFFFFF"/>
            <w:tcMar>
              <w:left w:w="40" w:type="dxa"/>
              <w:right w:w="40" w:type="dxa"/>
            </w:tcMar>
            <w:vAlign w:val="bottom"/>
          </w:tcPr>
          <w:p w:rsidR="00C827EF" w:rsidRPr="0076182F" w:rsidRDefault="00C827EF" w:rsidP="00C827EF">
            <w:pPr>
              <w:pStyle w:val="TableDataCell"/>
            </w:pPr>
            <w:r w:rsidRPr="0076182F">
              <w:t>25.3</w:t>
            </w:r>
          </w:p>
        </w:tc>
        <w:tc>
          <w:tcPr>
            <w:tcW w:w="1661" w:type="dxa"/>
            <w:tcBorders>
              <w:top w:val="nil"/>
              <w:left w:val="nil"/>
              <w:bottom w:val="single" w:sz="6" w:space="0" w:color="000000"/>
              <w:right w:val="nil"/>
            </w:tcBorders>
            <w:shd w:val="clear" w:color="auto" w:fill="FFFFFF"/>
            <w:tcMar>
              <w:left w:w="40" w:type="dxa"/>
              <w:right w:w="40" w:type="dxa"/>
            </w:tcMar>
            <w:vAlign w:val="bottom"/>
          </w:tcPr>
          <w:p w:rsidR="00C827EF" w:rsidRPr="0076182F" w:rsidRDefault="00C827EF" w:rsidP="00C827EF">
            <w:pPr>
              <w:pStyle w:val="TableDataCell"/>
            </w:pPr>
            <w:r w:rsidRPr="0076182F">
              <w:t>19.2</w:t>
            </w:r>
          </w:p>
        </w:tc>
        <w:tc>
          <w:tcPr>
            <w:tcW w:w="1662" w:type="dxa"/>
            <w:tcBorders>
              <w:top w:val="nil"/>
              <w:left w:val="nil"/>
              <w:bottom w:val="single" w:sz="6" w:space="0" w:color="000000"/>
              <w:right w:val="nil"/>
            </w:tcBorders>
            <w:shd w:val="clear" w:color="auto" w:fill="FFFFFF"/>
            <w:vAlign w:val="bottom"/>
          </w:tcPr>
          <w:p w:rsidR="00C827EF" w:rsidRDefault="00C827EF" w:rsidP="00C827EF">
            <w:pPr>
              <w:pStyle w:val="TableDataCell"/>
            </w:pPr>
            <w:r>
              <w:t>22.4</w:t>
            </w:r>
          </w:p>
        </w:tc>
      </w:tr>
    </w:tbl>
    <w:p w:rsidR="00C827EF" w:rsidRPr="009F6A4C" w:rsidRDefault="00C827EF" w:rsidP="00C827EF">
      <w:pPr>
        <w:pStyle w:val="TableFootnote"/>
      </w:pPr>
      <w:bookmarkStart w:id="15" w:name="_Toc401758749"/>
      <w:r w:rsidRPr="009F6A4C">
        <w:t>‘Original family’ has at least one child living with their natural, adoptive or foster parents, and no step children.</w:t>
      </w:r>
    </w:p>
    <w:p w:rsidR="00C827EF" w:rsidRPr="009F6A4C" w:rsidRDefault="00C827EF" w:rsidP="00C827EF">
      <w:pPr>
        <w:pStyle w:val="TableFootnote"/>
      </w:pPr>
      <w:r w:rsidRPr="009F6A4C">
        <w:t xml:space="preserve">‘Other family’ is where all children are not the natural, adopted, foster or step child of one or both carers. </w:t>
      </w:r>
    </w:p>
    <w:p w:rsidR="00C827EF" w:rsidRPr="00DB4742" w:rsidRDefault="00C827EF" w:rsidP="00C827EF">
      <w:pPr>
        <w:pStyle w:val="TableFootnote"/>
      </w:pPr>
      <w:r w:rsidRPr="009F6A4C">
        <w:t>(a)</w:t>
      </w:r>
      <w:r w:rsidRPr="009F6A4C">
        <w:tab/>
        <w:t>Data to be treated with caution due to low respondent numbers in this category.</w:t>
      </w:r>
    </w:p>
    <w:p w:rsidR="00C827EF" w:rsidRDefault="00C827EF" w:rsidP="00C827EF">
      <w:pPr>
        <w:pStyle w:val="Heading3"/>
      </w:pPr>
      <w:r>
        <w:t>2.2.2</w:t>
      </w:r>
      <w:r>
        <w:tab/>
        <w:t>Household income</w:t>
      </w:r>
      <w:bookmarkEnd w:id="15"/>
    </w:p>
    <w:p w:rsidR="00C827EF" w:rsidRDefault="00C827EF" w:rsidP="00C827EF">
      <w:pPr>
        <w:pStyle w:val="BodyText"/>
      </w:pPr>
      <w:r>
        <w:t>Table 2-</w:t>
      </w:r>
      <w:r>
        <w:rPr>
          <w:noProof/>
        </w:rPr>
        <w:t>4</w:t>
      </w:r>
      <w:r>
        <w:t xml:space="preserve"> shows the association of the prevalence of mental disorders with income. Children and adolescents in families in the lowest income bracket (less than $52,000 per year or $1,000 per week) had the highest rate of mental disorders in the previous 12 months, with this being almost double that of young people in the highest income bracket ($130,000 or more per year or $2,500 or more per week) (24.4% and 12.3% respectively in males and 16.1% and 8.8% respectively in females). </w:t>
      </w:r>
    </w:p>
    <w:p w:rsidR="00C827EF" w:rsidRDefault="00C827EF" w:rsidP="00C827EF">
      <w:pPr>
        <w:pStyle w:val="Caption"/>
        <w:keepNext/>
      </w:pPr>
      <w:bookmarkStart w:id="16" w:name="_Ref403396743"/>
      <w:r>
        <w:t>Table 2-</w:t>
      </w:r>
      <w:r>
        <w:rPr>
          <w:noProof/>
        </w:rPr>
        <w:t>4</w:t>
      </w:r>
      <w:bookmarkEnd w:id="16"/>
      <w:r>
        <w:t xml:space="preserve">: </w:t>
      </w:r>
      <w:r w:rsidRPr="00812766">
        <w:t>12-month prevalence of mental disorders among 4-17 year-olds by household income and sex</w:t>
      </w:r>
    </w:p>
    <w:tbl>
      <w:tblPr>
        <w:tblW w:w="9146" w:type="dxa"/>
        <w:jc w:val="center"/>
        <w:tblLayout w:type="fixed"/>
        <w:tblCellMar>
          <w:left w:w="0" w:type="dxa"/>
          <w:right w:w="0" w:type="dxa"/>
        </w:tblCellMar>
        <w:tblLook w:val="0020" w:firstRow="1" w:lastRow="0" w:firstColumn="0" w:lastColumn="0" w:noHBand="0" w:noVBand="0"/>
        <w:tblDescription w:val="In Table 2-4 the first column defines household income. Read across the rows for the proportion of males then females and finally persons with 12 month prevalence of mental disorder."/>
      </w:tblPr>
      <w:tblGrid>
        <w:gridCol w:w="4162"/>
        <w:gridCol w:w="1661"/>
        <w:gridCol w:w="1661"/>
        <w:gridCol w:w="1662"/>
      </w:tblGrid>
      <w:tr w:rsidR="00C827EF" w:rsidTr="00C827EF">
        <w:trPr>
          <w:cantSplit/>
          <w:tblHeader/>
          <w:jc w:val="center"/>
        </w:trPr>
        <w:tc>
          <w:tcPr>
            <w:tcW w:w="4162"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bookmarkStart w:id="17" w:name="_Ref396993621"/>
            <w:r w:rsidRPr="00C07B86">
              <w:rPr>
                <w:rStyle w:val="Strong"/>
              </w:rPr>
              <w:t>Household income before tax</w:t>
            </w:r>
          </w:p>
        </w:tc>
        <w:tc>
          <w:tcPr>
            <w:tcW w:w="166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661"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662" w:type="dxa"/>
            <w:tcBorders>
              <w:top w:val="single" w:sz="6" w:space="0" w:color="000000"/>
              <w:left w:val="single" w:sz="4" w:space="0" w:color="FFFFFF"/>
              <w:bottom w:val="single" w:sz="4" w:space="0" w:color="000000"/>
            </w:tcBorders>
            <w:shd w:val="clear" w:color="auto" w:fill="EFF3FF"/>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$130,000 or more per year</w:t>
            </w:r>
          </w:p>
        </w:tc>
        <w:tc>
          <w:tcPr>
            <w:tcW w:w="166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12.3</w:t>
            </w:r>
          </w:p>
        </w:tc>
        <w:tc>
          <w:tcPr>
            <w:tcW w:w="166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8.8</w:t>
            </w:r>
          </w:p>
        </w:tc>
        <w:tc>
          <w:tcPr>
            <w:tcW w:w="1662" w:type="dxa"/>
            <w:tcBorders>
              <w:top w:val="nil"/>
              <w:left w:val="nil"/>
              <w:bottom w:val="nil"/>
              <w:right w:val="nil"/>
            </w:tcBorders>
            <w:shd w:val="clear" w:color="auto" w:fill="FFFFFF"/>
          </w:tcPr>
          <w:p w:rsidR="00C827EF" w:rsidRDefault="00C827EF" w:rsidP="00C827EF">
            <w:pPr>
              <w:pStyle w:val="TableDataCell"/>
            </w:pPr>
            <w:r>
              <w:t>10.5</w:t>
            </w:r>
          </w:p>
        </w:tc>
      </w:tr>
      <w:tr w:rsidR="00C827EF" w:rsidTr="00C827EF">
        <w:trPr>
          <w:cantSplit/>
          <w:jc w:val="center"/>
        </w:trPr>
        <w:tc>
          <w:tcPr>
            <w:tcW w:w="416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$52,000-$129,999 per year</w:t>
            </w:r>
          </w:p>
        </w:tc>
        <w:tc>
          <w:tcPr>
            <w:tcW w:w="166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13.8</w:t>
            </w:r>
          </w:p>
        </w:tc>
        <w:tc>
          <w:tcPr>
            <w:tcW w:w="166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10.8</w:t>
            </w:r>
          </w:p>
        </w:tc>
        <w:tc>
          <w:tcPr>
            <w:tcW w:w="1662" w:type="dxa"/>
            <w:tcBorders>
              <w:top w:val="nil"/>
              <w:left w:val="nil"/>
              <w:bottom w:val="nil"/>
              <w:right w:val="nil"/>
            </w:tcBorders>
            <w:shd w:val="clear" w:color="auto" w:fill="FFFFFF"/>
          </w:tcPr>
          <w:p w:rsidR="00C827EF" w:rsidRDefault="00C827EF" w:rsidP="00C827EF">
            <w:pPr>
              <w:pStyle w:val="TableDataCell"/>
            </w:pPr>
            <w:r>
              <w:t>12.3</w:t>
            </w:r>
          </w:p>
        </w:tc>
      </w:tr>
      <w:tr w:rsidR="00C827EF" w:rsidTr="00C827EF">
        <w:trPr>
          <w:cantSplit/>
          <w:jc w:val="center"/>
        </w:trPr>
        <w:tc>
          <w:tcPr>
            <w:tcW w:w="4162" w:type="dxa"/>
            <w:tcBorders>
              <w:top w:val="nil"/>
              <w:bottom w:val="single" w:sz="6" w:space="0" w:color="auto"/>
              <w:right w:val="nil"/>
            </w:tcBorders>
            <w:shd w:val="clear" w:color="auto" w:fill="EFF3FF"/>
            <w:tcMar>
              <w:left w:w="40" w:type="dxa"/>
              <w:right w:w="40" w:type="dxa"/>
            </w:tcMar>
          </w:tcPr>
          <w:p w:rsidR="00C827EF" w:rsidRDefault="00C827EF" w:rsidP="00C827EF">
            <w:pPr>
              <w:pStyle w:val="TableRowHeadings"/>
            </w:pPr>
            <w:r>
              <w:t>Less than $52,000 per year</w:t>
            </w:r>
          </w:p>
        </w:tc>
        <w:tc>
          <w:tcPr>
            <w:tcW w:w="1661" w:type="dxa"/>
            <w:tcBorders>
              <w:top w:val="nil"/>
              <w:left w:val="nil"/>
              <w:bottom w:val="single" w:sz="6" w:space="0" w:color="auto"/>
              <w:right w:val="nil"/>
            </w:tcBorders>
            <w:shd w:val="clear" w:color="auto" w:fill="FFFFFF"/>
            <w:tcMar>
              <w:left w:w="40" w:type="dxa"/>
              <w:right w:w="40" w:type="dxa"/>
            </w:tcMar>
            <w:vAlign w:val="bottom"/>
          </w:tcPr>
          <w:p w:rsidR="00C827EF" w:rsidRDefault="00C827EF" w:rsidP="00C827EF">
            <w:pPr>
              <w:pStyle w:val="TableDataCell"/>
            </w:pPr>
            <w:r>
              <w:t>24.4</w:t>
            </w:r>
          </w:p>
        </w:tc>
        <w:tc>
          <w:tcPr>
            <w:tcW w:w="1661" w:type="dxa"/>
            <w:tcBorders>
              <w:top w:val="nil"/>
              <w:left w:val="nil"/>
              <w:bottom w:val="single" w:sz="6" w:space="0" w:color="auto"/>
              <w:right w:val="nil"/>
            </w:tcBorders>
            <w:shd w:val="clear" w:color="auto" w:fill="FFFFFF"/>
            <w:tcMar>
              <w:left w:w="40" w:type="dxa"/>
              <w:right w:w="40" w:type="dxa"/>
            </w:tcMar>
            <w:vAlign w:val="bottom"/>
          </w:tcPr>
          <w:p w:rsidR="00C827EF" w:rsidRDefault="00C827EF" w:rsidP="00C827EF">
            <w:pPr>
              <w:pStyle w:val="TableDataCell"/>
            </w:pPr>
            <w:r>
              <w:t>16.1</w:t>
            </w:r>
          </w:p>
        </w:tc>
        <w:tc>
          <w:tcPr>
            <w:tcW w:w="1662" w:type="dxa"/>
            <w:tcBorders>
              <w:top w:val="nil"/>
              <w:left w:val="nil"/>
              <w:bottom w:val="single" w:sz="6" w:space="0" w:color="auto"/>
              <w:right w:val="nil"/>
            </w:tcBorders>
            <w:shd w:val="clear" w:color="auto" w:fill="FFFFFF"/>
          </w:tcPr>
          <w:p w:rsidR="00C827EF" w:rsidRDefault="00C827EF" w:rsidP="00C827EF">
            <w:pPr>
              <w:pStyle w:val="TableDataCell"/>
            </w:pPr>
            <w:r>
              <w:t>20.5</w:t>
            </w:r>
          </w:p>
        </w:tc>
      </w:tr>
    </w:tbl>
    <w:p w:rsidR="00C827EF" w:rsidRPr="009F6A4C" w:rsidRDefault="00C827EF" w:rsidP="00C827EF">
      <w:pPr>
        <w:pStyle w:val="TableFootnote"/>
        <w:ind w:left="0" w:firstLine="0"/>
      </w:pPr>
      <w:r w:rsidRPr="009F6A4C">
        <w:t>Household income includes the combined income for the 2011-12 financial year of everyone living in the household before tax and other deductions are taken out.</w:t>
      </w:r>
    </w:p>
    <w:p w:rsidR="00C827EF" w:rsidRDefault="00C827EF" w:rsidP="00C827EF">
      <w:pPr>
        <w:pStyle w:val="Heading3"/>
      </w:pPr>
      <w:bookmarkStart w:id="18" w:name="_Toc401758750"/>
      <w:bookmarkEnd w:id="17"/>
      <w:r>
        <w:t>2.2.3</w:t>
      </w:r>
      <w:r>
        <w:tab/>
        <w:t>Parent and carer education</w:t>
      </w:r>
      <w:bookmarkEnd w:id="18"/>
    </w:p>
    <w:p w:rsidR="00C827EF" w:rsidRDefault="00C827EF" w:rsidP="00C827EF">
      <w:pPr>
        <w:pStyle w:val="BodyText"/>
      </w:pPr>
      <w:r>
        <w:t>Table 2-</w:t>
      </w:r>
      <w:r>
        <w:rPr>
          <w:noProof/>
        </w:rPr>
        <w:t>5</w:t>
      </w:r>
      <w:r>
        <w:t xml:space="preserve"> shows the highest level of education of either the young person’s primary or secondary parent or carer where present.</w:t>
      </w:r>
    </w:p>
    <w:p w:rsidR="00C827EF" w:rsidRDefault="00C827EF" w:rsidP="00C827EF">
      <w:pPr>
        <w:pStyle w:val="BodyText"/>
      </w:pPr>
      <w:r>
        <w:t>Males from families where the highest level of education of either parent or carer was year 10 or below had the highest rates of mental disorders in the previous 12 months (26.2%). This was over twice as high as females in the same category (12.7%) and males whose primary and/or secondary parent or carer had a bachelor or higher degree (12.5%).</w:t>
      </w:r>
    </w:p>
    <w:p w:rsidR="00C827EF" w:rsidRDefault="00C827EF" w:rsidP="00C827EF">
      <w:pPr>
        <w:pStyle w:val="Caption"/>
        <w:keepNext/>
        <w:pageBreakBefore/>
        <w:spacing w:before="0"/>
      </w:pPr>
      <w:bookmarkStart w:id="19" w:name="_Ref403396772"/>
      <w:r>
        <w:lastRenderedPageBreak/>
        <w:t>Table 2-</w:t>
      </w:r>
      <w:r>
        <w:rPr>
          <w:noProof/>
        </w:rPr>
        <w:t>5</w:t>
      </w:r>
      <w:bookmarkEnd w:id="19"/>
      <w:r>
        <w:t xml:space="preserve">: </w:t>
      </w:r>
      <w:r w:rsidRPr="009C157F">
        <w:t>12-month prevalence of mental disorders among 4-17 year-olds by parent or carer education and sex</w:t>
      </w:r>
    </w:p>
    <w:tbl>
      <w:tblPr>
        <w:tblW w:w="9146" w:type="dxa"/>
        <w:jc w:val="center"/>
        <w:tblLayout w:type="fixed"/>
        <w:tblCellMar>
          <w:left w:w="0" w:type="dxa"/>
          <w:right w:w="0" w:type="dxa"/>
        </w:tblCellMar>
        <w:tblLook w:val="0020" w:firstRow="1" w:lastRow="0" w:firstColumn="0" w:lastColumn="0" w:noHBand="0" w:noVBand="0"/>
        <w:tblDescription w:val="In Table 2-5 the first column defines highest level of primary or secondary carer education. Read across the rows for the proportion of males then females and finally persons with 12 month prevalence of mental disorder."/>
      </w:tblPr>
      <w:tblGrid>
        <w:gridCol w:w="4176"/>
        <w:gridCol w:w="1656"/>
        <w:gridCol w:w="1657"/>
        <w:gridCol w:w="1657"/>
      </w:tblGrid>
      <w:tr w:rsidR="00C827EF" w:rsidTr="00C827EF">
        <w:trPr>
          <w:cantSplit/>
          <w:tblHeader/>
          <w:jc w:val="center"/>
        </w:trPr>
        <w:tc>
          <w:tcPr>
            <w:tcW w:w="417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Highest level of education of either primary or secondary parent or carer</w:t>
            </w:r>
          </w:p>
        </w:tc>
        <w:tc>
          <w:tcPr>
            <w:tcW w:w="16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657"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657" w:type="dxa"/>
            <w:tcBorders>
              <w:top w:val="single" w:sz="6" w:space="0" w:color="000000"/>
              <w:left w:val="single" w:sz="4" w:space="0" w:color="FFFFFF"/>
              <w:bottom w:val="single" w:sz="4" w:space="0" w:color="000000"/>
            </w:tcBorders>
            <w:shd w:val="clear" w:color="auto" w:fill="EFF3FF"/>
            <w:vAlign w:val="bottom"/>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Bachelor degree or higher</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12.5</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8.8</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10.6</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Diploma or certificate III/IV</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17.0</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14.5</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15.8</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Year 11 or 12</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19.4</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10.6</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15.4</w:t>
            </w:r>
          </w:p>
        </w:tc>
      </w:tr>
      <w:tr w:rsidR="00C827EF" w:rsidTr="00C827EF">
        <w:trPr>
          <w:cantSplit/>
          <w:jc w:val="center"/>
        </w:trPr>
        <w:tc>
          <w:tcPr>
            <w:tcW w:w="4176" w:type="dxa"/>
            <w:tcBorders>
              <w:top w:val="nil"/>
              <w:bottom w:val="single" w:sz="6" w:space="0" w:color="000000"/>
              <w:right w:val="nil"/>
            </w:tcBorders>
            <w:shd w:val="clear" w:color="auto" w:fill="EFF3FF"/>
            <w:tcMar>
              <w:left w:w="40" w:type="dxa"/>
              <w:right w:w="40" w:type="dxa"/>
            </w:tcMar>
          </w:tcPr>
          <w:p w:rsidR="00C827EF" w:rsidRDefault="00C827EF" w:rsidP="00C827EF">
            <w:pPr>
              <w:pStyle w:val="TableRowHeadings"/>
            </w:pPr>
            <w:r>
              <w:t>Year 10 or below</w:t>
            </w:r>
          </w:p>
        </w:tc>
        <w:tc>
          <w:tcPr>
            <w:tcW w:w="1656"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26.2</w:t>
            </w:r>
          </w:p>
        </w:tc>
        <w:tc>
          <w:tcPr>
            <w:tcW w:w="1657"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12.7</w:t>
            </w:r>
          </w:p>
        </w:tc>
        <w:tc>
          <w:tcPr>
            <w:tcW w:w="1657" w:type="dxa"/>
            <w:tcBorders>
              <w:top w:val="nil"/>
              <w:left w:val="nil"/>
              <w:bottom w:val="single" w:sz="6" w:space="0" w:color="000000"/>
              <w:right w:val="nil"/>
            </w:tcBorders>
            <w:shd w:val="clear" w:color="auto" w:fill="FFFFFF"/>
            <w:vAlign w:val="bottom"/>
          </w:tcPr>
          <w:p w:rsidR="00C827EF" w:rsidRDefault="00C827EF" w:rsidP="00C827EF">
            <w:pPr>
              <w:pStyle w:val="TableDataCell"/>
            </w:pPr>
            <w:r>
              <w:t>19.7</w:t>
            </w:r>
          </w:p>
        </w:tc>
      </w:tr>
    </w:tbl>
    <w:p w:rsidR="00C827EF" w:rsidRDefault="00C827EF" w:rsidP="00C827EF">
      <w:pPr>
        <w:pStyle w:val="Heading3"/>
        <w:rPr>
          <w:lang w:eastAsia="en-AU"/>
        </w:rPr>
      </w:pPr>
      <w:bookmarkStart w:id="20" w:name="_Toc401758751"/>
      <w:r>
        <w:rPr>
          <w:lang w:eastAsia="en-AU"/>
        </w:rPr>
        <w:t>2.2.4</w:t>
      </w:r>
      <w:r>
        <w:rPr>
          <w:lang w:eastAsia="en-AU"/>
        </w:rPr>
        <w:tab/>
        <w:t>Parent and carer l</w:t>
      </w:r>
      <w:r w:rsidRPr="004245BA">
        <w:rPr>
          <w:lang w:eastAsia="en-AU"/>
        </w:rPr>
        <w:t>abour force status</w:t>
      </w:r>
      <w:bookmarkEnd w:id="20"/>
    </w:p>
    <w:p w:rsidR="00C827EF" w:rsidRDefault="00C827EF" w:rsidP="00C827EF">
      <w:pPr>
        <w:pStyle w:val="BodyText"/>
      </w:pPr>
      <w:r>
        <w:rPr>
          <w:lang w:eastAsia="en-AU"/>
        </w:rPr>
        <w:t xml:space="preserve">Children and adolescents with no parents or carers in employment had higher rates of mental disorders than </w:t>
      </w:r>
      <w:r w:rsidR="0074040A">
        <w:rPr>
          <w:lang w:eastAsia="en-AU"/>
        </w:rPr>
        <w:t>children and adolescents</w:t>
      </w:r>
      <w:r>
        <w:rPr>
          <w:lang w:eastAsia="en-AU"/>
        </w:rPr>
        <w:t xml:space="preserve"> living in households with one or both parents or carers in employment (</w:t>
      </w:r>
      <w:r>
        <w:t>Table 2-</w:t>
      </w:r>
      <w:r>
        <w:rPr>
          <w:noProof/>
        </w:rPr>
        <w:t>6</w:t>
      </w:r>
      <w:r>
        <w:rPr>
          <w:lang w:eastAsia="en-AU"/>
        </w:rPr>
        <w:t xml:space="preserve">). The highest rates of mental disorder were in families in which the sole parent or carer was not in employment, where 29.6% of children and adolescents had mental disorders in the previous </w:t>
      </w:r>
      <w:r w:rsidRPr="00F2479A">
        <w:rPr>
          <w:lang w:eastAsia="en-AU"/>
        </w:rPr>
        <w:t>12 months</w:t>
      </w:r>
      <w:r>
        <w:rPr>
          <w:lang w:eastAsia="en-AU"/>
        </w:rPr>
        <w:t xml:space="preserve">. The rate was markedly less when the sole parent or carer was employed (17.0%). </w:t>
      </w:r>
    </w:p>
    <w:p w:rsidR="00C827EF" w:rsidRDefault="00C827EF" w:rsidP="00C827EF">
      <w:pPr>
        <w:pStyle w:val="Caption"/>
        <w:keepNext/>
      </w:pPr>
      <w:bookmarkStart w:id="21" w:name="_Ref403396804"/>
      <w:r>
        <w:t>Table 2-</w:t>
      </w:r>
      <w:r>
        <w:rPr>
          <w:noProof/>
        </w:rPr>
        <w:t>6</w:t>
      </w:r>
      <w:bookmarkEnd w:id="21"/>
      <w:r>
        <w:t>: 12-</w:t>
      </w:r>
      <w:r w:rsidRPr="007E361A">
        <w:t>month prevalence of mental disorders among 4-17 year-olds by parent or carer labour force status and sex</w:t>
      </w:r>
    </w:p>
    <w:tbl>
      <w:tblPr>
        <w:tblW w:w="9146" w:type="dxa"/>
        <w:jc w:val="center"/>
        <w:tblLayout w:type="fixed"/>
        <w:tblCellMar>
          <w:left w:w="0" w:type="dxa"/>
          <w:right w:w="0" w:type="dxa"/>
        </w:tblCellMar>
        <w:tblLook w:val="0020" w:firstRow="1" w:lastRow="0" w:firstColumn="0" w:lastColumn="0" w:noHBand="0" w:noVBand="0"/>
        <w:tblDescription w:val="In Table 2-6 the first column defines carer labour force status. Read across the rows for the proportion of males then females and then finally persons who have 12 month prevalence of mental health disorder."/>
      </w:tblPr>
      <w:tblGrid>
        <w:gridCol w:w="4176"/>
        <w:gridCol w:w="1656"/>
        <w:gridCol w:w="1657"/>
        <w:gridCol w:w="1657"/>
      </w:tblGrid>
      <w:tr w:rsidR="00C827EF" w:rsidTr="00C827EF">
        <w:trPr>
          <w:cantSplit/>
          <w:jc w:val="center"/>
        </w:trPr>
        <w:tc>
          <w:tcPr>
            <w:tcW w:w="4176" w:type="dxa"/>
            <w:tcBorders>
              <w:top w:val="single" w:sz="6" w:space="0" w:color="auto"/>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Parent or carer labour force status</w:t>
            </w:r>
          </w:p>
        </w:tc>
        <w:tc>
          <w:tcPr>
            <w:tcW w:w="16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657"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657" w:type="dxa"/>
            <w:tcBorders>
              <w:top w:val="single" w:sz="6" w:space="0" w:color="000000"/>
              <w:left w:val="single" w:sz="4" w:space="0" w:color="FFFFFF"/>
              <w:bottom w:val="single" w:sz="4" w:space="0" w:color="000000"/>
            </w:tcBorders>
            <w:shd w:val="clear" w:color="auto" w:fill="EFF3FF"/>
            <w:vAlign w:val="bottom"/>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Both parents or carers employed</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12.6</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9.0</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10.8</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One parent or carer employed, one parent or carer not in employment</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15.5</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10.1</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12.9</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Both parents or carers not in employment</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23.4</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18.7</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21.3</w:t>
            </w:r>
          </w:p>
        </w:tc>
      </w:tr>
      <w:tr w:rsidR="00C827EF" w:rsidTr="00C827EF">
        <w:trPr>
          <w:cantSplit/>
          <w:jc w:val="center"/>
        </w:trPr>
        <w:tc>
          <w:tcPr>
            <w:tcW w:w="417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Sole parent or carer employed</w:t>
            </w:r>
          </w:p>
        </w:tc>
        <w:tc>
          <w:tcPr>
            <w:tcW w:w="165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16.9</w:t>
            </w:r>
          </w:p>
        </w:tc>
        <w:tc>
          <w:tcPr>
            <w:tcW w:w="165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17.1</w:t>
            </w:r>
          </w:p>
        </w:tc>
        <w:tc>
          <w:tcPr>
            <w:tcW w:w="1657" w:type="dxa"/>
            <w:tcBorders>
              <w:top w:val="nil"/>
              <w:left w:val="nil"/>
              <w:bottom w:val="nil"/>
              <w:right w:val="nil"/>
            </w:tcBorders>
            <w:shd w:val="clear" w:color="auto" w:fill="FFFFFF"/>
            <w:vAlign w:val="bottom"/>
          </w:tcPr>
          <w:p w:rsidR="00C827EF" w:rsidRDefault="00C827EF" w:rsidP="00C827EF">
            <w:pPr>
              <w:pStyle w:val="TableDataCell"/>
            </w:pPr>
            <w:r>
              <w:t>17.0</w:t>
            </w:r>
          </w:p>
        </w:tc>
      </w:tr>
      <w:tr w:rsidR="00C827EF" w:rsidTr="00C827EF">
        <w:trPr>
          <w:cantSplit/>
          <w:jc w:val="center"/>
        </w:trPr>
        <w:tc>
          <w:tcPr>
            <w:tcW w:w="4176" w:type="dxa"/>
            <w:tcBorders>
              <w:top w:val="nil"/>
              <w:bottom w:val="single" w:sz="6" w:space="0" w:color="auto"/>
              <w:right w:val="nil"/>
            </w:tcBorders>
            <w:shd w:val="clear" w:color="auto" w:fill="EFF3FF"/>
            <w:tcMar>
              <w:left w:w="40" w:type="dxa"/>
              <w:right w:w="40" w:type="dxa"/>
            </w:tcMar>
          </w:tcPr>
          <w:p w:rsidR="00C827EF" w:rsidRDefault="00C827EF" w:rsidP="00C827EF">
            <w:pPr>
              <w:pStyle w:val="TableRowHeadings"/>
            </w:pPr>
            <w:r>
              <w:t>Sole parent or carer not in employment</w:t>
            </w:r>
          </w:p>
        </w:tc>
        <w:tc>
          <w:tcPr>
            <w:tcW w:w="1656" w:type="dxa"/>
            <w:tcBorders>
              <w:top w:val="nil"/>
              <w:left w:val="nil"/>
              <w:bottom w:val="single" w:sz="6" w:space="0" w:color="auto"/>
              <w:right w:val="nil"/>
            </w:tcBorders>
            <w:shd w:val="clear" w:color="auto" w:fill="FFFFFF"/>
            <w:tcMar>
              <w:left w:w="40" w:type="dxa"/>
              <w:right w:w="40" w:type="dxa"/>
            </w:tcMar>
            <w:vAlign w:val="bottom"/>
          </w:tcPr>
          <w:p w:rsidR="00C827EF" w:rsidRDefault="00C827EF" w:rsidP="00C827EF">
            <w:pPr>
              <w:pStyle w:val="TableDataCell"/>
            </w:pPr>
            <w:r>
              <w:t>36.0</w:t>
            </w:r>
          </w:p>
        </w:tc>
        <w:tc>
          <w:tcPr>
            <w:tcW w:w="1657" w:type="dxa"/>
            <w:tcBorders>
              <w:top w:val="nil"/>
              <w:left w:val="nil"/>
              <w:bottom w:val="single" w:sz="6" w:space="0" w:color="auto"/>
              <w:right w:val="nil"/>
            </w:tcBorders>
            <w:shd w:val="clear" w:color="auto" w:fill="FFFFFF"/>
            <w:tcMar>
              <w:left w:w="40" w:type="dxa"/>
              <w:right w:w="40" w:type="dxa"/>
            </w:tcMar>
            <w:vAlign w:val="bottom"/>
          </w:tcPr>
          <w:p w:rsidR="00C827EF" w:rsidRDefault="00C827EF" w:rsidP="00C827EF">
            <w:pPr>
              <w:pStyle w:val="TableDataCell"/>
            </w:pPr>
            <w:r>
              <w:t>22.0</w:t>
            </w:r>
          </w:p>
        </w:tc>
        <w:tc>
          <w:tcPr>
            <w:tcW w:w="1657" w:type="dxa"/>
            <w:tcBorders>
              <w:top w:val="nil"/>
              <w:left w:val="nil"/>
              <w:bottom w:val="single" w:sz="6" w:space="0" w:color="auto"/>
              <w:right w:val="nil"/>
            </w:tcBorders>
            <w:shd w:val="clear" w:color="auto" w:fill="FFFFFF"/>
            <w:vAlign w:val="bottom"/>
          </w:tcPr>
          <w:p w:rsidR="00C827EF" w:rsidRDefault="00C827EF" w:rsidP="00C827EF">
            <w:pPr>
              <w:pStyle w:val="TableDataCell"/>
            </w:pPr>
            <w:r>
              <w:t>29.6</w:t>
            </w:r>
          </w:p>
        </w:tc>
      </w:tr>
    </w:tbl>
    <w:p w:rsidR="00C827EF" w:rsidRPr="009F6A4C" w:rsidRDefault="00C827EF" w:rsidP="00C827EF">
      <w:pPr>
        <w:pStyle w:val="TableFootnote"/>
      </w:pPr>
      <w:r w:rsidRPr="009F6A4C">
        <w:t>‘Not in employment’ combines unemployed and not in the labour force.</w:t>
      </w:r>
    </w:p>
    <w:p w:rsidR="00C827EF" w:rsidRDefault="00C827EF" w:rsidP="00C827EF">
      <w:pPr>
        <w:pStyle w:val="Heading3"/>
      </w:pPr>
      <w:bookmarkStart w:id="22" w:name="_Toc401758752"/>
      <w:r>
        <w:t>2.2.5</w:t>
      </w:r>
      <w:r>
        <w:tab/>
        <w:t>Area of residence</w:t>
      </w:r>
      <w:bookmarkEnd w:id="22"/>
    </w:p>
    <w:p w:rsidR="00C827EF" w:rsidRDefault="00C827EF" w:rsidP="00C827EF">
      <w:pPr>
        <w:pStyle w:val="BodyText"/>
      </w:pPr>
      <w:r>
        <w:t>Children and adolescents</w:t>
      </w:r>
      <w:r w:rsidRPr="00F5508B">
        <w:t xml:space="preserve"> </w:t>
      </w:r>
      <w:r>
        <w:t>who</w:t>
      </w:r>
      <w:r w:rsidRPr="00F5508B">
        <w:t xml:space="preserve"> live</w:t>
      </w:r>
      <w:r>
        <w:t>d</w:t>
      </w:r>
      <w:r w:rsidRPr="00F5508B">
        <w:t xml:space="preserve"> </w:t>
      </w:r>
      <w:r>
        <w:t xml:space="preserve">outside of the greater capital city </w:t>
      </w:r>
      <w:r w:rsidRPr="00F5508B">
        <w:t xml:space="preserve">areas </w:t>
      </w:r>
      <w:r>
        <w:t>had higher rates of mental disorders compared with those living in other areas (Table 2-</w:t>
      </w:r>
      <w:r>
        <w:rPr>
          <w:noProof/>
        </w:rPr>
        <w:t>7</w:t>
      </w:r>
      <w:r>
        <w:t xml:space="preserve">). This was particularly so for males, with almost one in five (19.6%) young males residing outside of the greater capital city areas having had a mental disorder in the previous </w:t>
      </w:r>
      <w:r w:rsidRPr="00F2479A">
        <w:t>12 months</w:t>
      </w:r>
      <w:r>
        <w:t xml:space="preserve">. </w:t>
      </w:r>
    </w:p>
    <w:p w:rsidR="00C827EF" w:rsidRDefault="00C827EF" w:rsidP="00C827EF">
      <w:pPr>
        <w:pStyle w:val="Caption"/>
        <w:keepNext/>
      </w:pPr>
      <w:bookmarkStart w:id="23" w:name="_Ref403396479"/>
      <w:r>
        <w:t>Table 2-</w:t>
      </w:r>
      <w:r>
        <w:rPr>
          <w:noProof/>
        </w:rPr>
        <w:t>7</w:t>
      </w:r>
      <w:bookmarkEnd w:id="23"/>
      <w:r>
        <w:t xml:space="preserve">: </w:t>
      </w:r>
      <w:r w:rsidRPr="00472E7B">
        <w:t xml:space="preserve">12-month prevalence of mental disorders among 4-17 year-olds by </w:t>
      </w:r>
      <w:r>
        <w:t>area of residence</w:t>
      </w:r>
      <w:r w:rsidRPr="00472E7B">
        <w:t xml:space="preserve"> and sex</w:t>
      </w:r>
    </w:p>
    <w:tbl>
      <w:tblPr>
        <w:tblW w:w="9146" w:type="dxa"/>
        <w:jc w:val="center"/>
        <w:tblLayout w:type="fixed"/>
        <w:tblCellMar>
          <w:left w:w="0" w:type="dxa"/>
          <w:right w:w="0" w:type="dxa"/>
        </w:tblCellMar>
        <w:tblLook w:val="0020" w:firstRow="1" w:lastRow="0" w:firstColumn="0" w:lastColumn="0" w:noHBand="0" w:noVBand="0"/>
        <w:tblDescription w:val="In Table 2-7 the first column defines region. Read across the rows for the proportion of males then females and then finally persons with 12 month prevalence of mental health disorder."/>
      </w:tblPr>
      <w:tblGrid>
        <w:gridCol w:w="4190"/>
        <w:gridCol w:w="1652"/>
        <w:gridCol w:w="1652"/>
        <w:gridCol w:w="1652"/>
      </w:tblGrid>
      <w:tr w:rsidR="00C827EF" w:rsidTr="00C827EF">
        <w:trPr>
          <w:cantSplit/>
          <w:tblHeader/>
          <w:jc w:val="center"/>
        </w:trPr>
        <w:tc>
          <w:tcPr>
            <w:tcW w:w="4190"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Area of residence</w:t>
            </w:r>
          </w:p>
        </w:tc>
        <w:tc>
          <w:tcPr>
            <w:tcW w:w="165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652"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652" w:type="dxa"/>
            <w:tcBorders>
              <w:top w:val="single" w:sz="6" w:space="0" w:color="000000"/>
              <w:left w:val="single" w:sz="4" w:space="0" w:color="FFFFFF"/>
              <w:bottom w:val="single" w:sz="4" w:space="0" w:color="000000"/>
            </w:tcBorders>
            <w:shd w:val="clear" w:color="auto" w:fill="EFF3FF"/>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4190"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Greater capital cities</w:t>
            </w:r>
          </w:p>
        </w:tc>
        <w:tc>
          <w:tcPr>
            <w:tcW w:w="1652"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14.2</w:t>
            </w:r>
          </w:p>
        </w:tc>
        <w:tc>
          <w:tcPr>
            <w:tcW w:w="1652"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11.0</w:t>
            </w:r>
          </w:p>
        </w:tc>
        <w:tc>
          <w:tcPr>
            <w:tcW w:w="1652" w:type="dxa"/>
            <w:tcBorders>
              <w:top w:val="nil"/>
              <w:left w:val="nil"/>
              <w:bottom w:val="nil"/>
              <w:right w:val="nil"/>
            </w:tcBorders>
            <w:shd w:val="clear" w:color="auto" w:fill="FFFFFF"/>
            <w:vAlign w:val="bottom"/>
          </w:tcPr>
          <w:p w:rsidR="00C827EF" w:rsidRDefault="00C827EF" w:rsidP="00C827EF">
            <w:pPr>
              <w:pStyle w:val="TableDataCell"/>
            </w:pPr>
            <w:r>
              <w:t>12.6</w:t>
            </w:r>
          </w:p>
        </w:tc>
      </w:tr>
      <w:tr w:rsidR="00C827EF" w:rsidTr="00C827EF">
        <w:trPr>
          <w:cantSplit/>
          <w:jc w:val="center"/>
        </w:trPr>
        <w:tc>
          <w:tcPr>
            <w:tcW w:w="4190" w:type="dxa"/>
            <w:tcBorders>
              <w:top w:val="nil"/>
              <w:bottom w:val="single" w:sz="6" w:space="0" w:color="000000"/>
              <w:right w:val="nil"/>
            </w:tcBorders>
            <w:shd w:val="clear" w:color="auto" w:fill="EFF3FF"/>
            <w:tcMar>
              <w:left w:w="40" w:type="dxa"/>
              <w:right w:w="40" w:type="dxa"/>
            </w:tcMar>
          </w:tcPr>
          <w:p w:rsidR="00C827EF" w:rsidRDefault="00C827EF" w:rsidP="00C827EF">
            <w:pPr>
              <w:pStyle w:val="TableRowHeadings"/>
            </w:pPr>
            <w:r>
              <w:t>Rest of state</w:t>
            </w:r>
          </w:p>
        </w:tc>
        <w:tc>
          <w:tcPr>
            <w:tcW w:w="1652"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19.6</w:t>
            </w:r>
          </w:p>
        </w:tc>
        <w:tc>
          <w:tcPr>
            <w:tcW w:w="1652"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12.4</w:t>
            </w:r>
          </w:p>
        </w:tc>
        <w:tc>
          <w:tcPr>
            <w:tcW w:w="1652" w:type="dxa"/>
            <w:tcBorders>
              <w:top w:val="nil"/>
              <w:left w:val="nil"/>
              <w:bottom w:val="single" w:sz="6" w:space="0" w:color="000000"/>
              <w:right w:val="nil"/>
            </w:tcBorders>
            <w:shd w:val="clear" w:color="auto" w:fill="FFFFFF"/>
            <w:vAlign w:val="bottom"/>
          </w:tcPr>
          <w:p w:rsidR="00C827EF" w:rsidRDefault="00C827EF" w:rsidP="00C827EF">
            <w:pPr>
              <w:pStyle w:val="TableDataCell"/>
            </w:pPr>
            <w:r>
              <w:t>16.2</w:t>
            </w:r>
          </w:p>
        </w:tc>
      </w:tr>
    </w:tbl>
    <w:p w:rsidR="00C827EF" w:rsidRPr="009F6A4C" w:rsidRDefault="00C827EF" w:rsidP="00C827EF">
      <w:pPr>
        <w:pStyle w:val="TableFootnote"/>
      </w:pPr>
      <w:proofErr w:type="gramStart"/>
      <w:r w:rsidRPr="009F6A4C">
        <w:t>Based on the ABS classification Greater Capital City Statistical Area (GCCSA)</w:t>
      </w:r>
      <w:r>
        <w:t>.</w:t>
      </w:r>
      <w:proofErr w:type="gramEnd"/>
    </w:p>
    <w:p w:rsidR="00C827EF" w:rsidRDefault="00C827EF" w:rsidP="00C827EF">
      <w:pPr>
        <w:pStyle w:val="Heading3"/>
      </w:pPr>
      <w:bookmarkStart w:id="24" w:name="_Toc401758753"/>
      <w:r>
        <w:lastRenderedPageBreak/>
        <w:t>2.2.6</w:t>
      </w:r>
      <w:r>
        <w:tab/>
        <w:t>Family functioning</w:t>
      </w:r>
      <w:bookmarkEnd w:id="24"/>
    </w:p>
    <w:p w:rsidR="00C827EF" w:rsidRDefault="00C827EF" w:rsidP="00C827EF">
      <w:pPr>
        <w:pStyle w:val="BodyText"/>
        <w:rPr>
          <w:lang w:eastAsia="en-AU"/>
        </w:rPr>
      </w:pPr>
      <w:r>
        <w:rPr>
          <w:lang w:eastAsia="en-AU"/>
        </w:rPr>
        <w:t xml:space="preserve">A shortened version of the general functioning subscale of the McMaster Family Assessment Device was used to assess the level of family functioning. This covers issues such as communication and planning within the family, dealing with conflict, and levels of emotional and practical support. </w:t>
      </w:r>
      <w:r>
        <w:t xml:space="preserve">Of all families in the survey 3.7% had a level of family functioning assessed on the McMaster scale as poor, indicating unhealthy family functioning likely to require clinical intervention. </w:t>
      </w:r>
    </w:p>
    <w:p w:rsidR="00C827EF" w:rsidRPr="00202DAB" w:rsidRDefault="00C827EF" w:rsidP="00C827EF">
      <w:pPr>
        <w:pStyle w:val="BodyText"/>
      </w:pPr>
      <w:r>
        <w:t>Table 2-</w:t>
      </w:r>
      <w:r>
        <w:rPr>
          <w:noProof/>
        </w:rPr>
        <w:t>8</w:t>
      </w:r>
      <w:r>
        <w:t xml:space="preserve"> shows that the prevalence of mental disorders increased with decreasing levels of family functioning. Just over one third (35.3%) of young people in families with poor family functioning had a mental disorder. However, 15.3% in families with good family functioning and 10.9% in those with very good family functioning had a disorder. Similar associations were observed for both sexes.</w:t>
      </w:r>
    </w:p>
    <w:p w:rsidR="00C827EF" w:rsidRDefault="00C827EF" w:rsidP="00C827EF">
      <w:pPr>
        <w:pStyle w:val="Caption"/>
        <w:keepNext/>
      </w:pPr>
      <w:bookmarkStart w:id="25" w:name="_Ref403396698"/>
      <w:r>
        <w:t>Table 2-</w:t>
      </w:r>
      <w:r>
        <w:rPr>
          <w:noProof/>
        </w:rPr>
        <w:t>8</w:t>
      </w:r>
      <w:bookmarkEnd w:id="25"/>
      <w:r>
        <w:t xml:space="preserve">: </w:t>
      </w:r>
      <w:r w:rsidRPr="00821507">
        <w:t>12-month prevalence of mental disorders among 4-17 year-olds by level of family functioning</w:t>
      </w:r>
    </w:p>
    <w:tbl>
      <w:tblPr>
        <w:tblW w:w="9115" w:type="dxa"/>
        <w:jc w:val="center"/>
        <w:tblLayout w:type="fixed"/>
        <w:tblCellMar>
          <w:left w:w="0" w:type="dxa"/>
          <w:right w:w="0" w:type="dxa"/>
        </w:tblCellMar>
        <w:tblLook w:val="0020" w:firstRow="1" w:lastRow="0" w:firstColumn="0" w:lastColumn="0" w:noHBand="0" w:noVBand="0"/>
        <w:tblDescription w:val="In Table 2-8 the first column defines level of family functioning. Read across the rows for the proportion of male, females  and persons with 12 month prevalence of mental disorder."/>
      </w:tblPr>
      <w:tblGrid>
        <w:gridCol w:w="3203"/>
        <w:gridCol w:w="1970"/>
        <w:gridCol w:w="1971"/>
        <w:gridCol w:w="1971"/>
      </w:tblGrid>
      <w:tr w:rsidR="00C827EF" w:rsidTr="00C827EF">
        <w:trPr>
          <w:cantSplit/>
          <w:tblHeader/>
          <w:jc w:val="center"/>
        </w:trPr>
        <w:tc>
          <w:tcPr>
            <w:tcW w:w="3203"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Level of family functioning</w:t>
            </w:r>
          </w:p>
        </w:tc>
        <w:tc>
          <w:tcPr>
            <w:tcW w:w="197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Males (%)</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Females (%)</w:t>
            </w:r>
          </w:p>
        </w:tc>
        <w:tc>
          <w:tcPr>
            <w:tcW w:w="197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Persons (%)</w:t>
            </w:r>
          </w:p>
        </w:tc>
      </w:tr>
      <w:tr w:rsidR="00C827EF" w:rsidTr="00C827EF">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Very good</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12.7</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9.1</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10.9</w:t>
            </w:r>
          </w:p>
        </w:tc>
      </w:tr>
      <w:tr w:rsidR="00C827EF" w:rsidTr="00C827EF">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Good</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16.7</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13.8</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15.3</w:t>
            </w:r>
          </w:p>
        </w:tc>
      </w:tr>
      <w:tr w:rsidR="00C827EF" w:rsidTr="00C827EF">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Fair</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25.3</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13.5</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19.7</w:t>
            </w:r>
          </w:p>
        </w:tc>
      </w:tr>
      <w:tr w:rsidR="00C827EF" w:rsidTr="00C827EF">
        <w:trPr>
          <w:cantSplit/>
          <w:jc w:val="center"/>
        </w:trPr>
        <w:tc>
          <w:tcPr>
            <w:tcW w:w="3203" w:type="dxa"/>
            <w:tcBorders>
              <w:top w:val="nil"/>
              <w:bottom w:val="single" w:sz="6" w:space="0" w:color="000000"/>
              <w:right w:val="nil"/>
            </w:tcBorders>
            <w:shd w:val="clear" w:color="auto" w:fill="EFF3FF"/>
            <w:tcMar>
              <w:left w:w="40" w:type="dxa"/>
              <w:right w:w="40" w:type="dxa"/>
            </w:tcMar>
          </w:tcPr>
          <w:p w:rsidR="00C827EF" w:rsidRDefault="00C827EF" w:rsidP="00C827EF">
            <w:pPr>
              <w:pStyle w:val="TableRowHeadings"/>
            </w:pPr>
            <w:r>
              <w:t>Poor</w:t>
            </w:r>
          </w:p>
        </w:tc>
        <w:tc>
          <w:tcPr>
            <w:tcW w:w="1970"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36.4</w:t>
            </w:r>
          </w:p>
        </w:tc>
        <w:tc>
          <w:tcPr>
            <w:tcW w:w="1971"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33.8</w:t>
            </w:r>
          </w:p>
        </w:tc>
        <w:tc>
          <w:tcPr>
            <w:tcW w:w="1971" w:type="dxa"/>
            <w:tcBorders>
              <w:top w:val="nil"/>
              <w:left w:val="nil"/>
              <w:bottom w:val="single" w:sz="6" w:space="0" w:color="000000"/>
              <w:right w:val="nil"/>
            </w:tcBorders>
            <w:shd w:val="clear" w:color="auto" w:fill="FFFFFF"/>
            <w:tcMar>
              <w:left w:w="40" w:type="dxa"/>
              <w:right w:w="40" w:type="dxa"/>
            </w:tcMar>
            <w:vAlign w:val="bottom"/>
          </w:tcPr>
          <w:p w:rsidR="00C827EF" w:rsidRDefault="00C827EF" w:rsidP="00C827EF">
            <w:pPr>
              <w:pStyle w:val="TableDataCell"/>
            </w:pPr>
            <w:r>
              <w:t>35.3</w:t>
            </w:r>
          </w:p>
        </w:tc>
      </w:tr>
    </w:tbl>
    <w:p w:rsidR="00C827EF" w:rsidRDefault="00C827EF" w:rsidP="00C827EF">
      <w:pPr>
        <w:pStyle w:val="BodyText"/>
      </w:pPr>
    </w:p>
    <w:p w:rsidR="00C827EF" w:rsidRPr="00430CD3" w:rsidRDefault="00C827EF" w:rsidP="00C827EF">
      <w:pPr>
        <w:pStyle w:val="Heading2"/>
      </w:pPr>
      <w:bookmarkStart w:id="26" w:name="_Toc401758754"/>
      <w:r>
        <w:t>2</w:t>
      </w:r>
      <w:r w:rsidRPr="00F5508B">
        <w:t>.</w:t>
      </w:r>
      <w:r>
        <w:t>3</w:t>
      </w:r>
      <w:r w:rsidRPr="00F5508B">
        <w:t xml:space="preserve"> </w:t>
      </w:r>
      <w:r>
        <w:tab/>
      </w:r>
      <w:bookmarkEnd w:id="26"/>
      <w:r>
        <w:t>Impact of mental disorders</w:t>
      </w:r>
    </w:p>
    <w:p w:rsidR="00C827EF" w:rsidRDefault="00C827EF" w:rsidP="00C827EF">
      <w:pPr>
        <w:pStyle w:val="Heading3"/>
      </w:pPr>
      <w:r>
        <w:t>2.3.1</w:t>
      </w:r>
      <w:r>
        <w:tab/>
        <w:t>Severity of impact on functioning</w:t>
      </w:r>
    </w:p>
    <w:p w:rsidR="00C827EF" w:rsidRDefault="00C827EF" w:rsidP="00C827EF">
      <w:pPr>
        <w:pStyle w:val="BodyText"/>
      </w:pPr>
      <w:r>
        <w:t>One of the key aims of the survey was to determine the severity of the impact of mental disorders on the functioning of young people and, in particular, how this impact was associated with various facets of their lives. The survey measured the severity of impact of mental disorders in four different domains of functioning: At school or work, with friends and social activities, on the family and on the children themselves. This information also allowed estimating the overall severity of impact of mental disorders across all of these domains. Severity of impact was classified to be mild, moderate or severe. To ease interpretation, throughout this publication, the terms “severity of impact on function”, “severity of impact”, and “severity of disorder” or just “severity” will be used interchangeably, or the phrases mild disorder, moderate disorder and severe disorder will be used.</w:t>
      </w:r>
    </w:p>
    <w:p w:rsidR="00C827EF" w:rsidRPr="00946941" w:rsidRDefault="00C827EF" w:rsidP="00C827EF">
      <w:pPr>
        <w:pStyle w:val="BodyText"/>
        <w:rPr>
          <w:spacing w:val="4"/>
        </w:rPr>
      </w:pPr>
      <w:r w:rsidRPr="00946941">
        <w:rPr>
          <w:spacing w:val="4"/>
        </w:rPr>
        <w:t>Overall 13.9% of children and adolescents aged 4-17 years had mental disorders with 8.3% having mild severity of impact, 3.5% had moderate severity of impact and 2.1% had severe disorder (Table 2-</w:t>
      </w:r>
      <w:r w:rsidRPr="00946941">
        <w:rPr>
          <w:noProof/>
          <w:spacing w:val="4"/>
        </w:rPr>
        <w:t>9</w:t>
      </w:r>
      <w:r w:rsidRPr="00946941">
        <w:rPr>
          <w:spacing w:val="4"/>
        </w:rPr>
        <w:t>).</w:t>
      </w:r>
    </w:p>
    <w:p w:rsidR="00C827EF" w:rsidRDefault="00C827EF" w:rsidP="00C827EF">
      <w:pPr>
        <w:pStyle w:val="BodyText"/>
      </w:pPr>
      <w:r>
        <w:t xml:space="preserve">For children with anxiety disorders, ADHD and conduct disorder the majority of these had a mild impact on functioning, with fewer that were moderate and fewer again severe. However, the converse was true with major depressive disorder, with the largest proportion of children (42.9% of those with major depressive disorder or 1.2% of all 4-17 year-olds) classified as having a severe impact, less as moderate (1.0% of 4-17 year-olds) and less again as mild (0.6% of 4-17 year-olds). </w:t>
      </w:r>
    </w:p>
    <w:p w:rsidR="00C827EF" w:rsidRDefault="00C827EF" w:rsidP="00C827EF">
      <w:pPr>
        <w:pStyle w:val="Caption"/>
        <w:keepNext/>
      </w:pPr>
      <w:bookmarkStart w:id="27" w:name="_Ref403396890"/>
      <w:r>
        <w:lastRenderedPageBreak/>
        <w:t>Table 2-</w:t>
      </w:r>
      <w:r>
        <w:rPr>
          <w:noProof/>
        </w:rPr>
        <w:t>9</w:t>
      </w:r>
      <w:bookmarkEnd w:id="27"/>
      <w:r>
        <w:t xml:space="preserve">: </w:t>
      </w:r>
      <w:r w:rsidRPr="00616E8A">
        <w:t>12-month prevalence of mental disorders among 4-17 year-olds by type of disorder and severity</w:t>
      </w:r>
      <w:r>
        <w:t xml:space="preserve"> </w:t>
      </w:r>
    </w:p>
    <w:tbl>
      <w:tblPr>
        <w:tblW w:w="9127" w:type="dxa"/>
        <w:jc w:val="center"/>
        <w:tblLayout w:type="fixed"/>
        <w:tblCellMar>
          <w:left w:w="0" w:type="dxa"/>
          <w:right w:w="0" w:type="dxa"/>
        </w:tblCellMar>
        <w:tblLook w:val="0020" w:firstRow="1" w:lastRow="0" w:firstColumn="0" w:lastColumn="0" w:noHBand="0" w:noVBand="0"/>
        <w:tblDescription w:val="In Table 2-9 the first column defines mental disorder. Read across the columns for the prevalence of each disorder with mild impact, moderate impact, severe impact and total prevalence for each disorder."/>
      </w:tblPr>
      <w:tblGrid>
        <w:gridCol w:w="3372"/>
        <w:gridCol w:w="1438"/>
        <w:gridCol w:w="1439"/>
        <w:gridCol w:w="1439"/>
        <w:gridCol w:w="1439"/>
      </w:tblGrid>
      <w:tr w:rsidR="00C827EF" w:rsidTr="00C827EF">
        <w:trPr>
          <w:cantSplit/>
          <w:tblHeader/>
          <w:jc w:val="center"/>
        </w:trPr>
        <w:tc>
          <w:tcPr>
            <w:tcW w:w="3372"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C07B86" w:rsidRDefault="00C827EF" w:rsidP="00C827EF">
            <w:pPr>
              <w:pStyle w:val="TableColumnHeadings"/>
              <w:jc w:val="left"/>
              <w:rPr>
                <w:rStyle w:val="Strong"/>
              </w:rPr>
            </w:pPr>
            <w:r w:rsidRPr="00C07B86">
              <w:rPr>
                <w:rStyle w:val="Strong"/>
              </w:rPr>
              <w:t>Disorder</w:t>
            </w:r>
          </w:p>
        </w:tc>
        <w:tc>
          <w:tcPr>
            <w:tcW w:w="143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Mild (%)</w:t>
            </w:r>
          </w:p>
        </w:tc>
        <w:tc>
          <w:tcPr>
            <w:tcW w:w="143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Moderate (%)</w:t>
            </w:r>
          </w:p>
        </w:tc>
        <w:tc>
          <w:tcPr>
            <w:tcW w:w="143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Severe (%)</w:t>
            </w:r>
          </w:p>
        </w:tc>
        <w:tc>
          <w:tcPr>
            <w:tcW w:w="143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C07B86" w:rsidRDefault="00C827EF" w:rsidP="00C827EF">
            <w:pPr>
              <w:pStyle w:val="TableColumnHeadings"/>
              <w:rPr>
                <w:rStyle w:val="Strong"/>
              </w:rPr>
            </w:pPr>
            <w:r w:rsidRPr="00C07B86">
              <w:rPr>
                <w:rStyle w:val="Strong"/>
              </w:rPr>
              <w:t>Total (%)</w:t>
            </w:r>
          </w:p>
        </w:tc>
      </w:tr>
      <w:tr w:rsidR="00C827EF" w:rsidTr="00C827EF">
        <w:trPr>
          <w:cantSplit/>
          <w:jc w:val="center"/>
        </w:trPr>
        <w:tc>
          <w:tcPr>
            <w:tcW w:w="337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Any anxiety disorder</w:t>
            </w:r>
          </w:p>
        </w:tc>
        <w:tc>
          <w:tcPr>
            <w:tcW w:w="143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3.7</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1.9</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1.3</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6.9</w:t>
            </w:r>
          </w:p>
        </w:tc>
      </w:tr>
      <w:tr w:rsidR="00C827EF" w:rsidTr="00C827EF">
        <w:trPr>
          <w:cantSplit/>
          <w:jc w:val="center"/>
        </w:trPr>
        <w:tc>
          <w:tcPr>
            <w:tcW w:w="337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Major depressive disorder</w:t>
            </w:r>
          </w:p>
        </w:tc>
        <w:tc>
          <w:tcPr>
            <w:tcW w:w="143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0.6</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1.2</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2.8</w:t>
            </w:r>
          </w:p>
        </w:tc>
      </w:tr>
      <w:tr w:rsidR="00C827EF" w:rsidTr="00C827EF">
        <w:trPr>
          <w:cantSplit/>
          <w:jc w:val="center"/>
        </w:trPr>
        <w:tc>
          <w:tcPr>
            <w:tcW w:w="3372"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ADHD</w:t>
            </w:r>
          </w:p>
        </w:tc>
        <w:tc>
          <w:tcPr>
            <w:tcW w:w="1438"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4.9</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1.8</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0.8</w:t>
            </w:r>
          </w:p>
        </w:tc>
        <w:tc>
          <w:tcPr>
            <w:tcW w:w="1439"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7.4</w:t>
            </w:r>
          </w:p>
        </w:tc>
      </w:tr>
      <w:tr w:rsidR="00C827EF" w:rsidTr="00C827EF">
        <w:trPr>
          <w:cantSplit/>
          <w:jc w:val="center"/>
        </w:trPr>
        <w:tc>
          <w:tcPr>
            <w:tcW w:w="3372" w:type="dxa"/>
            <w:tcBorders>
              <w:top w:val="nil"/>
              <w:bottom w:val="single" w:sz="4" w:space="0" w:color="auto"/>
              <w:right w:val="nil"/>
            </w:tcBorders>
            <w:shd w:val="clear" w:color="auto" w:fill="EFF3FF"/>
            <w:tcMar>
              <w:left w:w="40" w:type="dxa"/>
              <w:right w:w="40" w:type="dxa"/>
            </w:tcMar>
          </w:tcPr>
          <w:p w:rsidR="00C827EF" w:rsidRDefault="00C827EF" w:rsidP="00C827EF">
            <w:pPr>
              <w:pStyle w:val="TableRowHeadings"/>
            </w:pPr>
            <w:r>
              <w:t>Conduct disorder</w:t>
            </w:r>
          </w:p>
        </w:tc>
        <w:tc>
          <w:tcPr>
            <w:tcW w:w="1438"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1.2</w:t>
            </w:r>
          </w:p>
        </w:tc>
        <w:tc>
          <w:tcPr>
            <w:tcW w:w="1439"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0.5</w:t>
            </w:r>
          </w:p>
        </w:tc>
        <w:tc>
          <w:tcPr>
            <w:tcW w:w="1439"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0.4</w:t>
            </w:r>
          </w:p>
        </w:tc>
        <w:tc>
          <w:tcPr>
            <w:tcW w:w="1439"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2.1</w:t>
            </w:r>
          </w:p>
        </w:tc>
      </w:tr>
      <w:tr w:rsidR="00C827EF" w:rsidTr="00C827EF">
        <w:trPr>
          <w:cantSplit/>
          <w:jc w:val="center"/>
        </w:trPr>
        <w:tc>
          <w:tcPr>
            <w:tcW w:w="3372" w:type="dxa"/>
            <w:tcBorders>
              <w:top w:val="single" w:sz="4" w:space="0" w:color="auto"/>
              <w:bottom w:val="single" w:sz="6" w:space="0" w:color="000000"/>
              <w:right w:val="nil"/>
            </w:tcBorders>
            <w:shd w:val="clear" w:color="auto" w:fill="EFF3FF"/>
            <w:tcMar>
              <w:left w:w="40" w:type="dxa"/>
              <w:right w:w="40" w:type="dxa"/>
            </w:tcMar>
          </w:tcPr>
          <w:p w:rsidR="00C827EF" w:rsidRPr="00C07B86" w:rsidRDefault="00C827EF" w:rsidP="00C827EF">
            <w:pPr>
              <w:pStyle w:val="TableRowHeadings"/>
              <w:rPr>
                <w:rStyle w:val="Strong"/>
              </w:rPr>
            </w:pPr>
            <w:r w:rsidRPr="00C07B86">
              <w:rPr>
                <w:rStyle w:val="Strong"/>
              </w:rPr>
              <w:t>Any mental disorder</w:t>
            </w:r>
          </w:p>
        </w:tc>
        <w:tc>
          <w:tcPr>
            <w:tcW w:w="1438"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C07B86" w:rsidRDefault="00C827EF" w:rsidP="00C827EF">
            <w:pPr>
              <w:pStyle w:val="TableDataCell"/>
              <w:rPr>
                <w:rStyle w:val="Strong"/>
              </w:rPr>
            </w:pPr>
            <w:r w:rsidRPr="00C07B86">
              <w:rPr>
                <w:rStyle w:val="Strong"/>
              </w:rPr>
              <w:t>8.3</w:t>
            </w:r>
          </w:p>
        </w:tc>
        <w:tc>
          <w:tcPr>
            <w:tcW w:w="14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C07B86" w:rsidRDefault="00C827EF" w:rsidP="00C827EF">
            <w:pPr>
              <w:pStyle w:val="TableDataCell"/>
              <w:rPr>
                <w:rStyle w:val="Strong"/>
              </w:rPr>
            </w:pPr>
            <w:r w:rsidRPr="00C07B86">
              <w:rPr>
                <w:rStyle w:val="Strong"/>
              </w:rPr>
              <w:t>3.5</w:t>
            </w:r>
          </w:p>
        </w:tc>
        <w:tc>
          <w:tcPr>
            <w:tcW w:w="14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C07B86" w:rsidRDefault="00C827EF" w:rsidP="00C827EF">
            <w:pPr>
              <w:pStyle w:val="TableDataCell"/>
              <w:rPr>
                <w:rStyle w:val="Strong"/>
              </w:rPr>
            </w:pPr>
            <w:r w:rsidRPr="00C07B86">
              <w:rPr>
                <w:rStyle w:val="Strong"/>
              </w:rPr>
              <w:t>2.1</w:t>
            </w:r>
          </w:p>
        </w:tc>
        <w:tc>
          <w:tcPr>
            <w:tcW w:w="1439"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C07B86" w:rsidRDefault="00C827EF" w:rsidP="00C827EF">
            <w:pPr>
              <w:pStyle w:val="TableDataCell"/>
              <w:rPr>
                <w:rStyle w:val="Strong"/>
              </w:rPr>
            </w:pPr>
            <w:r w:rsidRPr="00C07B86">
              <w:rPr>
                <w:rStyle w:val="Strong"/>
              </w:rPr>
              <w:t>13.9</w:t>
            </w:r>
          </w:p>
        </w:tc>
      </w:tr>
    </w:tbl>
    <w:p w:rsidR="00C827EF" w:rsidRDefault="00C827EF" w:rsidP="00555E74">
      <w:pPr>
        <w:pStyle w:val="BodyText"/>
        <w:spacing w:before="120"/>
      </w:pPr>
      <w:r>
        <w:t>Three fifths (59.8%) of children and adolescents with a mental disorder had disorders with a mild impact on functioning, one quarter (25.4%) were moderate, and 14.7% were assessed as severe. There was little difference in the proportions of males and females at each level of impact. There were, however, marked differences between children and adolescents, with almost three times as many adolescents as children with mental disorders with severe impact (23.1% for 12-17 year-olds compared with 8.2% for 4-11 year-olds). In contrast, far more children had disorders with mild impact than adolescents (72.1% of 4-11 year-olds compared with 44.1% of 12-17 year-olds) (Table 2-</w:t>
      </w:r>
      <w:r>
        <w:rPr>
          <w:noProof/>
        </w:rPr>
        <w:t>10</w:t>
      </w:r>
      <w:r>
        <w:t xml:space="preserve">). </w:t>
      </w:r>
    </w:p>
    <w:p w:rsidR="00C827EF" w:rsidRDefault="00C827EF" w:rsidP="00C827EF">
      <w:pPr>
        <w:pStyle w:val="Caption"/>
        <w:keepNext/>
      </w:pPr>
      <w:bookmarkStart w:id="28" w:name="_Ref403396854"/>
      <w:r>
        <w:t>Table 2-</w:t>
      </w:r>
      <w:r>
        <w:rPr>
          <w:noProof/>
        </w:rPr>
        <w:t>10</w:t>
      </w:r>
      <w:bookmarkEnd w:id="28"/>
      <w:r>
        <w:t xml:space="preserve">: </w:t>
      </w:r>
      <w:r w:rsidRPr="001652D0">
        <w:t xml:space="preserve">Severity </w:t>
      </w:r>
      <w:r>
        <w:t xml:space="preserve">of </w:t>
      </w:r>
      <w:r w:rsidRPr="001652D0">
        <w:t>mental disorder</w:t>
      </w:r>
      <w:r>
        <w:t>s</w:t>
      </w:r>
      <w:r w:rsidRPr="001652D0">
        <w:t xml:space="preserve"> among 4-17 year-olds </w:t>
      </w:r>
      <w:r>
        <w:t xml:space="preserve">with mental disorders </w:t>
      </w:r>
      <w:r w:rsidRPr="001652D0">
        <w:t>by sex and age group</w:t>
      </w:r>
    </w:p>
    <w:tbl>
      <w:tblPr>
        <w:tblW w:w="9135" w:type="dxa"/>
        <w:jc w:val="center"/>
        <w:tblLayout w:type="fixed"/>
        <w:tblCellMar>
          <w:left w:w="0" w:type="dxa"/>
          <w:right w:w="0" w:type="dxa"/>
        </w:tblCellMar>
        <w:tblLook w:val="0000" w:firstRow="0" w:lastRow="0" w:firstColumn="0" w:lastColumn="0" w:noHBand="0" w:noVBand="0"/>
        <w:tblDescription w:val="In Table 2-10 the first column defines sex and the second column defines age group. Read across the columns for the percentage of children and adolescent with mild impact, moderate impact, severe impact for each group."/>
      </w:tblPr>
      <w:tblGrid>
        <w:gridCol w:w="1413"/>
        <w:gridCol w:w="1624"/>
        <w:gridCol w:w="2032"/>
        <w:gridCol w:w="2033"/>
        <w:gridCol w:w="2033"/>
      </w:tblGrid>
      <w:tr w:rsidR="00C827EF" w:rsidRPr="00AC617D" w:rsidTr="00C827EF">
        <w:trPr>
          <w:cantSplit/>
          <w:tblHeader/>
          <w:jc w:val="center"/>
        </w:trPr>
        <w:tc>
          <w:tcPr>
            <w:tcW w:w="1413" w:type="dxa"/>
            <w:tcBorders>
              <w:top w:val="single" w:sz="6" w:space="0" w:color="000000"/>
              <w:bottom w:val="single" w:sz="4" w:space="0" w:color="FFFFFF"/>
              <w:right w:val="nil"/>
            </w:tcBorders>
            <w:shd w:val="clear" w:color="auto" w:fill="EFF3FF"/>
            <w:tcMar>
              <w:left w:w="40" w:type="dxa"/>
              <w:right w:w="40" w:type="dxa"/>
            </w:tcMar>
            <w:vAlign w:val="bottom"/>
          </w:tcPr>
          <w:p w:rsidR="00C827EF" w:rsidRPr="001B2405" w:rsidRDefault="00C827EF" w:rsidP="00C827EF">
            <w:pPr>
              <w:pStyle w:val="TableColumnHeadings"/>
              <w:jc w:val="left"/>
              <w:rPr>
                <w:rStyle w:val="Strong"/>
              </w:rPr>
            </w:pPr>
            <w:r w:rsidRPr="001B2405">
              <w:rPr>
                <w:rStyle w:val="Strong"/>
              </w:rPr>
              <w:t>Sex</w:t>
            </w:r>
          </w:p>
        </w:tc>
        <w:tc>
          <w:tcPr>
            <w:tcW w:w="1624" w:type="dxa"/>
            <w:tcBorders>
              <w:top w:val="single" w:sz="6" w:space="0" w:color="000000"/>
              <w:left w:val="single" w:sz="4" w:space="0" w:color="FFFFFF"/>
              <w:bottom w:val="single" w:sz="4" w:space="0" w:color="000000"/>
              <w:right w:val="nil"/>
            </w:tcBorders>
            <w:shd w:val="clear" w:color="auto" w:fill="EFF3FF"/>
            <w:vAlign w:val="bottom"/>
          </w:tcPr>
          <w:p w:rsidR="00C827EF" w:rsidRPr="001B2405" w:rsidRDefault="00C827EF" w:rsidP="00C827EF">
            <w:pPr>
              <w:pStyle w:val="TableColumnHeadings"/>
              <w:jc w:val="left"/>
              <w:rPr>
                <w:rStyle w:val="Strong"/>
              </w:rPr>
            </w:pPr>
            <w:r w:rsidRPr="001B2405">
              <w:rPr>
                <w:rStyle w:val="Strong"/>
              </w:rPr>
              <w:t>Age group</w:t>
            </w:r>
          </w:p>
        </w:tc>
        <w:tc>
          <w:tcPr>
            <w:tcW w:w="20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Mild (%)</w:t>
            </w:r>
          </w:p>
        </w:tc>
        <w:tc>
          <w:tcPr>
            <w:tcW w:w="203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Moderate (%)</w:t>
            </w:r>
          </w:p>
        </w:tc>
        <w:tc>
          <w:tcPr>
            <w:tcW w:w="203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Severe (%)</w:t>
            </w:r>
          </w:p>
        </w:tc>
      </w:tr>
      <w:tr w:rsidR="00C827EF" w:rsidRPr="00AC617D" w:rsidTr="00C827EF">
        <w:trPr>
          <w:cantSplit/>
          <w:jc w:val="center"/>
        </w:trPr>
        <w:tc>
          <w:tcPr>
            <w:tcW w:w="1413" w:type="dxa"/>
            <w:vMerge w:val="restart"/>
            <w:tcBorders>
              <w:top w:val="single" w:sz="4" w:space="0" w:color="000000"/>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Males</w:t>
            </w: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4-11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69.8</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20.4</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9.9</w:t>
            </w:r>
          </w:p>
        </w:tc>
      </w:tr>
      <w:tr w:rsidR="00C827EF" w:rsidRPr="00AC617D" w:rsidTr="00C827EF">
        <w:trPr>
          <w:cantSplit/>
          <w:jc w:val="center"/>
        </w:trPr>
        <w:tc>
          <w:tcPr>
            <w:tcW w:w="1413" w:type="dxa"/>
            <w:vMerge/>
            <w:tcBorders>
              <w:top w:val="single" w:sz="4" w:space="0" w:color="000000"/>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12-17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44.4</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31.9</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23.7</w:t>
            </w:r>
          </w:p>
        </w:tc>
      </w:tr>
      <w:tr w:rsidR="00C827EF" w:rsidRPr="00AC617D" w:rsidTr="00C827EF">
        <w:trPr>
          <w:cantSplit/>
          <w:jc w:val="center"/>
        </w:trPr>
        <w:tc>
          <w:tcPr>
            <w:tcW w:w="1413" w:type="dxa"/>
            <w:vMerge/>
            <w:tcBorders>
              <w:top w:val="single" w:sz="4" w:space="0" w:color="000000"/>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4-17 years</w:t>
            </w:r>
          </w:p>
        </w:tc>
        <w:tc>
          <w:tcPr>
            <w:tcW w:w="2032"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59.2</w:t>
            </w:r>
          </w:p>
        </w:tc>
        <w:tc>
          <w:tcPr>
            <w:tcW w:w="2033"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25.2</w:t>
            </w:r>
          </w:p>
        </w:tc>
        <w:tc>
          <w:tcPr>
            <w:tcW w:w="2033"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15.6</w:t>
            </w:r>
          </w:p>
        </w:tc>
      </w:tr>
      <w:tr w:rsidR="00C827EF" w:rsidRPr="00AC617D" w:rsidTr="00C827EF">
        <w:trPr>
          <w:cantSplit/>
          <w:jc w:val="center"/>
        </w:trPr>
        <w:tc>
          <w:tcPr>
            <w:tcW w:w="1413" w:type="dxa"/>
            <w:vMerge w:val="restart"/>
            <w:tcBorders>
              <w:top w:val="single" w:sz="4" w:space="0" w:color="FFFFFF"/>
              <w:bottom w:val="single" w:sz="6" w:space="0" w:color="000000"/>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Females</w:t>
            </w: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4-11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75.9</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18.5</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5.6</w:t>
            </w:r>
          </w:p>
        </w:tc>
      </w:tr>
      <w:tr w:rsidR="00C827EF" w:rsidRPr="00AC617D" w:rsidTr="00C827EF">
        <w:trPr>
          <w:cantSplit/>
          <w:jc w:val="center"/>
        </w:trPr>
        <w:tc>
          <w:tcPr>
            <w:tcW w:w="1413" w:type="dxa"/>
            <w:vMerge/>
            <w:tcBorders>
              <w:top w:val="single" w:sz="4" w:space="0" w:color="FFFFFF"/>
              <w:bottom w:val="single" w:sz="6" w:space="0" w:color="000000"/>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12-17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43.8</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33.9</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22.4</w:t>
            </w:r>
          </w:p>
        </w:tc>
      </w:tr>
      <w:tr w:rsidR="00C827EF" w:rsidRPr="00AC617D" w:rsidTr="00C827EF">
        <w:trPr>
          <w:cantSplit/>
          <w:jc w:val="center"/>
        </w:trPr>
        <w:tc>
          <w:tcPr>
            <w:tcW w:w="1413" w:type="dxa"/>
            <w:vMerge/>
            <w:tcBorders>
              <w:top w:val="single" w:sz="4" w:space="0" w:color="FFFFFF"/>
              <w:bottom w:val="single" w:sz="4" w:space="0" w:color="FFFFFF" w:themeColor="background1"/>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4-17 years</w:t>
            </w:r>
          </w:p>
        </w:tc>
        <w:tc>
          <w:tcPr>
            <w:tcW w:w="2032"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60.8</w:t>
            </w:r>
          </w:p>
        </w:tc>
        <w:tc>
          <w:tcPr>
            <w:tcW w:w="2033"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25.8</w:t>
            </w:r>
          </w:p>
        </w:tc>
        <w:tc>
          <w:tcPr>
            <w:tcW w:w="2033" w:type="dxa"/>
            <w:tcBorders>
              <w:top w:val="nil"/>
              <w:left w:val="nil"/>
              <w:bottom w:val="nil"/>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13.4</w:t>
            </w:r>
          </w:p>
        </w:tc>
      </w:tr>
      <w:tr w:rsidR="00C827EF" w:rsidRPr="00AC617D" w:rsidTr="00C827EF">
        <w:trPr>
          <w:cantSplit/>
          <w:jc w:val="center"/>
        </w:trPr>
        <w:tc>
          <w:tcPr>
            <w:tcW w:w="1413"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Persons</w:t>
            </w: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4-11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72.1</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19.7</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8.2</w:t>
            </w:r>
          </w:p>
        </w:tc>
      </w:tr>
      <w:tr w:rsidR="00C827EF" w:rsidRPr="00AC617D" w:rsidTr="00C827EF">
        <w:trPr>
          <w:cantSplit/>
          <w:jc w:val="center"/>
        </w:trPr>
        <w:tc>
          <w:tcPr>
            <w:tcW w:w="1413" w:type="dxa"/>
            <w:vMerge/>
            <w:tcBorders>
              <w:top w:val="single" w:sz="6" w:space="0" w:color="000000"/>
              <w:bottom w:val="single" w:sz="6" w:space="0" w:color="000000"/>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4" w:space="0" w:color="FFFFFF"/>
              <w:right w:val="nil"/>
            </w:tcBorders>
            <w:shd w:val="clear" w:color="auto" w:fill="EFF3FF"/>
            <w:tcMar>
              <w:left w:w="40" w:type="dxa"/>
              <w:right w:w="40" w:type="dxa"/>
            </w:tcMar>
          </w:tcPr>
          <w:p w:rsidR="00C827EF" w:rsidRPr="00AC617D" w:rsidRDefault="00C827EF" w:rsidP="00C827EF">
            <w:pPr>
              <w:pStyle w:val="TableRowHeadings"/>
              <w:rPr>
                <w:lang w:eastAsia="en-AU"/>
              </w:rPr>
            </w:pPr>
            <w:r w:rsidRPr="00AC617D">
              <w:rPr>
                <w:lang w:eastAsia="en-AU"/>
              </w:rPr>
              <w:t>12-17 years</w:t>
            </w:r>
          </w:p>
        </w:tc>
        <w:tc>
          <w:tcPr>
            <w:tcW w:w="2032"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44.1</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32.8</w:t>
            </w:r>
          </w:p>
        </w:tc>
        <w:tc>
          <w:tcPr>
            <w:tcW w:w="2033" w:type="dxa"/>
            <w:tcBorders>
              <w:top w:val="nil"/>
              <w:left w:val="nil"/>
              <w:bottom w:val="nil"/>
              <w:right w:val="nil"/>
            </w:tcBorders>
            <w:shd w:val="clear" w:color="auto" w:fill="FFFFFF"/>
            <w:tcMar>
              <w:left w:w="40" w:type="dxa"/>
              <w:right w:w="40" w:type="dxa"/>
            </w:tcMar>
            <w:vAlign w:val="bottom"/>
          </w:tcPr>
          <w:p w:rsidR="00C827EF" w:rsidRPr="00AC617D" w:rsidRDefault="00C827EF" w:rsidP="00C827EF">
            <w:pPr>
              <w:pStyle w:val="TableDataCell"/>
              <w:rPr>
                <w:lang w:eastAsia="en-AU"/>
              </w:rPr>
            </w:pPr>
            <w:r w:rsidRPr="00AC617D">
              <w:rPr>
                <w:lang w:eastAsia="en-AU"/>
              </w:rPr>
              <w:t>23.1</w:t>
            </w:r>
          </w:p>
        </w:tc>
      </w:tr>
      <w:tr w:rsidR="00C827EF" w:rsidRPr="00AC617D" w:rsidTr="00C827EF">
        <w:trPr>
          <w:cantSplit/>
          <w:jc w:val="center"/>
        </w:trPr>
        <w:tc>
          <w:tcPr>
            <w:tcW w:w="1413" w:type="dxa"/>
            <w:vMerge/>
            <w:tcBorders>
              <w:top w:val="single" w:sz="6" w:space="0" w:color="000000"/>
              <w:bottom w:val="single" w:sz="6" w:space="0" w:color="000000"/>
              <w:right w:val="nil"/>
            </w:tcBorders>
            <w:shd w:val="clear" w:color="auto" w:fill="EFF3FF"/>
            <w:tcMar>
              <w:left w:w="40" w:type="dxa"/>
              <w:right w:w="40" w:type="dxa"/>
            </w:tcMar>
          </w:tcPr>
          <w:p w:rsidR="00C827EF" w:rsidRPr="00AC617D" w:rsidRDefault="00C827EF" w:rsidP="00C827EF">
            <w:pPr>
              <w:pStyle w:val="TableRowHeadings"/>
              <w:rPr>
                <w:rFonts w:ascii="Times New Roman" w:hAnsi="Times New Roman" w:cs="Times New Roman"/>
                <w:sz w:val="24"/>
                <w:szCs w:val="24"/>
                <w:lang w:eastAsia="en-AU"/>
              </w:rPr>
            </w:pPr>
          </w:p>
        </w:tc>
        <w:tc>
          <w:tcPr>
            <w:tcW w:w="1624" w:type="dxa"/>
            <w:tcBorders>
              <w:top w:val="nil"/>
              <w:left w:val="single" w:sz="4" w:space="0" w:color="FFFFFF"/>
              <w:bottom w:val="single" w:sz="6" w:space="0" w:color="000000"/>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4-17 years</w:t>
            </w:r>
          </w:p>
        </w:tc>
        <w:tc>
          <w:tcPr>
            <w:tcW w:w="2032"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59.8</w:t>
            </w:r>
          </w:p>
        </w:tc>
        <w:tc>
          <w:tcPr>
            <w:tcW w:w="2033"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25.4</w:t>
            </w:r>
          </w:p>
        </w:tc>
        <w:tc>
          <w:tcPr>
            <w:tcW w:w="2033"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14.7</w:t>
            </w:r>
          </w:p>
        </w:tc>
      </w:tr>
    </w:tbl>
    <w:p w:rsidR="00C827EF" w:rsidRDefault="00C827EF" w:rsidP="00555E74">
      <w:pPr>
        <w:pStyle w:val="BodyText"/>
        <w:spacing w:before="120"/>
      </w:pPr>
      <w:r>
        <w:t>When children and adolescents had mental disorders, slightly more of these disorders had a severe impact in the domains of family and school or work than in the domains of friends and self (19.5% and 17.6% compared with 12.4% and 14.4% respectively). Overall 15.0% of children and adolescents with mental disorders had no impact on functioning in the domain of school or work, 26.5% had no impact in the friends domain, 14.4% had no impact in the family domain, and 14.8% had no impact on self (Table 2-</w:t>
      </w:r>
      <w:r>
        <w:rPr>
          <w:noProof/>
        </w:rPr>
        <w:t>11</w:t>
      </w:r>
      <w:r>
        <w:t>).</w:t>
      </w:r>
    </w:p>
    <w:p w:rsidR="00C827EF" w:rsidRDefault="00C827EF" w:rsidP="00C827EF">
      <w:pPr>
        <w:pStyle w:val="Caption"/>
        <w:keepNext/>
        <w:pageBreakBefore/>
        <w:spacing w:before="0"/>
      </w:pPr>
      <w:bookmarkStart w:id="29" w:name="_Ref405542704"/>
      <w:r>
        <w:lastRenderedPageBreak/>
        <w:t>Table 2-</w:t>
      </w:r>
      <w:r>
        <w:rPr>
          <w:noProof/>
        </w:rPr>
        <w:t>11</w:t>
      </w:r>
      <w:bookmarkEnd w:id="29"/>
      <w:r>
        <w:t>: Severity of impact in different life domains among 4-17 year-olds with mental disorders</w:t>
      </w:r>
    </w:p>
    <w:tbl>
      <w:tblPr>
        <w:tblW w:w="0" w:type="auto"/>
        <w:jc w:val="center"/>
        <w:tblLayout w:type="fixed"/>
        <w:tblCellMar>
          <w:left w:w="0" w:type="dxa"/>
          <w:right w:w="0" w:type="dxa"/>
        </w:tblCellMar>
        <w:tblLook w:val="0020" w:firstRow="1" w:lastRow="0" w:firstColumn="0" w:lastColumn="0" w:noHBand="0" w:noVBand="0"/>
        <w:tblDescription w:val="In Table 2-11 the first column defines severity of impact of mental disorder. Read across the columns for the percentage of children and adolescents who are impacted at school/work, friends, family, self and overall for each severity group."/>
      </w:tblPr>
      <w:tblGrid>
        <w:gridCol w:w="2510"/>
        <w:gridCol w:w="1318"/>
        <w:gridCol w:w="1319"/>
        <w:gridCol w:w="1318"/>
        <w:gridCol w:w="1319"/>
        <w:gridCol w:w="1319"/>
      </w:tblGrid>
      <w:tr w:rsidR="00C827EF" w:rsidRPr="001E7A77" w:rsidTr="00C827EF">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jc w:val="left"/>
              <w:rPr>
                <w:rStyle w:val="Strong"/>
              </w:rPr>
            </w:pPr>
            <w:bookmarkStart w:id="30" w:name="IDX1"/>
            <w:bookmarkEnd w:id="30"/>
            <w:r w:rsidRPr="001B2405">
              <w:rPr>
                <w:rStyle w:val="Strong"/>
              </w:rPr>
              <w:t>Severity</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School/work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Friends (%)</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Family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Self (%)</w:t>
            </w:r>
          </w:p>
        </w:tc>
        <w:tc>
          <w:tcPr>
            <w:tcW w:w="13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Overall severity (%)</w:t>
            </w:r>
          </w:p>
        </w:tc>
      </w:tr>
      <w:tr w:rsidR="00C827EF" w:rsidRPr="001E7A77"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E7A77" w:rsidRDefault="00C827EF" w:rsidP="00C827EF">
            <w:pPr>
              <w:pStyle w:val="TableRowHeadings"/>
            </w:pPr>
            <w:r w:rsidRPr="001E7A77">
              <w:t>None</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15.0</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26.5</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14.4</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14.8</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p>
        </w:tc>
      </w:tr>
      <w:tr w:rsidR="00C827EF" w:rsidRPr="001E7A77"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E7A77" w:rsidRDefault="00C827EF" w:rsidP="00C827EF">
            <w:pPr>
              <w:pStyle w:val="TableRowHeadings"/>
            </w:pPr>
            <w:r w:rsidRPr="001E7A77">
              <w:t>Mild</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34.5</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29.7</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35.2</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39.8</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59.8</w:t>
            </w:r>
          </w:p>
        </w:tc>
      </w:tr>
      <w:tr w:rsidR="00C827EF" w:rsidRPr="001E7A77"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E7A77" w:rsidRDefault="00C827EF" w:rsidP="00C827EF">
            <w:pPr>
              <w:pStyle w:val="TableRowHeadings"/>
            </w:pPr>
            <w:r w:rsidRPr="001E7A77">
              <w:t>Moderate</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29.3</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31.4</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30.8</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31.0</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25.4</w:t>
            </w:r>
          </w:p>
        </w:tc>
      </w:tr>
      <w:tr w:rsidR="00C827EF" w:rsidRPr="001E7A77"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E7A77" w:rsidRDefault="00C827EF" w:rsidP="00C827EF">
            <w:pPr>
              <w:pStyle w:val="TableRowHeadings"/>
            </w:pPr>
            <w:r w:rsidRPr="001E7A77">
              <w:t>Severe</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17.6</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12.4</w:t>
            </w:r>
          </w:p>
        </w:tc>
        <w:tc>
          <w:tcPr>
            <w:tcW w:w="1318"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19.5</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14.4</w:t>
            </w:r>
          </w:p>
        </w:tc>
        <w:tc>
          <w:tcPr>
            <w:tcW w:w="1319" w:type="dxa"/>
            <w:tcBorders>
              <w:top w:val="nil"/>
              <w:left w:val="nil"/>
              <w:bottom w:val="nil"/>
              <w:right w:val="nil"/>
            </w:tcBorders>
            <w:shd w:val="clear" w:color="auto" w:fill="FFFFFF"/>
            <w:tcMar>
              <w:left w:w="40" w:type="dxa"/>
              <w:right w:w="40" w:type="dxa"/>
            </w:tcMar>
            <w:vAlign w:val="bottom"/>
          </w:tcPr>
          <w:p w:rsidR="00C827EF" w:rsidRPr="001E7A77" w:rsidRDefault="00C827EF" w:rsidP="00C827EF">
            <w:pPr>
              <w:pStyle w:val="TableDataCell"/>
            </w:pPr>
            <w:r w:rsidRPr="001E7A77">
              <w:t>14.7</w:t>
            </w:r>
          </w:p>
        </w:tc>
      </w:tr>
      <w:tr w:rsidR="00C827EF" w:rsidRPr="001E7A77" w:rsidTr="00C827EF">
        <w:trPr>
          <w:cantSplit/>
          <w:jc w:val="center"/>
        </w:trPr>
        <w:tc>
          <w:tcPr>
            <w:tcW w:w="2510" w:type="dxa"/>
            <w:tcBorders>
              <w:top w:val="nil"/>
              <w:bottom w:val="single" w:sz="6" w:space="0" w:color="000000"/>
              <w:right w:val="nil"/>
            </w:tcBorders>
            <w:shd w:val="clear" w:color="auto" w:fill="EFF3FF"/>
            <w:tcMar>
              <w:left w:w="40" w:type="dxa"/>
              <w:right w:w="40" w:type="dxa"/>
            </w:tcMar>
          </w:tcPr>
          <w:p w:rsidR="00C827EF" w:rsidRPr="001E7A77" w:rsidRDefault="00C827EF" w:rsidP="00C827EF">
            <w:pPr>
              <w:pStyle w:val="TableRowHeadings"/>
            </w:pPr>
            <w:r w:rsidRPr="001E7A77">
              <w:t>Does not go to school or work</w:t>
            </w: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1E7A77" w:rsidRDefault="00C827EF" w:rsidP="00C827EF">
            <w:pPr>
              <w:pStyle w:val="TableDataCell"/>
            </w:pPr>
            <w:r w:rsidRPr="001E7A77">
              <w:t>3.6</w:t>
            </w: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E7A77" w:rsidRDefault="00C827EF" w:rsidP="00C827EF">
            <w:pPr>
              <w:pStyle w:val="TableDataCell"/>
            </w:pP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1E7A77" w:rsidRDefault="00C827EF" w:rsidP="00C827EF">
            <w:pPr>
              <w:pStyle w:val="TableDataCell"/>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E7A77" w:rsidRDefault="00C827EF" w:rsidP="00C827EF">
            <w:pPr>
              <w:pStyle w:val="TableDataCell"/>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E7A77" w:rsidRDefault="00C827EF" w:rsidP="00C827EF">
            <w:pPr>
              <w:pStyle w:val="TableDataCell"/>
            </w:pPr>
          </w:p>
        </w:tc>
      </w:tr>
    </w:tbl>
    <w:p w:rsidR="00C827EF" w:rsidRDefault="00C827EF" w:rsidP="00C827EF">
      <w:pPr>
        <w:pStyle w:val="Heading3"/>
      </w:pPr>
      <w:r>
        <w:t>2.3.2</w:t>
      </w:r>
      <w:r>
        <w:tab/>
        <w:t>Days absent from school</w:t>
      </w:r>
    </w:p>
    <w:p w:rsidR="00C827EF" w:rsidRDefault="00C827EF" w:rsidP="00C827EF">
      <w:pPr>
        <w:pStyle w:val="BodyText"/>
      </w:pPr>
      <w:r>
        <w:t>Where parents or carers reported symptoms of mental disorders in their children, they were asked how many days in the previous 12 months the child or adolescent was absent from school due to those symptoms. Because of the way the questions were asked it was not possible to calculate the total number of days absent from school due to any mental disorder if the child or adolescent had more than one disorder. Major depressive disorder was associated with the highest average number of days absent from school (20 days)</w:t>
      </w:r>
      <w:proofErr w:type="gramStart"/>
      <w:r>
        <w:t>,</w:t>
      </w:r>
      <w:proofErr w:type="gramEnd"/>
      <w:r>
        <w:t xml:space="preserve"> followed by anxiety disorders (12 days), conduct disorder (8 days) and ADHD (5 days) (Table 2-</w:t>
      </w:r>
      <w:r>
        <w:rPr>
          <w:noProof/>
        </w:rPr>
        <w:t>12</w:t>
      </w:r>
      <w:r>
        <w:t xml:space="preserve">). </w:t>
      </w:r>
    </w:p>
    <w:p w:rsidR="00C827EF" w:rsidRDefault="00C827EF" w:rsidP="00C827EF">
      <w:pPr>
        <w:pStyle w:val="Caption"/>
        <w:keepNext/>
      </w:pPr>
      <w:bookmarkStart w:id="31" w:name="_Ref405545345"/>
      <w:r>
        <w:t>Table 2-</w:t>
      </w:r>
      <w:r>
        <w:rPr>
          <w:noProof/>
        </w:rPr>
        <w:t>12</w:t>
      </w:r>
      <w:bookmarkEnd w:id="31"/>
      <w:r>
        <w:t>: Average days absent from school in past 12 months due to symptoms of mental disorders among 4-17 year-olds with mental disorders by type of disorder</w:t>
      </w:r>
    </w:p>
    <w:tbl>
      <w:tblPr>
        <w:tblW w:w="0" w:type="auto"/>
        <w:jc w:val="center"/>
        <w:tblLayout w:type="fixed"/>
        <w:tblCellMar>
          <w:left w:w="0" w:type="dxa"/>
          <w:right w:w="0" w:type="dxa"/>
        </w:tblCellMar>
        <w:tblLook w:val="0020" w:firstRow="1" w:lastRow="0" w:firstColumn="0" w:lastColumn="0" w:noHBand="0" w:noVBand="0"/>
        <w:tblDescription w:val="In Table 2-12 the first column defines age group. Read across the row for the average (days) absence from school."/>
      </w:tblPr>
      <w:tblGrid>
        <w:gridCol w:w="6092"/>
        <w:gridCol w:w="2953"/>
      </w:tblGrid>
      <w:tr w:rsidR="00C827EF" w:rsidRPr="009731F7" w:rsidTr="00C827EF">
        <w:trPr>
          <w:cantSplit/>
          <w:tblHeader/>
          <w:jc w:val="center"/>
        </w:trPr>
        <w:tc>
          <w:tcPr>
            <w:tcW w:w="6092"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jc w:val="left"/>
              <w:rPr>
                <w:rStyle w:val="Strong"/>
              </w:rPr>
            </w:pPr>
            <w:r w:rsidRPr="001B2405">
              <w:rPr>
                <w:rStyle w:val="Strong"/>
              </w:rPr>
              <w:t>Disorder</w:t>
            </w:r>
          </w:p>
        </w:tc>
        <w:tc>
          <w:tcPr>
            <w:tcW w:w="295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Average days absent</w:t>
            </w:r>
          </w:p>
        </w:tc>
      </w:tr>
      <w:tr w:rsidR="00C827EF" w:rsidRPr="009731F7" w:rsidTr="00C827EF">
        <w:trPr>
          <w:cantSplit/>
          <w:jc w:val="center"/>
        </w:trPr>
        <w:tc>
          <w:tcPr>
            <w:tcW w:w="6092" w:type="dxa"/>
            <w:tcBorders>
              <w:top w:val="nil"/>
              <w:bottom w:val="single" w:sz="4" w:space="0" w:color="FFFFFF" w:themeColor="background1"/>
              <w:right w:val="nil"/>
            </w:tcBorders>
            <w:shd w:val="clear" w:color="auto" w:fill="EFF3FF"/>
            <w:tcMar>
              <w:left w:w="40" w:type="dxa"/>
              <w:right w:w="40" w:type="dxa"/>
            </w:tcMar>
          </w:tcPr>
          <w:p w:rsidR="00C827EF" w:rsidRPr="00C9509F" w:rsidRDefault="00C827EF" w:rsidP="00C827EF">
            <w:pPr>
              <w:pStyle w:val="TableRowHeadings"/>
            </w:pPr>
            <w:r w:rsidRPr="00C9509F">
              <w:t>Any anxiety disorder</w:t>
            </w:r>
          </w:p>
        </w:tc>
        <w:tc>
          <w:tcPr>
            <w:tcW w:w="2953" w:type="dxa"/>
            <w:tcBorders>
              <w:top w:val="nil"/>
              <w:left w:val="nil"/>
              <w:bottom w:val="single" w:sz="4" w:space="0" w:color="FFFFFF" w:themeColor="background1"/>
              <w:right w:val="nil"/>
            </w:tcBorders>
            <w:shd w:val="clear" w:color="auto" w:fill="FFFFFF"/>
            <w:tcMar>
              <w:left w:w="40" w:type="dxa"/>
              <w:right w:w="40" w:type="dxa"/>
            </w:tcMar>
            <w:vAlign w:val="bottom"/>
          </w:tcPr>
          <w:p w:rsidR="00C827EF" w:rsidRPr="00C9509F" w:rsidRDefault="00C827EF" w:rsidP="00C827EF">
            <w:pPr>
              <w:pStyle w:val="TableDataCell"/>
            </w:pPr>
            <w:r>
              <w:t>12</w:t>
            </w:r>
          </w:p>
        </w:tc>
      </w:tr>
      <w:tr w:rsidR="00C827EF" w:rsidRPr="009731F7" w:rsidTr="00C827EF">
        <w:trPr>
          <w:cantSplit/>
          <w:jc w:val="center"/>
        </w:trPr>
        <w:tc>
          <w:tcPr>
            <w:tcW w:w="6092"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C827EF" w:rsidRPr="00C9509F" w:rsidRDefault="00C827EF" w:rsidP="00C827EF">
            <w:pPr>
              <w:pStyle w:val="TableRowHeadings"/>
            </w:pPr>
            <w:r w:rsidRPr="00C9509F">
              <w:t>Major depressive disorder</w:t>
            </w:r>
          </w:p>
        </w:tc>
        <w:tc>
          <w:tcPr>
            <w:tcW w:w="2953"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C827EF" w:rsidRPr="00C9509F" w:rsidRDefault="00C827EF" w:rsidP="00C827EF">
            <w:pPr>
              <w:pStyle w:val="TableDataCell"/>
            </w:pPr>
            <w:r w:rsidRPr="00C9509F">
              <w:t>20</w:t>
            </w:r>
          </w:p>
        </w:tc>
      </w:tr>
      <w:tr w:rsidR="00C827EF" w:rsidRPr="009731F7" w:rsidTr="00C827EF">
        <w:trPr>
          <w:cantSplit/>
          <w:jc w:val="center"/>
        </w:trPr>
        <w:tc>
          <w:tcPr>
            <w:tcW w:w="6092"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C827EF" w:rsidRPr="00C9509F" w:rsidRDefault="00C827EF" w:rsidP="00C827EF">
            <w:pPr>
              <w:pStyle w:val="TableRowHeadings"/>
            </w:pPr>
            <w:r>
              <w:t>ADHD</w:t>
            </w:r>
          </w:p>
        </w:tc>
        <w:tc>
          <w:tcPr>
            <w:tcW w:w="2953"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C827EF" w:rsidRPr="00C9509F" w:rsidRDefault="00C827EF" w:rsidP="00C827EF">
            <w:pPr>
              <w:pStyle w:val="TableDataCell"/>
            </w:pPr>
            <w:r>
              <w:t>5</w:t>
            </w:r>
          </w:p>
        </w:tc>
      </w:tr>
      <w:tr w:rsidR="00C827EF" w:rsidRPr="009731F7" w:rsidTr="00C827EF">
        <w:trPr>
          <w:cantSplit/>
          <w:jc w:val="center"/>
        </w:trPr>
        <w:tc>
          <w:tcPr>
            <w:tcW w:w="6092" w:type="dxa"/>
            <w:tcBorders>
              <w:top w:val="single" w:sz="4" w:space="0" w:color="FFFFFF" w:themeColor="background1"/>
              <w:bottom w:val="single" w:sz="6" w:space="0" w:color="auto"/>
              <w:right w:val="nil"/>
            </w:tcBorders>
            <w:shd w:val="clear" w:color="auto" w:fill="EFF3FF"/>
            <w:tcMar>
              <w:left w:w="40" w:type="dxa"/>
              <w:right w:w="40" w:type="dxa"/>
            </w:tcMar>
          </w:tcPr>
          <w:p w:rsidR="00C827EF" w:rsidRPr="00C9509F" w:rsidRDefault="00C827EF" w:rsidP="00C827EF">
            <w:pPr>
              <w:pStyle w:val="TableRowHeadings"/>
            </w:pPr>
            <w:r>
              <w:t>Conduct disorder</w:t>
            </w:r>
          </w:p>
        </w:tc>
        <w:tc>
          <w:tcPr>
            <w:tcW w:w="2953"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C827EF" w:rsidRPr="00C9509F" w:rsidRDefault="00C827EF" w:rsidP="00C827EF">
            <w:pPr>
              <w:pStyle w:val="TableDataCell"/>
            </w:pPr>
            <w:r>
              <w:t>8</w:t>
            </w:r>
          </w:p>
        </w:tc>
      </w:tr>
    </w:tbl>
    <w:p w:rsidR="00C827EF" w:rsidRDefault="00C827EF" w:rsidP="00C827EF">
      <w:pPr>
        <w:pStyle w:val="Heading2"/>
      </w:pPr>
      <w:bookmarkStart w:id="32" w:name="IDX2"/>
      <w:bookmarkStart w:id="33" w:name="_Toc401758755"/>
      <w:bookmarkEnd w:id="32"/>
      <w:r>
        <w:t>2.4</w:t>
      </w:r>
      <w:r>
        <w:tab/>
      </w:r>
      <w:r w:rsidRPr="00F5508B">
        <w:t>Comorbidity</w:t>
      </w:r>
      <w:bookmarkEnd w:id="33"/>
    </w:p>
    <w:p w:rsidR="00C827EF" w:rsidRDefault="00C827EF" w:rsidP="00C827EF">
      <w:pPr>
        <w:pStyle w:val="BodyText"/>
      </w:pPr>
      <w:r>
        <w:t>Children and adolescents may experience</w:t>
      </w:r>
      <w:r w:rsidRPr="003E436B">
        <w:t xml:space="preserve"> more than</w:t>
      </w:r>
      <w:r>
        <w:t xml:space="preserve"> one mental disorder within the same time period and this is referred to as comorbidity. Of the 13.9% of children and adolescents diagnosed with a mental disorder almost one third (30.0% or 4.2% of all 4-17 year-olds) had two or more disorders at some time in the previous 12 months. For this purpose the class of anxiety disorders have been considered as a single disorder and children could have a maximum of four disorders.</w:t>
      </w:r>
    </w:p>
    <w:p w:rsidR="00C827EF" w:rsidRDefault="00C827EF" w:rsidP="00C827EF">
      <w:pPr>
        <w:pStyle w:val="BodyText"/>
      </w:pPr>
      <w:r w:rsidRPr="00B83593">
        <w:t xml:space="preserve">Over half of </w:t>
      </w:r>
      <w:r>
        <w:t>the children and adolescents</w:t>
      </w:r>
      <w:r w:rsidRPr="00B83593">
        <w:t xml:space="preserve"> with </w:t>
      </w:r>
      <w:r>
        <w:t>major depressive disorder</w:t>
      </w:r>
      <w:r w:rsidRPr="00B83593">
        <w:t xml:space="preserve"> </w:t>
      </w:r>
      <w:r>
        <w:t>(1.6%</w:t>
      </w:r>
      <w:r w:rsidRPr="00470AC9">
        <w:t xml:space="preserve"> </w:t>
      </w:r>
      <w:r>
        <w:t xml:space="preserve">of all 4-17 year-olds) </w:t>
      </w:r>
      <w:r w:rsidRPr="00B83593">
        <w:t>also had an anxiety disorder (</w:t>
      </w:r>
      <w:r>
        <w:t>Figure 2-</w:t>
      </w:r>
      <w:r>
        <w:rPr>
          <w:noProof/>
        </w:rPr>
        <w:t>1</w:t>
      </w:r>
      <w:r w:rsidRPr="00B83593">
        <w:t>)</w:t>
      </w:r>
      <w:r>
        <w:t>.</w:t>
      </w:r>
      <w:r w:rsidRPr="00B83593">
        <w:t xml:space="preserve"> </w:t>
      </w:r>
      <w:r>
        <w:t>Two thirds of the children and adolescents</w:t>
      </w:r>
      <w:r w:rsidRPr="00B83593">
        <w:t xml:space="preserve"> </w:t>
      </w:r>
      <w:r>
        <w:t xml:space="preserve">with conduct disorder </w:t>
      </w:r>
      <w:r w:rsidRPr="00BA5517">
        <w:t xml:space="preserve">also had another disorder </w:t>
      </w:r>
      <w:r>
        <w:t>(1.4% out of the 2.1% of all 4-17 year-olds with conduct disorders). One third of the children and adolescents</w:t>
      </w:r>
      <w:r w:rsidRPr="00B83593">
        <w:t xml:space="preserve"> </w:t>
      </w:r>
      <w:r>
        <w:t>with either anxiety disorders or major depressive disorder also had conduct disorder or ADHD in the previous 12 months (2.6% out of the 8.1% of all 4-17 year-olds with either or both)</w:t>
      </w:r>
      <w:r w:rsidRPr="00B83593">
        <w:t>. A small proportion of children and adolescents (0.4%) experienced three classes of mental disorder (anxiety</w:t>
      </w:r>
      <w:r>
        <w:t xml:space="preserve"> disorders</w:t>
      </w:r>
      <w:r w:rsidRPr="00B83593">
        <w:t xml:space="preserve"> or </w:t>
      </w:r>
      <w:r>
        <w:t xml:space="preserve">major </w:t>
      </w:r>
      <w:r w:rsidRPr="00B83593">
        <w:t>depressi</w:t>
      </w:r>
      <w:r>
        <w:t>ve disorder</w:t>
      </w:r>
      <w:r w:rsidRPr="00B83593">
        <w:t xml:space="preserve">, ADHD and conduct disorder) in the </w:t>
      </w:r>
      <w:r>
        <w:t>previous</w:t>
      </w:r>
      <w:r w:rsidRPr="00B83593">
        <w:t xml:space="preserve"> 12 months (</w:t>
      </w:r>
      <w:r>
        <w:t>Figure 2-</w:t>
      </w:r>
      <w:r>
        <w:rPr>
          <w:noProof/>
        </w:rPr>
        <w:t>2</w:t>
      </w:r>
      <w:r w:rsidRPr="00B83593">
        <w:t>).</w:t>
      </w:r>
    </w:p>
    <w:p w:rsidR="00C827EF" w:rsidRDefault="00C827EF" w:rsidP="00C827EF">
      <w:pPr>
        <w:pStyle w:val="Caption"/>
        <w:keepNext/>
      </w:pPr>
      <w:bookmarkStart w:id="34" w:name="_Ref403396916"/>
      <w:r>
        <w:lastRenderedPageBreak/>
        <w:t>Figure 2-</w:t>
      </w:r>
      <w:r>
        <w:rPr>
          <w:noProof/>
        </w:rPr>
        <w:t>1</w:t>
      </w:r>
      <w:bookmarkEnd w:id="34"/>
      <w:r>
        <w:t>: Comorbidity of anxiety disorders and major depressive disorder among 4-17 year-olds</w:t>
      </w:r>
    </w:p>
    <w:p w:rsidR="00C827EF" w:rsidRDefault="00C827EF" w:rsidP="00C827EF">
      <w:pPr>
        <w:spacing w:after="0" w:line="276" w:lineRule="auto"/>
        <w:rPr>
          <w:noProof/>
          <w:lang w:eastAsia="en-AU"/>
        </w:rPr>
      </w:pPr>
      <w:r>
        <w:rPr>
          <w:noProof/>
          <w:lang w:eastAsia="en-AU"/>
        </w:rPr>
        <w:drawing>
          <wp:inline distT="0" distB="0" distL="0" distR="0" wp14:anchorId="3B3AAFEF" wp14:editId="557C3AAA">
            <wp:extent cx="4093200" cy="3564000"/>
            <wp:effectExtent l="0" t="0" r="3175" b="0"/>
            <wp:docPr id="20" name="Picture 20" descr="In Figure 2-1 the comorbidity of anxiety disorders and major depressive disorder among 4-17 year-olds is: Anxiety disorders only 5.3%, major depressive disorder only 1.3%, both anxiety and major depressive disorder 1.6%, neither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DiagramAnxietyDepressionWA1.p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093200" cy="3564000"/>
                    </a:xfrm>
                    <a:prstGeom prst="rect">
                      <a:avLst/>
                    </a:prstGeom>
                    <a:ln>
                      <a:noFill/>
                    </a:ln>
                    <a:extLst>
                      <a:ext uri="{53640926-AAD7-44D8-BBD7-CCE9431645EC}">
                        <a14:shadowObscured xmlns:a14="http://schemas.microsoft.com/office/drawing/2010/main"/>
                      </a:ext>
                    </a:extLst>
                  </pic:spPr>
                </pic:pic>
              </a:graphicData>
            </a:graphic>
          </wp:inline>
        </w:drawing>
      </w:r>
    </w:p>
    <w:p w:rsidR="00C827EF" w:rsidRDefault="00C827EF" w:rsidP="00C827EF">
      <w:pPr>
        <w:pStyle w:val="Caption"/>
        <w:keepNext/>
      </w:pPr>
      <w:bookmarkStart w:id="35" w:name="_Ref403397006"/>
      <w:r>
        <w:t>Figure 2-</w:t>
      </w:r>
      <w:r>
        <w:rPr>
          <w:noProof/>
        </w:rPr>
        <w:t>2</w:t>
      </w:r>
      <w:bookmarkEnd w:id="35"/>
      <w:r>
        <w:t xml:space="preserve">: </w:t>
      </w:r>
      <w:r w:rsidRPr="00B95944">
        <w:t>Comorbidity of anxiety or major depressive disorders, conduct disorder and ADHD among 4</w:t>
      </w:r>
      <w:r>
        <w:t>-</w:t>
      </w:r>
      <w:r w:rsidRPr="00B95944">
        <w:t>17 year-olds</w:t>
      </w:r>
    </w:p>
    <w:p w:rsidR="00C827EF" w:rsidRDefault="00C827EF" w:rsidP="00C827EF">
      <w:pPr>
        <w:spacing w:after="0" w:line="276" w:lineRule="auto"/>
      </w:pPr>
      <w:r>
        <w:rPr>
          <w:noProof/>
          <w:lang w:eastAsia="en-AU"/>
        </w:rPr>
        <w:drawing>
          <wp:inline distT="0" distB="0" distL="0" distR="0" wp14:anchorId="19E3799B" wp14:editId="46BCEDB9">
            <wp:extent cx="4276800" cy="3600000"/>
            <wp:effectExtent l="0" t="0" r="0" b="635"/>
            <wp:docPr id="22" name="Picture 22" descr="In Figure 2-2 the comorbidity of anxiety or major depressive disorders, conduct disorder and ADHD among 4-17 year-olds is: Anxiety or major depressive disorder only 5.5%, ADHD 4.6%, Conduct disorder only0.7%. Both anxiety or major depressive disorder and conduct disorder 0.4%, both anxiety or major depressive disorder and ADHD 1.8%, both conduct disorder and ADHD 0.6%, conduct disorder, anxiety or major depressive disorder and ADHD 4.6% and no DISC diagnosis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DiagramAnxDepADHDConductWA1.pn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276800" cy="3600000"/>
                    </a:xfrm>
                    <a:prstGeom prst="rect">
                      <a:avLst/>
                    </a:prstGeom>
                    <a:ln>
                      <a:noFill/>
                    </a:ln>
                    <a:extLst>
                      <a:ext uri="{53640926-AAD7-44D8-BBD7-CCE9431645EC}">
                        <a14:shadowObscured xmlns:a14="http://schemas.microsoft.com/office/drawing/2010/main"/>
                      </a:ext>
                    </a:extLst>
                  </pic:spPr>
                </pic:pic>
              </a:graphicData>
            </a:graphic>
          </wp:inline>
        </w:drawing>
      </w:r>
    </w:p>
    <w:p w:rsidR="00C827EF" w:rsidRDefault="00C827EF" w:rsidP="00C827EF">
      <w:pPr>
        <w:pStyle w:val="Heading2"/>
      </w:pPr>
      <w:r>
        <w:lastRenderedPageBreak/>
        <w:t>2.5</w:t>
      </w:r>
      <w:r>
        <w:tab/>
        <w:t>Principal condition</w:t>
      </w:r>
    </w:p>
    <w:p w:rsidR="00C827EF" w:rsidRPr="00F5508B" w:rsidRDefault="00C827EF" w:rsidP="00C827EF">
      <w:pPr>
        <w:pStyle w:val="BodyText"/>
      </w:pPr>
      <w:r>
        <w:t xml:space="preserve">When a child or adolescent was found to have experienced more than one disorder in the previous 12 months, his or her parent or carer was </w:t>
      </w:r>
      <w:r w:rsidRPr="00F5508B">
        <w:t xml:space="preserve">asked which of the </w:t>
      </w:r>
      <w:r>
        <w:t>disorders</w:t>
      </w:r>
      <w:r w:rsidRPr="00F5508B">
        <w:t xml:space="preserve"> caused the most distress to the child.</w:t>
      </w:r>
      <w:r>
        <w:t xml:space="preserve"> This approach allows each person to be uniquely assigned to a principal condition.</w:t>
      </w:r>
    </w:p>
    <w:p w:rsidR="00C827EF" w:rsidRDefault="00C827EF" w:rsidP="00C827EF">
      <w:pPr>
        <w:pStyle w:val="BodyText"/>
      </w:pPr>
      <w:r>
        <w:t>ADHD and anxiety disorders were the most commonly identified principal conditions but their relative importance differed for males and females. ADHD was the most common principal condition for males (7.9%</w:t>
      </w:r>
      <w:r w:rsidR="0055004B">
        <w:t>)</w:t>
      </w:r>
      <w:r>
        <w:t>, while anxiety disorders were the most common principal condition for females (5.1%). Males and females had comparable rates of anxiety disorders (5.6% compared with 5.1%), major depressive disorder (1.6% compared with 2.4%) and conduct disorder (1.1% compared with 1.0%). However ADHD was more common identified as the principal condition in males than females (7.9% compared with 3.1%) (Table 2-</w:t>
      </w:r>
      <w:r>
        <w:rPr>
          <w:noProof/>
        </w:rPr>
        <w:t>13</w:t>
      </w:r>
      <w:r>
        <w:t>).</w:t>
      </w:r>
    </w:p>
    <w:p w:rsidR="00C827EF" w:rsidRDefault="00C827EF" w:rsidP="00C827EF">
      <w:pPr>
        <w:pStyle w:val="Caption"/>
        <w:keepNext/>
      </w:pPr>
      <w:bookmarkStart w:id="36" w:name="_Ref406859330"/>
      <w:bookmarkStart w:id="37" w:name="_Ref406859325"/>
      <w:r>
        <w:t>Table 2-</w:t>
      </w:r>
      <w:r>
        <w:rPr>
          <w:noProof/>
        </w:rPr>
        <w:t>13</w:t>
      </w:r>
      <w:bookmarkEnd w:id="36"/>
      <w:r>
        <w:t>: Principal condition by sex</w:t>
      </w:r>
      <w:bookmarkEnd w:id="37"/>
    </w:p>
    <w:tbl>
      <w:tblPr>
        <w:tblW w:w="9115" w:type="dxa"/>
        <w:jc w:val="center"/>
        <w:tblLayout w:type="fixed"/>
        <w:tblCellMar>
          <w:left w:w="0" w:type="dxa"/>
          <w:right w:w="0" w:type="dxa"/>
        </w:tblCellMar>
        <w:tblLook w:val="0000" w:firstRow="0" w:lastRow="0" w:firstColumn="0" w:lastColumn="0" w:noHBand="0" w:noVBand="0"/>
        <w:tblDescription w:val="The first column defines principal condition. Read across the columns for the proportion of males, females and persons with each disorder."/>
      </w:tblPr>
      <w:tblGrid>
        <w:gridCol w:w="3203"/>
        <w:gridCol w:w="1970"/>
        <w:gridCol w:w="1971"/>
        <w:gridCol w:w="1971"/>
      </w:tblGrid>
      <w:tr w:rsidR="00C827EF" w:rsidTr="0074040A">
        <w:trPr>
          <w:cantSplit/>
          <w:tblHeader/>
          <w:jc w:val="center"/>
        </w:trPr>
        <w:tc>
          <w:tcPr>
            <w:tcW w:w="3203"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1B2405" w:rsidRDefault="00C827EF" w:rsidP="00C827EF">
            <w:pPr>
              <w:pStyle w:val="TableColumnHeadings"/>
              <w:jc w:val="left"/>
              <w:rPr>
                <w:rStyle w:val="Strong"/>
              </w:rPr>
            </w:pPr>
            <w:r w:rsidRPr="001B2405">
              <w:rPr>
                <w:rStyle w:val="Strong"/>
              </w:rPr>
              <w:t>Disorder</w:t>
            </w:r>
          </w:p>
        </w:tc>
        <w:tc>
          <w:tcPr>
            <w:tcW w:w="197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Males (%)</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Females (%)</w:t>
            </w:r>
          </w:p>
        </w:tc>
        <w:tc>
          <w:tcPr>
            <w:tcW w:w="197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Persons (%)</w:t>
            </w:r>
          </w:p>
        </w:tc>
      </w:tr>
      <w:tr w:rsidR="00C827EF" w:rsidTr="0074040A">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Any anxiety disorder</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5.6</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5.1</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5.4</w:t>
            </w:r>
          </w:p>
        </w:tc>
      </w:tr>
      <w:tr w:rsidR="00C827EF" w:rsidTr="0074040A">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Major depressive disorder</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1.6</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2.4</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2.0</w:t>
            </w:r>
          </w:p>
        </w:tc>
      </w:tr>
      <w:tr w:rsidR="00C827EF" w:rsidTr="0074040A">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ADHD</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7.9</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3.1</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5.5</w:t>
            </w:r>
          </w:p>
        </w:tc>
      </w:tr>
      <w:tr w:rsidR="00C827EF" w:rsidTr="0074040A">
        <w:trPr>
          <w:cantSplit/>
          <w:jc w:val="center"/>
        </w:trPr>
        <w:tc>
          <w:tcPr>
            <w:tcW w:w="3203"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Conduct disorder</w:t>
            </w:r>
          </w:p>
        </w:tc>
        <w:tc>
          <w:tcPr>
            <w:tcW w:w="1970"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w:t>
            </w:r>
          </w:p>
        </w:tc>
        <w:tc>
          <w:tcPr>
            <w:tcW w:w="1971"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r>
      <w:tr w:rsidR="00C827EF" w:rsidTr="0074040A">
        <w:trPr>
          <w:cantSplit/>
          <w:jc w:val="center"/>
        </w:trPr>
        <w:tc>
          <w:tcPr>
            <w:tcW w:w="3203" w:type="dxa"/>
            <w:tcBorders>
              <w:top w:val="nil"/>
              <w:bottom w:val="single" w:sz="6" w:space="0" w:color="000000"/>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Any disorder</w:t>
            </w:r>
          </w:p>
        </w:tc>
        <w:tc>
          <w:tcPr>
            <w:tcW w:w="1970"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16.3</w:t>
            </w:r>
          </w:p>
        </w:tc>
        <w:tc>
          <w:tcPr>
            <w:tcW w:w="1971"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11.5</w:t>
            </w:r>
          </w:p>
        </w:tc>
        <w:tc>
          <w:tcPr>
            <w:tcW w:w="1971"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13.9</w:t>
            </w:r>
          </w:p>
        </w:tc>
      </w:tr>
    </w:tbl>
    <w:p w:rsidR="00C827EF" w:rsidRDefault="00C827EF" w:rsidP="00555E74">
      <w:pPr>
        <w:pStyle w:val="BodyText"/>
        <w:spacing w:before="240"/>
      </w:pPr>
      <w:r>
        <w:t>ADHD and anxiety disorders were both commonly identified as the principal condition for children and adolescents. However, ADHD was the most common principal condition for children aged 4-11 years while parents and carers identified that anxiety disorders were most common in adolescents aged 12-17 years (Table 2-</w:t>
      </w:r>
      <w:r>
        <w:rPr>
          <w:noProof/>
        </w:rPr>
        <w:t>14</w:t>
      </w:r>
      <w:r>
        <w:t>).</w:t>
      </w:r>
    </w:p>
    <w:p w:rsidR="00C827EF" w:rsidRDefault="00C827EF" w:rsidP="00C827EF">
      <w:pPr>
        <w:pStyle w:val="Caption"/>
        <w:keepNext/>
      </w:pPr>
      <w:bookmarkStart w:id="38" w:name="_Ref406860094"/>
      <w:r>
        <w:t>Table 2-</w:t>
      </w:r>
      <w:r>
        <w:rPr>
          <w:noProof/>
        </w:rPr>
        <w:t>14</w:t>
      </w:r>
      <w:bookmarkEnd w:id="38"/>
      <w:r>
        <w:t>: Principal condition by age group</w:t>
      </w:r>
    </w:p>
    <w:tbl>
      <w:tblPr>
        <w:tblW w:w="9111" w:type="dxa"/>
        <w:jc w:val="center"/>
        <w:tblLayout w:type="fixed"/>
        <w:tblCellMar>
          <w:left w:w="0" w:type="dxa"/>
          <w:right w:w="0" w:type="dxa"/>
        </w:tblCellMar>
        <w:tblLook w:val="0020" w:firstRow="1" w:lastRow="0" w:firstColumn="0" w:lastColumn="0" w:noHBand="0" w:noVBand="0"/>
        <w:tblDescription w:val="The first column defines principal condition. Read acros the columns for the proportion of 4-11 year olds, 12-17 year olds and 4-17 year olds with each disorder."/>
      </w:tblPr>
      <w:tblGrid>
        <w:gridCol w:w="3336"/>
        <w:gridCol w:w="1925"/>
        <w:gridCol w:w="1925"/>
        <w:gridCol w:w="1925"/>
      </w:tblGrid>
      <w:tr w:rsidR="00C827EF" w:rsidTr="0074040A">
        <w:trPr>
          <w:cantSplit/>
          <w:tblHeader/>
          <w:jc w:val="center"/>
        </w:trPr>
        <w:tc>
          <w:tcPr>
            <w:tcW w:w="333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1B2405" w:rsidRDefault="00C827EF" w:rsidP="00C827EF">
            <w:pPr>
              <w:pStyle w:val="TableColumnHeadings"/>
              <w:jc w:val="left"/>
              <w:rPr>
                <w:rStyle w:val="Strong"/>
              </w:rPr>
            </w:pPr>
            <w:r w:rsidRPr="001B2405">
              <w:rPr>
                <w:rStyle w:val="Strong"/>
              </w:rPr>
              <w:t>Disorder</w:t>
            </w:r>
          </w:p>
        </w:tc>
        <w:tc>
          <w:tcPr>
            <w:tcW w:w="192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4-11 years</w:t>
            </w:r>
            <w:r w:rsidR="0074040A">
              <w:rPr>
                <w:rStyle w:val="Strong"/>
              </w:rPr>
              <w:t xml:space="preserve"> </w:t>
            </w:r>
            <w:r w:rsidR="0074040A">
              <w:t>(%)</w:t>
            </w:r>
          </w:p>
        </w:tc>
        <w:tc>
          <w:tcPr>
            <w:tcW w:w="192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12-17 years</w:t>
            </w:r>
            <w:r w:rsidR="0074040A">
              <w:rPr>
                <w:rStyle w:val="Strong"/>
              </w:rPr>
              <w:t xml:space="preserve"> </w:t>
            </w:r>
            <w:r w:rsidR="0074040A">
              <w:t>(%)</w:t>
            </w:r>
          </w:p>
        </w:tc>
        <w:tc>
          <w:tcPr>
            <w:tcW w:w="192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1B2405" w:rsidRDefault="00C827EF" w:rsidP="00C827EF">
            <w:pPr>
              <w:pStyle w:val="TableColumnHeadings"/>
              <w:rPr>
                <w:rStyle w:val="Strong"/>
              </w:rPr>
            </w:pPr>
            <w:r w:rsidRPr="001B2405">
              <w:rPr>
                <w:rStyle w:val="Strong"/>
              </w:rPr>
              <w:t>4-17 years</w:t>
            </w:r>
            <w:r w:rsidR="0074040A">
              <w:rPr>
                <w:rStyle w:val="Strong"/>
              </w:rPr>
              <w:t xml:space="preserve"> </w:t>
            </w:r>
            <w:r w:rsidR="0074040A">
              <w:t>(%)</w:t>
            </w:r>
          </w:p>
        </w:tc>
      </w:tr>
      <w:tr w:rsidR="00C827EF" w:rsidTr="0074040A">
        <w:trPr>
          <w:cantSplit/>
          <w:jc w:val="center"/>
        </w:trPr>
        <w:tc>
          <w:tcPr>
            <w:tcW w:w="333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Any anxiety disorder</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5.7</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5.0</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5.4</w:t>
            </w:r>
          </w:p>
        </w:tc>
      </w:tr>
      <w:tr w:rsidR="00C827EF" w:rsidTr="0074040A">
        <w:trPr>
          <w:cantSplit/>
          <w:jc w:val="center"/>
        </w:trPr>
        <w:tc>
          <w:tcPr>
            <w:tcW w:w="333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Major depressive disorder</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0.6</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3.8</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2.0</w:t>
            </w:r>
          </w:p>
        </w:tc>
      </w:tr>
      <w:tr w:rsidR="00C827EF" w:rsidTr="0074040A">
        <w:trPr>
          <w:cantSplit/>
          <w:jc w:val="center"/>
        </w:trPr>
        <w:tc>
          <w:tcPr>
            <w:tcW w:w="333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ADHD</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6.3</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4.5</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5.5</w:t>
            </w:r>
          </w:p>
        </w:tc>
      </w:tr>
      <w:tr w:rsidR="00C827EF" w:rsidTr="0074040A">
        <w:trPr>
          <w:cantSplit/>
          <w:jc w:val="center"/>
        </w:trPr>
        <w:tc>
          <w:tcPr>
            <w:tcW w:w="333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Conduct disorder</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c>
          <w:tcPr>
            <w:tcW w:w="1925"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1.1</w:t>
            </w:r>
          </w:p>
        </w:tc>
      </w:tr>
      <w:tr w:rsidR="00C827EF" w:rsidTr="0074040A">
        <w:trPr>
          <w:cantSplit/>
          <w:jc w:val="center"/>
        </w:trPr>
        <w:tc>
          <w:tcPr>
            <w:tcW w:w="3336" w:type="dxa"/>
            <w:tcBorders>
              <w:top w:val="nil"/>
              <w:bottom w:val="single" w:sz="6" w:space="0" w:color="000000"/>
              <w:right w:val="nil"/>
            </w:tcBorders>
            <w:shd w:val="clear" w:color="auto" w:fill="EFF3FF"/>
            <w:tcMar>
              <w:left w:w="40" w:type="dxa"/>
              <w:right w:w="40" w:type="dxa"/>
            </w:tcMar>
          </w:tcPr>
          <w:p w:rsidR="00C827EF" w:rsidRPr="00D45A93" w:rsidRDefault="00C827EF" w:rsidP="00C827EF">
            <w:pPr>
              <w:pStyle w:val="TableRowHeadings"/>
              <w:rPr>
                <w:rStyle w:val="Strong"/>
              </w:rPr>
            </w:pPr>
            <w:r w:rsidRPr="00D45A93">
              <w:rPr>
                <w:rStyle w:val="Strong"/>
              </w:rPr>
              <w:t>Any disorder</w:t>
            </w:r>
          </w:p>
        </w:tc>
        <w:tc>
          <w:tcPr>
            <w:tcW w:w="1925"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13.6</w:t>
            </w:r>
          </w:p>
        </w:tc>
        <w:tc>
          <w:tcPr>
            <w:tcW w:w="1925"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14.4</w:t>
            </w:r>
          </w:p>
        </w:tc>
        <w:tc>
          <w:tcPr>
            <w:tcW w:w="1925" w:type="dxa"/>
            <w:tcBorders>
              <w:top w:val="nil"/>
              <w:left w:val="nil"/>
              <w:bottom w:val="single" w:sz="6" w:space="0" w:color="000000"/>
              <w:right w:val="nil"/>
            </w:tcBorders>
            <w:shd w:val="clear" w:color="auto" w:fill="FFFFFF"/>
            <w:tcMar>
              <w:left w:w="40" w:type="dxa"/>
              <w:right w:w="40" w:type="dxa"/>
            </w:tcMar>
            <w:vAlign w:val="bottom"/>
          </w:tcPr>
          <w:p w:rsidR="00C827EF" w:rsidRPr="00D45A93" w:rsidRDefault="00C827EF" w:rsidP="00C827EF">
            <w:pPr>
              <w:pStyle w:val="TableDataCell"/>
              <w:rPr>
                <w:rStyle w:val="Strong"/>
              </w:rPr>
            </w:pPr>
            <w:r w:rsidRPr="00D45A93">
              <w:rPr>
                <w:rStyle w:val="Strong"/>
              </w:rPr>
              <w:t>13.9</w:t>
            </w:r>
          </w:p>
        </w:tc>
      </w:tr>
    </w:tbl>
    <w:p w:rsidR="00C827EF" w:rsidRDefault="00C827EF" w:rsidP="00C827EF">
      <w:pPr>
        <w:spacing w:after="0" w:line="276" w:lineRule="auto"/>
      </w:pPr>
      <w:r>
        <w:br w:type="page"/>
      </w:r>
    </w:p>
    <w:p w:rsidR="00C827EF" w:rsidRDefault="00C827EF" w:rsidP="00C827EF">
      <w:pPr>
        <w:pStyle w:val="BodyText"/>
      </w:pPr>
    </w:p>
    <w:p w:rsidR="00C827EF" w:rsidRDefault="00C827EF" w:rsidP="00DB066C">
      <w:pPr>
        <w:jc w:val="center"/>
        <w:sectPr w:rsidR="00C827EF" w:rsidSect="003330E0">
          <w:headerReference w:type="even" r:id="rId66"/>
          <w:headerReference w:type="default" r:id="rId67"/>
          <w:footerReference w:type="default" r:id="rId68"/>
          <w:pgSz w:w="11906" w:h="16838" w:code="9"/>
          <w:pgMar w:top="1440" w:right="1440" w:bottom="1440" w:left="1440" w:header="567" w:footer="567" w:gutter="0"/>
          <w:pgNumType w:start="36"/>
          <w:cols w:space="720"/>
          <w:docGrid w:linePitch="360"/>
        </w:sectPr>
      </w:pPr>
    </w:p>
    <w:p w:rsidR="00C827EF" w:rsidRDefault="00C827EF" w:rsidP="00C827EF">
      <w:pPr>
        <w:pStyle w:val="Heading1"/>
      </w:pPr>
      <w:bookmarkStart w:id="39" w:name="_Toc401758783"/>
      <w:r>
        <w:lastRenderedPageBreak/>
        <w:t>3</w:t>
      </w:r>
      <w:r>
        <w:tab/>
        <w:t>Major depressive disorder</w:t>
      </w:r>
      <w:bookmarkEnd w:id="39"/>
    </w:p>
    <w:p w:rsidR="00C827EF" w:rsidRPr="00094A16" w:rsidRDefault="00C827EF" w:rsidP="00C827EF">
      <w:pPr>
        <w:pStyle w:val="BodyText"/>
      </w:pPr>
      <w:r>
        <w:t xml:space="preserve">This chapter presents data on children and adolescents who met diagnostic criteria as specified in DSM-IV for major depressive disorder based on information reported by parents and carers. The prevalence of major depressive disorder based on information reported by young people themselves is presented in </w:t>
      </w:r>
      <w:r w:rsidRPr="009507D4">
        <w:t>Chapter 10</w:t>
      </w:r>
      <w:r>
        <w:t>.</w:t>
      </w:r>
    </w:p>
    <w:p w:rsidR="007C6423" w:rsidRPr="007C6423" w:rsidRDefault="007C6423" w:rsidP="000430C8">
      <w:pPr>
        <w:pStyle w:val="Heading2-notintOCV2"/>
      </w:pPr>
      <w:r w:rsidRPr="007C6423">
        <w:t>Major depressive disorder</w:t>
      </w:r>
    </w:p>
    <w:p w:rsidR="00C827EF" w:rsidRPr="00241A22" w:rsidRDefault="00C827EF" w:rsidP="00C827EF">
      <w:pPr>
        <w:pBdr>
          <w:top w:val="single" w:sz="4" w:space="14" w:color="D9F1F0"/>
          <w:left w:val="single" w:sz="4" w:space="14" w:color="D9F1F0"/>
          <w:bottom w:val="single" w:sz="4" w:space="14" w:color="D9F1F0"/>
          <w:right w:val="single" w:sz="4" w:space="14" w:color="D9F1F0"/>
        </w:pBdr>
        <w:shd w:val="clear" w:color="auto" w:fill="EFF3FF"/>
        <w:ind w:left="280" w:right="280"/>
      </w:pPr>
      <w:r w:rsidRPr="00241A22">
        <w:t>The key feature of major depressive disorder is the presence of either depressed mood, loss of interest or pleasure or being grouchy, irritable and in a bad mood. The DSM-IV criteria specify that at least five symptoms of depression must be present for a minimum of a two-week period, that these symptoms cause clinically significant distress to the child or adolescent and that they must interfere with the child or adolescent’s normal functioning at school, at home or in social settings. Symptoms of major depressive disorder may include significant weight loss or weight gain, loss of appetite, insomnia or hypersomnia, restlessness, fatigue and loss of energy, feelings of worthlessness and inability to concentrate.</w:t>
      </w:r>
    </w:p>
    <w:p w:rsidR="00C827EF" w:rsidRPr="002D2F81" w:rsidRDefault="00C827EF" w:rsidP="00C827EF">
      <w:pPr>
        <w:pStyle w:val="Heading2"/>
        <w:rPr>
          <w:rStyle w:val="Heading1Char"/>
          <w:b/>
          <w:bCs/>
          <w:caps w:val="0"/>
          <w:sz w:val="26"/>
          <w:szCs w:val="26"/>
        </w:rPr>
      </w:pPr>
      <w:bookmarkStart w:id="40" w:name="_Toc401758785"/>
      <w:r w:rsidRPr="002D2F81">
        <w:rPr>
          <w:rStyle w:val="Heading1Char"/>
          <w:b/>
          <w:bCs/>
          <w:caps w:val="0"/>
          <w:sz w:val="26"/>
          <w:szCs w:val="26"/>
        </w:rPr>
        <w:t>3.1</w:t>
      </w:r>
      <w:r w:rsidRPr="002D2F81">
        <w:rPr>
          <w:rStyle w:val="Heading1Char"/>
          <w:b/>
          <w:bCs/>
          <w:caps w:val="0"/>
          <w:sz w:val="26"/>
          <w:szCs w:val="26"/>
        </w:rPr>
        <w:tab/>
        <w:t>Prevalence of major depressive disorder in children and adolescents</w:t>
      </w:r>
      <w:bookmarkEnd w:id="40"/>
    </w:p>
    <w:p w:rsidR="00C827EF" w:rsidRDefault="00C827EF" w:rsidP="00C827EF">
      <w:pPr>
        <w:pStyle w:val="BodyText"/>
      </w:pPr>
      <w:bookmarkStart w:id="41" w:name="_Ref396830386"/>
      <w:bookmarkStart w:id="42" w:name="_Ref395865986"/>
      <w:r>
        <w:t>Overall 2.8% of children and adolescents aged 4-17 years met diagnostic criteria for major depressive disorder (Table 3-</w:t>
      </w:r>
      <w:r>
        <w:rPr>
          <w:noProof/>
        </w:rPr>
        <w:t>1</w:t>
      </w:r>
      <w:r>
        <w:t>). This corresponds to an estimated 112,000 children and adolescents in Australia with major depressive disorder. The prevalence of major depressive disorder in children aged 4-11 years was 1.1% in males and 1.2% in females. The prevalence of major depressive disorder was higher in the older age group. Some 4.3% of males 12-17 years and 5.8% of females 12-17 years had major depressive disorder.</w:t>
      </w:r>
    </w:p>
    <w:p w:rsidR="00C827EF" w:rsidRDefault="00C827EF" w:rsidP="00C827EF">
      <w:pPr>
        <w:pStyle w:val="Caption"/>
        <w:keepNext/>
      </w:pPr>
      <w:bookmarkStart w:id="43" w:name="_Ref400115169"/>
      <w:r>
        <w:t>Table 3-</w:t>
      </w:r>
      <w:r>
        <w:rPr>
          <w:noProof/>
        </w:rPr>
        <w:t>1</w:t>
      </w:r>
      <w:bookmarkEnd w:id="43"/>
      <w:r>
        <w:t>: 12-month p</w:t>
      </w:r>
      <w:r w:rsidRPr="00C07D86">
        <w:t>revalence of major depressive disorder</w:t>
      </w:r>
      <w:r w:rsidRPr="004E6E27">
        <w:t xml:space="preserve"> </w:t>
      </w:r>
      <w:r>
        <w:t>among 4-17 year-olds</w:t>
      </w:r>
      <w:r w:rsidRPr="00C07D86">
        <w:t xml:space="preserve"> by sex and age group</w:t>
      </w:r>
    </w:p>
    <w:tbl>
      <w:tblPr>
        <w:tblW w:w="9129" w:type="dxa"/>
        <w:jc w:val="center"/>
        <w:tblLayout w:type="fixed"/>
        <w:tblCellMar>
          <w:left w:w="0" w:type="dxa"/>
          <w:right w:w="0" w:type="dxa"/>
        </w:tblCellMar>
        <w:tblLook w:val="0020" w:firstRow="1" w:lastRow="0" w:firstColumn="0" w:lastColumn="0" w:noHBand="0" w:noVBand="0"/>
        <w:tblDescription w:val="In Table 3-1 the first column defines family type. Read across the row to obtain the prevalence in males, the prevalence in females and the prevalence in persons."/>
      </w:tblPr>
      <w:tblGrid>
        <w:gridCol w:w="2601"/>
        <w:gridCol w:w="2176"/>
        <w:gridCol w:w="2176"/>
        <w:gridCol w:w="2176"/>
      </w:tblGrid>
      <w:tr w:rsidR="00C827EF" w:rsidRPr="004801CC" w:rsidTr="00C827EF">
        <w:trPr>
          <w:cantSplit/>
          <w:tblHeader/>
          <w:jc w:val="center"/>
        </w:trPr>
        <w:tc>
          <w:tcPr>
            <w:tcW w:w="2601"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r w:rsidRPr="00D945E1">
              <w:rPr>
                <w:rStyle w:val="Strong"/>
              </w:rPr>
              <w:t>Age group</w:t>
            </w:r>
          </w:p>
        </w:tc>
        <w:tc>
          <w:tcPr>
            <w:tcW w:w="217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Males (%)</w:t>
            </w:r>
          </w:p>
        </w:tc>
        <w:tc>
          <w:tcPr>
            <w:tcW w:w="217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Females (%)</w:t>
            </w:r>
          </w:p>
        </w:tc>
        <w:tc>
          <w:tcPr>
            <w:tcW w:w="217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Persons (%)</w:t>
            </w:r>
          </w:p>
        </w:tc>
      </w:tr>
      <w:tr w:rsidR="00C827EF" w:rsidRPr="004801CC" w:rsidTr="00C827EF">
        <w:trPr>
          <w:cantSplit/>
          <w:jc w:val="center"/>
        </w:trPr>
        <w:tc>
          <w:tcPr>
            <w:tcW w:w="2601" w:type="dxa"/>
            <w:tcBorders>
              <w:top w:val="nil"/>
              <w:bottom w:val="single" w:sz="4" w:space="0" w:color="FFFFFF"/>
              <w:right w:val="nil"/>
            </w:tcBorders>
            <w:shd w:val="clear" w:color="auto" w:fill="EFF3FF"/>
            <w:tcMar>
              <w:left w:w="40" w:type="dxa"/>
              <w:right w:w="40" w:type="dxa"/>
            </w:tcMar>
          </w:tcPr>
          <w:p w:rsidR="00C827EF" w:rsidRPr="004801CC" w:rsidRDefault="00C827EF" w:rsidP="00C827EF">
            <w:pPr>
              <w:pStyle w:val="TableRowHeadings"/>
              <w:rPr>
                <w:lang w:eastAsia="en-AU"/>
              </w:rPr>
            </w:pPr>
            <w:r w:rsidRPr="004801CC">
              <w:rPr>
                <w:lang w:eastAsia="en-AU"/>
              </w:rPr>
              <w:t>4-11 years</w:t>
            </w:r>
          </w:p>
        </w:tc>
        <w:tc>
          <w:tcPr>
            <w:tcW w:w="2176" w:type="dxa"/>
            <w:tcBorders>
              <w:top w:val="nil"/>
              <w:left w:val="nil"/>
              <w:bottom w:val="nil"/>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1.1</w:t>
            </w:r>
          </w:p>
        </w:tc>
        <w:tc>
          <w:tcPr>
            <w:tcW w:w="2176" w:type="dxa"/>
            <w:tcBorders>
              <w:top w:val="nil"/>
              <w:left w:val="nil"/>
              <w:bottom w:val="nil"/>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1.2</w:t>
            </w:r>
          </w:p>
        </w:tc>
        <w:tc>
          <w:tcPr>
            <w:tcW w:w="2176" w:type="dxa"/>
            <w:tcBorders>
              <w:top w:val="nil"/>
              <w:left w:val="nil"/>
              <w:bottom w:val="nil"/>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1.1</w:t>
            </w:r>
          </w:p>
        </w:tc>
      </w:tr>
      <w:tr w:rsidR="00C827EF" w:rsidRPr="004801CC" w:rsidTr="00C827EF">
        <w:trPr>
          <w:cantSplit/>
          <w:jc w:val="center"/>
        </w:trPr>
        <w:tc>
          <w:tcPr>
            <w:tcW w:w="2601" w:type="dxa"/>
            <w:tcBorders>
              <w:top w:val="nil"/>
              <w:bottom w:val="single" w:sz="4" w:space="0" w:color="auto"/>
              <w:right w:val="nil"/>
            </w:tcBorders>
            <w:shd w:val="clear" w:color="auto" w:fill="EFF3FF"/>
            <w:tcMar>
              <w:left w:w="40" w:type="dxa"/>
              <w:right w:w="40" w:type="dxa"/>
            </w:tcMar>
          </w:tcPr>
          <w:p w:rsidR="00C827EF" w:rsidRPr="004801CC" w:rsidRDefault="00C827EF" w:rsidP="00C827EF">
            <w:pPr>
              <w:pStyle w:val="TableRowHeadings"/>
              <w:rPr>
                <w:lang w:eastAsia="en-AU"/>
              </w:rPr>
            </w:pPr>
            <w:r>
              <w:rPr>
                <w:lang w:eastAsia="en-AU"/>
              </w:rPr>
              <w:t>12-</w:t>
            </w:r>
            <w:r w:rsidRPr="004801CC">
              <w:rPr>
                <w:lang w:eastAsia="en-AU"/>
              </w:rPr>
              <w:t>17 years</w:t>
            </w:r>
          </w:p>
        </w:tc>
        <w:tc>
          <w:tcPr>
            <w:tcW w:w="2176" w:type="dxa"/>
            <w:tcBorders>
              <w:top w:val="nil"/>
              <w:left w:val="nil"/>
              <w:bottom w:val="single" w:sz="4" w:space="0" w:color="auto"/>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4.3</w:t>
            </w:r>
          </w:p>
        </w:tc>
        <w:tc>
          <w:tcPr>
            <w:tcW w:w="2176" w:type="dxa"/>
            <w:tcBorders>
              <w:top w:val="nil"/>
              <w:left w:val="nil"/>
              <w:bottom w:val="single" w:sz="4" w:space="0" w:color="auto"/>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5.8</w:t>
            </w:r>
          </w:p>
        </w:tc>
        <w:tc>
          <w:tcPr>
            <w:tcW w:w="2176" w:type="dxa"/>
            <w:tcBorders>
              <w:top w:val="nil"/>
              <w:left w:val="nil"/>
              <w:bottom w:val="single" w:sz="4" w:space="0" w:color="auto"/>
              <w:right w:val="nil"/>
            </w:tcBorders>
            <w:shd w:val="clear" w:color="auto" w:fill="FFFFFF"/>
            <w:tcMar>
              <w:left w:w="40" w:type="dxa"/>
              <w:right w:w="40" w:type="dxa"/>
            </w:tcMar>
            <w:vAlign w:val="bottom"/>
          </w:tcPr>
          <w:p w:rsidR="00C827EF" w:rsidRPr="004801CC" w:rsidRDefault="00C827EF" w:rsidP="00C827EF">
            <w:pPr>
              <w:pStyle w:val="TableDataCell"/>
              <w:rPr>
                <w:lang w:eastAsia="en-AU"/>
              </w:rPr>
            </w:pPr>
            <w:r w:rsidRPr="004801CC">
              <w:rPr>
                <w:lang w:eastAsia="en-AU"/>
              </w:rPr>
              <w:t>5.0</w:t>
            </w:r>
          </w:p>
        </w:tc>
      </w:tr>
      <w:tr w:rsidR="00C827EF" w:rsidRPr="004801CC" w:rsidTr="00C827EF">
        <w:trPr>
          <w:cantSplit/>
          <w:jc w:val="center"/>
        </w:trPr>
        <w:tc>
          <w:tcPr>
            <w:tcW w:w="2601" w:type="dxa"/>
            <w:tcBorders>
              <w:top w:val="single" w:sz="4" w:space="0" w:color="auto"/>
              <w:bottom w:val="single" w:sz="6" w:space="0" w:color="000000"/>
              <w:right w:val="nil"/>
            </w:tcBorders>
            <w:shd w:val="clear" w:color="auto" w:fill="EFF3FF"/>
            <w:tcMar>
              <w:left w:w="40" w:type="dxa"/>
              <w:right w:w="40" w:type="dxa"/>
            </w:tcMar>
          </w:tcPr>
          <w:p w:rsidR="00C827EF" w:rsidRPr="00241A22" w:rsidRDefault="00C827EF" w:rsidP="00C827EF">
            <w:pPr>
              <w:pStyle w:val="TableRowHeadings"/>
              <w:rPr>
                <w:rStyle w:val="Strong"/>
              </w:rPr>
            </w:pPr>
            <w:r w:rsidRPr="00241A22">
              <w:rPr>
                <w:rStyle w:val="Strong"/>
              </w:rPr>
              <w:t>4-17 years</w:t>
            </w:r>
          </w:p>
        </w:tc>
        <w:tc>
          <w:tcPr>
            <w:tcW w:w="2176"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241A22" w:rsidRDefault="00C827EF" w:rsidP="00C827EF">
            <w:pPr>
              <w:pStyle w:val="TableDataCell"/>
              <w:rPr>
                <w:rStyle w:val="Strong"/>
              </w:rPr>
            </w:pPr>
            <w:r w:rsidRPr="00241A22">
              <w:rPr>
                <w:rStyle w:val="Strong"/>
              </w:rPr>
              <w:t>2.5</w:t>
            </w:r>
          </w:p>
        </w:tc>
        <w:tc>
          <w:tcPr>
            <w:tcW w:w="2176"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241A22" w:rsidRDefault="00C827EF" w:rsidP="00C827EF">
            <w:pPr>
              <w:pStyle w:val="TableDataCell"/>
              <w:rPr>
                <w:rStyle w:val="Strong"/>
              </w:rPr>
            </w:pPr>
            <w:r w:rsidRPr="00241A22">
              <w:rPr>
                <w:rStyle w:val="Strong"/>
              </w:rPr>
              <w:t>3.1</w:t>
            </w:r>
          </w:p>
        </w:tc>
        <w:tc>
          <w:tcPr>
            <w:tcW w:w="2176"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241A22" w:rsidRDefault="00C827EF" w:rsidP="00C827EF">
            <w:pPr>
              <w:pStyle w:val="TableDataCell"/>
              <w:rPr>
                <w:rStyle w:val="Strong"/>
              </w:rPr>
            </w:pPr>
            <w:r w:rsidRPr="00241A22">
              <w:rPr>
                <w:rStyle w:val="Strong"/>
              </w:rPr>
              <w:t>2.8</w:t>
            </w:r>
          </w:p>
        </w:tc>
      </w:tr>
    </w:tbl>
    <w:p w:rsidR="00C827EF" w:rsidRDefault="00C827EF" w:rsidP="00C827EF">
      <w:pPr>
        <w:pStyle w:val="Heading2"/>
      </w:pPr>
      <w:bookmarkStart w:id="44" w:name="_Toc401758786"/>
      <w:bookmarkEnd w:id="41"/>
      <w:bookmarkEnd w:id="42"/>
      <w:r>
        <w:t>3.2</w:t>
      </w:r>
      <w:r>
        <w:tab/>
        <w:t>Social and demographic characteristics</w:t>
      </w:r>
      <w:bookmarkEnd w:id="44"/>
    </w:p>
    <w:p w:rsidR="00C827EF" w:rsidRDefault="00C827EF" w:rsidP="00C827EF">
      <w:pPr>
        <w:pStyle w:val="BodyText"/>
        <w:rPr>
          <w:lang w:eastAsia="en-AU"/>
        </w:rPr>
      </w:pPr>
      <w:bookmarkStart w:id="45" w:name="_Ref395870187"/>
      <w:r>
        <w:t>Table 3-</w:t>
      </w:r>
      <w:r>
        <w:rPr>
          <w:noProof/>
        </w:rPr>
        <w:t>2</w:t>
      </w:r>
      <w:r>
        <w:rPr>
          <w:lang w:eastAsia="en-AU"/>
        </w:rPr>
        <w:t xml:space="preserve"> through </w:t>
      </w:r>
      <w:r>
        <w:t>Table 3-</w:t>
      </w:r>
      <w:r>
        <w:rPr>
          <w:noProof/>
        </w:rPr>
        <w:t>7</w:t>
      </w:r>
      <w:r>
        <w:rPr>
          <w:lang w:eastAsia="en-AU"/>
        </w:rPr>
        <w:t xml:space="preserve"> show the 12-month prevalence of </w:t>
      </w:r>
      <w:r>
        <w:t xml:space="preserve">major depressive disorder </w:t>
      </w:r>
      <w:r>
        <w:rPr>
          <w:lang w:eastAsia="en-AU"/>
        </w:rPr>
        <w:t xml:space="preserve">by a range of socio-demographic characteristics, including family type, household income, parent or carer education and labour force status, area of residence and family functioning. Overall prevalence of depression was higher in children and adolescents living in families with lower levels of income, education and employment and with poorer family functioning. </w:t>
      </w:r>
    </w:p>
    <w:p w:rsidR="00C827EF" w:rsidRPr="00416752" w:rsidRDefault="00C827EF" w:rsidP="00C827EF">
      <w:pPr>
        <w:pStyle w:val="Heading3"/>
      </w:pPr>
      <w:bookmarkStart w:id="46" w:name="_Toc401758787"/>
      <w:r>
        <w:rPr>
          <w:lang w:eastAsia="en-AU"/>
        </w:rPr>
        <w:lastRenderedPageBreak/>
        <w:t>3.2.1</w:t>
      </w:r>
      <w:r>
        <w:rPr>
          <w:lang w:eastAsia="en-AU"/>
        </w:rPr>
        <w:tab/>
      </w:r>
      <w:r w:rsidRPr="00416752">
        <w:t>Family type</w:t>
      </w:r>
      <w:bookmarkEnd w:id="46"/>
    </w:p>
    <w:p w:rsidR="00C827EF" w:rsidRDefault="00C827EF" w:rsidP="00C827EF">
      <w:pPr>
        <w:pStyle w:val="BodyText"/>
        <w:rPr>
          <w:lang w:eastAsia="en-AU"/>
        </w:rPr>
      </w:pPr>
      <w:r>
        <w:rPr>
          <w:lang w:eastAsia="en-AU"/>
        </w:rPr>
        <w:t xml:space="preserve">The prevalence of major depressive disorder was lowest in original families (1.7%), that is where at least one child was living with both their natural, adoptive or foster parents and there were no step children. The prevalence of major depressive disorder was higher for young people in step families (4.7%), and in families with just one parent or carer (5.5%) </w:t>
      </w:r>
      <w:proofErr w:type="gramStart"/>
      <w:r>
        <w:rPr>
          <w:lang w:eastAsia="en-AU"/>
        </w:rPr>
        <w:t>(</w:t>
      </w:r>
      <w:r>
        <w:t>Table 3-</w:t>
      </w:r>
      <w:r>
        <w:rPr>
          <w:noProof/>
        </w:rPr>
        <w:t>2</w:t>
      </w:r>
      <w:r>
        <w:rPr>
          <w:lang w:eastAsia="en-AU"/>
        </w:rPr>
        <w:t>).</w:t>
      </w:r>
      <w:proofErr w:type="gramEnd"/>
      <w:r>
        <w:rPr>
          <w:lang w:eastAsia="en-AU"/>
        </w:rPr>
        <w:t xml:space="preserve"> </w:t>
      </w:r>
    </w:p>
    <w:p w:rsidR="00C827EF" w:rsidRDefault="00C827EF" w:rsidP="00C827EF">
      <w:pPr>
        <w:pStyle w:val="Caption"/>
        <w:keepNext/>
      </w:pPr>
      <w:bookmarkStart w:id="47" w:name="_Ref400115355"/>
      <w:r>
        <w:t>Table 3-</w:t>
      </w:r>
      <w:r>
        <w:rPr>
          <w:noProof/>
        </w:rPr>
        <w:t>2</w:t>
      </w:r>
      <w:bookmarkEnd w:id="47"/>
      <w:r>
        <w:t xml:space="preserve">: </w:t>
      </w:r>
      <w:r w:rsidRPr="007A3539">
        <w:t xml:space="preserve">12-month prevalence of </w:t>
      </w:r>
      <w:r>
        <w:t xml:space="preserve">major </w:t>
      </w:r>
      <w:r w:rsidRPr="007A3539">
        <w:t>depressive disorder</w:t>
      </w:r>
      <w:r w:rsidRPr="004E6E27">
        <w:t xml:space="preserve"> </w:t>
      </w:r>
      <w:r>
        <w:t>among 4-17 year-olds</w:t>
      </w:r>
      <w:r w:rsidRPr="007A3539">
        <w:t xml:space="preserve"> by family </w:t>
      </w:r>
      <w:r>
        <w:t>type</w:t>
      </w:r>
    </w:p>
    <w:tbl>
      <w:tblPr>
        <w:tblW w:w="9141" w:type="dxa"/>
        <w:jc w:val="center"/>
        <w:tblLayout w:type="fixed"/>
        <w:tblCellMar>
          <w:left w:w="0" w:type="dxa"/>
          <w:right w:w="0" w:type="dxa"/>
        </w:tblCellMar>
        <w:tblLook w:val="0020" w:firstRow="1" w:lastRow="0" w:firstColumn="0" w:lastColumn="0" w:noHBand="0" w:noVBand="0"/>
        <w:tblDescription w:val="In Table 3-2 the first column defines family type. Read across the row to obtain the prevalence in males, the prevalence in females and the prevalence in persons."/>
      </w:tblPr>
      <w:tblGrid>
        <w:gridCol w:w="7026"/>
        <w:gridCol w:w="2115"/>
      </w:tblGrid>
      <w:tr w:rsidR="00C827EF" w:rsidRPr="007B266A" w:rsidTr="00C827EF">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r w:rsidRPr="00D945E1">
              <w:rPr>
                <w:rStyle w:val="Strong"/>
              </w:rPr>
              <w:t>Family type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Prevalence (%)</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Families with two parents or carers</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2.1</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ab/>
              <w:t>Original</w:t>
            </w:r>
            <w:r w:rsidRPr="007B266A">
              <w:rPr>
                <w:lang w:eastAsia="en-AU"/>
              </w:rPr>
              <w:t xml:space="preserve"> family</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1.7</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ab/>
            </w:r>
            <w:r w:rsidRPr="007B266A">
              <w:rPr>
                <w:lang w:eastAsia="en-AU"/>
              </w:rPr>
              <w:t>Step family</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4.7</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ab/>
            </w:r>
            <w:r w:rsidRPr="007B266A">
              <w:rPr>
                <w:lang w:eastAsia="en-AU"/>
              </w:rPr>
              <w:t>Blended family</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3.5</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ab/>
            </w:r>
            <w:r w:rsidRPr="007B266A">
              <w:rPr>
                <w:lang w:eastAsia="en-AU"/>
              </w:rPr>
              <w:t>Other family</w:t>
            </w:r>
            <w:r>
              <w:rPr>
                <w:lang w:eastAsia="en-AU"/>
              </w:rPr>
              <w:t xml:space="preserve"> (a)</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9.4</w:t>
            </w:r>
          </w:p>
        </w:tc>
      </w:tr>
      <w:tr w:rsidR="00C827EF" w:rsidRPr="007B266A" w:rsidTr="00C827EF">
        <w:trPr>
          <w:cantSplit/>
          <w:jc w:val="center"/>
        </w:trPr>
        <w:tc>
          <w:tcPr>
            <w:tcW w:w="7026" w:type="dxa"/>
            <w:tcBorders>
              <w:top w:val="nil"/>
              <w:bottom w:val="single" w:sz="6" w:space="0" w:color="000000"/>
              <w:right w:val="nil"/>
            </w:tcBorders>
            <w:shd w:val="clear" w:color="auto" w:fill="EFF3FF"/>
            <w:tcMar>
              <w:left w:w="40" w:type="dxa"/>
              <w:right w:w="40" w:type="dxa"/>
            </w:tcMar>
          </w:tcPr>
          <w:p w:rsidR="00C827EF" w:rsidRPr="007B266A" w:rsidRDefault="00C827EF" w:rsidP="00C827EF">
            <w:pPr>
              <w:pStyle w:val="TableRowHeadings"/>
              <w:tabs>
                <w:tab w:val="left" w:pos="283"/>
              </w:tabs>
              <w:rPr>
                <w:lang w:eastAsia="en-AU"/>
              </w:rPr>
            </w:pPr>
            <w:r>
              <w:rPr>
                <w:lang w:eastAsia="en-AU"/>
              </w:rPr>
              <w:t>Families with one parent or carer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5.5</w:t>
            </w:r>
          </w:p>
        </w:tc>
      </w:tr>
    </w:tbl>
    <w:p w:rsidR="00C827EF" w:rsidRDefault="00C827EF" w:rsidP="00C827EF">
      <w:pPr>
        <w:pStyle w:val="TableFootnote"/>
        <w:spacing w:after="60"/>
      </w:pPr>
      <w:bookmarkStart w:id="48" w:name="_Toc401758788"/>
      <w:r>
        <w:t>‘Original family’ has at least one child living with their natural, adoptive or foster parents, and no step children.</w:t>
      </w:r>
    </w:p>
    <w:p w:rsidR="00C827EF" w:rsidRDefault="00C827EF" w:rsidP="00C827EF">
      <w:pPr>
        <w:pStyle w:val="TableFootnote"/>
        <w:spacing w:after="60"/>
      </w:pPr>
      <w:r>
        <w:t xml:space="preserve">‘Other family’ is where all children are not the natural, adopted, foster or step child of one or both carers. </w:t>
      </w:r>
    </w:p>
    <w:p w:rsidR="00C827EF" w:rsidRPr="00DB4742" w:rsidRDefault="00C827EF" w:rsidP="00C827EF">
      <w:pPr>
        <w:pStyle w:val="TableFootnote"/>
      </w:pPr>
      <w:r>
        <w:t>(a)</w:t>
      </w:r>
      <w:r>
        <w:tab/>
        <w:t>Data to be treated with caution due to low respondent numbers in this category.</w:t>
      </w:r>
    </w:p>
    <w:p w:rsidR="00C827EF" w:rsidRDefault="00C827EF" w:rsidP="00C827EF">
      <w:pPr>
        <w:pStyle w:val="Heading3"/>
        <w:rPr>
          <w:lang w:eastAsia="en-AU"/>
        </w:rPr>
      </w:pPr>
      <w:r>
        <w:rPr>
          <w:lang w:eastAsia="en-AU"/>
        </w:rPr>
        <w:t>3.2.2</w:t>
      </w:r>
      <w:r>
        <w:rPr>
          <w:lang w:eastAsia="en-AU"/>
        </w:rPr>
        <w:tab/>
        <w:t>Household income</w:t>
      </w:r>
      <w:bookmarkEnd w:id="48"/>
    </w:p>
    <w:p w:rsidR="00C827EF" w:rsidRDefault="00C827EF" w:rsidP="00C827EF">
      <w:pPr>
        <w:pStyle w:val="BodyText"/>
        <w:rPr>
          <w:lang w:eastAsia="en-AU"/>
        </w:rPr>
      </w:pPr>
      <w:r>
        <w:rPr>
          <w:lang w:eastAsia="en-AU"/>
        </w:rPr>
        <w:t>The prevalence of major depressive disorder was lowest in families with higher household incomes (1.8% in families with a household income of $130,000 or more per year) and highest (3.8%) in families in the lowest household income bracket (</w:t>
      </w:r>
      <w:r>
        <w:t>Table 3-</w:t>
      </w:r>
      <w:r>
        <w:rPr>
          <w:noProof/>
        </w:rPr>
        <w:t>3</w:t>
      </w:r>
      <w:r>
        <w:rPr>
          <w:lang w:eastAsia="en-AU"/>
        </w:rPr>
        <w:t xml:space="preserve">). </w:t>
      </w:r>
    </w:p>
    <w:p w:rsidR="00C827EF" w:rsidRDefault="00C827EF" w:rsidP="00C827EF">
      <w:pPr>
        <w:pStyle w:val="Caption"/>
        <w:keepNext/>
      </w:pPr>
      <w:bookmarkStart w:id="49" w:name="_Ref400115462"/>
      <w:r>
        <w:t>Table 3-</w:t>
      </w:r>
      <w:r>
        <w:rPr>
          <w:noProof/>
        </w:rPr>
        <w:t>3</w:t>
      </w:r>
      <w:bookmarkEnd w:id="49"/>
      <w:r>
        <w:t xml:space="preserve">: </w:t>
      </w:r>
      <w:r w:rsidRPr="00E14EDB">
        <w:t xml:space="preserve">12-month prevalence of </w:t>
      </w:r>
      <w:r>
        <w:t xml:space="preserve">major </w:t>
      </w:r>
      <w:r w:rsidRPr="00E14EDB">
        <w:t>depressive disorder</w:t>
      </w:r>
      <w:r w:rsidRPr="004E6E27">
        <w:t xml:space="preserve"> </w:t>
      </w:r>
      <w:r>
        <w:t>among 4-17 year-olds</w:t>
      </w:r>
      <w:r w:rsidRPr="00E14EDB">
        <w:t xml:space="preserve"> by household income</w:t>
      </w:r>
    </w:p>
    <w:tbl>
      <w:tblPr>
        <w:tblW w:w="9141" w:type="dxa"/>
        <w:jc w:val="center"/>
        <w:tblLayout w:type="fixed"/>
        <w:tblCellMar>
          <w:left w:w="0" w:type="dxa"/>
          <w:right w:w="0" w:type="dxa"/>
        </w:tblCellMar>
        <w:tblLook w:val="0020" w:firstRow="1" w:lastRow="0" w:firstColumn="0" w:lastColumn="0" w:noHBand="0" w:noVBand="0"/>
        <w:tblDescription w:val="In table 3-3 the first column defines household income. Read across the row to obtain the prevalence in persons."/>
      </w:tblPr>
      <w:tblGrid>
        <w:gridCol w:w="7026"/>
        <w:gridCol w:w="2115"/>
      </w:tblGrid>
      <w:tr w:rsidR="00C827EF" w:rsidRPr="007B266A" w:rsidTr="00C827EF">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r w:rsidRPr="00D945E1">
              <w:rPr>
                <w:rStyle w:val="Strong"/>
              </w:rPr>
              <w:t>Household income before tax</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Prevalence (%)</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 xml:space="preserve">$130,000 or more per year </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1.8</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$52,000-$129,999 per year</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2.7</w:t>
            </w:r>
          </w:p>
        </w:tc>
      </w:tr>
      <w:tr w:rsidR="00C827EF" w:rsidRPr="007B266A" w:rsidTr="00C827EF">
        <w:trPr>
          <w:cantSplit/>
          <w:jc w:val="center"/>
        </w:trPr>
        <w:tc>
          <w:tcPr>
            <w:tcW w:w="7026" w:type="dxa"/>
            <w:tcBorders>
              <w:top w:val="nil"/>
              <w:bottom w:val="single" w:sz="6" w:space="0" w:color="000000"/>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Less than $52,000 per year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3.8</w:t>
            </w:r>
          </w:p>
        </w:tc>
      </w:tr>
    </w:tbl>
    <w:p w:rsidR="00C827EF" w:rsidRPr="00555E74" w:rsidRDefault="00C827EF" w:rsidP="00C827EF">
      <w:pPr>
        <w:pStyle w:val="TableFootnote"/>
        <w:ind w:left="0" w:firstLine="0"/>
      </w:pPr>
      <w:r>
        <w:t>Household income includes the c</w:t>
      </w:r>
      <w:r w:rsidRPr="008127E8">
        <w:t>ombined income for the 2011-12 financial year of everyone living in the household before tax and other deductions are taken out.</w:t>
      </w:r>
    </w:p>
    <w:p w:rsidR="00C827EF" w:rsidRDefault="00C827EF" w:rsidP="00C827EF">
      <w:pPr>
        <w:pStyle w:val="Heading3"/>
        <w:rPr>
          <w:lang w:eastAsia="en-AU"/>
        </w:rPr>
      </w:pPr>
      <w:bookmarkStart w:id="50" w:name="_Toc401758789"/>
      <w:r>
        <w:rPr>
          <w:lang w:eastAsia="en-AU"/>
        </w:rPr>
        <w:t>3.2.3</w:t>
      </w:r>
      <w:r>
        <w:rPr>
          <w:lang w:eastAsia="en-AU"/>
        </w:rPr>
        <w:tab/>
        <w:t>Parent and carer education</w:t>
      </w:r>
      <w:bookmarkEnd w:id="50"/>
    </w:p>
    <w:p w:rsidR="00C827EF" w:rsidRDefault="00C827EF" w:rsidP="00C827EF">
      <w:pPr>
        <w:pStyle w:val="BodyText"/>
        <w:rPr>
          <w:lang w:eastAsia="en-AU"/>
        </w:rPr>
      </w:pPr>
      <w:r>
        <w:rPr>
          <w:lang w:eastAsia="en-AU"/>
        </w:rPr>
        <w:t>The differences in the prevalence of major depressive disorder by parent or carer education were small and not statistically significant (</w:t>
      </w:r>
      <w:r>
        <w:t>Table 3-</w:t>
      </w:r>
      <w:r>
        <w:rPr>
          <w:noProof/>
        </w:rPr>
        <w:t>4</w:t>
      </w:r>
      <w:r>
        <w:rPr>
          <w:lang w:eastAsia="en-AU"/>
        </w:rPr>
        <w:t>).</w:t>
      </w:r>
    </w:p>
    <w:p w:rsidR="00C827EF" w:rsidRDefault="00C827EF" w:rsidP="00C827EF">
      <w:pPr>
        <w:pStyle w:val="Caption"/>
        <w:keepNext/>
        <w:pageBreakBefore/>
        <w:spacing w:before="0"/>
      </w:pPr>
      <w:bookmarkStart w:id="51" w:name="_Ref400115546"/>
      <w:r>
        <w:lastRenderedPageBreak/>
        <w:t>Table 3-</w:t>
      </w:r>
      <w:r>
        <w:rPr>
          <w:noProof/>
        </w:rPr>
        <w:t>4</w:t>
      </w:r>
      <w:bookmarkEnd w:id="51"/>
      <w:r>
        <w:t xml:space="preserve">: </w:t>
      </w:r>
      <w:r w:rsidRPr="00114E4C">
        <w:t xml:space="preserve">12-month prevalence of </w:t>
      </w:r>
      <w:r>
        <w:t xml:space="preserve">major </w:t>
      </w:r>
      <w:r w:rsidRPr="00114E4C">
        <w:t>depressive disorder</w:t>
      </w:r>
      <w:r w:rsidRPr="004E6E27">
        <w:t xml:space="preserve"> </w:t>
      </w:r>
      <w:r>
        <w:t>among 4-17 year-olds</w:t>
      </w:r>
      <w:r w:rsidRPr="00114E4C">
        <w:t xml:space="preserve"> by </w:t>
      </w:r>
      <w:r>
        <w:t xml:space="preserve">parent or </w:t>
      </w:r>
      <w:r w:rsidRPr="00114E4C">
        <w:t>carer</w:t>
      </w:r>
      <w:r>
        <w:t xml:space="preserve"> education</w:t>
      </w:r>
    </w:p>
    <w:tbl>
      <w:tblPr>
        <w:tblW w:w="9141" w:type="dxa"/>
        <w:jc w:val="center"/>
        <w:tblLayout w:type="fixed"/>
        <w:tblCellMar>
          <w:left w:w="0" w:type="dxa"/>
          <w:right w:w="0" w:type="dxa"/>
        </w:tblCellMar>
        <w:tblLook w:val="0020" w:firstRow="1" w:lastRow="0" w:firstColumn="0" w:lastColumn="0" w:noHBand="0" w:noVBand="0"/>
        <w:tblDescription w:val="In Table 3-4 the first column defines highest level of education of either primary or secondary carer. Read across the row for the prevalence."/>
      </w:tblPr>
      <w:tblGrid>
        <w:gridCol w:w="7026"/>
        <w:gridCol w:w="2115"/>
      </w:tblGrid>
      <w:tr w:rsidR="00C827EF" w:rsidRPr="007B266A" w:rsidTr="00C827EF">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r w:rsidRPr="00D945E1">
              <w:rPr>
                <w:rStyle w:val="Strong"/>
              </w:rPr>
              <w:t>Highest level of education of either primary or secondary parent or carer</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Prevalence (%)</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Bachelor degree or higher</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2.1</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Diploma or certificate III/IV</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3.0</w:t>
            </w:r>
          </w:p>
        </w:tc>
      </w:tr>
      <w:tr w:rsidR="00C827EF" w:rsidRPr="007B266A"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Year 11 or 12</w:t>
            </w:r>
          </w:p>
        </w:tc>
        <w:tc>
          <w:tcPr>
            <w:tcW w:w="2115" w:type="dxa"/>
            <w:tcBorders>
              <w:top w:val="nil"/>
              <w:left w:val="nil"/>
              <w:bottom w:val="nil"/>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4.1</w:t>
            </w:r>
          </w:p>
        </w:tc>
      </w:tr>
      <w:tr w:rsidR="00C827EF" w:rsidRPr="007B266A" w:rsidTr="00C827EF">
        <w:trPr>
          <w:cantSplit/>
          <w:jc w:val="center"/>
        </w:trPr>
        <w:tc>
          <w:tcPr>
            <w:tcW w:w="7026" w:type="dxa"/>
            <w:tcBorders>
              <w:top w:val="nil"/>
              <w:bottom w:val="single" w:sz="6" w:space="0" w:color="000000"/>
              <w:right w:val="nil"/>
            </w:tcBorders>
            <w:shd w:val="clear" w:color="auto" w:fill="EFF3FF"/>
            <w:tcMar>
              <w:left w:w="40" w:type="dxa"/>
              <w:right w:w="40" w:type="dxa"/>
            </w:tcMar>
          </w:tcPr>
          <w:p w:rsidR="00C827EF" w:rsidRPr="007B266A" w:rsidRDefault="00C827EF" w:rsidP="00C827EF">
            <w:pPr>
              <w:pStyle w:val="TableRowHeadings"/>
              <w:rPr>
                <w:lang w:eastAsia="en-AU"/>
              </w:rPr>
            </w:pPr>
            <w:r w:rsidRPr="007B266A">
              <w:rPr>
                <w:lang w:eastAsia="en-AU"/>
              </w:rPr>
              <w:t>Year 10 or below</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C827EF" w:rsidRPr="007B266A" w:rsidRDefault="00C827EF" w:rsidP="00C827EF">
            <w:pPr>
              <w:pStyle w:val="TableDataCell"/>
              <w:rPr>
                <w:lang w:eastAsia="en-AU"/>
              </w:rPr>
            </w:pPr>
            <w:r w:rsidRPr="007B266A">
              <w:rPr>
                <w:lang w:eastAsia="en-AU"/>
              </w:rPr>
              <w:t>3.5</w:t>
            </w:r>
          </w:p>
        </w:tc>
      </w:tr>
    </w:tbl>
    <w:p w:rsidR="00C827EF" w:rsidRDefault="00C827EF" w:rsidP="00C827EF">
      <w:pPr>
        <w:pStyle w:val="Heading3"/>
        <w:rPr>
          <w:lang w:eastAsia="en-AU"/>
        </w:rPr>
      </w:pPr>
      <w:bookmarkStart w:id="52" w:name="_Toc401758790"/>
      <w:r>
        <w:rPr>
          <w:lang w:eastAsia="en-AU"/>
        </w:rPr>
        <w:t>3.2.4</w:t>
      </w:r>
      <w:r>
        <w:rPr>
          <w:lang w:eastAsia="en-AU"/>
        </w:rPr>
        <w:tab/>
        <w:t>Parent and carer labour force status</w:t>
      </w:r>
      <w:bookmarkEnd w:id="52"/>
    </w:p>
    <w:p w:rsidR="00C827EF" w:rsidRDefault="00C827EF" w:rsidP="00C827EF">
      <w:pPr>
        <w:pStyle w:val="BodyText"/>
        <w:rPr>
          <w:lang w:eastAsia="en-AU"/>
        </w:rPr>
      </w:pPr>
      <w:r>
        <w:rPr>
          <w:lang w:eastAsia="en-AU"/>
        </w:rPr>
        <w:t>The prevalence of major depressive disorder was higher in families with a sole parent or carer not in employment (6.9%) compared with families with two parents or carers both in employment (1.8%) (</w:t>
      </w:r>
      <w:r>
        <w:t>Table 3-</w:t>
      </w:r>
      <w:r>
        <w:rPr>
          <w:noProof/>
        </w:rPr>
        <w:t>5</w:t>
      </w:r>
      <w:r>
        <w:rPr>
          <w:lang w:eastAsia="en-AU"/>
        </w:rPr>
        <w:t>).</w:t>
      </w:r>
    </w:p>
    <w:p w:rsidR="00C827EF" w:rsidRDefault="00C827EF" w:rsidP="00C827EF">
      <w:pPr>
        <w:pStyle w:val="Caption"/>
        <w:keepNext/>
      </w:pPr>
      <w:bookmarkStart w:id="53" w:name="_Ref400115653"/>
      <w:r>
        <w:t>Table 3-</w:t>
      </w:r>
      <w:r>
        <w:rPr>
          <w:noProof/>
        </w:rPr>
        <w:t>5</w:t>
      </w:r>
      <w:bookmarkEnd w:id="53"/>
      <w:r>
        <w:t xml:space="preserve">: </w:t>
      </w:r>
      <w:r w:rsidRPr="00760EBE">
        <w:t xml:space="preserve">12-month prevalence of </w:t>
      </w:r>
      <w:r>
        <w:t xml:space="preserve">major </w:t>
      </w:r>
      <w:r w:rsidRPr="00760EBE">
        <w:t>depressive disorder</w:t>
      </w:r>
      <w:r w:rsidRPr="004E6E27">
        <w:t xml:space="preserve"> </w:t>
      </w:r>
      <w:r>
        <w:t>among 4-17 year-olds</w:t>
      </w:r>
      <w:r w:rsidRPr="00760EBE">
        <w:t xml:space="preserve"> by parent</w:t>
      </w:r>
      <w:r>
        <w:t xml:space="preserve"> or carer</w:t>
      </w:r>
      <w:r w:rsidRPr="00760EBE">
        <w:t xml:space="preserve"> labour force status</w:t>
      </w:r>
    </w:p>
    <w:tbl>
      <w:tblPr>
        <w:tblW w:w="9141" w:type="dxa"/>
        <w:jc w:val="center"/>
        <w:tblLayout w:type="fixed"/>
        <w:tblCellMar>
          <w:left w:w="0" w:type="dxa"/>
          <w:right w:w="0" w:type="dxa"/>
        </w:tblCellMar>
        <w:tblLook w:val="0020" w:firstRow="1" w:lastRow="0" w:firstColumn="0" w:lastColumn="0" w:noHBand="0" w:noVBand="0"/>
        <w:tblDescription w:val="In Table 3-5 the first column defines parent or carer labour force status. Read across the row for the prevalence."/>
      </w:tblPr>
      <w:tblGrid>
        <w:gridCol w:w="7026"/>
        <w:gridCol w:w="2115"/>
      </w:tblGrid>
      <w:tr w:rsidR="00C827EF" w:rsidRPr="00D93153" w:rsidTr="00C827EF">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jc w:val="left"/>
              <w:rPr>
                <w:rStyle w:val="Strong"/>
              </w:rPr>
            </w:pPr>
            <w:r w:rsidRPr="00D945E1">
              <w:rPr>
                <w:rStyle w:val="Strong"/>
              </w:rPr>
              <w:t>Parent or carer labour force status</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Prevalence (%)</w:t>
            </w:r>
          </w:p>
        </w:tc>
      </w:tr>
      <w:tr w:rsidR="00C827EF" w:rsidRPr="00D93153"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D93153" w:rsidRDefault="00C827EF" w:rsidP="00C827EF">
            <w:pPr>
              <w:pStyle w:val="TableRowHeadings"/>
              <w:rPr>
                <w:lang w:eastAsia="en-AU"/>
              </w:rPr>
            </w:pPr>
            <w:r w:rsidRPr="00D93153">
              <w:rPr>
                <w:lang w:eastAsia="en-AU"/>
              </w:rPr>
              <w:t xml:space="preserve">Both </w:t>
            </w:r>
            <w:r>
              <w:rPr>
                <w:lang w:eastAsia="en-AU"/>
              </w:rPr>
              <w:t>parents or carers</w:t>
            </w:r>
            <w:r w:rsidRPr="00D93153">
              <w:rPr>
                <w:lang w:eastAsia="en-AU"/>
              </w:rPr>
              <w:t xml:space="preserve"> employed</w:t>
            </w:r>
          </w:p>
        </w:tc>
        <w:tc>
          <w:tcPr>
            <w:tcW w:w="2115" w:type="dxa"/>
            <w:tcBorders>
              <w:top w:val="nil"/>
              <w:left w:val="nil"/>
              <w:bottom w:val="nil"/>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1.8</w:t>
            </w:r>
          </w:p>
        </w:tc>
      </w:tr>
      <w:tr w:rsidR="00C827EF" w:rsidRPr="00D93153"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D93153" w:rsidRDefault="00C827EF" w:rsidP="00C827EF">
            <w:pPr>
              <w:pStyle w:val="TableRowHeadings"/>
              <w:rPr>
                <w:lang w:eastAsia="en-AU"/>
              </w:rPr>
            </w:pPr>
            <w:r w:rsidRPr="00D93153">
              <w:rPr>
                <w:lang w:eastAsia="en-AU"/>
              </w:rPr>
              <w:t xml:space="preserve">One </w:t>
            </w:r>
            <w:r>
              <w:rPr>
                <w:lang w:eastAsia="en-AU"/>
              </w:rPr>
              <w:t>parent or carer</w:t>
            </w:r>
            <w:r w:rsidRPr="00D93153">
              <w:rPr>
                <w:lang w:eastAsia="en-AU"/>
              </w:rPr>
              <w:t xml:space="preserve"> employed, one </w:t>
            </w:r>
            <w:r>
              <w:rPr>
                <w:lang w:eastAsia="en-AU"/>
              </w:rPr>
              <w:t>parent or carer</w:t>
            </w:r>
            <w:r w:rsidRPr="00D93153">
              <w:rPr>
                <w:lang w:eastAsia="en-AU"/>
              </w:rPr>
              <w:t xml:space="preserve"> not in employment</w:t>
            </w:r>
          </w:p>
        </w:tc>
        <w:tc>
          <w:tcPr>
            <w:tcW w:w="2115" w:type="dxa"/>
            <w:tcBorders>
              <w:top w:val="nil"/>
              <w:left w:val="nil"/>
              <w:bottom w:val="nil"/>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2.4</w:t>
            </w:r>
          </w:p>
        </w:tc>
      </w:tr>
      <w:tr w:rsidR="00C827EF" w:rsidRPr="00D93153"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D93153" w:rsidRDefault="00C827EF" w:rsidP="00C827EF">
            <w:pPr>
              <w:pStyle w:val="TableRowHeadings"/>
              <w:rPr>
                <w:lang w:eastAsia="en-AU"/>
              </w:rPr>
            </w:pPr>
            <w:r w:rsidRPr="00D93153">
              <w:rPr>
                <w:lang w:eastAsia="en-AU"/>
              </w:rPr>
              <w:t xml:space="preserve">Both </w:t>
            </w:r>
            <w:r>
              <w:rPr>
                <w:lang w:eastAsia="en-AU"/>
              </w:rPr>
              <w:t>parents or carers</w:t>
            </w:r>
            <w:r w:rsidRPr="00D93153">
              <w:rPr>
                <w:lang w:eastAsia="en-AU"/>
              </w:rPr>
              <w:t xml:space="preserve"> not in employment</w:t>
            </w:r>
          </w:p>
        </w:tc>
        <w:tc>
          <w:tcPr>
            <w:tcW w:w="2115" w:type="dxa"/>
            <w:tcBorders>
              <w:top w:val="nil"/>
              <w:left w:val="nil"/>
              <w:bottom w:val="nil"/>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4.9</w:t>
            </w:r>
          </w:p>
        </w:tc>
      </w:tr>
      <w:tr w:rsidR="00C827EF" w:rsidRPr="00D93153"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D93153" w:rsidRDefault="00C827EF" w:rsidP="00C827EF">
            <w:pPr>
              <w:pStyle w:val="TableRowHeadings"/>
              <w:rPr>
                <w:lang w:eastAsia="en-AU"/>
              </w:rPr>
            </w:pPr>
            <w:r w:rsidRPr="00D93153">
              <w:rPr>
                <w:lang w:eastAsia="en-AU"/>
              </w:rPr>
              <w:t xml:space="preserve">Sole </w:t>
            </w:r>
            <w:r>
              <w:rPr>
                <w:lang w:eastAsia="en-AU"/>
              </w:rPr>
              <w:t>parent or carer</w:t>
            </w:r>
            <w:r w:rsidRPr="00D93153">
              <w:rPr>
                <w:lang w:eastAsia="en-AU"/>
              </w:rPr>
              <w:t xml:space="preserve"> employed</w:t>
            </w:r>
          </w:p>
        </w:tc>
        <w:tc>
          <w:tcPr>
            <w:tcW w:w="2115" w:type="dxa"/>
            <w:tcBorders>
              <w:top w:val="nil"/>
              <w:left w:val="nil"/>
              <w:bottom w:val="nil"/>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4.6</w:t>
            </w:r>
          </w:p>
        </w:tc>
      </w:tr>
      <w:tr w:rsidR="00C827EF" w:rsidRPr="00D93153" w:rsidTr="00C827EF">
        <w:trPr>
          <w:cantSplit/>
          <w:jc w:val="center"/>
        </w:trPr>
        <w:tc>
          <w:tcPr>
            <w:tcW w:w="7026" w:type="dxa"/>
            <w:tcBorders>
              <w:top w:val="nil"/>
              <w:bottom w:val="single" w:sz="6" w:space="0" w:color="000000"/>
              <w:right w:val="nil"/>
            </w:tcBorders>
            <w:shd w:val="clear" w:color="auto" w:fill="EFF3FF"/>
            <w:tcMar>
              <w:left w:w="40" w:type="dxa"/>
              <w:right w:w="40" w:type="dxa"/>
            </w:tcMar>
          </w:tcPr>
          <w:p w:rsidR="00C827EF" w:rsidRPr="00D93153" w:rsidRDefault="00C827EF" w:rsidP="00C827EF">
            <w:pPr>
              <w:pStyle w:val="TableRowHeadings"/>
              <w:rPr>
                <w:lang w:eastAsia="en-AU"/>
              </w:rPr>
            </w:pPr>
            <w:r w:rsidRPr="00D93153">
              <w:rPr>
                <w:lang w:eastAsia="en-AU"/>
              </w:rPr>
              <w:t xml:space="preserve">Sole </w:t>
            </w:r>
            <w:r>
              <w:rPr>
                <w:lang w:eastAsia="en-AU"/>
              </w:rPr>
              <w:t>parent or carer</w:t>
            </w:r>
            <w:r w:rsidRPr="00D93153">
              <w:rPr>
                <w:lang w:eastAsia="en-AU"/>
              </w:rPr>
              <w:t xml:space="preserve"> not in employment</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6.9</w:t>
            </w:r>
          </w:p>
        </w:tc>
      </w:tr>
    </w:tbl>
    <w:p w:rsidR="00C827EF" w:rsidRPr="007B2657" w:rsidRDefault="00C827EF" w:rsidP="00C827EF">
      <w:pPr>
        <w:pStyle w:val="TableFootnote"/>
      </w:pPr>
      <w:r>
        <w:t>‘</w:t>
      </w:r>
      <w:r w:rsidRPr="007B2657">
        <w:t>Not in employment</w:t>
      </w:r>
      <w:r>
        <w:t>’</w:t>
      </w:r>
      <w:r w:rsidRPr="007B2657">
        <w:t xml:space="preserve"> combines unemployed and not in the labour force</w:t>
      </w:r>
      <w:r>
        <w:t>.</w:t>
      </w:r>
    </w:p>
    <w:p w:rsidR="00C827EF" w:rsidRDefault="00C827EF" w:rsidP="00C827EF">
      <w:pPr>
        <w:pStyle w:val="Heading3"/>
        <w:rPr>
          <w:lang w:eastAsia="en-AU"/>
        </w:rPr>
      </w:pPr>
      <w:bookmarkStart w:id="54" w:name="_Toc401758791"/>
      <w:r>
        <w:rPr>
          <w:lang w:eastAsia="en-AU"/>
        </w:rPr>
        <w:t>3.2.5</w:t>
      </w:r>
      <w:r>
        <w:rPr>
          <w:lang w:eastAsia="en-AU"/>
        </w:rPr>
        <w:tab/>
        <w:t>Area of residence</w:t>
      </w:r>
      <w:bookmarkEnd w:id="54"/>
    </w:p>
    <w:p w:rsidR="00C827EF" w:rsidRDefault="00C827EF" w:rsidP="00C827EF">
      <w:pPr>
        <w:pStyle w:val="BodyText"/>
        <w:rPr>
          <w:lang w:eastAsia="en-AU"/>
        </w:rPr>
      </w:pPr>
      <w:r>
        <w:rPr>
          <w:lang w:eastAsia="en-AU"/>
        </w:rPr>
        <w:t>There was no difference in the prevalence of major depressive disorder for children and adolescents living in greater capital city areas compared with those living in other areas (</w:t>
      </w:r>
      <w:r>
        <w:t>Table 3-</w:t>
      </w:r>
      <w:r>
        <w:rPr>
          <w:noProof/>
        </w:rPr>
        <w:t>6</w:t>
      </w:r>
      <w:r>
        <w:rPr>
          <w:lang w:eastAsia="en-AU"/>
        </w:rPr>
        <w:t>).</w:t>
      </w:r>
    </w:p>
    <w:p w:rsidR="00C827EF" w:rsidRDefault="00C827EF" w:rsidP="00C827EF">
      <w:pPr>
        <w:pStyle w:val="Caption"/>
        <w:keepNext/>
      </w:pPr>
      <w:bookmarkStart w:id="55" w:name="_Ref400116095"/>
      <w:r>
        <w:t>Table 3-</w:t>
      </w:r>
      <w:r>
        <w:rPr>
          <w:noProof/>
        </w:rPr>
        <w:t>6</w:t>
      </w:r>
      <w:bookmarkEnd w:id="55"/>
      <w:r>
        <w:t xml:space="preserve">: </w:t>
      </w:r>
      <w:r w:rsidRPr="001B797F">
        <w:t xml:space="preserve">12-month prevalence of </w:t>
      </w:r>
      <w:r>
        <w:t xml:space="preserve">major </w:t>
      </w:r>
      <w:r w:rsidRPr="001B797F">
        <w:t>depressive disorder</w:t>
      </w:r>
      <w:r w:rsidRPr="004E6E27">
        <w:t xml:space="preserve"> </w:t>
      </w:r>
      <w:r>
        <w:t>among 4-17 year-olds</w:t>
      </w:r>
      <w:r w:rsidRPr="001B797F">
        <w:t xml:space="preserve"> by </w:t>
      </w:r>
      <w:r>
        <w:t>area</w:t>
      </w:r>
      <w:r w:rsidRPr="001B797F">
        <w:t xml:space="preserve"> of residence</w:t>
      </w:r>
    </w:p>
    <w:tbl>
      <w:tblPr>
        <w:tblW w:w="9141" w:type="dxa"/>
        <w:jc w:val="center"/>
        <w:tblLayout w:type="fixed"/>
        <w:tblCellMar>
          <w:left w:w="0" w:type="dxa"/>
          <w:right w:w="0" w:type="dxa"/>
        </w:tblCellMar>
        <w:tblLook w:val="0020" w:firstRow="1" w:lastRow="0" w:firstColumn="0" w:lastColumn="0" w:noHBand="0" w:noVBand="0"/>
        <w:tblDescription w:val="In Table 3-6 the first column defines place of residence. Read across the row for the prevalence."/>
      </w:tblPr>
      <w:tblGrid>
        <w:gridCol w:w="7026"/>
        <w:gridCol w:w="2115"/>
      </w:tblGrid>
      <w:tr w:rsidR="00C827EF" w:rsidRPr="00D93153" w:rsidTr="00C827EF">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bookmarkStart w:id="56" w:name="IDX4"/>
            <w:bookmarkEnd w:id="56"/>
            <w:r w:rsidRPr="00D945E1">
              <w:rPr>
                <w:rStyle w:val="Strong"/>
              </w:rPr>
              <w:t>Area of residence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Prevalence (%)</w:t>
            </w:r>
          </w:p>
        </w:tc>
      </w:tr>
      <w:tr w:rsidR="00C827EF" w:rsidRPr="00D93153" w:rsidTr="00C827EF">
        <w:trPr>
          <w:cantSplit/>
          <w:jc w:val="center"/>
        </w:trPr>
        <w:tc>
          <w:tcPr>
            <w:tcW w:w="7026" w:type="dxa"/>
            <w:tcBorders>
              <w:top w:val="nil"/>
              <w:bottom w:val="single" w:sz="4" w:space="0" w:color="FFFFFF"/>
              <w:right w:val="nil"/>
            </w:tcBorders>
            <w:shd w:val="clear" w:color="auto" w:fill="EFF3FF"/>
            <w:tcMar>
              <w:left w:w="40" w:type="dxa"/>
              <w:right w:w="40" w:type="dxa"/>
            </w:tcMar>
          </w:tcPr>
          <w:p w:rsidR="00C827EF" w:rsidRPr="00D93153" w:rsidRDefault="00C827EF" w:rsidP="00C827EF">
            <w:pPr>
              <w:pStyle w:val="TableRowHeadings"/>
              <w:rPr>
                <w:lang w:eastAsia="en-AU"/>
              </w:rPr>
            </w:pPr>
            <w:r>
              <w:rPr>
                <w:lang w:eastAsia="en-AU"/>
              </w:rPr>
              <w:t>Greater capital cities</w:t>
            </w:r>
          </w:p>
        </w:tc>
        <w:tc>
          <w:tcPr>
            <w:tcW w:w="2115" w:type="dxa"/>
            <w:tcBorders>
              <w:top w:val="nil"/>
              <w:left w:val="nil"/>
              <w:bottom w:val="nil"/>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2.8</w:t>
            </w:r>
          </w:p>
        </w:tc>
      </w:tr>
      <w:tr w:rsidR="00C827EF" w:rsidRPr="00D93153" w:rsidTr="00C827EF">
        <w:trPr>
          <w:cantSplit/>
          <w:jc w:val="center"/>
        </w:trPr>
        <w:tc>
          <w:tcPr>
            <w:tcW w:w="7026" w:type="dxa"/>
            <w:tcBorders>
              <w:top w:val="nil"/>
              <w:bottom w:val="single" w:sz="6" w:space="0" w:color="000000"/>
              <w:right w:val="nil"/>
            </w:tcBorders>
            <w:shd w:val="clear" w:color="auto" w:fill="EFF3FF"/>
            <w:tcMar>
              <w:left w:w="40" w:type="dxa"/>
              <w:right w:w="40" w:type="dxa"/>
            </w:tcMar>
          </w:tcPr>
          <w:p w:rsidR="00C827EF" w:rsidRPr="00D93153" w:rsidRDefault="00C827EF" w:rsidP="00C827EF">
            <w:pPr>
              <w:pStyle w:val="TableRowHeadings"/>
              <w:rPr>
                <w:lang w:eastAsia="en-AU"/>
              </w:rPr>
            </w:pPr>
            <w:r>
              <w:rPr>
                <w:lang w:eastAsia="en-AU"/>
              </w:rPr>
              <w:t>Rest of state</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C827EF" w:rsidRPr="00D93153" w:rsidRDefault="00C827EF" w:rsidP="00C827EF">
            <w:pPr>
              <w:pStyle w:val="TableDataCell"/>
              <w:rPr>
                <w:lang w:eastAsia="en-AU"/>
              </w:rPr>
            </w:pPr>
            <w:r w:rsidRPr="00D93153">
              <w:rPr>
                <w:lang w:eastAsia="en-AU"/>
              </w:rPr>
              <w:t>2.8</w:t>
            </w:r>
          </w:p>
        </w:tc>
      </w:tr>
    </w:tbl>
    <w:p w:rsidR="00C827EF" w:rsidRDefault="00C827EF" w:rsidP="00C827EF">
      <w:pPr>
        <w:pStyle w:val="TableFootnote"/>
      </w:pPr>
      <w:proofErr w:type="gramStart"/>
      <w:r w:rsidRPr="00B736D6">
        <w:t>Based on the ABS classification Greater Capital City Statistical Area (GCCSA)</w:t>
      </w:r>
      <w:r>
        <w:t>.</w:t>
      </w:r>
      <w:proofErr w:type="gramEnd"/>
    </w:p>
    <w:p w:rsidR="00C827EF" w:rsidRPr="00A7777D" w:rsidRDefault="00C827EF" w:rsidP="00C827EF">
      <w:pPr>
        <w:pStyle w:val="Heading3"/>
        <w:rPr>
          <w:rFonts w:eastAsiaTheme="minorEastAsia"/>
          <w:lang w:eastAsia="en-AU"/>
        </w:rPr>
      </w:pPr>
      <w:bookmarkStart w:id="57" w:name="_Toc401758792"/>
      <w:r>
        <w:rPr>
          <w:rFonts w:eastAsiaTheme="minorEastAsia"/>
          <w:lang w:eastAsia="en-AU"/>
        </w:rPr>
        <w:t>3.2.6</w:t>
      </w:r>
      <w:r>
        <w:rPr>
          <w:rFonts w:eastAsiaTheme="minorEastAsia"/>
          <w:lang w:eastAsia="en-AU"/>
        </w:rPr>
        <w:tab/>
        <w:t>Family functioning</w:t>
      </w:r>
      <w:bookmarkEnd w:id="57"/>
    </w:p>
    <w:p w:rsidR="00C827EF" w:rsidRDefault="00C827EF" w:rsidP="00C827EF">
      <w:pPr>
        <w:pStyle w:val="BodyText"/>
        <w:rPr>
          <w:lang w:eastAsia="en-AU"/>
        </w:rPr>
      </w:pPr>
      <w:r>
        <w:rPr>
          <w:lang w:eastAsia="en-AU"/>
        </w:rPr>
        <w:t xml:space="preserve">The prevalence of major depressive disorder was higher in children and adolescents from families with poorer levels of family functioning, varying from 2.1% for those with very good family functioning up to 7.7% for those with poor family functioning. </w:t>
      </w:r>
    </w:p>
    <w:p w:rsidR="00C827EF" w:rsidRPr="009836BC" w:rsidRDefault="00C827EF" w:rsidP="00C827EF">
      <w:pPr>
        <w:pStyle w:val="BodyText"/>
        <w:rPr>
          <w:lang w:eastAsia="en-AU"/>
        </w:rPr>
      </w:pPr>
      <w:r>
        <w:rPr>
          <w:lang w:eastAsia="en-AU"/>
        </w:rPr>
        <w:t xml:space="preserve">Among adolescents aged 12-17 years, the prevalence of </w:t>
      </w:r>
      <w:r>
        <w:t xml:space="preserve">major depressive disorder </w:t>
      </w:r>
      <w:r>
        <w:rPr>
          <w:lang w:eastAsia="en-AU"/>
        </w:rPr>
        <w:t>was 4.2% in families with very good functioning and 11.6% in families with poor functioning (</w:t>
      </w:r>
      <w:r>
        <w:t>Table 3-</w:t>
      </w:r>
      <w:r>
        <w:rPr>
          <w:noProof/>
        </w:rPr>
        <w:t>7</w:t>
      </w:r>
      <w:r>
        <w:rPr>
          <w:lang w:eastAsia="en-AU"/>
        </w:rPr>
        <w:t>).</w:t>
      </w:r>
    </w:p>
    <w:p w:rsidR="00C827EF" w:rsidRDefault="00C827EF" w:rsidP="00C827EF">
      <w:pPr>
        <w:pStyle w:val="Caption"/>
        <w:keepNext/>
      </w:pPr>
      <w:bookmarkStart w:id="58" w:name="_Ref400978162"/>
      <w:r>
        <w:lastRenderedPageBreak/>
        <w:t>Table 3-</w:t>
      </w:r>
      <w:r>
        <w:rPr>
          <w:noProof/>
        </w:rPr>
        <w:t>7</w:t>
      </w:r>
      <w:bookmarkEnd w:id="58"/>
      <w:r>
        <w:t xml:space="preserve">: </w:t>
      </w:r>
      <w:r w:rsidRPr="001A628C">
        <w:t>12-month prevalence of major depressive disorder</w:t>
      </w:r>
      <w:r w:rsidRPr="004E6E27">
        <w:t xml:space="preserve"> </w:t>
      </w:r>
      <w:r>
        <w:t>among 4-17 year-olds</w:t>
      </w:r>
      <w:r w:rsidRPr="001A628C">
        <w:t xml:space="preserve"> by level of family functioning and age group</w:t>
      </w:r>
    </w:p>
    <w:tbl>
      <w:tblPr>
        <w:tblW w:w="9109" w:type="dxa"/>
        <w:jc w:val="center"/>
        <w:tblLayout w:type="fixed"/>
        <w:tblCellMar>
          <w:left w:w="0" w:type="dxa"/>
          <w:right w:w="0" w:type="dxa"/>
        </w:tblCellMar>
        <w:tblLook w:val="0020" w:firstRow="1" w:lastRow="0" w:firstColumn="0" w:lastColumn="0" w:noHBand="0" w:noVBand="0"/>
        <w:tblDescription w:val="In Table 3-7 the first column defines level of family functioning. Read across the row to find first the percentage of 4-11 year-olds with major depressive disorder in families with this level of family functioning, then the percentage of 12-17 year-olds, and finally the percentage of 4-17 year-olds with major depressive disorder in families with this level of family functioning."/>
      </w:tblPr>
      <w:tblGrid>
        <w:gridCol w:w="2801"/>
        <w:gridCol w:w="2036"/>
        <w:gridCol w:w="2236"/>
        <w:gridCol w:w="2036"/>
      </w:tblGrid>
      <w:tr w:rsidR="00C827EF" w:rsidRPr="00A45FF1" w:rsidTr="00C827EF">
        <w:trPr>
          <w:cantSplit/>
          <w:tblHeader/>
          <w:jc w:val="center"/>
        </w:trPr>
        <w:tc>
          <w:tcPr>
            <w:tcW w:w="2801"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jc w:val="left"/>
              <w:rPr>
                <w:rStyle w:val="Strong"/>
              </w:rPr>
            </w:pPr>
            <w:r w:rsidRPr="00D945E1">
              <w:rPr>
                <w:rStyle w:val="Strong"/>
              </w:rPr>
              <w:t>Level of family functioning</w:t>
            </w:r>
          </w:p>
        </w:tc>
        <w:tc>
          <w:tcPr>
            <w:tcW w:w="20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4-11 years (%)</w:t>
            </w:r>
          </w:p>
        </w:tc>
        <w:tc>
          <w:tcPr>
            <w:tcW w:w="22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12-17 years (%)</w:t>
            </w:r>
          </w:p>
        </w:tc>
        <w:tc>
          <w:tcPr>
            <w:tcW w:w="20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4-17 years (%)</w:t>
            </w:r>
          </w:p>
        </w:tc>
      </w:tr>
      <w:tr w:rsidR="00C827EF" w:rsidRPr="00A45FF1"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A45FF1" w:rsidRDefault="00C827EF" w:rsidP="00C827EF">
            <w:pPr>
              <w:pStyle w:val="TableRowHeadings"/>
              <w:rPr>
                <w:lang w:eastAsia="en-AU"/>
              </w:rPr>
            </w:pPr>
            <w:r w:rsidRPr="00A45FF1">
              <w:rPr>
                <w:lang w:eastAsia="en-AU"/>
              </w:rPr>
              <w:t>Very good</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0.8</w:t>
            </w:r>
          </w:p>
        </w:tc>
        <w:tc>
          <w:tcPr>
            <w:tcW w:w="22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4.2</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2.1</w:t>
            </w:r>
          </w:p>
        </w:tc>
      </w:tr>
      <w:tr w:rsidR="00C827EF" w:rsidRPr="00A45FF1"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A45FF1" w:rsidRDefault="00C827EF" w:rsidP="00C827EF">
            <w:pPr>
              <w:pStyle w:val="TableRowHeadings"/>
              <w:rPr>
                <w:lang w:eastAsia="en-AU"/>
              </w:rPr>
            </w:pPr>
            <w:r w:rsidRPr="00A45FF1">
              <w:rPr>
                <w:lang w:eastAsia="en-AU"/>
              </w:rPr>
              <w:t>Good</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1.5</w:t>
            </w:r>
          </w:p>
        </w:tc>
        <w:tc>
          <w:tcPr>
            <w:tcW w:w="22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4.8</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3.0</w:t>
            </w:r>
          </w:p>
        </w:tc>
      </w:tr>
      <w:tr w:rsidR="00C827EF" w:rsidRPr="00A45FF1"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A45FF1" w:rsidRDefault="00C827EF" w:rsidP="00C827EF">
            <w:pPr>
              <w:pStyle w:val="TableRowHeadings"/>
              <w:rPr>
                <w:lang w:eastAsia="en-AU"/>
              </w:rPr>
            </w:pPr>
            <w:r w:rsidRPr="00A45FF1">
              <w:rPr>
                <w:lang w:eastAsia="en-AU"/>
              </w:rPr>
              <w:t>Fair</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1.5</w:t>
            </w:r>
          </w:p>
        </w:tc>
        <w:tc>
          <w:tcPr>
            <w:tcW w:w="22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7.0</w:t>
            </w:r>
          </w:p>
        </w:tc>
        <w:tc>
          <w:tcPr>
            <w:tcW w:w="2036" w:type="dxa"/>
            <w:tcBorders>
              <w:top w:val="nil"/>
              <w:left w:val="nil"/>
              <w:bottom w:val="nil"/>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4.1</w:t>
            </w:r>
          </w:p>
        </w:tc>
      </w:tr>
      <w:tr w:rsidR="00C827EF" w:rsidRPr="00A45FF1" w:rsidTr="00C827EF">
        <w:trPr>
          <w:cantSplit/>
          <w:jc w:val="center"/>
        </w:trPr>
        <w:tc>
          <w:tcPr>
            <w:tcW w:w="2801" w:type="dxa"/>
            <w:tcBorders>
              <w:top w:val="nil"/>
              <w:bottom w:val="single" w:sz="6" w:space="0" w:color="000000"/>
              <w:right w:val="nil"/>
            </w:tcBorders>
            <w:shd w:val="clear" w:color="auto" w:fill="EFF3FF"/>
            <w:tcMar>
              <w:left w:w="40" w:type="dxa"/>
              <w:right w:w="40" w:type="dxa"/>
            </w:tcMar>
          </w:tcPr>
          <w:p w:rsidR="00C827EF" w:rsidRPr="00A45FF1" w:rsidRDefault="00C827EF" w:rsidP="00C827EF">
            <w:pPr>
              <w:pStyle w:val="TableRowHeadings"/>
              <w:rPr>
                <w:lang w:eastAsia="en-AU"/>
              </w:rPr>
            </w:pPr>
            <w:r w:rsidRPr="00A45FF1">
              <w:rPr>
                <w:lang w:eastAsia="en-AU"/>
              </w:rPr>
              <w:t>Poor</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Pr>
                <w:lang w:eastAsia="en-AU"/>
              </w:rPr>
              <w:t>3.8</w:t>
            </w:r>
          </w:p>
        </w:tc>
        <w:tc>
          <w:tcPr>
            <w:tcW w:w="2236" w:type="dxa"/>
            <w:tcBorders>
              <w:top w:val="nil"/>
              <w:left w:val="nil"/>
              <w:bottom w:val="single" w:sz="6" w:space="0" w:color="000000"/>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11.6</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C827EF" w:rsidRPr="00A45FF1" w:rsidRDefault="00C827EF" w:rsidP="00C827EF">
            <w:pPr>
              <w:pStyle w:val="TableDataCell"/>
              <w:rPr>
                <w:lang w:eastAsia="en-AU"/>
              </w:rPr>
            </w:pPr>
            <w:r w:rsidRPr="00A45FF1">
              <w:rPr>
                <w:lang w:eastAsia="en-AU"/>
              </w:rPr>
              <w:t>7.7</w:t>
            </w:r>
          </w:p>
        </w:tc>
      </w:tr>
    </w:tbl>
    <w:p w:rsidR="00C827EF" w:rsidRPr="00A45FF1" w:rsidRDefault="00C827EF" w:rsidP="00C827EF">
      <w:pPr>
        <w:pStyle w:val="TableFootnote"/>
        <w:rPr>
          <w:rFonts w:cs="Source Sans Pro Light"/>
          <w:sz w:val="20"/>
          <w:szCs w:val="20"/>
        </w:rPr>
      </w:pPr>
      <w:r>
        <w:t>Family functioning was measured across a number of domains by the McMaster Family Assessment Device (see glossary).</w:t>
      </w:r>
    </w:p>
    <w:p w:rsidR="00C827EF" w:rsidRDefault="00C827EF" w:rsidP="00C827EF">
      <w:pPr>
        <w:pStyle w:val="Heading2"/>
      </w:pPr>
      <w:bookmarkStart w:id="59" w:name="_Toc401758793"/>
      <w:bookmarkEnd w:id="45"/>
      <w:r>
        <w:t>3.3</w:t>
      </w:r>
      <w:r>
        <w:tab/>
        <w:t>Impact of major depressive disorder</w:t>
      </w:r>
      <w:bookmarkEnd w:id="59"/>
    </w:p>
    <w:p w:rsidR="00C827EF" w:rsidRPr="00415895" w:rsidRDefault="00C827EF" w:rsidP="00C827EF">
      <w:pPr>
        <w:pStyle w:val="BodyText"/>
      </w:pPr>
      <w:r>
        <w:t>Mental disorders impact on young people in a number of ways across different aspects of their lives. The severity that symptoms of major depressive disorders had across four different life domains are reported as well as the number of days absent from school in the previous 12 months as a result of major depressive disorder symptoms.</w:t>
      </w:r>
    </w:p>
    <w:p w:rsidR="00C827EF" w:rsidRDefault="00C827EF" w:rsidP="00C827EF">
      <w:pPr>
        <w:pStyle w:val="Heading3"/>
      </w:pPr>
      <w:bookmarkStart w:id="60" w:name="_Toc401758795"/>
      <w:r>
        <w:t>3.3.1</w:t>
      </w:r>
      <w:r>
        <w:tab/>
        <w:t>Severity of impact on functioning</w:t>
      </w:r>
      <w:bookmarkEnd w:id="60"/>
    </w:p>
    <w:p w:rsidR="00C827EF" w:rsidRDefault="00C827EF" w:rsidP="00C827EF">
      <w:pPr>
        <w:pStyle w:val="BodyText"/>
      </w:pPr>
      <w:bookmarkStart w:id="61" w:name="_Ref395886010"/>
      <w:r>
        <w:t>The severity of major depressive disorder in four different domains (school or work, friends and social activities, family and self) and overall is reported in Table 3-</w:t>
      </w:r>
      <w:r>
        <w:rPr>
          <w:noProof/>
        </w:rPr>
        <w:t>8</w:t>
      </w:r>
      <w:r>
        <w:t>. Two fifths (40.3%) of 4-17 year-olds experienced a severe level of impact on self (that is, where the young person experienced a severe level of distress due to their symptoms). A third (34.3%) of children and adolescents experienced a severe level of impact in the school or work domain. Overall two fifths (42.8%) of 4-17 year-olds with major depressive disorder experienced a severe level of impact. This was the highest proportion of severe cases among those with a disorder of any of the disorders measured in the survey.</w:t>
      </w:r>
    </w:p>
    <w:bookmarkEnd w:id="61"/>
    <w:p w:rsidR="00C827EF" w:rsidRDefault="00C827EF" w:rsidP="00C827EF">
      <w:pPr>
        <w:pStyle w:val="BodyText"/>
        <w:rPr>
          <w:lang w:eastAsia="en-AU"/>
        </w:rPr>
      </w:pPr>
      <w:r>
        <w:rPr>
          <w:lang w:eastAsia="en-AU"/>
        </w:rPr>
        <w:t>Compared with other disorders, a higher proportion of children and adolescents with major depressive disorder had severe impact in the self, friends and school/work domain</w:t>
      </w:r>
      <w:r w:rsidR="0074040A">
        <w:rPr>
          <w:lang w:eastAsia="en-AU"/>
        </w:rPr>
        <w:t>s</w:t>
      </w:r>
      <w:r>
        <w:rPr>
          <w:lang w:eastAsia="en-AU"/>
        </w:rPr>
        <w:t xml:space="preserve"> (40.3%, 23.4% and 34.3% respectively). A large proportion of young people with social phobia also had severe impact in the friends’ domain (23.4%) while a large proportion with obsessive-compulsive disorder had severe impact in the school/work domain (33.0%).</w:t>
      </w:r>
    </w:p>
    <w:p w:rsidR="00C827EF" w:rsidRDefault="00C827EF" w:rsidP="00C827EF">
      <w:pPr>
        <w:pStyle w:val="Caption"/>
        <w:keepNext/>
        <w:pageBreakBefore/>
        <w:spacing w:before="0"/>
      </w:pPr>
      <w:bookmarkStart w:id="62" w:name="_Ref405541100"/>
      <w:bookmarkStart w:id="63" w:name="_Ref405541090"/>
      <w:r>
        <w:lastRenderedPageBreak/>
        <w:t>Table 3-</w:t>
      </w:r>
      <w:r>
        <w:rPr>
          <w:noProof/>
        </w:rPr>
        <w:t>8</w:t>
      </w:r>
      <w:bookmarkEnd w:id="62"/>
      <w:r>
        <w:t>: Severity of i</w:t>
      </w:r>
      <w:r w:rsidRPr="001231F6">
        <w:t>mpact in different life domains among 4-17 year-olds with major depressive disorder</w:t>
      </w:r>
      <w:bookmarkEnd w:id="63"/>
    </w:p>
    <w:tbl>
      <w:tblPr>
        <w:tblW w:w="0" w:type="auto"/>
        <w:jc w:val="center"/>
        <w:tblLayout w:type="fixed"/>
        <w:tblCellMar>
          <w:left w:w="0" w:type="dxa"/>
          <w:right w:w="0" w:type="dxa"/>
        </w:tblCellMar>
        <w:tblLook w:val="0020" w:firstRow="1" w:lastRow="0" w:firstColumn="0" w:lastColumn="0" w:noHBand="0" w:noVBand="0"/>
        <w:tblDescription w:val="In Table 3-8 the first column defines age group. Read across the row for the average number of days absent."/>
      </w:tblPr>
      <w:tblGrid>
        <w:gridCol w:w="2510"/>
        <w:gridCol w:w="1318"/>
        <w:gridCol w:w="1319"/>
        <w:gridCol w:w="1318"/>
        <w:gridCol w:w="1319"/>
        <w:gridCol w:w="1319"/>
      </w:tblGrid>
      <w:tr w:rsidR="00C827EF" w:rsidRPr="00A17DCF" w:rsidTr="00C827EF">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jc w:val="left"/>
              <w:rPr>
                <w:rStyle w:val="Strong"/>
              </w:rPr>
            </w:pPr>
            <w:r w:rsidRPr="00D945E1">
              <w:rPr>
                <w:rStyle w:val="Strong"/>
              </w:rPr>
              <w:t>Severity</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School/work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Friends (%)</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Family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Self (%)</w:t>
            </w:r>
          </w:p>
        </w:tc>
        <w:tc>
          <w:tcPr>
            <w:tcW w:w="13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Overall severity (%)</w:t>
            </w:r>
          </w:p>
        </w:tc>
      </w:tr>
      <w:tr w:rsidR="00C827EF" w:rsidRPr="00A17DCF"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A17DCF" w:rsidRDefault="00C827EF" w:rsidP="00C827EF">
            <w:pPr>
              <w:pStyle w:val="TableRowHeadings"/>
            </w:pPr>
            <w:r w:rsidRPr="00A17DCF">
              <w:t>None</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9.6</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14.4</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8.4</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t>np</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p>
        </w:tc>
      </w:tr>
      <w:tr w:rsidR="00C827EF" w:rsidRPr="00A17DCF"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A17DCF" w:rsidRDefault="00C827EF" w:rsidP="00C827EF">
            <w:pPr>
              <w:pStyle w:val="TableRowHeadings"/>
            </w:pPr>
            <w:r w:rsidRPr="00A17DCF">
              <w:t>Mild</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17.3</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19.1</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30.6</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t>np</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21.4</w:t>
            </w:r>
          </w:p>
        </w:tc>
      </w:tr>
      <w:tr w:rsidR="00C827EF" w:rsidRPr="00A17DCF"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A17DCF" w:rsidRDefault="00C827EF" w:rsidP="00C827EF">
            <w:pPr>
              <w:pStyle w:val="TableRowHeadings"/>
            </w:pPr>
            <w:r w:rsidRPr="00A17DCF">
              <w:t>Moderate</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34.1</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43.1</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33.5</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37.5</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35.8</w:t>
            </w:r>
          </w:p>
        </w:tc>
      </w:tr>
      <w:tr w:rsidR="00C827EF" w:rsidRPr="00A17DCF"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A17DCF" w:rsidRDefault="00C827EF" w:rsidP="00C827EF">
            <w:pPr>
              <w:pStyle w:val="TableRowHeadings"/>
            </w:pPr>
            <w:r w:rsidRPr="00A17DCF">
              <w:t>Severe</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34.3</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23.4</w:t>
            </w:r>
          </w:p>
        </w:tc>
        <w:tc>
          <w:tcPr>
            <w:tcW w:w="1318"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27.4</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40.3</w:t>
            </w:r>
          </w:p>
        </w:tc>
        <w:tc>
          <w:tcPr>
            <w:tcW w:w="1319" w:type="dxa"/>
            <w:tcBorders>
              <w:top w:val="nil"/>
              <w:left w:val="nil"/>
              <w:bottom w:val="nil"/>
              <w:right w:val="nil"/>
            </w:tcBorders>
            <w:shd w:val="clear" w:color="auto" w:fill="FFFFFF"/>
            <w:tcMar>
              <w:left w:w="40" w:type="dxa"/>
              <w:right w:w="40" w:type="dxa"/>
            </w:tcMar>
            <w:vAlign w:val="bottom"/>
          </w:tcPr>
          <w:p w:rsidR="00C827EF" w:rsidRPr="00A17DCF" w:rsidRDefault="00C827EF" w:rsidP="00C827EF">
            <w:pPr>
              <w:pStyle w:val="TableDataCell"/>
            </w:pPr>
            <w:r w:rsidRPr="00A17DCF">
              <w:t>42.8</w:t>
            </w:r>
          </w:p>
        </w:tc>
      </w:tr>
      <w:tr w:rsidR="00C827EF" w:rsidRPr="00A17DCF" w:rsidTr="00C827EF">
        <w:trPr>
          <w:cantSplit/>
          <w:jc w:val="center"/>
        </w:trPr>
        <w:tc>
          <w:tcPr>
            <w:tcW w:w="2510" w:type="dxa"/>
            <w:tcBorders>
              <w:top w:val="nil"/>
              <w:bottom w:val="single" w:sz="6" w:space="0" w:color="000000"/>
              <w:right w:val="nil"/>
            </w:tcBorders>
            <w:shd w:val="clear" w:color="auto" w:fill="EFF3FF"/>
            <w:tcMar>
              <w:left w:w="40" w:type="dxa"/>
              <w:right w:w="40" w:type="dxa"/>
            </w:tcMar>
          </w:tcPr>
          <w:p w:rsidR="00C827EF" w:rsidRPr="00A17DCF" w:rsidRDefault="00C827EF" w:rsidP="00C827EF">
            <w:pPr>
              <w:pStyle w:val="TableRowHeadings"/>
            </w:pPr>
            <w:r w:rsidRPr="00A17DCF">
              <w:t>Does not go to school or work</w:t>
            </w: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A17DCF" w:rsidRDefault="00C827EF" w:rsidP="00C827EF">
            <w:pPr>
              <w:pStyle w:val="TableDataCell"/>
            </w:pPr>
            <w:r w:rsidRPr="00A17DCF">
              <w:t>4.8</w:t>
            </w: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A17DCF" w:rsidRDefault="00C827EF" w:rsidP="00C827EF">
            <w:pPr>
              <w:pStyle w:val="TableDataCell"/>
            </w:pP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A17DCF" w:rsidRDefault="00C827EF" w:rsidP="00C827EF">
            <w:pPr>
              <w:pStyle w:val="TableDataCell"/>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A17DCF" w:rsidRDefault="00C827EF" w:rsidP="00C827EF">
            <w:pPr>
              <w:pStyle w:val="TableDataCell"/>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A17DCF" w:rsidRDefault="00C827EF" w:rsidP="00C827EF">
            <w:pPr>
              <w:pStyle w:val="TableDataCell"/>
            </w:pPr>
          </w:p>
        </w:tc>
      </w:tr>
    </w:tbl>
    <w:p w:rsidR="00C827EF" w:rsidRDefault="00C827EF" w:rsidP="00C827EF">
      <w:pPr>
        <w:pStyle w:val="TableFootnote"/>
      </w:pPr>
      <w:proofErr w:type="gramStart"/>
      <w:r>
        <w:t>np</w:t>
      </w:r>
      <w:proofErr w:type="gramEnd"/>
      <w:r>
        <w:tab/>
        <w:t>Not available for publication because of small cell size, but included in totals where applicable.</w:t>
      </w:r>
    </w:p>
    <w:p w:rsidR="00C827EF" w:rsidRDefault="00C827EF" w:rsidP="00C827EF">
      <w:pPr>
        <w:pStyle w:val="Heading3"/>
      </w:pPr>
      <w:bookmarkStart w:id="64" w:name="_Toc401758794"/>
      <w:r>
        <w:t>3.3.2</w:t>
      </w:r>
      <w:r>
        <w:tab/>
        <w:t>Days absent from school</w:t>
      </w:r>
      <w:bookmarkEnd w:id="64"/>
    </w:p>
    <w:p w:rsidR="00C827EF" w:rsidRDefault="00C827EF" w:rsidP="00C827EF">
      <w:pPr>
        <w:pStyle w:val="BodyText"/>
        <w:rPr>
          <w:lang w:eastAsia="en-AU"/>
        </w:rPr>
      </w:pPr>
      <w:r>
        <w:rPr>
          <w:lang w:eastAsia="en-AU"/>
        </w:rPr>
        <w:t xml:space="preserve">Approximately three quarters (74%) of children and adolescents with </w:t>
      </w:r>
      <w:r>
        <w:t xml:space="preserve">major depressive disorder attending school </w:t>
      </w:r>
      <w:r>
        <w:rPr>
          <w:lang w:eastAsia="en-AU"/>
        </w:rPr>
        <w:t xml:space="preserve">had been absent from school for one or more days in the previous 12 months due to their depressive symptoms. </w:t>
      </w:r>
    </w:p>
    <w:p w:rsidR="00C827EF" w:rsidRDefault="00C827EF" w:rsidP="00C827EF">
      <w:pPr>
        <w:pStyle w:val="BodyText"/>
        <w:rPr>
          <w:lang w:eastAsia="en-AU"/>
        </w:rPr>
      </w:pPr>
      <w:r>
        <w:rPr>
          <w:lang w:eastAsia="en-AU"/>
        </w:rPr>
        <w:t>Young people with major depressive disorder averaged 20 days absent from school in the previous 12 months</w:t>
      </w:r>
      <w:r w:rsidRPr="00E65222">
        <w:rPr>
          <w:lang w:eastAsia="en-AU"/>
        </w:rPr>
        <w:t xml:space="preserve"> </w:t>
      </w:r>
      <w:r>
        <w:rPr>
          <w:lang w:eastAsia="en-AU"/>
        </w:rPr>
        <w:t>due to their depressive symptoms. The average was higher for adolescents, with those aged 4-11 years averaging 14 days absent compared with an average of 23 days absent for young people aged 12-17 years (</w:t>
      </w:r>
      <w:r>
        <w:t>Table 3-</w:t>
      </w:r>
      <w:r>
        <w:rPr>
          <w:noProof/>
        </w:rPr>
        <w:t>9</w:t>
      </w:r>
      <w:r>
        <w:rPr>
          <w:lang w:eastAsia="en-AU"/>
        </w:rPr>
        <w:t>). Compared to other disorders, children and adolescents with major depressive disorder missed on average the most days of school due to their symptoms.</w:t>
      </w:r>
    </w:p>
    <w:p w:rsidR="00C827EF" w:rsidRDefault="00C827EF" w:rsidP="00C827EF">
      <w:pPr>
        <w:pStyle w:val="Caption"/>
        <w:keepNext/>
      </w:pPr>
      <w:bookmarkStart w:id="65" w:name="_Ref400116249"/>
      <w:r>
        <w:t>Table 3-</w:t>
      </w:r>
      <w:r>
        <w:rPr>
          <w:noProof/>
        </w:rPr>
        <w:t>9</w:t>
      </w:r>
      <w:bookmarkEnd w:id="65"/>
      <w:r>
        <w:t xml:space="preserve">: </w:t>
      </w:r>
      <w:r w:rsidRPr="00267C7E">
        <w:t xml:space="preserve">Average days absent from school in </w:t>
      </w:r>
      <w:r>
        <w:t>past 12 months due to depressive</w:t>
      </w:r>
      <w:r w:rsidRPr="00267C7E">
        <w:t xml:space="preserve"> symptoms</w:t>
      </w:r>
      <w:r w:rsidRPr="004E6E27">
        <w:t xml:space="preserve"> </w:t>
      </w:r>
      <w:r>
        <w:t>among 4-17 year-olds</w:t>
      </w:r>
      <w:r w:rsidRPr="00267C7E">
        <w:t xml:space="preserve"> with major depressive disorder by age group</w:t>
      </w:r>
    </w:p>
    <w:tbl>
      <w:tblPr>
        <w:tblW w:w="0" w:type="auto"/>
        <w:jc w:val="center"/>
        <w:tblLayout w:type="fixed"/>
        <w:tblCellMar>
          <w:left w:w="0" w:type="dxa"/>
          <w:right w:w="0" w:type="dxa"/>
        </w:tblCellMar>
        <w:tblLook w:val="0020" w:firstRow="1" w:lastRow="0" w:firstColumn="0" w:lastColumn="0" w:noHBand="0" w:noVBand="0"/>
        <w:tblDescription w:val="In Table 3-9 the first column defines age group. Read across the row for the average (days) absence from school."/>
      </w:tblPr>
      <w:tblGrid>
        <w:gridCol w:w="6092"/>
        <w:gridCol w:w="2953"/>
      </w:tblGrid>
      <w:tr w:rsidR="00C827EF" w:rsidRPr="00296F88" w:rsidTr="00C827EF">
        <w:trPr>
          <w:cantSplit/>
          <w:tblHeader/>
          <w:jc w:val="center"/>
        </w:trPr>
        <w:tc>
          <w:tcPr>
            <w:tcW w:w="6092"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D945E1" w:rsidRDefault="00C827EF" w:rsidP="00C827EF">
            <w:pPr>
              <w:pStyle w:val="TableColumnHeadings"/>
              <w:jc w:val="left"/>
              <w:rPr>
                <w:rStyle w:val="Strong"/>
              </w:rPr>
            </w:pPr>
            <w:r w:rsidRPr="00D945E1">
              <w:rPr>
                <w:rStyle w:val="Strong"/>
              </w:rPr>
              <w:t>Age group</w:t>
            </w:r>
          </w:p>
        </w:tc>
        <w:tc>
          <w:tcPr>
            <w:tcW w:w="295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D945E1" w:rsidRDefault="00C827EF" w:rsidP="00C827EF">
            <w:pPr>
              <w:pStyle w:val="TableColumnHeadings"/>
              <w:rPr>
                <w:rStyle w:val="Strong"/>
              </w:rPr>
            </w:pPr>
            <w:r w:rsidRPr="00D945E1">
              <w:rPr>
                <w:rStyle w:val="Strong"/>
              </w:rPr>
              <w:t>Average days absent</w:t>
            </w:r>
          </w:p>
        </w:tc>
      </w:tr>
      <w:tr w:rsidR="00C827EF" w:rsidRPr="00296F88" w:rsidTr="00C827EF">
        <w:trPr>
          <w:cantSplit/>
          <w:jc w:val="center"/>
        </w:trPr>
        <w:tc>
          <w:tcPr>
            <w:tcW w:w="6092" w:type="dxa"/>
            <w:tcBorders>
              <w:top w:val="nil"/>
              <w:bottom w:val="single" w:sz="4" w:space="0" w:color="FFFFFF"/>
              <w:right w:val="nil"/>
            </w:tcBorders>
            <w:shd w:val="clear" w:color="auto" w:fill="EFF3FF"/>
            <w:tcMar>
              <w:left w:w="40" w:type="dxa"/>
              <w:right w:w="40" w:type="dxa"/>
            </w:tcMar>
          </w:tcPr>
          <w:p w:rsidR="00C827EF" w:rsidRPr="00296F88" w:rsidRDefault="00C827EF" w:rsidP="00C827EF">
            <w:pPr>
              <w:pStyle w:val="TableRowHeadings"/>
              <w:rPr>
                <w:lang w:eastAsia="en-AU"/>
              </w:rPr>
            </w:pPr>
            <w:r>
              <w:rPr>
                <w:lang w:eastAsia="en-AU"/>
              </w:rPr>
              <w:t>4-</w:t>
            </w:r>
            <w:r w:rsidRPr="00296F88">
              <w:rPr>
                <w:lang w:eastAsia="en-AU"/>
              </w:rPr>
              <w:t>11 years</w:t>
            </w:r>
          </w:p>
        </w:tc>
        <w:tc>
          <w:tcPr>
            <w:tcW w:w="2953" w:type="dxa"/>
            <w:tcBorders>
              <w:top w:val="nil"/>
              <w:left w:val="nil"/>
              <w:bottom w:val="nil"/>
              <w:right w:val="nil"/>
            </w:tcBorders>
            <w:shd w:val="clear" w:color="auto" w:fill="FFFFFF"/>
            <w:tcMar>
              <w:left w:w="40" w:type="dxa"/>
              <w:right w:w="40" w:type="dxa"/>
            </w:tcMar>
            <w:vAlign w:val="bottom"/>
          </w:tcPr>
          <w:p w:rsidR="00C827EF" w:rsidRPr="00296F88" w:rsidRDefault="00C827EF" w:rsidP="00C827EF">
            <w:pPr>
              <w:pStyle w:val="TableDataCell"/>
              <w:rPr>
                <w:lang w:eastAsia="en-AU"/>
              </w:rPr>
            </w:pPr>
            <w:r w:rsidRPr="00296F88">
              <w:rPr>
                <w:lang w:eastAsia="en-AU"/>
              </w:rPr>
              <w:t>14</w:t>
            </w:r>
          </w:p>
        </w:tc>
      </w:tr>
      <w:tr w:rsidR="00C827EF" w:rsidRPr="00296F88" w:rsidTr="00C827EF">
        <w:trPr>
          <w:cantSplit/>
          <w:jc w:val="center"/>
        </w:trPr>
        <w:tc>
          <w:tcPr>
            <w:tcW w:w="6092" w:type="dxa"/>
            <w:tcBorders>
              <w:top w:val="nil"/>
              <w:bottom w:val="single" w:sz="4" w:space="0" w:color="auto"/>
              <w:right w:val="nil"/>
            </w:tcBorders>
            <w:shd w:val="clear" w:color="auto" w:fill="EFF3FF"/>
            <w:tcMar>
              <w:left w:w="40" w:type="dxa"/>
              <w:right w:w="40" w:type="dxa"/>
            </w:tcMar>
          </w:tcPr>
          <w:p w:rsidR="00C827EF" w:rsidRPr="00296F88" w:rsidRDefault="00C827EF" w:rsidP="00C827EF">
            <w:pPr>
              <w:pStyle w:val="TableRowHeadings"/>
              <w:rPr>
                <w:lang w:eastAsia="en-AU"/>
              </w:rPr>
            </w:pPr>
            <w:r>
              <w:rPr>
                <w:lang w:eastAsia="en-AU"/>
              </w:rPr>
              <w:t>12-</w:t>
            </w:r>
            <w:r w:rsidRPr="00296F88">
              <w:rPr>
                <w:lang w:eastAsia="en-AU"/>
              </w:rPr>
              <w:t>17 years</w:t>
            </w:r>
          </w:p>
        </w:tc>
        <w:tc>
          <w:tcPr>
            <w:tcW w:w="2953" w:type="dxa"/>
            <w:tcBorders>
              <w:top w:val="nil"/>
              <w:left w:val="nil"/>
              <w:bottom w:val="single" w:sz="4" w:space="0" w:color="auto"/>
              <w:right w:val="nil"/>
            </w:tcBorders>
            <w:shd w:val="clear" w:color="auto" w:fill="FFFFFF"/>
            <w:tcMar>
              <w:left w:w="40" w:type="dxa"/>
              <w:right w:w="40" w:type="dxa"/>
            </w:tcMar>
            <w:vAlign w:val="bottom"/>
          </w:tcPr>
          <w:p w:rsidR="00C827EF" w:rsidRPr="00296F88" w:rsidRDefault="00C827EF" w:rsidP="00C827EF">
            <w:pPr>
              <w:pStyle w:val="TableDataCell"/>
              <w:rPr>
                <w:lang w:eastAsia="en-AU"/>
              </w:rPr>
            </w:pPr>
            <w:r w:rsidRPr="00296F88">
              <w:rPr>
                <w:lang w:eastAsia="en-AU"/>
              </w:rPr>
              <w:t>23</w:t>
            </w:r>
          </w:p>
        </w:tc>
      </w:tr>
      <w:tr w:rsidR="00C827EF" w:rsidRPr="00296F88" w:rsidTr="00C827EF">
        <w:trPr>
          <w:cantSplit/>
          <w:jc w:val="center"/>
        </w:trPr>
        <w:tc>
          <w:tcPr>
            <w:tcW w:w="6092" w:type="dxa"/>
            <w:tcBorders>
              <w:top w:val="single" w:sz="4" w:space="0" w:color="auto"/>
              <w:bottom w:val="single" w:sz="6" w:space="0" w:color="000000"/>
              <w:right w:val="nil"/>
            </w:tcBorders>
            <w:shd w:val="clear" w:color="auto" w:fill="EFF3FF"/>
            <w:tcMar>
              <w:left w:w="40" w:type="dxa"/>
              <w:right w:w="40" w:type="dxa"/>
            </w:tcMar>
          </w:tcPr>
          <w:p w:rsidR="00C827EF" w:rsidRPr="00241A22" w:rsidRDefault="00C827EF" w:rsidP="00C827EF">
            <w:pPr>
              <w:pStyle w:val="TableRowHeadings"/>
              <w:rPr>
                <w:rStyle w:val="Strong"/>
              </w:rPr>
            </w:pPr>
            <w:r w:rsidRPr="00241A22">
              <w:rPr>
                <w:rStyle w:val="Strong"/>
              </w:rPr>
              <w:t>4-17 years</w:t>
            </w:r>
          </w:p>
        </w:tc>
        <w:tc>
          <w:tcPr>
            <w:tcW w:w="2953"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241A22" w:rsidRDefault="00C827EF" w:rsidP="00C827EF">
            <w:pPr>
              <w:pStyle w:val="TableDataCell"/>
              <w:rPr>
                <w:rStyle w:val="Strong"/>
              </w:rPr>
            </w:pPr>
            <w:r w:rsidRPr="00241A22">
              <w:rPr>
                <w:rStyle w:val="Strong"/>
              </w:rPr>
              <w:t>20</w:t>
            </w:r>
          </w:p>
        </w:tc>
      </w:tr>
    </w:tbl>
    <w:p w:rsidR="00C827EF" w:rsidRDefault="00C827EF" w:rsidP="00C827EF">
      <w:pPr>
        <w:pStyle w:val="BodyText"/>
      </w:pPr>
    </w:p>
    <w:p w:rsidR="00C827EF" w:rsidRDefault="00C827EF" w:rsidP="00DB066C">
      <w:pPr>
        <w:jc w:val="center"/>
        <w:sectPr w:rsidR="00C827EF" w:rsidSect="003330E0">
          <w:headerReference w:type="even" r:id="rId69"/>
          <w:headerReference w:type="default" r:id="rId70"/>
          <w:footerReference w:type="default" r:id="rId71"/>
          <w:pgSz w:w="11906" w:h="16838" w:code="9"/>
          <w:pgMar w:top="1440" w:right="1440" w:bottom="1440" w:left="1440" w:header="567" w:footer="567" w:gutter="0"/>
          <w:pgNumType w:start="46"/>
          <w:cols w:space="720"/>
          <w:docGrid w:linePitch="360"/>
        </w:sectPr>
      </w:pPr>
    </w:p>
    <w:p w:rsidR="00C827EF" w:rsidRDefault="00C827EF" w:rsidP="00C827EF">
      <w:pPr>
        <w:pStyle w:val="Heading1"/>
      </w:pPr>
      <w:bookmarkStart w:id="66" w:name="_Toc401758796"/>
      <w:r>
        <w:lastRenderedPageBreak/>
        <w:t>4</w:t>
      </w:r>
      <w:r>
        <w:tab/>
        <w:t>Anxiety disorders</w:t>
      </w:r>
      <w:bookmarkEnd w:id="66"/>
    </w:p>
    <w:p w:rsidR="00C827EF" w:rsidRDefault="00C827EF" w:rsidP="00C827EF">
      <w:pPr>
        <w:pStyle w:val="BodyText"/>
      </w:pPr>
      <w:r>
        <w:t>This chapter presents data on children and adolescents who met diagnostic criteria identified in DSM-IV for social phobia, separation anxiety disorder, generalised anxiety disorder or obsessive-compulsive disorder.</w:t>
      </w:r>
    </w:p>
    <w:p w:rsidR="00C827EF" w:rsidRDefault="00C827EF" w:rsidP="00C827EF">
      <w:pPr>
        <w:pStyle w:val="BodyText"/>
      </w:pPr>
      <w:proofErr w:type="gramStart"/>
      <w:r>
        <w:t>Anxiety disorders refers</w:t>
      </w:r>
      <w:proofErr w:type="gramEnd"/>
      <w:r>
        <w:t xml:space="preserve"> to a group of conditions rather than a single disorder. The common characteristic of the conditions that make up this category is that individuals affected experience</w:t>
      </w:r>
      <w:r w:rsidRPr="00990224">
        <w:t xml:space="preserve"> persistent, excessive worry</w:t>
      </w:r>
      <w:r>
        <w:t xml:space="preserve"> or fears</w:t>
      </w:r>
      <w:r w:rsidRPr="00990224">
        <w:t xml:space="preserve"> that </w:t>
      </w:r>
      <w:r>
        <w:t>typically</w:t>
      </w:r>
      <w:r w:rsidRPr="00990224">
        <w:t xml:space="preserve"> interferes with </w:t>
      </w:r>
      <w:r>
        <w:t>their</w:t>
      </w:r>
      <w:r w:rsidRPr="00990224">
        <w:t xml:space="preserve"> ability to carry out </w:t>
      </w:r>
      <w:r>
        <w:t xml:space="preserve">their daily tasks </w:t>
      </w:r>
      <w:r w:rsidRPr="00990224">
        <w:t>or take pleasure in day-to-day life.</w:t>
      </w:r>
      <w:r>
        <w:t xml:space="preserve"> It is common for young people to be fearful and anxious, but some may be more </w:t>
      </w:r>
      <w:r w:rsidRPr="00E75144">
        <w:t xml:space="preserve">anxious than other children of their age and </w:t>
      </w:r>
      <w:r>
        <w:t xml:space="preserve">developmental </w:t>
      </w:r>
      <w:r w:rsidRPr="00E75144">
        <w:t>level</w:t>
      </w:r>
      <w:r>
        <w:t xml:space="preserve">, and this may </w:t>
      </w:r>
      <w:r w:rsidRPr="00E75144">
        <w:t>stop them participating in a</w:t>
      </w:r>
      <w:r>
        <w:t>ctivities at school or socially, or interfere with their ability to do what other children and adolescents of their age do.</w:t>
      </w:r>
    </w:p>
    <w:p w:rsidR="00C827EF" w:rsidRDefault="00C827EF" w:rsidP="000430C8">
      <w:pPr>
        <w:pStyle w:val="Heading2-notintOCV2"/>
      </w:pPr>
      <w:bookmarkStart w:id="67" w:name="_Toc401758797"/>
      <w:r>
        <w:t>Social phobia</w:t>
      </w:r>
      <w:bookmarkEnd w:id="67"/>
      <w:r>
        <w:t xml:space="preserve"> </w:t>
      </w:r>
    </w:p>
    <w:p w:rsidR="00C827EF" w:rsidRPr="00232009" w:rsidRDefault="00C827EF" w:rsidP="000430C8">
      <w:pPr>
        <w:pStyle w:val="Disorderoverviewtext"/>
      </w:pPr>
      <w:r w:rsidRPr="00232009">
        <w:t>This disorder is characterised by a marked and persistent fear or avoidance of social or performance situations in which embarrassment may occur. To meet DSM-IV criteria, the fear or avoidance must interfere significantly with the child or adolescent’s normal routine, academic functioning, or social activities or relationships, or the person must experience marked distress about the phobia.</w:t>
      </w:r>
    </w:p>
    <w:p w:rsidR="00C827EF" w:rsidRDefault="00C827EF" w:rsidP="000430C8">
      <w:pPr>
        <w:pStyle w:val="Heading2-notintOCV2"/>
      </w:pPr>
      <w:bookmarkStart w:id="68" w:name="_Toc401758798"/>
      <w:r>
        <w:t>Separation anxiety disorder</w:t>
      </w:r>
      <w:bookmarkEnd w:id="68"/>
    </w:p>
    <w:p w:rsidR="00C827EF" w:rsidRPr="00232009" w:rsidRDefault="00C827EF" w:rsidP="000430C8">
      <w:pPr>
        <w:pStyle w:val="Disorderoverviewtext"/>
      </w:pPr>
      <w:r w:rsidRPr="00232009">
        <w:t>This disorder is characterised by excessive anxiety concerning separation from the home or from those to whom the child is attached. To meet DSM-IV criteria, the anxiety must be beyond that which is expected for the child or adolescent’s developmental level, and cause significant distress in social, academic or other important areas of functioning. While separation anxiety disorder may be more common in younger children it can cause significant impairment in older children.</w:t>
      </w:r>
    </w:p>
    <w:p w:rsidR="00C827EF" w:rsidRDefault="00C827EF" w:rsidP="000430C8">
      <w:pPr>
        <w:pStyle w:val="Heading2-notintOCV2"/>
      </w:pPr>
      <w:bookmarkStart w:id="69" w:name="_Toc401758799"/>
      <w:r>
        <w:t>Generalised anxiety disorder</w:t>
      </w:r>
      <w:bookmarkEnd w:id="69"/>
    </w:p>
    <w:p w:rsidR="00C827EF" w:rsidRPr="00232009" w:rsidRDefault="00C827EF" w:rsidP="000430C8">
      <w:pPr>
        <w:pStyle w:val="Disorderoverviewtext"/>
      </w:pPr>
      <w:r w:rsidRPr="00232009">
        <w:t>This disorder is characterised by excessive anxiety, worry or apprehension about a number of different events or activities, occurring more days than not for a period of at least six months. DSM-IV criteria specify that for children the anxiety must be associated with at least one of the following symptoms: restlessness or feeling keyed up or on edge, being easily fatigued, difficulty concentrating or mind going blank, irritability, muscle tension or sleep disturbance. The constant worry causes distress to the individual. The child or adolescent has difficulty controlling the worry, and experiences impairment in social, academic or other important areas of functioning.</w:t>
      </w:r>
    </w:p>
    <w:p w:rsidR="00C827EF" w:rsidRPr="000430C8" w:rsidRDefault="00C827EF" w:rsidP="000430C8">
      <w:pPr>
        <w:pStyle w:val="Heading2-notintOCV2"/>
      </w:pPr>
      <w:bookmarkStart w:id="70" w:name="_Toc401758800"/>
      <w:r w:rsidRPr="000430C8">
        <w:t>Obsessive-compulsive disorder</w:t>
      </w:r>
      <w:bookmarkEnd w:id="70"/>
    </w:p>
    <w:p w:rsidR="00C827EF" w:rsidRPr="00232009" w:rsidRDefault="00C827EF" w:rsidP="000430C8">
      <w:pPr>
        <w:pStyle w:val="Disorderoverviewtext"/>
      </w:pPr>
      <w:r w:rsidRPr="00232009">
        <w:t xml:space="preserve">Key features of this disorder are recurrent obsessions and/or compulsions that are severe enough to be time consuming and cause marked distress or significant impairment. </w:t>
      </w:r>
      <w:r w:rsidRPr="00232009">
        <w:lastRenderedPageBreak/>
        <w:t>Obsessions are persistent ideas, thoughts, impulses or images that are intrusive and difficult to control and that cause anxiety or distress. Common obsessions include worrying about things being dirty or having germs, or that the person might do something bad in public. Compulsions are repetitive behaviours, such as washing hands or changing clothes over and over, repetitively checking things, or counting or ordering things over and over. To meet DSM-IV criteria the obsessions or compulsions must cause marked distress, be time consuming or significantly interfere with the child or adolescent’s normal routine, academic functioning, usual social activities or relationships.</w:t>
      </w:r>
    </w:p>
    <w:p w:rsidR="00C827EF" w:rsidRPr="00E75144" w:rsidRDefault="00C827EF" w:rsidP="00C827EF">
      <w:pPr>
        <w:pStyle w:val="BodyText"/>
      </w:pPr>
      <w:bookmarkStart w:id="71" w:name="_Toc401758801"/>
      <w:r>
        <w:t>The survey focussed on the four anxiety disorders that are most common and cause greatest distress in children and adolescents. These were social phobia, separation anxiety disorder, generalised anxiety disorder and obsessive-compulsive disorder.</w:t>
      </w:r>
    </w:p>
    <w:p w:rsidR="00C827EF" w:rsidRDefault="00C827EF" w:rsidP="00C827EF">
      <w:pPr>
        <w:pStyle w:val="Heading2"/>
        <w:rPr>
          <w:rStyle w:val="Heading1Char"/>
          <w:b/>
          <w:bCs/>
          <w:caps w:val="0"/>
          <w:sz w:val="26"/>
          <w:szCs w:val="26"/>
        </w:rPr>
      </w:pPr>
      <w:r>
        <w:rPr>
          <w:rStyle w:val="Heading1Char"/>
          <w:b/>
          <w:bCs/>
          <w:caps w:val="0"/>
          <w:sz w:val="26"/>
          <w:szCs w:val="26"/>
        </w:rPr>
        <w:t>4.1</w:t>
      </w:r>
      <w:r w:rsidRPr="00F542D3">
        <w:rPr>
          <w:rStyle w:val="Heading1Char"/>
          <w:b/>
          <w:bCs/>
          <w:caps w:val="0"/>
          <w:sz w:val="26"/>
          <w:szCs w:val="26"/>
        </w:rPr>
        <w:tab/>
      </w:r>
      <w:r>
        <w:rPr>
          <w:rStyle w:val="Heading1Char"/>
          <w:b/>
          <w:bCs/>
          <w:caps w:val="0"/>
          <w:sz w:val="26"/>
          <w:szCs w:val="26"/>
        </w:rPr>
        <w:t>Prevalence of anxiety disorders in children and adolescents</w:t>
      </w:r>
      <w:bookmarkEnd w:id="71"/>
    </w:p>
    <w:p w:rsidR="00C827EF" w:rsidRDefault="00C827EF" w:rsidP="00C827EF">
      <w:pPr>
        <w:pStyle w:val="BodyText"/>
        <w:rPr>
          <w:lang w:eastAsia="en-AU"/>
        </w:rPr>
      </w:pPr>
      <w:r>
        <w:rPr>
          <w:lang w:eastAsia="en-AU"/>
        </w:rPr>
        <w:t xml:space="preserve">Half of all children and adolescents aged 4-17 years with mental disorders had an anxiety disorder. This is equivalent to 6.9% of all children and adolescents or an </w:t>
      </w:r>
      <w:r w:rsidRPr="00AB2C2F">
        <w:rPr>
          <w:lang w:eastAsia="en-AU"/>
        </w:rPr>
        <w:t xml:space="preserve">estimated </w:t>
      </w:r>
      <w:r>
        <w:rPr>
          <w:lang w:eastAsia="en-AU"/>
        </w:rPr>
        <w:t>278,000</w:t>
      </w:r>
      <w:r w:rsidRPr="00AB2C2F">
        <w:rPr>
          <w:lang w:eastAsia="en-AU"/>
        </w:rPr>
        <w:t xml:space="preserve"> </w:t>
      </w:r>
      <w:r>
        <w:rPr>
          <w:lang w:eastAsia="en-AU"/>
        </w:rPr>
        <w:t>children and adolescents. There was little difference between males and females (7.0% and 6.8%).</w:t>
      </w:r>
    </w:p>
    <w:p w:rsidR="00C827EF" w:rsidRPr="00E24004" w:rsidRDefault="00C827EF" w:rsidP="00C827EF">
      <w:pPr>
        <w:pStyle w:val="BodyText"/>
        <w:rPr>
          <w:spacing w:val="1"/>
          <w:lang w:eastAsia="en-AU"/>
        </w:rPr>
      </w:pPr>
      <w:r w:rsidRPr="00E24004">
        <w:rPr>
          <w:spacing w:val="1"/>
          <w:lang w:eastAsia="en-AU"/>
        </w:rPr>
        <w:t>The prevalence of anxiety disorders was very similar in children and adolescents, with 6.9% of children aged 4-11 years and 7.0% of young people aged 12-17 years having one or more anxiety disorders (</w:t>
      </w:r>
      <w:r w:rsidRPr="00E24004">
        <w:rPr>
          <w:spacing w:val="1"/>
        </w:rPr>
        <w:t>Table 4-1</w:t>
      </w:r>
      <w:r w:rsidRPr="00E24004">
        <w:rPr>
          <w:spacing w:val="1"/>
          <w:lang w:eastAsia="en-AU"/>
        </w:rPr>
        <w:t>). However, there were differences between children and adolescents in the prevalence of individual anxiety disorders. Separation anxiety disorder was the most common anxiety disorder in children (4.9% of those 4-11 years). Among adolescents both social phobia and separation anxiety disorder were equally common (3.4%) and generalised anxiety disorder was almost as common (2.9%).</w:t>
      </w:r>
    </w:p>
    <w:p w:rsidR="00C827EF" w:rsidRDefault="00C827EF" w:rsidP="00C827EF">
      <w:pPr>
        <w:pStyle w:val="BodyText"/>
        <w:rPr>
          <w:lang w:eastAsia="en-AU"/>
        </w:rPr>
      </w:pPr>
      <w:r>
        <w:rPr>
          <w:lang w:eastAsia="en-AU"/>
        </w:rPr>
        <w:t>Among children aged 4-11 years, the prevalence of anxiety disorders was slightly but not significantly higher in males than females (7.6% compared with 6.1%) due mainly to the higher prevalence of obsessive-compulsive disorder in males in this age group. Among young people aged 12-17 years, the prevalence of anxiety disorders was slightly but not significantly higher in females than males (7.7% compared with 6.3%) due mainly to the higher prevalence of generalised anxiety disorder in females in this age group.</w:t>
      </w:r>
    </w:p>
    <w:p w:rsidR="00C827EF" w:rsidRDefault="00C827EF" w:rsidP="00C827EF">
      <w:pPr>
        <w:pStyle w:val="Caption"/>
        <w:keepNext/>
        <w:pageBreakBefore/>
        <w:spacing w:before="0"/>
      </w:pPr>
      <w:bookmarkStart w:id="72" w:name="_Ref402252474"/>
      <w:bookmarkStart w:id="73" w:name="_Toc401758802"/>
      <w:r>
        <w:lastRenderedPageBreak/>
        <w:t>Table 4-</w:t>
      </w:r>
      <w:r>
        <w:rPr>
          <w:noProof/>
        </w:rPr>
        <w:t>1</w:t>
      </w:r>
      <w:bookmarkEnd w:id="72"/>
      <w:r>
        <w:t xml:space="preserve">: </w:t>
      </w:r>
      <w:r w:rsidRPr="00EB7EF7">
        <w:t>12-month prevalence of anxiety disorders</w:t>
      </w:r>
      <w:r w:rsidRPr="004E6E27">
        <w:t xml:space="preserve"> </w:t>
      </w:r>
      <w:r>
        <w:t>among 4-17 year-olds</w:t>
      </w:r>
      <w:r w:rsidRPr="00EB7EF7">
        <w:t xml:space="preserve"> by sex and age group</w:t>
      </w:r>
    </w:p>
    <w:tbl>
      <w:tblPr>
        <w:tblW w:w="9144" w:type="dxa"/>
        <w:jc w:val="center"/>
        <w:tblLayout w:type="fixed"/>
        <w:tblCellMar>
          <w:left w:w="0" w:type="dxa"/>
          <w:right w:w="0" w:type="dxa"/>
        </w:tblCellMar>
        <w:tblLook w:val="0020" w:firstRow="1" w:lastRow="0" w:firstColumn="0" w:lastColumn="0" w:noHBand="0" w:noVBand="0"/>
        <w:tblDescription w:val="In Table 4-1 the first column defines sex and the second column defines age group. Read across the rows for the prevalence of social phobia, separation anxiety, generalised anxiety, obsessive-compulsive and finally any anxiety disorder."/>
      </w:tblPr>
      <w:tblGrid>
        <w:gridCol w:w="983"/>
        <w:gridCol w:w="1232"/>
        <w:gridCol w:w="1385"/>
        <w:gridCol w:w="1386"/>
        <w:gridCol w:w="1386"/>
        <w:gridCol w:w="1386"/>
        <w:gridCol w:w="1386"/>
      </w:tblGrid>
      <w:tr w:rsidR="00C827EF" w:rsidRPr="007D4406" w:rsidTr="00C827EF">
        <w:trPr>
          <w:cantSplit/>
          <w:tblHeader/>
          <w:jc w:val="center"/>
        </w:trPr>
        <w:tc>
          <w:tcPr>
            <w:tcW w:w="983" w:type="dxa"/>
            <w:tcBorders>
              <w:top w:val="single" w:sz="6" w:space="0" w:color="000000"/>
              <w:bottom w:val="single" w:sz="4" w:space="0" w:color="auto"/>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r w:rsidRPr="00AD5451">
              <w:rPr>
                <w:rStyle w:val="Strong"/>
              </w:rPr>
              <w:t>Sex</w:t>
            </w:r>
          </w:p>
        </w:tc>
        <w:tc>
          <w:tcPr>
            <w:tcW w:w="1232" w:type="dxa"/>
            <w:tcBorders>
              <w:top w:val="single" w:sz="6" w:space="0" w:color="000000"/>
              <w:left w:val="single" w:sz="4" w:space="0" w:color="FFFFFF"/>
              <w:bottom w:val="single" w:sz="4" w:space="0" w:color="000000"/>
              <w:right w:val="nil"/>
            </w:tcBorders>
            <w:shd w:val="clear" w:color="auto" w:fill="EFF3FF"/>
            <w:vAlign w:val="bottom"/>
          </w:tcPr>
          <w:p w:rsidR="00C827EF" w:rsidRPr="00AD5451" w:rsidRDefault="00C827EF" w:rsidP="00C827EF">
            <w:pPr>
              <w:pStyle w:val="TableColumnHeadings"/>
              <w:jc w:val="left"/>
              <w:rPr>
                <w:rStyle w:val="Strong"/>
              </w:rPr>
            </w:pPr>
            <w:r w:rsidRPr="00AD5451">
              <w:rPr>
                <w:rStyle w:val="Strong"/>
              </w:rPr>
              <w:t>Age group</w:t>
            </w:r>
          </w:p>
        </w:tc>
        <w:tc>
          <w:tcPr>
            <w:tcW w:w="138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 (%)</w:t>
            </w:r>
          </w:p>
        </w:tc>
        <w:tc>
          <w:tcPr>
            <w:tcW w:w="13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 (%)</w:t>
            </w:r>
          </w:p>
        </w:tc>
        <w:tc>
          <w:tcPr>
            <w:tcW w:w="13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 (%)</w:t>
            </w:r>
          </w:p>
        </w:tc>
        <w:tc>
          <w:tcPr>
            <w:tcW w:w="13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Obsessive-compulsive (%)</w:t>
            </w:r>
          </w:p>
        </w:tc>
        <w:tc>
          <w:tcPr>
            <w:tcW w:w="138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Any anxiety disorder (%) (a)</w:t>
            </w:r>
          </w:p>
        </w:tc>
      </w:tr>
      <w:tr w:rsidR="00C827EF" w:rsidRPr="007D4406" w:rsidTr="00C827EF">
        <w:trPr>
          <w:cantSplit/>
          <w:jc w:val="center"/>
        </w:trPr>
        <w:tc>
          <w:tcPr>
            <w:tcW w:w="983" w:type="dxa"/>
            <w:vMerge w:val="restart"/>
            <w:tcBorders>
              <w:top w:val="single" w:sz="4" w:space="0" w:color="auto"/>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lang w:eastAsia="en-AU"/>
              </w:rPr>
            </w:pPr>
            <w:r w:rsidRPr="007D4406">
              <w:rPr>
                <w:lang w:eastAsia="en-AU"/>
              </w:rPr>
              <w:t>Males</w:t>
            </w: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4-</w:t>
            </w:r>
            <w:r w:rsidRPr="007D4406">
              <w:rPr>
                <w:lang w:eastAsia="en-AU"/>
              </w:rPr>
              <w:t>11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4.9</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1.3</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7.6</w:t>
            </w:r>
          </w:p>
        </w:tc>
      </w:tr>
      <w:tr w:rsidR="00C827EF" w:rsidRPr="007D4406" w:rsidTr="00C827EF">
        <w:trPr>
          <w:cantSplit/>
          <w:jc w:val="center"/>
        </w:trPr>
        <w:tc>
          <w:tcPr>
            <w:tcW w:w="983" w:type="dxa"/>
            <w:vMerge/>
            <w:tcBorders>
              <w:top w:val="nil"/>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12-</w:t>
            </w:r>
            <w:r w:rsidRPr="007D4406">
              <w:rPr>
                <w:lang w:eastAsia="en-AU"/>
              </w:rPr>
              <w:t>17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3.3</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2.3</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0.9</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6.3</w:t>
            </w:r>
          </w:p>
        </w:tc>
      </w:tr>
      <w:tr w:rsidR="00C827EF" w:rsidRPr="007D4406" w:rsidTr="00C827EF">
        <w:trPr>
          <w:cantSplit/>
          <w:jc w:val="center"/>
        </w:trPr>
        <w:tc>
          <w:tcPr>
            <w:tcW w:w="983" w:type="dxa"/>
            <w:vMerge/>
            <w:tcBorders>
              <w:top w:val="nil"/>
              <w:bottom w:val="single" w:sz="4" w:space="0" w:color="FFFFFF" w:themeColor="background1"/>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232009" w:rsidRDefault="00C827EF" w:rsidP="00C827EF">
            <w:pPr>
              <w:pStyle w:val="TableRowHeadings"/>
              <w:rPr>
                <w:rStyle w:val="Strong"/>
              </w:rPr>
            </w:pPr>
            <w:r w:rsidRPr="00232009">
              <w:rPr>
                <w:rStyle w:val="Strong"/>
              </w:rPr>
              <w:t>4-17 years</w:t>
            </w:r>
          </w:p>
        </w:tc>
        <w:tc>
          <w:tcPr>
            <w:tcW w:w="1385"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2.4</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4.4</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2.0</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1.1</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7.0</w:t>
            </w:r>
          </w:p>
        </w:tc>
      </w:tr>
      <w:tr w:rsidR="00C827EF" w:rsidRPr="007D4406" w:rsidTr="00C827EF">
        <w:trPr>
          <w:cantSplit/>
          <w:jc w:val="center"/>
        </w:trPr>
        <w:tc>
          <w:tcPr>
            <w:tcW w:w="983"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lang w:eastAsia="en-AU"/>
              </w:rPr>
            </w:pPr>
            <w:r w:rsidRPr="007D4406">
              <w:rPr>
                <w:lang w:eastAsia="en-AU"/>
              </w:rPr>
              <w:t>Females</w:t>
            </w: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4-</w:t>
            </w:r>
            <w:r w:rsidRPr="007D4406">
              <w:rPr>
                <w:lang w:eastAsia="en-AU"/>
              </w:rPr>
              <w:t>11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1.3</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4.8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1.5</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0.3</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6.1</w:t>
            </w:r>
          </w:p>
        </w:tc>
      </w:tr>
      <w:tr w:rsidR="00C827EF" w:rsidRPr="007D4406" w:rsidTr="00C827EF">
        <w:trPr>
          <w:cantSplit/>
          <w:jc w:val="center"/>
        </w:trPr>
        <w:tc>
          <w:tcPr>
            <w:tcW w:w="983" w:type="dxa"/>
            <w:vMerge/>
            <w:tcBorders>
              <w:top w:val="single" w:sz="4" w:space="0" w:color="FFFFFF" w:themeColor="background1"/>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12-</w:t>
            </w:r>
            <w:r w:rsidRPr="007D4406">
              <w:rPr>
                <w:lang w:eastAsia="en-AU"/>
              </w:rPr>
              <w:t>17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3.4</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3.1</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3.4</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0.7</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7.7</w:t>
            </w:r>
          </w:p>
        </w:tc>
      </w:tr>
      <w:tr w:rsidR="00C827EF" w:rsidRPr="007D4406" w:rsidTr="00C827EF">
        <w:trPr>
          <w:cantSplit/>
          <w:jc w:val="center"/>
        </w:trPr>
        <w:tc>
          <w:tcPr>
            <w:tcW w:w="983" w:type="dxa"/>
            <w:vMerge/>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232009" w:rsidRDefault="00C827EF" w:rsidP="00C827EF">
            <w:pPr>
              <w:pStyle w:val="TableRowHeadings"/>
              <w:rPr>
                <w:rStyle w:val="Strong"/>
              </w:rPr>
            </w:pPr>
            <w:r w:rsidRPr="00232009">
              <w:rPr>
                <w:rStyle w:val="Strong"/>
              </w:rPr>
              <w:t>4-17 years</w:t>
            </w:r>
          </w:p>
        </w:tc>
        <w:tc>
          <w:tcPr>
            <w:tcW w:w="1385"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2.2</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4.1</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2.3</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0.5</w:t>
            </w:r>
          </w:p>
        </w:tc>
        <w:tc>
          <w:tcPr>
            <w:tcW w:w="1386" w:type="dxa"/>
            <w:tcBorders>
              <w:top w:val="nil"/>
              <w:left w:val="nil"/>
              <w:bottom w:val="nil"/>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6.8</w:t>
            </w:r>
          </w:p>
        </w:tc>
      </w:tr>
      <w:tr w:rsidR="00C827EF" w:rsidRPr="007D4406" w:rsidTr="00C827EF">
        <w:trPr>
          <w:cantSplit/>
          <w:jc w:val="center"/>
        </w:trPr>
        <w:tc>
          <w:tcPr>
            <w:tcW w:w="983"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C827EF" w:rsidRPr="00232009" w:rsidRDefault="00C827EF" w:rsidP="00C827EF">
            <w:pPr>
              <w:pStyle w:val="TableRowHeadings"/>
              <w:rPr>
                <w:rStyle w:val="Strong"/>
              </w:rPr>
            </w:pPr>
            <w:r w:rsidRPr="00232009">
              <w:rPr>
                <w:rStyle w:val="Strong"/>
              </w:rPr>
              <w:t>Persons</w:t>
            </w: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4-</w:t>
            </w:r>
            <w:r w:rsidRPr="007D4406">
              <w:rPr>
                <w:lang w:eastAsia="en-AU"/>
              </w:rPr>
              <w:t>11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1.6</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4.9</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1.7</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0.8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6.9</w:t>
            </w:r>
          </w:p>
        </w:tc>
      </w:tr>
      <w:tr w:rsidR="00C827EF" w:rsidRPr="007D4406" w:rsidTr="00C827EF">
        <w:trPr>
          <w:cantSplit/>
          <w:jc w:val="center"/>
        </w:trPr>
        <w:tc>
          <w:tcPr>
            <w:tcW w:w="983" w:type="dxa"/>
            <w:vMerge/>
            <w:tcBorders>
              <w:top w:val="single" w:sz="6" w:space="0" w:color="000000"/>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4" w:space="0" w:color="FFFFFF"/>
              <w:right w:val="nil"/>
            </w:tcBorders>
            <w:shd w:val="clear" w:color="auto" w:fill="EFF3FF"/>
            <w:tcMar>
              <w:left w:w="40" w:type="dxa"/>
              <w:right w:w="40" w:type="dxa"/>
            </w:tcMar>
          </w:tcPr>
          <w:p w:rsidR="00C827EF" w:rsidRPr="007D4406" w:rsidRDefault="00C827EF" w:rsidP="00C827EF">
            <w:pPr>
              <w:pStyle w:val="TableRowHeadings"/>
              <w:rPr>
                <w:lang w:eastAsia="en-AU"/>
              </w:rPr>
            </w:pPr>
            <w:r>
              <w:rPr>
                <w:lang w:eastAsia="en-AU"/>
              </w:rPr>
              <w:t>12-</w:t>
            </w:r>
            <w:r w:rsidRPr="007D4406">
              <w:rPr>
                <w:lang w:eastAsia="en-AU"/>
              </w:rPr>
              <w:t>17 years</w:t>
            </w:r>
          </w:p>
        </w:tc>
        <w:tc>
          <w:tcPr>
            <w:tcW w:w="1385"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3.4</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3.4</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2.9</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0.8</w:t>
            </w:r>
          </w:p>
        </w:tc>
        <w:tc>
          <w:tcPr>
            <w:tcW w:w="1386" w:type="dxa"/>
            <w:tcBorders>
              <w:top w:val="nil"/>
              <w:left w:val="nil"/>
              <w:bottom w:val="nil"/>
              <w:right w:val="nil"/>
            </w:tcBorders>
            <w:shd w:val="clear" w:color="auto" w:fill="FFFFFF"/>
            <w:tcMar>
              <w:left w:w="40" w:type="dxa"/>
              <w:right w:w="40" w:type="dxa"/>
            </w:tcMar>
            <w:vAlign w:val="bottom"/>
          </w:tcPr>
          <w:p w:rsidR="00C827EF" w:rsidRPr="007D4406" w:rsidRDefault="00C827EF" w:rsidP="00C827EF">
            <w:pPr>
              <w:pStyle w:val="TableDataCell"/>
              <w:rPr>
                <w:lang w:eastAsia="en-AU"/>
              </w:rPr>
            </w:pPr>
            <w:r w:rsidRPr="007D4406">
              <w:rPr>
                <w:lang w:eastAsia="en-AU"/>
              </w:rPr>
              <w:t>7.0</w:t>
            </w:r>
          </w:p>
        </w:tc>
      </w:tr>
      <w:tr w:rsidR="00C827EF" w:rsidRPr="007D4406" w:rsidTr="00C827EF">
        <w:trPr>
          <w:cantSplit/>
          <w:jc w:val="center"/>
        </w:trPr>
        <w:tc>
          <w:tcPr>
            <w:tcW w:w="983" w:type="dxa"/>
            <w:vMerge/>
            <w:tcBorders>
              <w:top w:val="single" w:sz="6" w:space="0" w:color="000000"/>
              <w:bottom w:val="single" w:sz="6" w:space="0" w:color="000000"/>
              <w:right w:val="nil"/>
            </w:tcBorders>
            <w:shd w:val="clear" w:color="auto" w:fill="EFF3FF"/>
            <w:tcMar>
              <w:left w:w="40" w:type="dxa"/>
              <w:right w:w="40" w:type="dxa"/>
            </w:tcMar>
          </w:tcPr>
          <w:p w:rsidR="00C827EF" w:rsidRPr="007D4406" w:rsidRDefault="00C827EF" w:rsidP="00C827EF">
            <w:pPr>
              <w:pStyle w:val="TableRowHeadings"/>
              <w:rPr>
                <w:rFonts w:ascii="Times New Roman" w:hAnsi="Times New Roman" w:cs="Times New Roman"/>
                <w:sz w:val="24"/>
                <w:szCs w:val="24"/>
                <w:lang w:eastAsia="en-AU"/>
              </w:rPr>
            </w:pPr>
          </w:p>
        </w:tc>
        <w:tc>
          <w:tcPr>
            <w:tcW w:w="1232" w:type="dxa"/>
            <w:tcBorders>
              <w:top w:val="nil"/>
              <w:left w:val="single" w:sz="4" w:space="0" w:color="FFFFFF"/>
              <w:bottom w:val="single" w:sz="6" w:space="0" w:color="000000"/>
              <w:right w:val="nil"/>
            </w:tcBorders>
            <w:shd w:val="clear" w:color="auto" w:fill="EFF3FF"/>
            <w:tcMar>
              <w:left w:w="40" w:type="dxa"/>
              <w:right w:w="40" w:type="dxa"/>
            </w:tcMar>
          </w:tcPr>
          <w:p w:rsidR="00C827EF" w:rsidRPr="00232009" w:rsidRDefault="00C827EF" w:rsidP="00C827EF">
            <w:pPr>
              <w:pStyle w:val="TableRowHeadings"/>
              <w:rPr>
                <w:rStyle w:val="Strong"/>
              </w:rPr>
            </w:pPr>
            <w:r w:rsidRPr="00232009">
              <w:rPr>
                <w:rStyle w:val="Strong"/>
              </w:rPr>
              <w:t>4-17 years</w:t>
            </w:r>
          </w:p>
        </w:tc>
        <w:tc>
          <w:tcPr>
            <w:tcW w:w="1385" w:type="dxa"/>
            <w:tcBorders>
              <w:top w:val="nil"/>
              <w:left w:val="nil"/>
              <w:bottom w:val="single" w:sz="6" w:space="0" w:color="000000"/>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2.3</w:t>
            </w:r>
          </w:p>
        </w:tc>
        <w:tc>
          <w:tcPr>
            <w:tcW w:w="1386" w:type="dxa"/>
            <w:tcBorders>
              <w:top w:val="nil"/>
              <w:left w:val="nil"/>
              <w:bottom w:val="single" w:sz="6" w:space="0" w:color="000000"/>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4.3</w:t>
            </w:r>
          </w:p>
        </w:tc>
        <w:tc>
          <w:tcPr>
            <w:tcW w:w="1386" w:type="dxa"/>
            <w:tcBorders>
              <w:top w:val="nil"/>
              <w:left w:val="nil"/>
              <w:bottom w:val="single" w:sz="6" w:space="0" w:color="000000"/>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2.2</w:t>
            </w:r>
          </w:p>
        </w:tc>
        <w:tc>
          <w:tcPr>
            <w:tcW w:w="1386" w:type="dxa"/>
            <w:tcBorders>
              <w:top w:val="nil"/>
              <w:left w:val="nil"/>
              <w:bottom w:val="single" w:sz="6" w:space="0" w:color="000000"/>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0.8</w:t>
            </w:r>
          </w:p>
        </w:tc>
        <w:tc>
          <w:tcPr>
            <w:tcW w:w="1386" w:type="dxa"/>
            <w:tcBorders>
              <w:top w:val="nil"/>
              <w:left w:val="nil"/>
              <w:bottom w:val="single" w:sz="6" w:space="0" w:color="000000"/>
              <w:right w:val="nil"/>
            </w:tcBorders>
            <w:shd w:val="clear" w:color="auto" w:fill="FFFFFF"/>
            <w:tcMar>
              <w:left w:w="40" w:type="dxa"/>
              <w:right w:w="40" w:type="dxa"/>
            </w:tcMar>
            <w:vAlign w:val="bottom"/>
          </w:tcPr>
          <w:p w:rsidR="00C827EF" w:rsidRPr="00232009" w:rsidRDefault="00C827EF" w:rsidP="00C827EF">
            <w:pPr>
              <w:pStyle w:val="TableDataCell"/>
              <w:rPr>
                <w:rStyle w:val="Strong"/>
              </w:rPr>
            </w:pPr>
            <w:r w:rsidRPr="00232009">
              <w:rPr>
                <w:rStyle w:val="Strong"/>
              </w:rPr>
              <w:t>6.9</w:t>
            </w:r>
          </w:p>
        </w:tc>
      </w:tr>
    </w:tbl>
    <w:p w:rsidR="00C827EF" w:rsidRPr="002E5B8A" w:rsidRDefault="00C827EF" w:rsidP="00C827EF">
      <w:pPr>
        <w:pStyle w:val="TableFootnote"/>
      </w:pPr>
      <w:r>
        <w:t>(a)</w:t>
      </w:r>
      <w:r>
        <w:tab/>
        <w:t xml:space="preserve">‘Any anxiety disorder’ is not the sum of individual anxiety disorders as </w:t>
      </w:r>
      <w:r w:rsidRPr="002E5B8A">
        <w:t>some children</w:t>
      </w:r>
      <w:r>
        <w:t xml:space="preserve"> and adolescents</w:t>
      </w:r>
      <w:r w:rsidRPr="002E5B8A">
        <w:t xml:space="preserve"> had more than one </w:t>
      </w:r>
      <w:r>
        <w:t xml:space="preserve">type of </w:t>
      </w:r>
      <w:r w:rsidRPr="002E5B8A">
        <w:t>disorder.</w:t>
      </w:r>
    </w:p>
    <w:p w:rsidR="00C827EF" w:rsidRDefault="00C827EF" w:rsidP="00C827EF">
      <w:pPr>
        <w:pStyle w:val="Heading2"/>
      </w:pPr>
      <w:r>
        <w:t>4.2</w:t>
      </w:r>
      <w:r>
        <w:tab/>
        <w:t>Social and demographic characteristics</w:t>
      </w:r>
      <w:bookmarkEnd w:id="73"/>
    </w:p>
    <w:p w:rsidR="00C827EF" w:rsidRDefault="00C827EF" w:rsidP="00C827EF">
      <w:pPr>
        <w:pStyle w:val="BodyText"/>
        <w:rPr>
          <w:lang w:eastAsia="en-AU"/>
        </w:rPr>
      </w:pPr>
      <w:r>
        <w:rPr>
          <w:lang w:eastAsia="en-AU"/>
        </w:rPr>
        <w:t xml:space="preserve">The relationships between parental, family and household characteristics and anxiety disorders are shown in </w:t>
      </w:r>
      <w:r>
        <w:t>Table 4-</w:t>
      </w:r>
      <w:r>
        <w:rPr>
          <w:noProof/>
        </w:rPr>
        <w:t>2</w:t>
      </w:r>
      <w:r>
        <w:rPr>
          <w:lang w:eastAsia="en-AU"/>
        </w:rPr>
        <w:t xml:space="preserve"> through to </w:t>
      </w:r>
      <w:r>
        <w:t>Table 4-</w:t>
      </w:r>
      <w:r>
        <w:rPr>
          <w:noProof/>
        </w:rPr>
        <w:t>7</w:t>
      </w:r>
      <w:r>
        <w:rPr>
          <w:lang w:eastAsia="en-AU"/>
        </w:rPr>
        <w:t>. Overall, the prevalence of anxiety disorders was higher in children and adolescents living in families with lower levels of income, education and employment and with poorer family functioning.</w:t>
      </w:r>
    </w:p>
    <w:p w:rsidR="00C827EF" w:rsidRDefault="00C827EF" w:rsidP="00C827EF">
      <w:pPr>
        <w:pStyle w:val="Heading3"/>
        <w:rPr>
          <w:lang w:eastAsia="en-AU"/>
        </w:rPr>
      </w:pPr>
      <w:bookmarkStart w:id="74" w:name="_Toc401758803"/>
      <w:r>
        <w:rPr>
          <w:lang w:eastAsia="en-AU"/>
        </w:rPr>
        <w:t>4.2.1</w:t>
      </w:r>
      <w:r>
        <w:rPr>
          <w:lang w:eastAsia="en-AU"/>
        </w:rPr>
        <w:tab/>
        <w:t>Family type</w:t>
      </w:r>
      <w:bookmarkEnd w:id="74"/>
    </w:p>
    <w:p w:rsidR="00C827EF" w:rsidRPr="00AD5451" w:rsidRDefault="00C827EF" w:rsidP="00C827EF">
      <w:pPr>
        <w:pStyle w:val="BodyText"/>
        <w:rPr>
          <w:spacing w:val="2"/>
          <w:lang w:eastAsia="en-AU"/>
        </w:rPr>
      </w:pPr>
      <w:r w:rsidRPr="00AD5451">
        <w:rPr>
          <w:spacing w:val="2"/>
          <w:lang w:eastAsia="en-AU"/>
        </w:rPr>
        <w:t xml:space="preserve">For three of the four anxiety disorders the prevalence was higher in families with one parent or carer than families with two parents or carers. Except for obsessive-compulsive disorder, prevalence was lower in original </w:t>
      </w:r>
      <w:proofErr w:type="gramStart"/>
      <w:r w:rsidRPr="00AD5451">
        <w:rPr>
          <w:spacing w:val="2"/>
          <w:lang w:eastAsia="en-AU"/>
        </w:rPr>
        <w:t>families, that is</w:t>
      </w:r>
      <w:proofErr w:type="gramEnd"/>
      <w:r w:rsidRPr="00AD5451">
        <w:rPr>
          <w:spacing w:val="2"/>
          <w:lang w:eastAsia="en-AU"/>
        </w:rPr>
        <w:t xml:space="preserve"> where at least one child lives with both their natural, adoptive or foster parents and there were no step children, compared with step or blended families. Of children or adolescents living in families with one parent or carer, 9.0% had separation anxiety disorder compared with 2.7% in original families, 5.7% in step families and 4.8% in blended families (</w:t>
      </w:r>
      <w:r w:rsidRPr="00AD5451">
        <w:rPr>
          <w:spacing w:val="2"/>
        </w:rPr>
        <w:t>Table 4-2</w:t>
      </w:r>
      <w:r w:rsidRPr="00AD5451">
        <w:rPr>
          <w:spacing w:val="2"/>
          <w:lang w:eastAsia="en-AU"/>
        </w:rPr>
        <w:t>).</w:t>
      </w:r>
    </w:p>
    <w:p w:rsidR="00C827EF" w:rsidRDefault="00C827EF" w:rsidP="00C827EF">
      <w:pPr>
        <w:pStyle w:val="Caption"/>
        <w:keepNext/>
        <w:pageBreakBefore/>
        <w:spacing w:before="0"/>
      </w:pPr>
      <w:bookmarkStart w:id="75" w:name="_Ref396383447"/>
      <w:r>
        <w:lastRenderedPageBreak/>
        <w:t>Table 4-</w:t>
      </w:r>
      <w:r>
        <w:rPr>
          <w:noProof/>
        </w:rPr>
        <w:t>2</w:t>
      </w:r>
      <w:bookmarkEnd w:id="75"/>
      <w:r>
        <w:t xml:space="preserve">: </w:t>
      </w:r>
      <w:r w:rsidRPr="002A0207">
        <w:t>12-month prevalence of anxiety disorders</w:t>
      </w:r>
      <w:r w:rsidRPr="004E6E27">
        <w:t xml:space="preserve"> </w:t>
      </w:r>
      <w:r>
        <w:t>among 4-17 year-olds</w:t>
      </w:r>
      <w:r w:rsidRPr="002A0207">
        <w:t xml:space="preserve"> by family </w:t>
      </w:r>
      <w:r>
        <w:t>type</w:t>
      </w:r>
    </w:p>
    <w:tbl>
      <w:tblPr>
        <w:tblW w:w="9146" w:type="dxa"/>
        <w:jc w:val="center"/>
        <w:tblLayout w:type="fixed"/>
        <w:tblCellMar>
          <w:left w:w="0" w:type="dxa"/>
          <w:right w:w="0" w:type="dxa"/>
        </w:tblCellMar>
        <w:tblLook w:val="0020" w:firstRow="1" w:lastRow="0" w:firstColumn="0" w:lastColumn="0" w:noHBand="0" w:noVBand="0"/>
        <w:tblDescription w:val="In Table 4-2 the first column defines family type. Read across the rows for the prevalence of social phobia, separation anxiety, generalised anxiety, obsessive-compulsive disorder, and finally any anxiety disorder."/>
      </w:tblPr>
      <w:tblGrid>
        <w:gridCol w:w="3000"/>
        <w:gridCol w:w="1229"/>
        <w:gridCol w:w="1229"/>
        <w:gridCol w:w="1229"/>
        <w:gridCol w:w="1229"/>
        <w:gridCol w:w="1230"/>
      </w:tblGrid>
      <w:tr w:rsidR="00C827EF" w:rsidRPr="00FD2386" w:rsidTr="00C827EF">
        <w:trPr>
          <w:cantSplit/>
          <w:tblHeader/>
          <w:jc w:val="center"/>
        </w:trPr>
        <w:tc>
          <w:tcPr>
            <w:tcW w:w="3000"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bookmarkStart w:id="76" w:name="IDX10"/>
            <w:bookmarkEnd w:id="76"/>
            <w:r w:rsidRPr="00AD5451">
              <w:rPr>
                <w:rStyle w:val="Strong"/>
              </w:rPr>
              <w:t>Family type</w:t>
            </w:r>
          </w:p>
        </w:tc>
        <w:tc>
          <w:tcPr>
            <w:tcW w:w="12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w:t>
            </w:r>
          </w:p>
          <w:p w:rsidR="00C827EF" w:rsidRPr="00AD5451" w:rsidRDefault="00C827EF" w:rsidP="00C827EF">
            <w:pPr>
              <w:pStyle w:val="TableColumnHeadings"/>
              <w:rPr>
                <w:rStyle w:val="Strong"/>
              </w:rPr>
            </w:pPr>
            <w:r w:rsidRPr="00AD5451">
              <w:rPr>
                <w:rStyle w:val="Strong"/>
              </w:rPr>
              <w:t>(%)</w:t>
            </w:r>
          </w:p>
        </w:tc>
        <w:tc>
          <w:tcPr>
            <w:tcW w:w="12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w:t>
            </w:r>
          </w:p>
          <w:p w:rsidR="00C827EF" w:rsidRPr="00AD5451" w:rsidRDefault="00C827EF" w:rsidP="00C827EF">
            <w:pPr>
              <w:pStyle w:val="TableColumnHeadings"/>
              <w:rPr>
                <w:rStyle w:val="Strong"/>
              </w:rPr>
            </w:pPr>
            <w:r w:rsidRPr="00AD5451">
              <w:rPr>
                <w:rStyle w:val="Strong"/>
              </w:rPr>
              <w:t>(%)</w:t>
            </w:r>
          </w:p>
        </w:tc>
        <w:tc>
          <w:tcPr>
            <w:tcW w:w="12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w:t>
            </w:r>
          </w:p>
          <w:p w:rsidR="00C827EF" w:rsidRPr="00AD5451" w:rsidRDefault="00C827EF" w:rsidP="00C827EF">
            <w:pPr>
              <w:pStyle w:val="TableColumnHeadings"/>
              <w:rPr>
                <w:rStyle w:val="Strong"/>
              </w:rPr>
            </w:pPr>
            <w:r w:rsidRPr="00AD5451">
              <w:rPr>
                <w:rStyle w:val="Strong"/>
              </w:rPr>
              <w:t>(%)</w:t>
            </w:r>
          </w:p>
        </w:tc>
        <w:tc>
          <w:tcPr>
            <w:tcW w:w="1229"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 xml:space="preserve">Obsessive-compulsive </w:t>
            </w:r>
          </w:p>
          <w:p w:rsidR="00C827EF" w:rsidRPr="00AD5451" w:rsidRDefault="00C827EF" w:rsidP="00C827EF">
            <w:pPr>
              <w:pStyle w:val="TableColumnHeadings"/>
              <w:rPr>
                <w:rStyle w:val="Strong"/>
              </w:rPr>
            </w:pPr>
            <w:r w:rsidRPr="00AD5451">
              <w:rPr>
                <w:rStyle w:val="Strong"/>
              </w:rPr>
              <w:t>(%)</w:t>
            </w:r>
          </w:p>
        </w:tc>
        <w:tc>
          <w:tcPr>
            <w:tcW w:w="1230"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 xml:space="preserve">Any anxiety </w:t>
            </w:r>
            <w:proofErr w:type="gramStart"/>
            <w:r w:rsidRPr="00AD5451">
              <w:rPr>
                <w:rStyle w:val="Strong"/>
              </w:rPr>
              <w:t>disorder</w:t>
            </w:r>
            <w:proofErr w:type="gramEnd"/>
            <w:r w:rsidRPr="00AD5451">
              <w:rPr>
                <w:rStyle w:val="Strong"/>
              </w:rPr>
              <w:br/>
              <w:t>(%)</w:t>
            </w:r>
          </w:p>
        </w:tc>
      </w:tr>
      <w:tr w:rsidR="00C827EF" w:rsidRPr="007E7D37" w:rsidTr="00C827EF">
        <w:trPr>
          <w:cantSplit/>
          <w:jc w:val="center"/>
        </w:trPr>
        <w:tc>
          <w:tcPr>
            <w:tcW w:w="3000"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Families with two parents or carers</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1.8</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3.0</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1.8</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0.6</w:t>
            </w:r>
          </w:p>
        </w:tc>
        <w:tc>
          <w:tcPr>
            <w:tcW w:w="1230" w:type="dxa"/>
            <w:tcBorders>
              <w:top w:val="nil"/>
              <w:left w:val="nil"/>
              <w:bottom w:val="nil"/>
              <w:right w:val="nil"/>
            </w:tcBorders>
            <w:shd w:val="clear" w:color="auto" w:fill="FFFFFF"/>
            <w:vAlign w:val="bottom"/>
          </w:tcPr>
          <w:p w:rsidR="00C827EF" w:rsidRDefault="00C827EF" w:rsidP="00C827EF">
            <w:pPr>
              <w:pStyle w:val="TableDataCell"/>
            </w:pPr>
            <w:r>
              <w:t>5.4</w:t>
            </w:r>
          </w:p>
        </w:tc>
      </w:tr>
      <w:tr w:rsidR="00C827EF" w:rsidRPr="007E7D37" w:rsidTr="00C827EF">
        <w:trPr>
          <w:cantSplit/>
          <w:jc w:val="center"/>
        </w:trPr>
        <w:tc>
          <w:tcPr>
            <w:tcW w:w="3000"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ab/>
              <w:t>Original</w:t>
            </w:r>
            <w:r w:rsidRPr="007B266A">
              <w:rPr>
                <w:lang w:eastAsia="en-AU"/>
              </w:rPr>
              <w:t xml:space="preserve"> family</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1.6</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2.7</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1.4</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0.6</w:t>
            </w:r>
          </w:p>
        </w:tc>
        <w:tc>
          <w:tcPr>
            <w:tcW w:w="1230" w:type="dxa"/>
            <w:tcBorders>
              <w:top w:val="nil"/>
              <w:left w:val="nil"/>
              <w:bottom w:val="nil"/>
              <w:right w:val="nil"/>
            </w:tcBorders>
            <w:shd w:val="clear" w:color="auto" w:fill="FFFFFF"/>
            <w:vAlign w:val="bottom"/>
          </w:tcPr>
          <w:p w:rsidR="00C827EF" w:rsidRDefault="00C827EF" w:rsidP="00C827EF">
            <w:pPr>
              <w:pStyle w:val="TableDataCell"/>
            </w:pPr>
            <w:r>
              <w:t>4.7</w:t>
            </w:r>
          </w:p>
        </w:tc>
      </w:tr>
      <w:tr w:rsidR="00C827EF" w:rsidRPr="007E7D37" w:rsidTr="00C827EF">
        <w:trPr>
          <w:cantSplit/>
          <w:jc w:val="center"/>
        </w:trPr>
        <w:tc>
          <w:tcPr>
            <w:tcW w:w="3000"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ab/>
            </w:r>
            <w:r w:rsidRPr="007B266A">
              <w:rPr>
                <w:lang w:eastAsia="en-AU"/>
              </w:rPr>
              <w:t>Step family</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2.8</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5.7</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2.9</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np</w:t>
            </w:r>
          </w:p>
        </w:tc>
        <w:tc>
          <w:tcPr>
            <w:tcW w:w="1230" w:type="dxa"/>
            <w:tcBorders>
              <w:top w:val="nil"/>
              <w:left w:val="nil"/>
              <w:bottom w:val="nil"/>
              <w:right w:val="nil"/>
            </w:tcBorders>
            <w:shd w:val="clear" w:color="auto" w:fill="FFFFFF"/>
            <w:vAlign w:val="bottom"/>
          </w:tcPr>
          <w:p w:rsidR="00C827EF" w:rsidRDefault="00C827EF" w:rsidP="00C827EF">
            <w:pPr>
              <w:pStyle w:val="TableDataCell"/>
            </w:pPr>
            <w:r>
              <w:t>9.3</w:t>
            </w:r>
          </w:p>
        </w:tc>
      </w:tr>
      <w:tr w:rsidR="00C827EF" w:rsidRPr="007E7D37" w:rsidTr="00C827EF">
        <w:trPr>
          <w:cantSplit/>
          <w:jc w:val="center"/>
        </w:trPr>
        <w:tc>
          <w:tcPr>
            <w:tcW w:w="3000"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ab/>
            </w:r>
            <w:r w:rsidRPr="007B266A">
              <w:rPr>
                <w:lang w:eastAsia="en-AU"/>
              </w:rPr>
              <w:t>Blended family</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3.3</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4.8</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4.1</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np</w:t>
            </w:r>
          </w:p>
        </w:tc>
        <w:tc>
          <w:tcPr>
            <w:tcW w:w="1230" w:type="dxa"/>
            <w:tcBorders>
              <w:top w:val="nil"/>
              <w:left w:val="nil"/>
              <w:bottom w:val="nil"/>
              <w:right w:val="nil"/>
            </w:tcBorders>
            <w:shd w:val="clear" w:color="auto" w:fill="FFFFFF"/>
            <w:vAlign w:val="bottom"/>
          </w:tcPr>
          <w:p w:rsidR="00C827EF" w:rsidRDefault="00C827EF" w:rsidP="00C827EF">
            <w:pPr>
              <w:pStyle w:val="TableDataCell"/>
            </w:pPr>
            <w:r>
              <w:t>9.0</w:t>
            </w:r>
          </w:p>
        </w:tc>
      </w:tr>
      <w:tr w:rsidR="00C827EF" w:rsidRPr="007E7D37" w:rsidTr="00C827EF">
        <w:trPr>
          <w:cantSplit/>
          <w:jc w:val="center"/>
        </w:trPr>
        <w:tc>
          <w:tcPr>
            <w:tcW w:w="3000"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ab/>
            </w:r>
            <w:r w:rsidRPr="007B266A">
              <w:rPr>
                <w:lang w:eastAsia="en-AU"/>
              </w:rPr>
              <w:t>Other family</w:t>
            </w:r>
            <w:r>
              <w:rPr>
                <w:lang w:eastAsia="en-AU"/>
              </w:rPr>
              <w:t xml:space="preserve"> (a)</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5.5</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6.8</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5.3</w:t>
            </w:r>
          </w:p>
        </w:tc>
        <w:tc>
          <w:tcPr>
            <w:tcW w:w="1229"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Pr>
                <w:lang w:eastAsia="en-AU"/>
              </w:rPr>
              <w:t>np</w:t>
            </w:r>
          </w:p>
        </w:tc>
        <w:tc>
          <w:tcPr>
            <w:tcW w:w="1230" w:type="dxa"/>
            <w:tcBorders>
              <w:top w:val="nil"/>
              <w:left w:val="nil"/>
              <w:bottom w:val="nil"/>
              <w:right w:val="nil"/>
            </w:tcBorders>
            <w:shd w:val="clear" w:color="auto" w:fill="FFFFFF"/>
            <w:vAlign w:val="bottom"/>
          </w:tcPr>
          <w:p w:rsidR="00C827EF" w:rsidRDefault="00C827EF" w:rsidP="00C827EF">
            <w:pPr>
              <w:pStyle w:val="TableDataCell"/>
            </w:pPr>
            <w:r>
              <w:t>15.0</w:t>
            </w:r>
          </w:p>
        </w:tc>
      </w:tr>
      <w:tr w:rsidR="00C827EF" w:rsidRPr="007E7D37" w:rsidTr="00C827EF">
        <w:trPr>
          <w:cantSplit/>
          <w:jc w:val="center"/>
        </w:trPr>
        <w:tc>
          <w:tcPr>
            <w:tcW w:w="3000" w:type="dxa"/>
            <w:tcBorders>
              <w:top w:val="nil"/>
              <w:bottom w:val="single" w:sz="6" w:space="0" w:color="000000"/>
              <w:right w:val="nil"/>
            </w:tcBorders>
            <w:shd w:val="clear" w:color="auto" w:fill="EFF3FF"/>
            <w:tcMar>
              <w:left w:w="40" w:type="dxa"/>
              <w:right w:w="40" w:type="dxa"/>
            </w:tcMar>
          </w:tcPr>
          <w:p w:rsidR="00C827EF" w:rsidRPr="007B266A" w:rsidRDefault="00C827EF" w:rsidP="00C827EF">
            <w:pPr>
              <w:pStyle w:val="TableRowHeadings"/>
              <w:tabs>
                <w:tab w:val="left" w:pos="295"/>
              </w:tabs>
              <w:rPr>
                <w:lang w:eastAsia="en-AU"/>
              </w:rPr>
            </w:pPr>
            <w:r>
              <w:rPr>
                <w:lang w:eastAsia="en-AU"/>
              </w:rPr>
              <w:t>Families with one parent or carer</w:t>
            </w:r>
          </w:p>
        </w:tc>
        <w:tc>
          <w:tcPr>
            <w:tcW w:w="1229" w:type="dxa"/>
            <w:tcBorders>
              <w:top w:val="nil"/>
              <w:left w:val="nil"/>
              <w:bottom w:val="single" w:sz="6" w:space="0" w:color="000000"/>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4.2</w:t>
            </w:r>
          </w:p>
        </w:tc>
        <w:tc>
          <w:tcPr>
            <w:tcW w:w="1229" w:type="dxa"/>
            <w:tcBorders>
              <w:top w:val="nil"/>
              <w:left w:val="nil"/>
              <w:bottom w:val="single" w:sz="6" w:space="0" w:color="000000"/>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9.0</w:t>
            </w:r>
          </w:p>
        </w:tc>
        <w:tc>
          <w:tcPr>
            <w:tcW w:w="1229" w:type="dxa"/>
            <w:tcBorders>
              <w:top w:val="nil"/>
              <w:left w:val="nil"/>
              <w:bottom w:val="single" w:sz="6" w:space="0" w:color="000000"/>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3.8</w:t>
            </w:r>
          </w:p>
        </w:tc>
        <w:tc>
          <w:tcPr>
            <w:tcW w:w="1229" w:type="dxa"/>
            <w:tcBorders>
              <w:top w:val="nil"/>
              <w:left w:val="nil"/>
              <w:bottom w:val="single" w:sz="6" w:space="0" w:color="000000"/>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1.6</w:t>
            </w:r>
          </w:p>
        </w:tc>
        <w:tc>
          <w:tcPr>
            <w:tcW w:w="1230" w:type="dxa"/>
            <w:tcBorders>
              <w:top w:val="nil"/>
              <w:left w:val="nil"/>
              <w:bottom w:val="single" w:sz="6" w:space="0" w:color="000000"/>
              <w:right w:val="nil"/>
            </w:tcBorders>
            <w:shd w:val="clear" w:color="auto" w:fill="FFFFFF"/>
            <w:vAlign w:val="bottom"/>
          </w:tcPr>
          <w:p w:rsidR="00C827EF" w:rsidRDefault="00C827EF" w:rsidP="00C827EF">
            <w:pPr>
              <w:pStyle w:val="TableDataCell"/>
            </w:pPr>
            <w:r>
              <w:t>12.9</w:t>
            </w:r>
          </w:p>
        </w:tc>
      </w:tr>
    </w:tbl>
    <w:p w:rsidR="00C827EF" w:rsidRPr="00985D42" w:rsidRDefault="00C827EF" w:rsidP="00C827EF">
      <w:pPr>
        <w:pStyle w:val="TableFootnote"/>
      </w:pPr>
      <w:r w:rsidRPr="00985D42">
        <w:t>‘Original family’ has at least one child living with their natural, adoptive or foster parents, and no step children.</w:t>
      </w:r>
    </w:p>
    <w:p w:rsidR="00C827EF" w:rsidRPr="00985D42" w:rsidRDefault="00C827EF" w:rsidP="00C827EF">
      <w:pPr>
        <w:pStyle w:val="TableFootnote"/>
      </w:pPr>
      <w:r w:rsidRPr="00985D42">
        <w:t xml:space="preserve">‘Other family’ is where all children are not the natural, adopted, foster or step child of one or both carers. </w:t>
      </w:r>
    </w:p>
    <w:p w:rsidR="00C827EF" w:rsidRPr="00985D42" w:rsidRDefault="00C827EF" w:rsidP="00C827EF">
      <w:pPr>
        <w:pStyle w:val="TableFootnote"/>
      </w:pPr>
      <w:r w:rsidRPr="00985D42">
        <w:t>(a)</w:t>
      </w:r>
      <w:r w:rsidRPr="00985D42">
        <w:tab/>
        <w:t>Data to be treated with caution due to low respondent numbers in this category.</w:t>
      </w:r>
    </w:p>
    <w:p w:rsidR="00C827EF" w:rsidRPr="00985D42" w:rsidRDefault="00C827EF" w:rsidP="00C827EF">
      <w:pPr>
        <w:pStyle w:val="TableFootnote"/>
      </w:pPr>
      <w:proofErr w:type="gramStart"/>
      <w:r w:rsidRPr="00985D42">
        <w:t>np</w:t>
      </w:r>
      <w:proofErr w:type="gramEnd"/>
      <w:r w:rsidRPr="00985D42">
        <w:tab/>
        <w:t>Not available for publication because of small cell size, but included in totals where applicable.</w:t>
      </w:r>
    </w:p>
    <w:p w:rsidR="00C827EF" w:rsidRDefault="00C827EF" w:rsidP="00C827EF">
      <w:pPr>
        <w:pStyle w:val="Heading3"/>
        <w:rPr>
          <w:lang w:eastAsia="en-AU"/>
        </w:rPr>
      </w:pPr>
      <w:bookmarkStart w:id="77" w:name="_Toc401758804"/>
      <w:r>
        <w:rPr>
          <w:lang w:eastAsia="en-AU"/>
        </w:rPr>
        <w:t>4.2.2</w:t>
      </w:r>
      <w:r>
        <w:rPr>
          <w:lang w:eastAsia="en-AU"/>
        </w:rPr>
        <w:tab/>
        <w:t>Household income</w:t>
      </w:r>
      <w:bookmarkEnd w:id="77"/>
    </w:p>
    <w:p w:rsidR="00C827EF" w:rsidRDefault="00C827EF" w:rsidP="00C827EF">
      <w:pPr>
        <w:pStyle w:val="BodyText"/>
        <w:rPr>
          <w:lang w:eastAsia="en-AU"/>
        </w:rPr>
      </w:pPr>
      <w:r>
        <w:rPr>
          <w:lang w:eastAsia="en-AU"/>
        </w:rPr>
        <w:t>The prevalence of anxiety disorders was highest in families with the lowest incomes, with the rates of each of the anxiety disorders being almost double in households with incomes below $52,000 per year ($1,000 per week) than in families with higher household incomes (</w:t>
      </w:r>
      <w:r>
        <w:t>Table 4-</w:t>
      </w:r>
      <w:r>
        <w:rPr>
          <w:noProof/>
        </w:rPr>
        <w:t>3</w:t>
      </w:r>
      <w:r>
        <w:rPr>
          <w:lang w:eastAsia="en-AU"/>
        </w:rPr>
        <w:t>).</w:t>
      </w:r>
    </w:p>
    <w:p w:rsidR="00C827EF" w:rsidRDefault="00C827EF" w:rsidP="00C827EF">
      <w:pPr>
        <w:pStyle w:val="Caption"/>
        <w:keepNext/>
      </w:pPr>
      <w:bookmarkStart w:id="78" w:name="_Ref396383538"/>
      <w:r>
        <w:t>Table 4-</w:t>
      </w:r>
      <w:r>
        <w:rPr>
          <w:noProof/>
        </w:rPr>
        <w:t>3</w:t>
      </w:r>
      <w:bookmarkEnd w:id="78"/>
      <w:r>
        <w:t xml:space="preserve">: </w:t>
      </w:r>
      <w:r w:rsidRPr="00207D9A">
        <w:t>12-month prevalence of anxiety disorders</w:t>
      </w:r>
      <w:r w:rsidRPr="004E6E27">
        <w:t xml:space="preserve"> </w:t>
      </w:r>
      <w:r>
        <w:t>among 4-17 year-olds</w:t>
      </w:r>
      <w:r w:rsidRPr="00207D9A">
        <w:t xml:space="preserve"> by household income</w:t>
      </w:r>
    </w:p>
    <w:tbl>
      <w:tblPr>
        <w:tblW w:w="9146" w:type="dxa"/>
        <w:jc w:val="center"/>
        <w:tblLayout w:type="fixed"/>
        <w:tblCellMar>
          <w:left w:w="0" w:type="dxa"/>
          <w:right w:w="0" w:type="dxa"/>
        </w:tblCellMar>
        <w:tblLook w:val="0020" w:firstRow="1" w:lastRow="0" w:firstColumn="0" w:lastColumn="0" w:noHBand="0" w:noVBand="0"/>
        <w:tblDescription w:val="In Table 4-3 the first column defines household income. Read across the rows for the prevalence of social phobia, separation anxiety, generalised anxiety, obsessive-compulsive and finally any anxiety disorder."/>
      </w:tblPr>
      <w:tblGrid>
        <w:gridCol w:w="3014"/>
        <w:gridCol w:w="1226"/>
        <w:gridCol w:w="1226"/>
        <w:gridCol w:w="1227"/>
        <w:gridCol w:w="1226"/>
        <w:gridCol w:w="1227"/>
      </w:tblGrid>
      <w:tr w:rsidR="00C827EF" w:rsidRPr="007E7D37" w:rsidTr="00C827EF">
        <w:trPr>
          <w:cantSplit/>
          <w:tblHeader/>
          <w:jc w:val="center"/>
        </w:trPr>
        <w:tc>
          <w:tcPr>
            <w:tcW w:w="3014"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bookmarkStart w:id="79" w:name="IDX11"/>
            <w:bookmarkEnd w:id="79"/>
            <w:r w:rsidRPr="00AD5451">
              <w:rPr>
                <w:rStyle w:val="Strong"/>
              </w:rPr>
              <w:t>Household income before tax</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w:t>
            </w:r>
          </w:p>
          <w:p w:rsidR="00C827EF" w:rsidRPr="00AD5451" w:rsidRDefault="00C827EF" w:rsidP="00C827EF">
            <w:pPr>
              <w:pStyle w:val="TableColumnHeadings"/>
              <w:rPr>
                <w:rStyle w:val="Strong"/>
              </w:rPr>
            </w:pPr>
            <w:r w:rsidRPr="00AD5451">
              <w:rPr>
                <w:rStyle w:val="Strong"/>
              </w:rPr>
              <w:t>(%)</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w:t>
            </w:r>
          </w:p>
          <w:p w:rsidR="00C827EF" w:rsidRPr="00AD5451" w:rsidRDefault="00C827EF" w:rsidP="00C827EF">
            <w:pPr>
              <w:pStyle w:val="TableColumnHeadings"/>
              <w:rPr>
                <w:rStyle w:val="Strong"/>
              </w:rPr>
            </w:pPr>
            <w:r w:rsidRPr="00AD5451">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w:t>
            </w:r>
          </w:p>
          <w:p w:rsidR="00C827EF" w:rsidRPr="00AD5451" w:rsidRDefault="00C827EF" w:rsidP="00C827EF">
            <w:pPr>
              <w:pStyle w:val="TableColumnHeadings"/>
              <w:rPr>
                <w:rStyle w:val="Strong"/>
              </w:rPr>
            </w:pPr>
            <w:r w:rsidRPr="00AD5451">
              <w:rPr>
                <w:rStyle w:val="Strong"/>
              </w:rPr>
              <w:t>(%)</w:t>
            </w:r>
          </w:p>
        </w:tc>
        <w:tc>
          <w:tcPr>
            <w:tcW w:w="1226"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Obsessive-compulsive</w:t>
            </w:r>
          </w:p>
          <w:p w:rsidR="00C827EF" w:rsidRPr="00AD5451" w:rsidRDefault="00C827EF" w:rsidP="00C827EF">
            <w:pPr>
              <w:pStyle w:val="TableColumnHeadings"/>
              <w:rPr>
                <w:rStyle w:val="Strong"/>
              </w:rPr>
            </w:pPr>
            <w:r w:rsidRPr="00AD5451">
              <w:rPr>
                <w:rStyle w:val="Strong"/>
              </w:rPr>
              <w:t>(%)</w:t>
            </w:r>
          </w:p>
        </w:tc>
        <w:tc>
          <w:tcPr>
            <w:tcW w:w="1227"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 xml:space="preserve">Any anxiety </w:t>
            </w:r>
            <w:proofErr w:type="gramStart"/>
            <w:r w:rsidRPr="00AD5451">
              <w:rPr>
                <w:rStyle w:val="Strong"/>
              </w:rPr>
              <w:t>disorder</w:t>
            </w:r>
            <w:proofErr w:type="gramEnd"/>
            <w:r w:rsidRPr="00AD5451">
              <w:rPr>
                <w:rStyle w:val="Strong"/>
              </w:rPr>
              <w:br/>
              <w:t>(%)</w:t>
            </w:r>
          </w:p>
        </w:tc>
      </w:tr>
      <w:tr w:rsidR="00C827EF" w:rsidRPr="007E7D37" w:rsidTr="00C827EF">
        <w:trPr>
          <w:cantSplit/>
          <w:jc w:val="center"/>
        </w:trPr>
        <w:tc>
          <w:tcPr>
            <w:tcW w:w="3014" w:type="dxa"/>
            <w:tcBorders>
              <w:top w:val="nil"/>
              <w:bottom w:val="single" w:sz="4" w:space="0" w:color="FFFFFF"/>
              <w:right w:val="nil"/>
            </w:tcBorders>
            <w:shd w:val="clear" w:color="auto" w:fill="EFF3FF"/>
            <w:tcMar>
              <w:left w:w="40" w:type="dxa"/>
              <w:right w:w="40" w:type="dxa"/>
            </w:tcMar>
          </w:tcPr>
          <w:p w:rsidR="00C827EF" w:rsidRPr="007E7D37" w:rsidRDefault="00C827EF" w:rsidP="00C827EF">
            <w:pPr>
              <w:pStyle w:val="TableRowHeadings"/>
              <w:rPr>
                <w:lang w:eastAsia="en-AU"/>
              </w:rPr>
            </w:pPr>
            <w:r w:rsidRPr="007E7D37">
              <w:rPr>
                <w:lang w:eastAsia="en-AU"/>
              </w:rPr>
              <w:t xml:space="preserve">$130,000 or more per year </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1.8</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2.3</w:t>
            </w:r>
          </w:p>
        </w:tc>
        <w:tc>
          <w:tcPr>
            <w:tcW w:w="1227"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1.8</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0.3</w:t>
            </w:r>
          </w:p>
        </w:tc>
        <w:tc>
          <w:tcPr>
            <w:tcW w:w="1227" w:type="dxa"/>
            <w:tcBorders>
              <w:top w:val="nil"/>
              <w:left w:val="nil"/>
              <w:bottom w:val="nil"/>
              <w:right w:val="nil"/>
            </w:tcBorders>
            <w:shd w:val="clear" w:color="auto" w:fill="FFFFFF"/>
          </w:tcPr>
          <w:p w:rsidR="00C827EF" w:rsidRPr="007D4406" w:rsidRDefault="00C827EF" w:rsidP="00C827EF">
            <w:pPr>
              <w:pStyle w:val="TableDataCell"/>
            </w:pPr>
            <w:r>
              <w:t>5.0</w:t>
            </w:r>
          </w:p>
        </w:tc>
      </w:tr>
      <w:tr w:rsidR="00C827EF" w:rsidRPr="007E7D37" w:rsidTr="00C827EF">
        <w:trPr>
          <w:cantSplit/>
          <w:jc w:val="center"/>
        </w:trPr>
        <w:tc>
          <w:tcPr>
            <w:tcW w:w="3014" w:type="dxa"/>
            <w:tcBorders>
              <w:top w:val="nil"/>
              <w:bottom w:val="single" w:sz="4" w:space="0" w:color="FFFFFF"/>
              <w:right w:val="nil"/>
            </w:tcBorders>
            <w:shd w:val="clear" w:color="auto" w:fill="EFF3FF"/>
            <w:tcMar>
              <w:left w:w="40" w:type="dxa"/>
              <w:right w:w="40" w:type="dxa"/>
            </w:tcMar>
          </w:tcPr>
          <w:p w:rsidR="00C827EF" w:rsidRPr="007E7D37" w:rsidRDefault="00C827EF" w:rsidP="00C827EF">
            <w:pPr>
              <w:pStyle w:val="TableRowHeadings"/>
              <w:rPr>
                <w:lang w:eastAsia="en-AU"/>
              </w:rPr>
            </w:pPr>
            <w:r w:rsidRPr="007E7D37">
              <w:rPr>
                <w:lang w:eastAsia="en-AU"/>
              </w:rPr>
              <w:t xml:space="preserve">$52,000-$129,999 per year </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1.9</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3.8</w:t>
            </w:r>
          </w:p>
        </w:tc>
        <w:tc>
          <w:tcPr>
            <w:tcW w:w="1227"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1.7</w:t>
            </w:r>
          </w:p>
        </w:tc>
        <w:tc>
          <w:tcPr>
            <w:tcW w:w="1226" w:type="dxa"/>
            <w:tcBorders>
              <w:top w:val="nil"/>
              <w:left w:val="nil"/>
              <w:bottom w:val="nil"/>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0.8</w:t>
            </w:r>
          </w:p>
        </w:tc>
        <w:tc>
          <w:tcPr>
            <w:tcW w:w="1227" w:type="dxa"/>
            <w:tcBorders>
              <w:top w:val="nil"/>
              <w:left w:val="nil"/>
              <w:bottom w:val="nil"/>
              <w:right w:val="nil"/>
            </w:tcBorders>
            <w:shd w:val="clear" w:color="auto" w:fill="FFFFFF"/>
          </w:tcPr>
          <w:p w:rsidR="00C827EF" w:rsidRPr="007D4406" w:rsidRDefault="00C827EF" w:rsidP="00C827EF">
            <w:pPr>
              <w:pStyle w:val="TableDataCell"/>
            </w:pPr>
            <w:r>
              <w:t>5.8</w:t>
            </w:r>
          </w:p>
        </w:tc>
      </w:tr>
      <w:tr w:rsidR="00C827EF" w:rsidRPr="007E7D37" w:rsidTr="00C827EF">
        <w:trPr>
          <w:cantSplit/>
          <w:jc w:val="center"/>
        </w:trPr>
        <w:tc>
          <w:tcPr>
            <w:tcW w:w="3014" w:type="dxa"/>
            <w:tcBorders>
              <w:top w:val="nil"/>
              <w:bottom w:val="single" w:sz="6" w:space="0" w:color="auto"/>
              <w:right w:val="nil"/>
            </w:tcBorders>
            <w:shd w:val="clear" w:color="auto" w:fill="EFF3FF"/>
            <w:tcMar>
              <w:left w:w="40" w:type="dxa"/>
              <w:right w:w="40" w:type="dxa"/>
            </w:tcMar>
          </w:tcPr>
          <w:p w:rsidR="00C827EF" w:rsidRPr="007E7D37" w:rsidRDefault="00C827EF" w:rsidP="00C827EF">
            <w:pPr>
              <w:pStyle w:val="TableRowHeadings"/>
              <w:rPr>
                <w:lang w:eastAsia="en-AU"/>
              </w:rPr>
            </w:pPr>
            <w:r w:rsidRPr="007E7D37">
              <w:rPr>
                <w:lang w:eastAsia="en-AU"/>
              </w:rPr>
              <w:t>Less than $5</w:t>
            </w:r>
            <w:r>
              <w:rPr>
                <w:lang w:eastAsia="en-AU"/>
              </w:rPr>
              <w:t>2,000</w:t>
            </w:r>
            <w:r w:rsidRPr="007E7D37">
              <w:rPr>
                <w:lang w:eastAsia="en-AU"/>
              </w:rPr>
              <w:t xml:space="preserve"> per year </w:t>
            </w:r>
          </w:p>
        </w:tc>
        <w:tc>
          <w:tcPr>
            <w:tcW w:w="1226" w:type="dxa"/>
            <w:tcBorders>
              <w:top w:val="nil"/>
              <w:left w:val="nil"/>
              <w:bottom w:val="single" w:sz="6" w:space="0" w:color="auto"/>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3.6</w:t>
            </w:r>
          </w:p>
        </w:tc>
        <w:tc>
          <w:tcPr>
            <w:tcW w:w="1226" w:type="dxa"/>
            <w:tcBorders>
              <w:top w:val="nil"/>
              <w:left w:val="nil"/>
              <w:bottom w:val="single" w:sz="6" w:space="0" w:color="auto"/>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6.8</w:t>
            </w:r>
          </w:p>
        </w:tc>
        <w:tc>
          <w:tcPr>
            <w:tcW w:w="1227" w:type="dxa"/>
            <w:tcBorders>
              <w:top w:val="nil"/>
              <w:left w:val="nil"/>
              <w:bottom w:val="single" w:sz="6" w:space="0" w:color="auto"/>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3.2</w:t>
            </w:r>
          </w:p>
        </w:tc>
        <w:tc>
          <w:tcPr>
            <w:tcW w:w="1226" w:type="dxa"/>
            <w:tcBorders>
              <w:top w:val="nil"/>
              <w:left w:val="nil"/>
              <w:bottom w:val="single" w:sz="6" w:space="0" w:color="auto"/>
              <w:right w:val="nil"/>
            </w:tcBorders>
            <w:shd w:val="clear" w:color="auto" w:fill="FFFFFF"/>
            <w:tcMar>
              <w:left w:w="40" w:type="dxa"/>
              <w:right w:w="40" w:type="dxa"/>
            </w:tcMar>
            <w:vAlign w:val="bottom"/>
          </w:tcPr>
          <w:p w:rsidR="00C827EF" w:rsidRPr="007E7D37" w:rsidRDefault="00C827EF" w:rsidP="00C827EF">
            <w:pPr>
              <w:pStyle w:val="TableDataCell"/>
              <w:rPr>
                <w:lang w:eastAsia="en-AU"/>
              </w:rPr>
            </w:pPr>
            <w:r w:rsidRPr="007E7D37">
              <w:rPr>
                <w:lang w:eastAsia="en-AU"/>
              </w:rPr>
              <w:t>1.4</w:t>
            </w:r>
          </w:p>
        </w:tc>
        <w:tc>
          <w:tcPr>
            <w:tcW w:w="1227" w:type="dxa"/>
            <w:tcBorders>
              <w:top w:val="nil"/>
              <w:left w:val="nil"/>
              <w:bottom w:val="single" w:sz="6" w:space="0" w:color="auto"/>
              <w:right w:val="nil"/>
            </w:tcBorders>
            <w:shd w:val="clear" w:color="auto" w:fill="FFFFFF"/>
          </w:tcPr>
          <w:p w:rsidR="00C827EF" w:rsidRPr="007D4406" w:rsidRDefault="00C827EF" w:rsidP="00C827EF">
            <w:pPr>
              <w:pStyle w:val="TableDataCell"/>
            </w:pPr>
            <w:r>
              <w:t>10.6</w:t>
            </w:r>
          </w:p>
        </w:tc>
      </w:tr>
    </w:tbl>
    <w:p w:rsidR="00C827EF" w:rsidRPr="008127E8" w:rsidRDefault="00C827EF" w:rsidP="00C827EF">
      <w:pPr>
        <w:pStyle w:val="TableFootnote"/>
        <w:ind w:left="0" w:firstLine="0"/>
      </w:pPr>
      <w:r>
        <w:t>Household income includes the c</w:t>
      </w:r>
      <w:r w:rsidRPr="008127E8">
        <w:t>ombined income for the 2011-12 financial year of everyone living in the household before tax and other deductions are taken out.</w:t>
      </w:r>
    </w:p>
    <w:p w:rsidR="00C827EF" w:rsidRDefault="00C827EF" w:rsidP="00C827EF">
      <w:pPr>
        <w:pStyle w:val="Heading3"/>
        <w:rPr>
          <w:lang w:eastAsia="en-AU"/>
        </w:rPr>
      </w:pPr>
      <w:bookmarkStart w:id="80" w:name="_Toc401758805"/>
      <w:r>
        <w:rPr>
          <w:lang w:eastAsia="en-AU"/>
        </w:rPr>
        <w:t>4.2.3</w:t>
      </w:r>
      <w:r>
        <w:rPr>
          <w:lang w:eastAsia="en-AU"/>
        </w:rPr>
        <w:tab/>
        <w:t>Parent and carer education</w:t>
      </w:r>
      <w:bookmarkEnd w:id="80"/>
    </w:p>
    <w:p w:rsidR="00C827EF" w:rsidRPr="00CD7EE8" w:rsidRDefault="00C827EF" w:rsidP="00C827EF">
      <w:pPr>
        <w:pStyle w:val="BodyText"/>
        <w:rPr>
          <w:lang w:eastAsia="en-AU"/>
        </w:rPr>
      </w:pPr>
      <w:r w:rsidRPr="00CD7EE8">
        <w:rPr>
          <w:lang w:eastAsia="en-AU"/>
        </w:rPr>
        <w:t>There was no association between parent and carer education and obsessive-compulsive disorder. However, for each of the other anxiety disorders the lowest prevalence was in families where at least one parent or carer had a bachelor degree or higher. The highest prevalence occurred in families where the highest level of education achieved by either parent or carer was Year 10 or below (</w:t>
      </w:r>
      <w:r w:rsidRPr="00E24004">
        <w:t>Table 4-4</w:t>
      </w:r>
      <w:r w:rsidRPr="00CD7EE8">
        <w:rPr>
          <w:lang w:eastAsia="en-AU"/>
        </w:rPr>
        <w:t>).</w:t>
      </w:r>
    </w:p>
    <w:p w:rsidR="00C827EF" w:rsidRDefault="00C827EF" w:rsidP="00C827EF">
      <w:pPr>
        <w:pStyle w:val="Caption"/>
        <w:keepNext/>
        <w:pageBreakBefore/>
        <w:spacing w:before="0"/>
      </w:pPr>
      <w:bookmarkStart w:id="81" w:name="_Ref396383665"/>
      <w:r>
        <w:lastRenderedPageBreak/>
        <w:t>Table 4-</w:t>
      </w:r>
      <w:r>
        <w:rPr>
          <w:noProof/>
        </w:rPr>
        <w:t>4</w:t>
      </w:r>
      <w:bookmarkEnd w:id="81"/>
      <w:r>
        <w:t xml:space="preserve">: </w:t>
      </w:r>
      <w:r w:rsidRPr="00D87061">
        <w:t>12-month prevalence of anxiety disorders</w:t>
      </w:r>
      <w:r w:rsidRPr="004E6E27">
        <w:t xml:space="preserve"> </w:t>
      </w:r>
      <w:r>
        <w:t>among 4-17 year-olds</w:t>
      </w:r>
      <w:r w:rsidRPr="00D87061">
        <w:t xml:space="preserve"> by </w:t>
      </w:r>
      <w:r>
        <w:t xml:space="preserve">parent or </w:t>
      </w:r>
      <w:r w:rsidRPr="00114E4C">
        <w:t>carer</w:t>
      </w:r>
      <w:r>
        <w:t xml:space="preserve"> education</w:t>
      </w:r>
    </w:p>
    <w:tbl>
      <w:tblPr>
        <w:tblW w:w="9146" w:type="dxa"/>
        <w:jc w:val="center"/>
        <w:tblLayout w:type="fixed"/>
        <w:tblCellMar>
          <w:left w:w="0" w:type="dxa"/>
          <w:right w:w="0" w:type="dxa"/>
        </w:tblCellMar>
        <w:tblLook w:val="0020" w:firstRow="1" w:lastRow="0" w:firstColumn="0" w:lastColumn="0" w:noHBand="0" w:noVBand="0"/>
        <w:tblDescription w:val="In Table 4-4 the first column defines highest level of education of either primary or secondary carer. Read across the rows for the prevalence of social phobia, separation anxiety, generalised anxiety, obsessive-compulsive and finally any anxiety disorder."/>
      </w:tblPr>
      <w:tblGrid>
        <w:gridCol w:w="3196"/>
        <w:gridCol w:w="1190"/>
        <w:gridCol w:w="1190"/>
        <w:gridCol w:w="1190"/>
        <w:gridCol w:w="1190"/>
        <w:gridCol w:w="1190"/>
      </w:tblGrid>
      <w:tr w:rsidR="00C827EF" w:rsidRPr="00301889" w:rsidTr="00C827EF">
        <w:trPr>
          <w:cantSplit/>
          <w:tblHeader/>
          <w:jc w:val="center"/>
        </w:trPr>
        <w:tc>
          <w:tcPr>
            <w:tcW w:w="3196"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bookmarkStart w:id="82" w:name="IDX12"/>
            <w:bookmarkEnd w:id="82"/>
            <w:r w:rsidRPr="00AD5451">
              <w:rPr>
                <w:rStyle w:val="Strong"/>
              </w:rPr>
              <w:t>Highest level of education of either primary or secondary parent or carer</w:t>
            </w:r>
          </w:p>
        </w:tc>
        <w:tc>
          <w:tcPr>
            <w:tcW w:w="11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w:t>
            </w:r>
          </w:p>
          <w:p w:rsidR="00C827EF" w:rsidRPr="00AD5451" w:rsidRDefault="00C827EF" w:rsidP="00C827EF">
            <w:pPr>
              <w:pStyle w:val="TableColumnHeadings"/>
              <w:rPr>
                <w:rStyle w:val="Strong"/>
              </w:rPr>
            </w:pPr>
            <w:r w:rsidRPr="00AD5451">
              <w:rPr>
                <w:rStyle w:val="Strong"/>
              </w:rPr>
              <w:t>(%)</w:t>
            </w:r>
          </w:p>
        </w:tc>
        <w:tc>
          <w:tcPr>
            <w:tcW w:w="11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w:t>
            </w:r>
          </w:p>
          <w:p w:rsidR="00C827EF" w:rsidRPr="00AD5451" w:rsidRDefault="00C827EF" w:rsidP="00C827EF">
            <w:pPr>
              <w:pStyle w:val="TableColumnHeadings"/>
              <w:rPr>
                <w:rStyle w:val="Strong"/>
              </w:rPr>
            </w:pPr>
            <w:r w:rsidRPr="00AD5451">
              <w:rPr>
                <w:rStyle w:val="Strong"/>
              </w:rPr>
              <w:t>(%)</w:t>
            </w:r>
          </w:p>
        </w:tc>
        <w:tc>
          <w:tcPr>
            <w:tcW w:w="11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w:t>
            </w:r>
          </w:p>
          <w:p w:rsidR="00C827EF" w:rsidRPr="00AD5451" w:rsidRDefault="00C827EF" w:rsidP="00C827EF">
            <w:pPr>
              <w:pStyle w:val="TableColumnHeadings"/>
              <w:rPr>
                <w:rStyle w:val="Strong"/>
              </w:rPr>
            </w:pPr>
            <w:r w:rsidRPr="00AD5451">
              <w:rPr>
                <w:rStyle w:val="Strong"/>
              </w:rPr>
              <w:t>(%)</w:t>
            </w:r>
          </w:p>
        </w:tc>
        <w:tc>
          <w:tcPr>
            <w:tcW w:w="1190"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Obsessive-compulsive</w:t>
            </w:r>
          </w:p>
          <w:p w:rsidR="00C827EF" w:rsidRPr="00AD5451" w:rsidRDefault="00C827EF" w:rsidP="00C827EF">
            <w:pPr>
              <w:pStyle w:val="TableColumnHeadings"/>
              <w:rPr>
                <w:rStyle w:val="Strong"/>
              </w:rPr>
            </w:pPr>
            <w:r w:rsidRPr="00AD5451">
              <w:rPr>
                <w:rStyle w:val="Strong"/>
              </w:rPr>
              <w:t>(%)</w:t>
            </w:r>
          </w:p>
        </w:tc>
        <w:tc>
          <w:tcPr>
            <w:tcW w:w="1190"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 xml:space="preserve">Any anxiety </w:t>
            </w:r>
            <w:proofErr w:type="gramStart"/>
            <w:r w:rsidRPr="00AD5451">
              <w:rPr>
                <w:rStyle w:val="Strong"/>
              </w:rPr>
              <w:t>disorder</w:t>
            </w:r>
            <w:proofErr w:type="gramEnd"/>
            <w:r w:rsidRPr="00AD5451">
              <w:rPr>
                <w:rStyle w:val="Strong"/>
              </w:rPr>
              <w:br/>
              <w:t>(%)</w:t>
            </w:r>
          </w:p>
        </w:tc>
      </w:tr>
      <w:tr w:rsidR="00C827EF" w:rsidRPr="00301889" w:rsidTr="00C827EF">
        <w:trPr>
          <w:cantSplit/>
          <w:jc w:val="center"/>
        </w:trPr>
        <w:tc>
          <w:tcPr>
            <w:tcW w:w="3196"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Bachelor degree or higher</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1.8</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3.4</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1.5</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0.6</w:t>
            </w:r>
          </w:p>
        </w:tc>
        <w:tc>
          <w:tcPr>
            <w:tcW w:w="1190" w:type="dxa"/>
            <w:tcBorders>
              <w:top w:val="nil"/>
              <w:left w:val="nil"/>
              <w:bottom w:val="nil"/>
              <w:right w:val="nil"/>
            </w:tcBorders>
            <w:shd w:val="clear" w:color="auto" w:fill="FFFFFF"/>
          </w:tcPr>
          <w:p w:rsidR="00C827EF" w:rsidRPr="007D4406" w:rsidRDefault="00C827EF" w:rsidP="00C827EF">
            <w:pPr>
              <w:pStyle w:val="TableDataCell"/>
            </w:pPr>
            <w:r>
              <w:t>5.3</w:t>
            </w:r>
          </w:p>
        </w:tc>
      </w:tr>
      <w:tr w:rsidR="00C827EF" w:rsidRPr="00301889" w:rsidTr="00C827EF">
        <w:trPr>
          <w:cantSplit/>
          <w:jc w:val="center"/>
        </w:trPr>
        <w:tc>
          <w:tcPr>
            <w:tcW w:w="3196"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Diploma or certificate III/IV</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2.7</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4.9</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2.6</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1.0</w:t>
            </w:r>
          </w:p>
        </w:tc>
        <w:tc>
          <w:tcPr>
            <w:tcW w:w="1190" w:type="dxa"/>
            <w:tcBorders>
              <w:top w:val="nil"/>
              <w:left w:val="nil"/>
              <w:bottom w:val="nil"/>
              <w:right w:val="nil"/>
            </w:tcBorders>
            <w:shd w:val="clear" w:color="auto" w:fill="FFFFFF"/>
          </w:tcPr>
          <w:p w:rsidR="00C827EF" w:rsidRPr="007D4406" w:rsidRDefault="00C827EF" w:rsidP="00C827EF">
            <w:pPr>
              <w:pStyle w:val="TableDataCell"/>
            </w:pPr>
            <w:r>
              <w:t>8.1</w:t>
            </w:r>
          </w:p>
        </w:tc>
      </w:tr>
      <w:tr w:rsidR="00C827EF" w:rsidRPr="00301889" w:rsidTr="00C827EF">
        <w:trPr>
          <w:cantSplit/>
          <w:jc w:val="center"/>
        </w:trPr>
        <w:tc>
          <w:tcPr>
            <w:tcW w:w="3196"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Year 11 or 12</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2.4</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4.1</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2.5</w:t>
            </w:r>
          </w:p>
        </w:tc>
        <w:tc>
          <w:tcPr>
            <w:tcW w:w="1190"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1.1</w:t>
            </w:r>
          </w:p>
        </w:tc>
        <w:tc>
          <w:tcPr>
            <w:tcW w:w="1190" w:type="dxa"/>
            <w:tcBorders>
              <w:top w:val="nil"/>
              <w:left w:val="nil"/>
              <w:bottom w:val="nil"/>
              <w:right w:val="nil"/>
            </w:tcBorders>
            <w:shd w:val="clear" w:color="auto" w:fill="FFFFFF"/>
          </w:tcPr>
          <w:p w:rsidR="00C827EF" w:rsidRPr="007D4406" w:rsidRDefault="00C827EF" w:rsidP="00C827EF">
            <w:pPr>
              <w:pStyle w:val="TableDataCell"/>
            </w:pPr>
            <w:r>
              <w:t>7.0</w:t>
            </w:r>
          </w:p>
        </w:tc>
      </w:tr>
      <w:tr w:rsidR="00C827EF" w:rsidRPr="00301889" w:rsidTr="00C827EF">
        <w:trPr>
          <w:cantSplit/>
          <w:jc w:val="center"/>
        </w:trPr>
        <w:tc>
          <w:tcPr>
            <w:tcW w:w="3196" w:type="dxa"/>
            <w:tcBorders>
              <w:top w:val="nil"/>
              <w:bottom w:val="single" w:sz="6" w:space="0" w:color="000000"/>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Year 10 or below</w:t>
            </w:r>
          </w:p>
        </w:tc>
        <w:tc>
          <w:tcPr>
            <w:tcW w:w="1190"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3.5</w:t>
            </w:r>
          </w:p>
        </w:tc>
        <w:tc>
          <w:tcPr>
            <w:tcW w:w="1190"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6.0</w:t>
            </w:r>
          </w:p>
        </w:tc>
        <w:tc>
          <w:tcPr>
            <w:tcW w:w="1190"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3.1</w:t>
            </w:r>
          </w:p>
        </w:tc>
        <w:tc>
          <w:tcPr>
            <w:tcW w:w="1190"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Pr>
                <w:lang w:eastAsia="en-AU"/>
              </w:rPr>
              <w:t>1.0</w:t>
            </w:r>
          </w:p>
        </w:tc>
        <w:tc>
          <w:tcPr>
            <w:tcW w:w="1190" w:type="dxa"/>
            <w:tcBorders>
              <w:top w:val="nil"/>
              <w:left w:val="nil"/>
              <w:bottom w:val="single" w:sz="6" w:space="0" w:color="000000"/>
              <w:right w:val="nil"/>
            </w:tcBorders>
            <w:shd w:val="clear" w:color="auto" w:fill="FFFFFF"/>
          </w:tcPr>
          <w:p w:rsidR="00C827EF" w:rsidRPr="007D4406" w:rsidRDefault="00C827EF" w:rsidP="00C827EF">
            <w:pPr>
              <w:pStyle w:val="TableDataCell"/>
            </w:pPr>
            <w:r>
              <w:t>9.6</w:t>
            </w:r>
          </w:p>
        </w:tc>
      </w:tr>
    </w:tbl>
    <w:p w:rsidR="00C827EF" w:rsidRDefault="00C827EF" w:rsidP="00C827EF">
      <w:pPr>
        <w:pStyle w:val="Heading3"/>
        <w:rPr>
          <w:lang w:eastAsia="en-AU"/>
        </w:rPr>
      </w:pPr>
      <w:bookmarkStart w:id="83" w:name="_Toc401758806"/>
      <w:r>
        <w:rPr>
          <w:lang w:eastAsia="en-AU"/>
        </w:rPr>
        <w:t>4.2.4</w:t>
      </w:r>
      <w:r>
        <w:rPr>
          <w:lang w:eastAsia="en-AU"/>
        </w:rPr>
        <w:tab/>
        <w:t>Parent and carer labour force status</w:t>
      </w:r>
      <w:bookmarkEnd w:id="83"/>
    </w:p>
    <w:p w:rsidR="00C827EF" w:rsidRDefault="00C827EF" w:rsidP="00C827EF">
      <w:pPr>
        <w:pStyle w:val="BodyText"/>
        <w:rPr>
          <w:lang w:eastAsia="en-AU"/>
        </w:rPr>
      </w:pPr>
      <w:r>
        <w:rPr>
          <w:lang w:eastAsia="en-AU"/>
        </w:rPr>
        <w:t xml:space="preserve">In families with two parents or carers, the prevalence of all four anxiety disorders was lower where </w:t>
      </w:r>
      <w:proofErr w:type="gramStart"/>
      <w:r>
        <w:rPr>
          <w:lang w:eastAsia="en-AU"/>
        </w:rPr>
        <w:t>both parents or</w:t>
      </w:r>
      <w:proofErr w:type="gramEnd"/>
      <w:r>
        <w:rPr>
          <w:lang w:eastAsia="en-AU"/>
        </w:rPr>
        <w:t xml:space="preserve"> carers were currently in employment (</w:t>
      </w:r>
      <w:r>
        <w:t>Table 4-</w:t>
      </w:r>
      <w:r>
        <w:rPr>
          <w:noProof/>
        </w:rPr>
        <w:t>5</w:t>
      </w:r>
      <w:r>
        <w:rPr>
          <w:lang w:eastAsia="en-AU"/>
        </w:rPr>
        <w:t xml:space="preserve">). Among children and adolescents living in households with a sole parent or carer, separation anxiety disorder was more common where the parent or carer was not in employment (13.6% compared with 5.8%). </w:t>
      </w:r>
    </w:p>
    <w:p w:rsidR="00C827EF" w:rsidRDefault="00C827EF" w:rsidP="00C827EF">
      <w:pPr>
        <w:pStyle w:val="Caption"/>
        <w:keepNext/>
      </w:pPr>
      <w:bookmarkStart w:id="84" w:name="_Ref396383713"/>
      <w:r>
        <w:t>Table 4-</w:t>
      </w:r>
      <w:r>
        <w:rPr>
          <w:noProof/>
        </w:rPr>
        <w:t>5</w:t>
      </w:r>
      <w:bookmarkEnd w:id="84"/>
      <w:r>
        <w:t xml:space="preserve">: </w:t>
      </w:r>
      <w:r w:rsidRPr="0028222D">
        <w:t xml:space="preserve">12-month prevalence </w:t>
      </w:r>
      <w:r>
        <w:t>of anxiety disorders</w:t>
      </w:r>
      <w:r w:rsidRPr="004E6E27">
        <w:t xml:space="preserve"> </w:t>
      </w:r>
      <w:r>
        <w:t>among 4-17 year-olds by parent or carer</w:t>
      </w:r>
      <w:r w:rsidRPr="0028222D">
        <w:t xml:space="preserve"> labour force status</w:t>
      </w:r>
    </w:p>
    <w:tbl>
      <w:tblPr>
        <w:tblW w:w="9146" w:type="dxa"/>
        <w:jc w:val="center"/>
        <w:tblLayout w:type="fixed"/>
        <w:tblCellMar>
          <w:left w:w="0" w:type="dxa"/>
          <w:right w:w="0" w:type="dxa"/>
        </w:tblCellMar>
        <w:tblLook w:val="0020" w:firstRow="1" w:lastRow="0" w:firstColumn="0" w:lastColumn="0" w:noHBand="0" w:noVBand="0"/>
        <w:tblDescription w:val="In Table 4-5 the first column defines parent or carer labour force status. Read across the rows for the prevalence of social phobia, separation anxiety, generalised anxiety, obsessive-compulsive and finally any anxiety disorder."/>
      </w:tblPr>
      <w:tblGrid>
        <w:gridCol w:w="3182"/>
        <w:gridCol w:w="1192"/>
        <w:gridCol w:w="1193"/>
        <w:gridCol w:w="1193"/>
        <w:gridCol w:w="1193"/>
        <w:gridCol w:w="1193"/>
      </w:tblGrid>
      <w:tr w:rsidR="00C827EF" w:rsidRPr="00301889" w:rsidTr="00C827EF">
        <w:trPr>
          <w:cantSplit/>
          <w:tblHeader/>
          <w:jc w:val="center"/>
        </w:trPr>
        <w:tc>
          <w:tcPr>
            <w:tcW w:w="3182"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bookmarkStart w:id="85" w:name="IDX13"/>
            <w:bookmarkEnd w:id="85"/>
            <w:r w:rsidRPr="00AD5451">
              <w:rPr>
                <w:rStyle w:val="Strong"/>
              </w:rPr>
              <w:t>Parent or carer labour force status</w:t>
            </w:r>
          </w:p>
        </w:tc>
        <w:tc>
          <w:tcPr>
            <w:tcW w:w="119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w:t>
            </w:r>
          </w:p>
          <w:p w:rsidR="00C827EF" w:rsidRPr="00AD5451" w:rsidRDefault="00C827EF" w:rsidP="00C827EF">
            <w:pPr>
              <w:pStyle w:val="TableColumnHeadings"/>
              <w:rPr>
                <w:rStyle w:val="Strong"/>
              </w:rPr>
            </w:pPr>
            <w:r w:rsidRPr="00AD5451">
              <w:rPr>
                <w:rStyle w:val="Strong"/>
              </w:rPr>
              <w:t>(%)</w:t>
            </w:r>
          </w:p>
        </w:tc>
        <w:tc>
          <w:tcPr>
            <w:tcW w:w="119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w:t>
            </w:r>
          </w:p>
          <w:p w:rsidR="00C827EF" w:rsidRPr="00AD5451" w:rsidRDefault="00C827EF" w:rsidP="00C827EF">
            <w:pPr>
              <w:pStyle w:val="TableColumnHeadings"/>
              <w:rPr>
                <w:rStyle w:val="Strong"/>
              </w:rPr>
            </w:pPr>
            <w:r w:rsidRPr="00AD5451">
              <w:rPr>
                <w:rStyle w:val="Strong"/>
              </w:rPr>
              <w:t>(%)</w:t>
            </w:r>
          </w:p>
        </w:tc>
        <w:tc>
          <w:tcPr>
            <w:tcW w:w="119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w:t>
            </w:r>
          </w:p>
          <w:p w:rsidR="00C827EF" w:rsidRPr="00AD5451" w:rsidRDefault="00C827EF" w:rsidP="00C827EF">
            <w:pPr>
              <w:pStyle w:val="TableColumnHeadings"/>
              <w:rPr>
                <w:rStyle w:val="Strong"/>
              </w:rPr>
            </w:pPr>
            <w:r w:rsidRPr="00AD5451">
              <w:rPr>
                <w:rStyle w:val="Strong"/>
              </w:rPr>
              <w:t>(%)</w:t>
            </w:r>
          </w:p>
        </w:tc>
        <w:tc>
          <w:tcPr>
            <w:tcW w:w="1193"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Obsessive-compulsive</w:t>
            </w:r>
          </w:p>
          <w:p w:rsidR="00C827EF" w:rsidRPr="00AD5451" w:rsidRDefault="00C827EF" w:rsidP="00C827EF">
            <w:pPr>
              <w:pStyle w:val="TableColumnHeadings"/>
              <w:rPr>
                <w:rStyle w:val="Strong"/>
              </w:rPr>
            </w:pPr>
            <w:r w:rsidRPr="00AD5451">
              <w:rPr>
                <w:rStyle w:val="Strong"/>
              </w:rPr>
              <w:t>(%)</w:t>
            </w:r>
          </w:p>
        </w:tc>
        <w:tc>
          <w:tcPr>
            <w:tcW w:w="1193"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 xml:space="preserve">Any anxiety </w:t>
            </w:r>
            <w:proofErr w:type="gramStart"/>
            <w:r w:rsidRPr="00AD5451">
              <w:rPr>
                <w:rStyle w:val="Strong"/>
              </w:rPr>
              <w:t>disorder</w:t>
            </w:r>
            <w:proofErr w:type="gramEnd"/>
            <w:r w:rsidRPr="00AD5451">
              <w:rPr>
                <w:rStyle w:val="Strong"/>
              </w:rPr>
              <w:br/>
              <w:t>(%)</w:t>
            </w:r>
          </w:p>
        </w:tc>
      </w:tr>
      <w:tr w:rsidR="00C827EF" w:rsidRPr="00301889" w:rsidTr="00C827EF">
        <w:trPr>
          <w:cantSplit/>
          <w:jc w:val="center"/>
        </w:trPr>
        <w:tc>
          <w:tcPr>
            <w:tcW w:w="3182"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 xml:space="preserve">Both </w:t>
            </w:r>
            <w:r>
              <w:rPr>
                <w:lang w:eastAsia="en-AU"/>
              </w:rPr>
              <w:t xml:space="preserve">parents or </w:t>
            </w:r>
            <w:r w:rsidRPr="00301889">
              <w:rPr>
                <w:lang w:eastAsia="en-AU"/>
              </w:rPr>
              <w:t>carers employed</w:t>
            </w:r>
          </w:p>
        </w:tc>
        <w:tc>
          <w:tcPr>
            <w:tcW w:w="11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1.5</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2.4</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1.6</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0.2</w:t>
            </w:r>
          </w:p>
        </w:tc>
        <w:tc>
          <w:tcPr>
            <w:tcW w:w="1193" w:type="dxa"/>
            <w:tcBorders>
              <w:top w:val="nil"/>
              <w:left w:val="nil"/>
              <w:bottom w:val="nil"/>
              <w:right w:val="nil"/>
            </w:tcBorders>
            <w:shd w:val="clear" w:color="auto" w:fill="FFFFFF"/>
            <w:vAlign w:val="bottom"/>
          </w:tcPr>
          <w:p w:rsidR="00C827EF" w:rsidRPr="00072CE1" w:rsidRDefault="00C827EF" w:rsidP="00C827EF">
            <w:pPr>
              <w:pStyle w:val="TableDataCell"/>
            </w:pPr>
            <w:r>
              <w:t>4.6</w:t>
            </w:r>
          </w:p>
        </w:tc>
      </w:tr>
      <w:tr w:rsidR="00C827EF" w:rsidRPr="00301889" w:rsidTr="00C827EF">
        <w:trPr>
          <w:cantSplit/>
          <w:jc w:val="center"/>
        </w:trPr>
        <w:tc>
          <w:tcPr>
            <w:tcW w:w="3182"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D93153">
              <w:rPr>
                <w:lang w:eastAsia="en-AU"/>
              </w:rPr>
              <w:t xml:space="preserve">One </w:t>
            </w:r>
            <w:r>
              <w:rPr>
                <w:lang w:eastAsia="en-AU"/>
              </w:rPr>
              <w:t>parent or carer</w:t>
            </w:r>
            <w:r w:rsidRPr="00D93153">
              <w:rPr>
                <w:lang w:eastAsia="en-AU"/>
              </w:rPr>
              <w:t xml:space="preserve"> employed, one </w:t>
            </w:r>
            <w:r>
              <w:rPr>
                <w:lang w:eastAsia="en-AU"/>
              </w:rPr>
              <w:t>parent or carer</w:t>
            </w:r>
            <w:r w:rsidRPr="00D93153">
              <w:rPr>
                <w:lang w:eastAsia="en-AU"/>
              </w:rPr>
              <w:t xml:space="preserve"> not in employment</w:t>
            </w:r>
          </w:p>
        </w:tc>
        <w:tc>
          <w:tcPr>
            <w:tcW w:w="11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2.1</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4.5</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1.8</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1.1</w:t>
            </w:r>
          </w:p>
        </w:tc>
        <w:tc>
          <w:tcPr>
            <w:tcW w:w="1193" w:type="dxa"/>
            <w:tcBorders>
              <w:top w:val="nil"/>
              <w:left w:val="nil"/>
              <w:bottom w:val="nil"/>
              <w:right w:val="nil"/>
            </w:tcBorders>
            <w:shd w:val="clear" w:color="auto" w:fill="FFFFFF"/>
            <w:vAlign w:val="bottom"/>
          </w:tcPr>
          <w:p w:rsidR="00C827EF" w:rsidRPr="00072CE1" w:rsidRDefault="00C827EF" w:rsidP="00C827EF">
            <w:pPr>
              <w:pStyle w:val="TableDataCell"/>
            </w:pPr>
            <w:r>
              <w:t>6.5</w:t>
            </w:r>
          </w:p>
        </w:tc>
      </w:tr>
      <w:tr w:rsidR="00C827EF" w:rsidRPr="00301889" w:rsidTr="00C827EF">
        <w:trPr>
          <w:cantSplit/>
          <w:jc w:val="center"/>
        </w:trPr>
        <w:tc>
          <w:tcPr>
            <w:tcW w:w="3182"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D93153">
              <w:rPr>
                <w:lang w:eastAsia="en-AU"/>
              </w:rPr>
              <w:t xml:space="preserve">Both </w:t>
            </w:r>
            <w:r>
              <w:rPr>
                <w:lang w:eastAsia="en-AU"/>
              </w:rPr>
              <w:t>parents or carers</w:t>
            </w:r>
            <w:r w:rsidRPr="00D93153">
              <w:rPr>
                <w:lang w:eastAsia="en-AU"/>
              </w:rPr>
              <w:t xml:space="preserve"> not in employment</w:t>
            </w:r>
          </w:p>
        </w:tc>
        <w:tc>
          <w:tcPr>
            <w:tcW w:w="11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4.3</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3.5</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5.4</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2.6</w:t>
            </w:r>
          </w:p>
        </w:tc>
        <w:tc>
          <w:tcPr>
            <w:tcW w:w="1193" w:type="dxa"/>
            <w:tcBorders>
              <w:top w:val="nil"/>
              <w:left w:val="nil"/>
              <w:bottom w:val="nil"/>
              <w:right w:val="nil"/>
            </w:tcBorders>
            <w:shd w:val="clear" w:color="auto" w:fill="FFFFFF"/>
            <w:vAlign w:val="bottom"/>
          </w:tcPr>
          <w:p w:rsidR="00C827EF" w:rsidRPr="00072CE1" w:rsidRDefault="00C827EF" w:rsidP="00C827EF">
            <w:pPr>
              <w:pStyle w:val="TableDataCell"/>
            </w:pPr>
            <w:r>
              <w:t>10.6</w:t>
            </w:r>
          </w:p>
        </w:tc>
      </w:tr>
      <w:tr w:rsidR="00C827EF" w:rsidRPr="00301889" w:rsidTr="00C827EF">
        <w:trPr>
          <w:cantSplit/>
          <w:jc w:val="center"/>
        </w:trPr>
        <w:tc>
          <w:tcPr>
            <w:tcW w:w="3182"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 xml:space="preserve">Sole </w:t>
            </w:r>
            <w:r>
              <w:rPr>
                <w:lang w:eastAsia="en-AU"/>
              </w:rPr>
              <w:t>parent or carer</w:t>
            </w:r>
            <w:r w:rsidRPr="00301889">
              <w:rPr>
                <w:lang w:eastAsia="en-AU"/>
              </w:rPr>
              <w:t xml:space="preserve"> employed</w:t>
            </w:r>
          </w:p>
        </w:tc>
        <w:tc>
          <w:tcPr>
            <w:tcW w:w="11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4.4</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5.8</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3.4</w:t>
            </w:r>
          </w:p>
        </w:tc>
        <w:tc>
          <w:tcPr>
            <w:tcW w:w="1193"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0.8</w:t>
            </w:r>
          </w:p>
        </w:tc>
        <w:tc>
          <w:tcPr>
            <w:tcW w:w="1193" w:type="dxa"/>
            <w:tcBorders>
              <w:top w:val="nil"/>
              <w:left w:val="nil"/>
              <w:bottom w:val="nil"/>
              <w:right w:val="nil"/>
            </w:tcBorders>
            <w:shd w:val="clear" w:color="auto" w:fill="FFFFFF"/>
            <w:vAlign w:val="bottom"/>
          </w:tcPr>
          <w:p w:rsidR="00C827EF" w:rsidRPr="00072CE1" w:rsidRDefault="00C827EF" w:rsidP="00C827EF">
            <w:pPr>
              <w:pStyle w:val="TableDataCell"/>
            </w:pPr>
            <w:r>
              <w:t>9.8</w:t>
            </w:r>
          </w:p>
        </w:tc>
      </w:tr>
      <w:tr w:rsidR="00C827EF" w:rsidRPr="00301889" w:rsidTr="00C827EF">
        <w:trPr>
          <w:cantSplit/>
          <w:jc w:val="center"/>
        </w:trPr>
        <w:tc>
          <w:tcPr>
            <w:tcW w:w="3182" w:type="dxa"/>
            <w:tcBorders>
              <w:top w:val="nil"/>
              <w:bottom w:val="single" w:sz="6" w:space="0" w:color="auto"/>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301889">
              <w:rPr>
                <w:lang w:eastAsia="en-AU"/>
              </w:rPr>
              <w:t xml:space="preserve">Sole </w:t>
            </w:r>
            <w:r>
              <w:rPr>
                <w:lang w:eastAsia="en-AU"/>
              </w:rPr>
              <w:t xml:space="preserve">parent or carer </w:t>
            </w:r>
            <w:r w:rsidRPr="00301889">
              <w:rPr>
                <w:lang w:eastAsia="en-AU"/>
              </w:rPr>
              <w:t xml:space="preserve">not </w:t>
            </w:r>
            <w:r>
              <w:rPr>
                <w:lang w:eastAsia="en-AU"/>
              </w:rPr>
              <w:t>in employment</w:t>
            </w:r>
          </w:p>
        </w:tc>
        <w:tc>
          <w:tcPr>
            <w:tcW w:w="1192" w:type="dxa"/>
            <w:tcBorders>
              <w:top w:val="nil"/>
              <w:left w:val="nil"/>
              <w:bottom w:val="single" w:sz="6" w:space="0" w:color="auto"/>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4.4</w:t>
            </w:r>
          </w:p>
        </w:tc>
        <w:tc>
          <w:tcPr>
            <w:tcW w:w="1193" w:type="dxa"/>
            <w:tcBorders>
              <w:top w:val="nil"/>
              <w:left w:val="nil"/>
              <w:bottom w:val="single" w:sz="6" w:space="0" w:color="auto"/>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13.6</w:t>
            </w:r>
          </w:p>
        </w:tc>
        <w:tc>
          <w:tcPr>
            <w:tcW w:w="1193" w:type="dxa"/>
            <w:tcBorders>
              <w:top w:val="nil"/>
              <w:left w:val="nil"/>
              <w:bottom w:val="single" w:sz="6" w:space="0" w:color="auto"/>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3.7</w:t>
            </w:r>
          </w:p>
        </w:tc>
        <w:tc>
          <w:tcPr>
            <w:tcW w:w="1193" w:type="dxa"/>
            <w:tcBorders>
              <w:top w:val="nil"/>
              <w:left w:val="nil"/>
              <w:bottom w:val="single" w:sz="6" w:space="0" w:color="auto"/>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3.0</w:t>
            </w:r>
          </w:p>
        </w:tc>
        <w:tc>
          <w:tcPr>
            <w:tcW w:w="1193" w:type="dxa"/>
            <w:tcBorders>
              <w:top w:val="nil"/>
              <w:left w:val="nil"/>
              <w:bottom w:val="single" w:sz="6" w:space="0" w:color="auto"/>
              <w:right w:val="nil"/>
            </w:tcBorders>
            <w:shd w:val="clear" w:color="auto" w:fill="FFFFFF"/>
            <w:vAlign w:val="bottom"/>
          </w:tcPr>
          <w:p w:rsidR="00C827EF" w:rsidRPr="00072CE1" w:rsidRDefault="00C827EF" w:rsidP="00C827EF">
            <w:pPr>
              <w:pStyle w:val="TableDataCell"/>
            </w:pPr>
            <w:r>
              <w:t>17.2</w:t>
            </w:r>
          </w:p>
        </w:tc>
      </w:tr>
    </w:tbl>
    <w:p w:rsidR="00C827EF" w:rsidRPr="007B2657" w:rsidRDefault="00C827EF" w:rsidP="00C827EF">
      <w:pPr>
        <w:pStyle w:val="TableFootnote"/>
      </w:pPr>
      <w:r>
        <w:t>‘</w:t>
      </w:r>
      <w:r w:rsidRPr="007B2657">
        <w:t>Not in employment</w:t>
      </w:r>
      <w:r>
        <w:t>’</w:t>
      </w:r>
      <w:r w:rsidRPr="007B2657">
        <w:t xml:space="preserve"> combines unemployed and not in the labour force</w:t>
      </w:r>
      <w:r>
        <w:t>.</w:t>
      </w:r>
    </w:p>
    <w:p w:rsidR="00C827EF" w:rsidRDefault="00C827EF" w:rsidP="00C827EF">
      <w:pPr>
        <w:pStyle w:val="Heading3"/>
        <w:rPr>
          <w:lang w:eastAsia="en-AU"/>
        </w:rPr>
      </w:pPr>
      <w:bookmarkStart w:id="86" w:name="_Toc401758807"/>
      <w:r>
        <w:rPr>
          <w:lang w:eastAsia="en-AU"/>
        </w:rPr>
        <w:t>4.2.5</w:t>
      </w:r>
      <w:r>
        <w:rPr>
          <w:lang w:eastAsia="en-AU"/>
        </w:rPr>
        <w:tab/>
        <w:t>Area of residence</w:t>
      </w:r>
      <w:bookmarkEnd w:id="86"/>
    </w:p>
    <w:p w:rsidR="00C827EF" w:rsidRDefault="00C827EF" w:rsidP="00C827EF">
      <w:pPr>
        <w:pStyle w:val="BodyText"/>
        <w:rPr>
          <w:rFonts w:eastAsiaTheme="minorEastAsia" w:cs="Source Sans Pro Light"/>
          <w:color w:val="000000"/>
          <w:sz w:val="20"/>
          <w:szCs w:val="20"/>
          <w:lang w:eastAsia="en-AU"/>
        </w:rPr>
      </w:pPr>
      <w:r>
        <w:rPr>
          <w:lang w:eastAsia="en-AU"/>
        </w:rPr>
        <w:t>All four anxiety disorders were more common in children living outside greater capital city areas (</w:t>
      </w:r>
      <w:r>
        <w:t>Table 4-</w:t>
      </w:r>
      <w:r>
        <w:rPr>
          <w:noProof/>
        </w:rPr>
        <w:t>6</w:t>
      </w:r>
      <w:r>
        <w:rPr>
          <w:lang w:eastAsia="en-AU"/>
        </w:rPr>
        <w:t>).</w:t>
      </w:r>
    </w:p>
    <w:p w:rsidR="00C827EF" w:rsidRDefault="00C827EF" w:rsidP="00C827EF">
      <w:pPr>
        <w:pStyle w:val="Caption"/>
        <w:keepNext/>
      </w:pPr>
      <w:bookmarkStart w:id="87" w:name="_Ref396383354"/>
      <w:r>
        <w:t>Table 4-</w:t>
      </w:r>
      <w:r>
        <w:rPr>
          <w:noProof/>
        </w:rPr>
        <w:t>6</w:t>
      </w:r>
      <w:bookmarkEnd w:id="87"/>
      <w:r>
        <w:t xml:space="preserve">: </w:t>
      </w:r>
      <w:r w:rsidRPr="004C74CC">
        <w:t>12-month prevalence of anxiety disorders</w:t>
      </w:r>
      <w:r w:rsidRPr="004E6E27">
        <w:t xml:space="preserve"> </w:t>
      </w:r>
      <w:r>
        <w:t>among 4-17 year-olds</w:t>
      </w:r>
      <w:r w:rsidRPr="004C74CC">
        <w:t xml:space="preserve"> by </w:t>
      </w:r>
      <w:r>
        <w:t>area of residence</w:t>
      </w:r>
    </w:p>
    <w:tbl>
      <w:tblPr>
        <w:tblW w:w="9146" w:type="dxa"/>
        <w:jc w:val="center"/>
        <w:tblLayout w:type="fixed"/>
        <w:tblCellMar>
          <w:left w:w="0" w:type="dxa"/>
          <w:right w:w="0" w:type="dxa"/>
        </w:tblCellMar>
        <w:tblLook w:val="0020" w:firstRow="1" w:lastRow="0" w:firstColumn="0" w:lastColumn="0" w:noHBand="0" w:noVBand="0"/>
        <w:tblDescription w:val="In Table 4-6 the first column defines place of residence. Read across the rows for the prevalence of social phobia, separation anxiety, generalised anxiety, obsessive-compulsive and finally any anxiety disorder."/>
      </w:tblPr>
      <w:tblGrid>
        <w:gridCol w:w="2187"/>
        <w:gridCol w:w="1391"/>
        <w:gridCol w:w="1392"/>
        <w:gridCol w:w="1392"/>
        <w:gridCol w:w="1392"/>
        <w:gridCol w:w="1392"/>
      </w:tblGrid>
      <w:tr w:rsidR="00C827EF" w:rsidRPr="00301889" w:rsidTr="00C827EF">
        <w:trPr>
          <w:cantSplit/>
          <w:tblHeader/>
          <w:jc w:val="center"/>
        </w:trPr>
        <w:tc>
          <w:tcPr>
            <w:tcW w:w="2187"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bookmarkStart w:id="88" w:name="IDX14"/>
            <w:bookmarkEnd w:id="88"/>
            <w:r w:rsidRPr="00AD5451">
              <w:rPr>
                <w:rStyle w:val="Strong"/>
              </w:rPr>
              <w:t>Area of residence</w:t>
            </w:r>
          </w:p>
        </w:tc>
        <w:tc>
          <w:tcPr>
            <w:tcW w:w="139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Social phobia (%)</w:t>
            </w:r>
          </w:p>
        </w:tc>
        <w:tc>
          <w:tcPr>
            <w:tcW w:w="139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Separation anxiety (%)</w:t>
            </w:r>
          </w:p>
        </w:tc>
        <w:tc>
          <w:tcPr>
            <w:tcW w:w="139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Generalised anxiety (%)</w:t>
            </w:r>
          </w:p>
        </w:tc>
        <w:tc>
          <w:tcPr>
            <w:tcW w:w="1392"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Obsessive-compulsive (%)</w:t>
            </w:r>
          </w:p>
        </w:tc>
        <w:tc>
          <w:tcPr>
            <w:tcW w:w="1392"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Any anxiety disorder (%)</w:t>
            </w:r>
          </w:p>
        </w:tc>
      </w:tr>
      <w:tr w:rsidR="00C827EF" w:rsidRPr="00301889" w:rsidTr="00C827EF">
        <w:trPr>
          <w:cantSplit/>
          <w:jc w:val="center"/>
        </w:trPr>
        <w:tc>
          <w:tcPr>
            <w:tcW w:w="2187"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Pr>
                <w:lang w:eastAsia="en-AU"/>
              </w:rPr>
              <w:t>Greater capital cities</w:t>
            </w:r>
          </w:p>
        </w:tc>
        <w:tc>
          <w:tcPr>
            <w:tcW w:w="1391"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2.1</w:t>
            </w:r>
          </w:p>
        </w:tc>
        <w:tc>
          <w:tcPr>
            <w:tcW w:w="13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3.9</w:t>
            </w:r>
          </w:p>
        </w:tc>
        <w:tc>
          <w:tcPr>
            <w:tcW w:w="13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2.1</w:t>
            </w:r>
          </w:p>
        </w:tc>
        <w:tc>
          <w:tcPr>
            <w:tcW w:w="1392" w:type="dxa"/>
            <w:tcBorders>
              <w:top w:val="nil"/>
              <w:left w:val="nil"/>
              <w:bottom w:val="nil"/>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0.7</w:t>
            </w:r>
          </w:p>
        </w:tc>
        <w:tc>
          <w:tcPr>
            <w:tcW w:w="1392" w:type="dxa"/>
            <w:tcBorders>
              <w:top w:val="nil"/>
              <w:left w:val="nil"/>
              <w:bottom w:val="nil"/>
              <w:right w:val="nil"/>
            </w:tcBorders>
            <w:shd w:val="clear" w:color="auto" w:fill="FFFFFF"/>
          </w:tcPr>
          <w:p w:rsidR="00C827EF" w:rsidRPr="00072CE1" w:rsidRDefault="00C827EF" w:rsidP="00C827EF">
            <w:pPr>
              <w:pStyle w:val="TableDataCell"/>
            </w:pPr>
            <w:r w:rsidRPr="00072CE1">
              <w:t>6.3</w:t>
            </w:r>
          </w:p>
        </w:tc>
      </w:tr>
      <w:tr w:rsidR="00C827EF" w:rsidRPr="00301889" w:rsidTr="00C827EF">
        <w:trPr>
          <w:cantSplit/>
          <w:jc w:val="center"/>
        </w:trPr>
        <w:tc>
          <w:tcPr>
            <w:tcW w:w="2187" w:type="dxa"/>
            <w:tcBorders>
              <w:top w:val="nil"/>
              <w:bottom w:val="single" w:sz="6" w:space="0" w:color="000000"/>
              <w:right w:val="nil"/>
            </w:tcBorders>
            <w:shd w:val="clear" w:color="auto" w:fill="EFF3FF"/>
            <w:tcMar>
              <w:left w:w="40" w:type="dxa"/>
              <w:right w:w="40" w:type="dxa"/>
            </w:tcMar>
          </w:tcPr>
          <w:p w:rsidR="00C827EF" w:rsidRPr="00301889" w:rsidRDefault="00C827EF" w:rsidP="00C827EF">
            <w:pPr>
              <w:pStyle w:val="TableRowHeadings"/>
              <w:rPr>
                <w:lang w:eastAsia="en-AU"/>
              </w:rPr>
            </w:pPr>
            <w:r>
              <w:rPr>
                <w:lang w:eastAsia="en-AU"/>
              </w:rPr>
              <w:t>Rest of state</w:t>
            </w:r>
          </w:p>
        </w:tc>
        <w:tc>
          <w:tcPr>
            <w:tcW w:w="1391"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2.7</w:t>
            </w:r>
          </w:p>
        </w:tc>
        <w:tc>
          <w:tcPr>
            <w:tcW w:w="1392"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4.8</w:t>
            </w:r>
          </w:p>
        </w:tc>
        <w:tc>
          <w:tcPr>
            <w:tcW w:w="1392"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2.3</w:t>
            </w:r>
          </w:p>
        </w:tc>
        <w:tc>
          <w:tcPr>
            <w:tcW w:w="1392" w:type="dxa"/>
            <w:tcBorders>
              <w:top w:val="nil"/>
              <w:left w:val="nil"/>
              <w:bottom w:val="single" w:sz="6" w:space="0" w:color="000000"/>
              <w:right w:val="nil"/>
            </w:tcBorders>
            <w:shd w:val="clear" w:color="auto" w:fill="FFFFFF"/>
            <w:tcMar>
              <w:left w:w="40" w:type="dxa"/>
              <w:right w:w="40" w:type="dxa"/>
            </w:tcMar>
            <w:vAlign w:val="bottom"/>
          </w:tcPr>
          <w:p w:rsidR="00C827EF" w:rsidRPr="00301889" w:rsidRDefault="00C827EF" w:rsidP="00C827EF">
            <w:pPr>
              <w:pStyle w:val="TableDataCell"/>
              <w:rPr>
                <w:lang w:eastAsia="en-AU"/>
              </w:rPr>
            </w:pPr>
            <w:r w:rsidRPr="00301889">
              <w:rPr>
                <w:lang w:eastAsia="en-AU"/>
              </w:rPr>
              <w:t>1.1</w:t>
            </w:r>
          </w:p>
        </w:tc>
        <w:tc>
          <w:tcPr>
            <w:tcW w:w="1392" w:type="dxa"/>
            <w:tcBorders>
              <w:top w:val="nil"/>
              <w:left w:val="nil"/>
              <w:bottom w:val="single" w:sz="6" w:space="0" w:color="000000"/>
              <w:right w:val="nil"/>
            </w:tcBorders>
            <w:shd w:val="clear" w:color="auto" w:fill="FFFFFF"/>
          </w:tcPr>
          <w:p w:rsidR="00C827EF" w:rsidRPr="00072CE1" w:rsidRDefault="00C827EF" w:rsidP="00C827EF">
            <w:pPr>
              <w:pStyle w:val="TableDataCell"/>
            </w:pPr>
            <w:r w:rsidRPr="00072CE1">
              <w:t>7.9</w:t>
            </w:r>
          </w:p>
        </w:tc>
      </w:tr>
    </w:tbl>
    <w:p w:rsidR="00C827EF" w:rsidRDefault="00C827EF" w:rsidP="00C827EF">
      <w:pPr>
        <w:pStyle w:val="TableFootnote"/>
      </w:pPr>
      <w:proofErr w:type="gramStart"/>
      <w:r w:rsidRPr="00B736D6">
        <w:t>Based on the ABS classification Greater Capital City Statistical Area (GCCSA)</w:t>
      </w:r>
      <w:r>
        <w:t>.</w:t>
      </w:r>
      <w:proofErr w:type="gramEnd"/>
    </w:p>
    <w:p w:rsidR="00C827EF" w:rsidRPr="00A7777D" w:rsidRDefault="00C827EF" w:rsidP="00C827EF">
      <w:pPr>
        <w:pStyle w:val="Heading3"/>
        <w:rPr>
          <w:rFonts w:eastAsiaTheme="minorEastAsia"/>
          <w:lang w:eastAsia="en-AU"/>
        </w:rPr>
      </w:pPr>
      <w:bookmarkStart w:id="89" w:name="_Toc401758808"/>
      <w:r>
        <w:rPr>
          <w:rFonts w:eastAsiaTheme="minorEastAsia"/>
          <w:lang w:eastAsia="en-AU"/>
        </w:rPr>
        <w:lastRenderedPageBreak/>
        <w:t>4.2.6</w:t>
      </w:r>
      <w:r>
        <w:rPr>
          <w:rFonts w:eastAsiaTheme="minorEastAsia"/>
          <w:lang w:eastAsia="en-AU"/>
        </w:rPr>
        <w:tab/>
        <w:t>Family functioning</w:t>
      </w:r>
      <w:bookmarkEnd w:id="89"/>
    </w:p>
    <w:p w:rsidR="00C827EF" w:rsidRPr="00AD5451" w:rsidRDefault="00C827EF" w:rsidP="00C827EF">
      <w:pPr>
        <w:pStyle w:val="BodyText"/>
      </w:pPr>
      <w:r>
        <w:t>Table 4-</w:t>
      </w:r>
      <w:r>
        <w:rPr>
          <w:noProof/>
        </w:rPr>
        <w:t>7</w:t>
      </w:r>
      <w:r>
        <w:t xml:space="preserve"> shows the relationship between family functioning and the prevalence of anxiety disorders in children and adolescents. There was a strong relationship between level of family functioning and the prevalence of separation anxiety disorder, with 12.9% of children aged 4-11 years living in families with poor family functioning having separation anxiety disorder as compared with 3.8% of children living in families with very good functioning. Similarly 10.4% of 12-17 year-olds in families with poor family functioning had separation anxiety disorder, compared with 3.0% of 12-17 year-olds in families with very good family functioning.</w:t>
      </w:r>
    </w:p>
    <w:p w:rsidR="00C827EF" w:rsidRDefault="00C827EF" w:rsidP="00C827EF">
      <w:pPr>
        <w:pStyle w:val="Caption"/>
        <w:keepNext/>
      </w:pPr>
      <w:bookmarkStart w:id="90" w:name="_Ref400983089"/>
      <w:r>
        <w:t>Table 4-</w:t>
      </w:r>
      <w:r>
        <w:rPr>
          <w:noProof/>
        </w:rPr>
        <w:t>7</w:t>
      </w:r>
      <w:bookmarkEnd w:id="90"/>
      <w:r>
        <w:t xml:space="preserve">: </w:t>
      </w:r>
      <w:r w:rsidRPr="005C3E53">
        <w:t>12-month prevalence of anxiety disorders</w:t>
      </w:r>
      <w:r w:rsidRPr="004E6E27">
        <w:t xml:space="preserve"> </w:t>
      </w:r>
      <w:r>
        <w:t>among 4-17 year-olds</w:t>
      </w:r>
      <w:r w:rsidRPr="005C3E53">
        <w:t xml:space="preserve"> by family functioning and age group</w:t>
      </w:r>
    </w:p>
    <w:tbl>
      <w:tblPr>
        <w:tblW w:w="9129" w:type="dxa"/>
        <w:jc w:val="center"/>
        <w:tblLayout w:type="fixed"/>
        <w:tblCellMar>
          <w:left w:w="0" w:type="dxa"/>
          <w:right w:w="0" w:type="dxa"/>
        </w:tblCellMar>
        <w:tblLook w:val="0020" w:firstRow="1" w:lastRow="0" w:firstColumn="0" w:lastColumn="0" w:noHBand="0" w:noVBand="0"/>
        <w:tblDescription w:val="In Table 4-7 the first column defines specific anxiety disorder, the second column defines level of family functioning. Read across the row for the proportion of 4-11 year-olds, the proportion of 12-17 year-olds and the proportion of 4-17 year-olds who have that anxiety disorder from families with that level of family functioning."/>
      </w:tblPr>
      <w:tblGrid>
        <w:gridCol w:w="1956"/>
        <w:gridCol w:w="2558"/>
        <w:gridCol w:w="1490"/>
        <w:gridCol w:w="1635"/>
        <w:gridCol w:w="1490"/>
      </w:tblGrid>
      <w:tr w:rsidR="00C827EF" w:rsidRPr="000D794C" w:rsidTr="00C827EF">
        <w:trPr>
          <w:cantSplit/>
          <w:tblHeader/>
          <w:jc w:val="center"/>
        </w:trPr>
        <w:tc>
          <w:tcPr>
            <w:tcW w:w="1956" w:type="dxa"/>
            <w:tcBorders>
              <w:top w:val="single" w:sz="6" w:space="0" w:color="000000"/>
              <w:bottom w:val="single" w:sz="4" w:space="0" w:color="FFFFFF"/>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r w:rsidRPr="00AD5451">
              <w:rPr>
                <w:rStyle w:val="Strong"/>
              </w:rPr>
              <w:t>Anxiety disorder</w:t>
            </w:r>
          </w:p>
        </w:tc>
        <w:tc>
          <w:tcPr>
            <w:tcW w:w="2558" w:type="dxa"/>
            <w:tcBorders>
              <w:top w:val="single" w:sz="6" w:space="0" w:color="000000"/>
              <w:left w:val="single" w:sz="4" w:space="0" w:color="FFFFFF"/>
              <w:bottom w:val="single" w:sz="4" w:space="0" w:color="000000"/>
              <w:right w:val="nil"/>
            </w:tcBorders>
            <w:shd w:val="clear" w:color="auto" w:fill="EFF3FF"/>
            <w:vAlign w:val="bottom"/>
          </w:tcPr>
          <w:p w:rsidR="00C827EF" w:rsidRPr="00AD5451" w:rsidRDefault="00C827EF" w:rsidP="00C827EF">
            <w:pPr>
              <w:pStyle w:val="TableColumnHeadings"/>
              <w:jc w:val="left"/>
              <w:rPr>
                <w:rStyle w:val="Strong"/>
              </w:rPr>
            </w:pPr>
            <w:r w:rsidRPr="00AD5451">
              <w:rPr>
                <w:rStyle w:val="Strong"/>
              </w:rPr>
              <w:t>Level of family functioning</w:t>
            </w:r>
          </w:p>
        </w:tc>
        <w:tc>
          <w:tcPr>
            <w:tcW w:w="14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4-11 years (%)</w:t>
            </w:r>
          </w:p>
        </w:tc>
        <w:tc>
          <w:tcPr>
            <w:tcW w:w="163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12-17 years (%)</w:t>
            </w:r>
          </w:p>
        </w:tc>
        <w:tc>
          <w:tcPr>
            <w:tcW w:w="149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4-17 years (%)</w:t>
            </w:r>
          </w:p>
        </w:tc>
      </w:tr>
      <w:tr w:rsidR="00C827EF" w:rsidRPr="000D794C" w:rsidTr="00C827EF">
        <w:trPr>
          <w:cantSplit/>
          <w:jc w:val="center"/>
        </w:trPr>
        <w:tc>
          <w:tcPr>
            <w:tcW w:w="1956" w:type="dxa"/>
            <w:vMerge w:val="restart"/>
            <w:tcBorders>
              <w:top w:val="single" w:sz="4" w:space="0" w:color="000000"/>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Social phobia</w:t>
            </w: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Very 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1.1</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3.7</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2.1</w:t>
            </w:r>
          </w:p>
        </w:tc>
      </w:tr>
      <w:tr w:rsidR="00C827EF" w:rsidRPr="000D794C" w:rsidTr="00C827EF">
        <w:trPr>
          <w:cantSplit/>
          <w:jc w:val="center"/>
        </w:trPr>
        <w:tc>
          <w:tcPr>
            <w:tcW w:w="1956" w:type="dxa"/>
            <w:vMerge/>
            <w:tcBorders>
              <w:top w:val="single" w:sz="4" w:space="0" w:color="000000"/>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2.4</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2.2</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2.3</w:t>
            </w:r>
          </w:p>
        </w:tc>
      </w:tr>
      <w:tr w:rsidR="00C827EF" w:rsidRPr="000D794C" w:rsidTr="00C827EF">
        <w:trPr>
          <w:cantSplit/>
          <w:jc w:val="center"/>
        </w:trPr>
        <w:tc>
          <w:tcPr>
            <w:tcW w:w="1956" w:type="dxa"/>
            <w:vMerge/>
            <w:tcBorders>
              <w:top w:val="single" w:sz="4" w:space="0" w:color="000000"/>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Fair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2.5</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3.3</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2.9</w:t>
            </w:r>
          </w:p>
        </w:tc>
      </w:tr>
      <w:tr w:rsidR="00C827EF" w:rsidRPr="000D794C" w:rsidTr="00C827EF">
        <w:trPr>
          <w:cantSplit/>
          <w:jc w:val="center"/>
        </w:trPr>
        <w:tc>
          <w:tcPr>
            <w:tcW w:w="1956" w:type="dxa"/>
            <w:vMerge/>
            <w:tcBorders>
              <w:top w:val="single" w:sz="4" w:space="0" w:color="000000"/>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Poor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Pr>
                <w:lang w:eastAsia="en-AU"/>
              </w:rPr>
              <w:t>np</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5.9</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3.7</w:t>
            </w:r>
          </w:p>
        </w:tc>
      </w:tr>
      <w:tr w:rsidR="00C827EF" w:rsidRPr="000D794C" w:rsidTr="00C827EF">
        <w:trPr>
          <w:cantSplit/>
          <w:jc w:val="center"/>
        </w:trPr>
        <w:tc>
          <w:tcPr>
            <w:tcW w:w="1956" w:type="dxa"/>
            <w:vMerge w:val="restart"/>
            <w:tcBorders>
              <w:top w:val="single" w:sz="4" w:space="0" w:color="FFFFFF"/>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Separation anxiety</w:t>
            </w: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Very 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3.8</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3.0</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3.5</w:t>
            </w:r>
          </w:p>
        </w:tc>
      </w:tr>
      <w:tr w:rsidR="00C827EF" w:rsidRPr="000D794C" w:rsidTr="00C827EF">
        <w:trPr>
          <w:cantSplit/>
          <w:jc w:val="center"/>
        </w:trPr>
        <w:tc>
          <w:tcPr>
            <w:tcW w:w="1956" w:type="dxa"/>
            <w:vMerge/>
            <w:tcBorders>
              <w:top w:val="nil"/>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7.0</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3.3</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5.3</w:t>
            </w:r>
          </w:p>
        </w:tc>
      </w:tr>
      <w:tr w:rsidR="00C827EF" w:rsidRPr="000D794C" w:rsidTr="00C827EF">
        <w:trPr>
          <w:cantSplit/>
          <w:jc w:val="center"/>
        </w:trPr>
        <w:tc>
          <w:tcPr>
            <w:tcW w:w="1956" w:type="dxa"/>
            <w:vMerge/>
            <w:tcBorders>
              <w:top w:val="nil"/>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Fair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4.5</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3.1</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3.9</w:t>
            </w:r>
          </w:p>
        </w:tc>
      </w:tr>
      <w:tr w:rsidR="00C827EF" w:rsidRPr="000D794C" w:rsidTr="00C827EF">
        <w:trPr>
          <w:cantSplit/>
          <w:jc w:val="center"/>
        </w:trPr>
        <w:tc>
          <w:tcPr>
            <w:tcW w:w="1956" w:type="dxa"/>
            <w:vMerge/>
            <w:tcBorders>
              <w:top w:val="nil"/>
              <w:bottom w:val="single" w:sz="4" w:space="0" w:color="FFFFFF" w:themeColor="background1"/>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Poor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12.9</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10.4</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11.7</w:t>
            </w:r>
          </w:p>
        </w:tc>
      </w:tr>
      <w:tr w:rsidR="00C827EF" w:rsidRPr="000D794C" w:rsidTr="00C827EF">
        <w:trPr>
          <w:cantSplit/>
          <w:jc w:val="center"/>
        </w:trPr>
        <w:tc>
          <w:tcPr>
            <w:tcW w:w="1956"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Generalised anxiety</w:t>
            </w: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Very 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1.2</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2.5</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1.7</w:t>
            </w:r>
          </w:p>
        </w:tc>
      </w:tr>
      <w:tr w:rsidR="00C827EF" w:rsidRPr="000D794C" w:rsidTr="00C827EF">
        <w:trPr>
          <w:cantSplit/>
          <w:jc w:val="center"/>
        </w:trPr>
        <w:tc>
          <w:tcPr>
            <w:tcW w:w="1956" w:type="dxa"/>
            <w:vMerge/>
            <w:tcBorders>
              <w:top w:val="single" w:sz="4" w:space="0" w:color="FFFFFF" w:themeColor="background1"/>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1.8</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2.1</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2.0</w:t>
            </w:r>
          </w:p>
        </w:tc>
      </w:tr>
      <w:tr w:rsidR="00C827EF" w:rsidRPr="000D794C" w:rsidTr="00C827EF">
        <w:trPr>
          <w:cantSplit/>
          <w:jc w:val="center"/>
        </w:trPr>
        <w:tc>
          <w:tcPr>
            <w:tcW w:w="1956" w:type="dxa"/>
            <w:vMerge/>
            <w:tcBorders>
              <w:top w:val="single" w:sz="4" w:space="0" w:color="FFFFFF" w:themeColor="background1"/>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Fair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3.3</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4.2</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3.7</w:t>
            </w:r>
          </w:p>
        </w:tc>
      </w:tr>
      <w:tr w:rsidR="00C827EF" w:rsidRPr="000D794C" w:rsidTr="00C827EF">
        <w:trPr>
          <w:cantSplit/>
          <w:jc w:val="center"/>
        </w:trPr>
        <w:tc>
          <w:tcPr>
            <w:tcW w:w="1956" w:type="dxa"/>
            <w:vMerge/>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Poor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3.4</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8.1</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5.7</w:t>
            </w:r>
          </w:p>
        </w:tc>
      </w:tr>
      <w:tr w:rsidR="00C827EF" w:rsidRPr="000D794C" w:rsidTr="00C827EF">
        <w:trPr>
          <w:cantSplit/>
          <w:jc w:val="center"/>
        </w:trPr>
        <w:tc>
          <w:tcPr>
            <w:tcW w:w="1956"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Obsessive-compulsive</w:t>
            </w: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Very 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0.8</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0.6</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0.7</w:t>
            </w:r>
          </w:p>
        </w:tc>
      </w:tr>
      <w:tr w:rsidR="00C827EF" w:rsidRPr="000D794C" w:rsidTr="00C827EF">
        <w:trPr>
          <w:cantSplit/>
          <w:jc w:val="center"/>
        </w:trPr>
        <w:tc>
          <w:tcPr>
            <w:tcW w:w="1956" w:type="dxa"/>
            <w:vMerge/>
            <w:tcBorders>
              <w:top w:val="single" w:sz="6" w:space="0" w:color="000000"/>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Good</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0.6</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0.9</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0.7</w:t>
            </w:r>
          </w:p>
        </w:tc>
      </w:tr>
      <w:tr w:rsidR="00C827EF" w:rsidRPr="000D794C" w:rsidTr="00C827EF">
        <w:trPr>
          <w:cantSplit/>
          <w:jc w:val="center"/>
        </w:trPr>
        <w:tc>
          <w:tcPr>
            <w:tcW w:w="1956" w:type="dxa"/>
            <w:vMerge/>
            <w:tcBorders>
              <w:top w:val="single" w:sz="6" w:space="0" w:color="000000"/>
              <w:bottom w:val="single" w:sz="6"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Fair</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Pr>
                <w:lang w:eastAsia="en-AU"/>
              </w:rPr>
              <w:t>np</w:t>
            </w:r>
          </w:p>
        </w:tc>
        <w:tc>
          <w:tcPr>
            <w:tcW w:w="1635"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1.5</w:t>
            </w:r>
          </w:p>
        </w:tc>
        <w:tc>
          <w:tcPr>
            <w:tcW w:w="1490" w:type="dxa"/>
            <w:tcBorders>
              <w:top w:val="nil"/>
              <w:left w:val="nil"/>
              <w:bottom w:val="nil"/>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1.0</w:t>
            </w:r>
          </w:p>
        </w:tc>
      </w:tr>
      <w:tr w:rsidR="00C827EF" w:rsidRPr="000D794C" w:rsidTr="00C827EF">
        <w:trPr>
          <w:cantSplit/>
          <w:jc w:val="center"/>
        </w:trPr>
        <w:tc>
          <w:tcPr>
            <w:tcW w:w="1956" w:type="dxa"/>
            <w:vMerge/>
            <w:tcBorders>
              <w:top w:val="single" w:sz="6" w:space="0" w:color="000000"/>
              <w:bottom w:val="single" w:sz="4" w:space="0" w:color="000000"/>
              <w:right w:val="nil"/>
            </w:tcBorders>
            <w:shd w:val="clear" w:color="auto" w:fill="EFF3FF"/>
            <w:tcMar>
              <w:left w:w="40" w:type="dxa"/>
              <w:right w:w="40" w:type="dxa"/>
            </w:tcMar>
          </w:tcPr>
          <w:p w:rsidR="00C827EF" w:rsidRPr="000D794C" w:rsidRDefault="00C827EF" w:rsidP="00C827EF">
            <w:pPr>
              <w:pStyle w:val="TableRowHeadings"/>
              <w:rPr>
                <w:rFonts w:ascii="Times New Roman" w:hAnsi="Times New Roman" w:cs="Times New Roman"/>
                <w:sz w:val="24"/>
                <w:szCs w:val="24"/>
                <w:lang w:eastAsia="en-AU"/>
              </w:rPr>
            </w:pPr>
          </w:p>
        </w:tc>
        <w:tc>
          <w:tcPr>
            <w:tcW w:w="2558" w:type="dxa"/>
            <w:tcBorders>
              <w:top w:val="nil"/>
              <w:left w:val="single" w:sz="4" w:space="0" w:color="FFFFFF"/>
              <w:bottom w:val="single" w:sz="4" w:space="0" w:color="auto"/>
              <w:right w:val="nil"/>
            </w:tcBorders>
            <w:shd w:val="clear" w:color="auto" w:fill="EFF3FF"/>
            <w:tcMar>
              <w:left w:w="40" w:type="dxa"/>
              <w:right w:w="40" w:type="dxa"/>
            </w:tcMar>
          </w:tcPr>
          <w:p w:rsidR="00C827EF" w:rsidRPr="000D794C" w:rsidRDefault="00C827EF" w:rsidP="00C827EF">
            <w:pPr>
              <w:pStyle w:val="TableRowHeadings"/>
              <w:rPr>
                <w:lang w:eastAsia="en-AU"/>
              </w:rPr>
            </w:pPr>
            <w:r w:rsidRPr="000D794C">
              <w:rPr>
                <w:lang w:eastAsia="en-AU"/>
              </w:rPr>
              <w:t>Poor</w:t>
            </w:r>
          </w:p>
        </w:tc>
        <w:tc>
          <w:tcPr>
            <w:tcW w:w="1490" w:type="dxa"/>
            <w:tcBorders>
              <w:top w:val="nil"/>
              <w:left w:val="nil"/>
              <w:bottom w:val="single" w:sz="4" w:space="0" w:color="auto"/>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Pr>
                <w:lang w:eastAsia="en-AU"/>
              </w:rPr>
              <w:t>3.5</w:t>
            </w:r>
          </w:p>
        </w:tc>
        <w:tc>
          <w:tcPr>
            <w:tcW w:w="1635" w:type="dxa"/>
            <w:tcBorders>
              <w:top w:val="nil"/>
              <w:left w:val="nil"/>
              <w:bottom w:val="single" w:sz="4" w:space="0" w:color="auto"/>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Pr>
                <w:lang w:eastAsia="en-AU"/>
              </w:rPr>
              <w:t>np</w:t>
            </w:r>
          </w:p>
        </w:tc>
        <w:tc>
          <w:tcPr>
            <w:tcW w:w="1490" w:type="dxa"/>
            <w:tcBorders>
              <w:top w:val="nil"/>
              <w:left w:val="nil"/>
              <w:bottom w:val="single" w:sz="4" w:space="0" w:color="auto"/>
              <w:right w:val="nil"/>
            </w:tcBorders>
            <w:shd w:val="clear" w:color="auto" w:fill="FFFFFF"/>
            <w:tcMar>
              <w:left w:w="40" w:type="dxa"/>
              <w:right w:w="40" w:type="dxa"/>
            </w:tcMar>
            <w:vAlign w:val="bottom"/>
          </w:tcPr>
          <w:p w:rsidR="00C827EF" w:rsidRPr="000D794C" w:rsidRDefault="00C827EF" w:rsidP="00C827EF">
            <w:pPr>
              <w:pStyle w:val="TableDataCell"/>
              <w:rPr>
                <w:lang w:eastAsia="en-AU"/>
              </w:rPr>
            </w:pPr>
            <w:r w:rsidRPr="000D794C">
              <w:rPr>
                <w:lang w:eastAsia="en-AU"/>
              </w:rPr>
              <w:t>2.3</w:t>
            </w:r>
          </w:p>
        </w:tc>
      </w:tr>
      <w:tr w:rsidR="00C827EF" w:rsidRPr="000D794C" w:rsidTr="00C827EF">
        <w:trPr>
          <w:cantSplit/>
          <w:jc w:val="center"/>
        </w:trPr>
        <w:tc>
          <w:tcPr>
            <w:tcW w:w="1956" w:type="dxa"/>
            <w:vMerge w:val="restart"/>
            <w:tcBorders>
              <w:top w:val="single" w:sz="4"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Any anxiety disorder</w:t>
            </w:r>
          </w:p>
        </w:tc>
        <w:tc>
          <w:tcPr>
            <w:tcW w:w="2558" w:type="dxa"/>
            <w:tcBorders>
              <w:top w:val="single" w:sz="4" w:space="0" w:color="auto"/>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Very good</w:t>
            </w:r>
          </w:p>
        </w:tc>
        <w:tc>
          <w:tcPr>
            <w:tcW w:w="1490"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5.4</w:t>
            </w:r>
          </w:p>
        </w:tc>
        <w:tc>
          <w:tcPr>
            <w:tcW w:w="1635"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6.2</w:t>
            </w:r>
          </w:p>
        </w:tc>
        <w:tc>
          <w:tcPr>
            <w:tcW w:w="1490"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5.7</w:t>
            </w:r>
          </w:p>
        </w:tc>
      </w:tr>
      <w:tr w:rsidR="00C827EF" w:rsidRPr="000D794C" w:rsidTr="00C827EF">
        <w:trPr>
          <w:cantSplit/>
          <w:jc w:val="center"/>
        </w:trPr>
        <w:tc>
          <w:tcPr>
            <w:tcW w:w="1956"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Good</w:t>
            </w:r>
          </w:p>
        </w:tc>
        <w:tc>
          <w:tcPr>
            <w:tcW w:w="149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9.3</w:t>
            </w:r>
          </w:p>
        </w:tc>
        <w:tc>
          <w:tcPr>
            <w:tcW w:w="1635"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6.1</w:t>
            </w:r>
          </w:p>
        </w:tc>
        <w:tc>
          <w:tcPr>
            <w:tcW w:w="149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7.8</w:t>
            </w:r>
          </w:p>
        </w:tc>
      </w:tr>
      <w:tr w:rsidR="00C827EF" w:rsidRPr="000D794C" w:rsidTr="00C827EF">
        <w:trPr>
          <w:cantSplit/>
          <w:jc w:val="center"/>
        </w:trPr>
        <w:tc>
          <w:tcPr>
            <w:tcW w:w="1956"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558" w:type="dxa"/>
            <w:tcBorders>
              <w:top w:val="nil"/>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Fair</w:t>
            </w:r>
          </w:p>
        </w:tc>
        <w:tc>
          <w:tcPr>
            <w:tcW w:w="149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7.9</w:t>
            </w:r>
          </w:p>
        </w:tc>
        <w:tc>
          <w:tcPr>
            <w:tcW w:w="1635"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8.3</w:t>
            </w:r>
          </w:p>
        </w:tc>
        <w:tc>
          <w:tcPr>
            <w:tcW w:w="149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8.1</w:t>
            </w:r>
          </w:p>
        </w:tc>
      </w:tr>
      <w:tr w:rsidR="00C827EF" w:rsidRPr="000D794C" w:rsidTr="00C827EF">
        <w:trPr>
          <w:cantSplit/>
          <w:jc w:val="center"/>
        </w:trPr>
        <w:tc>
          <w:tcPr>
            <w:tcW w:w="1956"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558" w:type="dxa"/>
            <w:tcBorders>
              <w:top w:val="nil"/>
              <w:left w:val="single" w:sz="4" w:space="0" w:color="FFFFFF"/>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Poor</w:t>
            </w:r>
          </w:p>
        </w:tc>
        <w:tc>
          <w:tcPr>
            <w:tcW w:w="1490"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15.4</w:t>
            </w:r>
          </w:p>
        </w:tc>
        <w:tc>
          <w:tcPr>
            <w:tcW w:w="1635"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18.1</w:t>
            </w:r>
          </w:p>
        </w:tc>
        <w:tc>
          <w:tcPr>
            <w:tcW w:w="1490"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16.8</w:t>
            </w:r>
          </w:p>
        </w:tc>
      </w:tr>
    </w:tbl>
    <w:p w:rsidR="00C827EF" w:rsidRDefault="00C827EF" w:rsidP="00C827EF">
      <w:pPr>
        <w:pStyle w:val="TableFootnote"/>
        <w:ind w:left="0" w:firstLine="0"/>
      </w:pPr>
      <w:bookmarkStart w:id="91" w:name="_Toc401758809"/>
      <w:r>
        <w:t xml:space="preserve">Family functioning was measured across a number of domains by the McMaster Family Assessment Device (see glossary). </w:t>
      </w:r>
      <w:r>
        <w:br/>
      </w:r>
      <w:proofErr w:type="gramStart"/>
      <w:r>
        <w:t>np</w:t>
      </w:r>
      <w:proofErr w:type="gramEnd"/>
      <w:r>
        <w:tab/>
        <w:t>Not available for publication because of small cell size, but included in totals where applicable.</w:t>
      </w:r>
    </w:p>
    <w:p w:rsidR="00C827EF" w:rsidRPr="00AD5451" w:rsidRDefault="00C827EF" w:rsidP="00C827EF">
      <w:pPr>
        <w:pStyle w:val="BodyText"/>
      </w:pPr>
      <w:r>
        <w:br w:type="page"/>
      </w:r>
    </w:p>
    <w:p w:rsidR="00C827EF" w:rsidRDefault="00C827EF" w:rsidP="00C827EF">
      <w:pPr>
        <w:pStyle w:val="Heading2"/>
      </w:pPr>
      <w:r>
        <w:lastRenderedPageBreak/>
        <w:t>4.3</w:t>
      </w:r>
      <w:r>
        <w:tab/>
        <w:t>Impact of anxiety disorders</w:t>
      </w:r>
      <w:bookmarkEnd w:id="91"/>
    </w:p>
    <w:p w:rsidR="00C827EF" w:rsidRPr="00692A2A" w:rsidRDefault="00C827EF" w:rsidP="00C827EF">
      <w:pPr>
        <w:pStyle w:val="BodyText"/>
      </w:pPr>
      <w:r>
        <w:t>Mental disorders impact on young people in a number of ways across different aspects of their lives. The severity that symptoms of anxiety disorders had across four different life domains are reported as well as the number of days absent from school in the previous 12 months as a result of anxiety disorder symptoms.</w:t>
      </w:r>
    </w:p>
    <w:p w:rsidR="00C827EF" w:rsidRDefault="00C827EF" w:rsidP="00C827EF">
      <w:pPr>
        <w:pStyle w:val="Heading3"/>
      </w:pPr>
      <w:bookmarkStart w:id="92" w:name="_Toc401758811"/>
      <w:r>
        <w:t>4.3.1</w:t>
      </w:r>
      <w:r>
        <w:tab/>
        <w:t>Severity of impact on functioning</w:t>
      </w:r>
      <w:bookmarkEnd w:id="92"/>
    </w:p>
    <w:p w:rsidR="00C827EF" w:rsidRDefault="00C827EF" w:rsidP="00C827EF">
      <w:pPr>
        <w:pStyle w:val="BodyText"/>
      </w:pPr>
      <w:r>
        <w:t>The severity of anxiety disorders in four different domains (school or work, friends and social activities, family and self) and overall is reported in Table 4-</w:t>
      </w:r>
      <w:r>
        <w:rPr>
          <w:noProof/>
        </w:rPr>
        <w:t>8</w:t>
      </w:r>
      <w:r>
        <w:t>. Overall 18.7% of children and adolescents with anxiety disorders had a severe disorder, while 27.5% had a moderate disorder.</w:t>
      </w:r>
    </w:p>
    <w:p w:rsidR="00C827EF" w:rsidRDefault="00C827EF" w:rsidP="00C827EF">
      <w:pPr>
        <w:pStyle w:val="BodyText"/>
      </w:pPr>
      <w:r>
        <w:t xml:space="preserve">The type and severity of impact varied considerably between the four anxiety disorders. There </w:t>
      </w:r>
      <w:proofErr w:type="gramStart"/>
      <w:r>
        <w:t>was</w:t>
      </w:r>
      <w:proofErr w:type="gramEnd"/>
      <w:r>
        <w:t xml:space="preserve"> a lower proportion of cases with severe impact in each domain for separation anxiety compared with the other anxiety disorders. Obsessive-compulsive disorder was the disorder with the largest proportion of cases experiencing severe impact across the functioning domains with the exception of friends.</w:t>
      </w:r>
    </w:p>
    <w:p w:rsidR="00C827EF" w:rsidRDefault="00C827EF" w:rsidP="00C827EF">
      <w:pPr>
        <w:pStyle w:val="BodyText"/>
      </w:pPr>
      <w:r>
        <w:t>In contrast to other disorders, a higher proportion of children and adolescents with social phobia h</w:t>
      </w:r>
      <w:r w:rsidR="001D14B6">
        <w:t xml:space="preserve">ad severe impact in the </w:t>
      </w:r>
      <w:proofErr w:type="gramStart"/>
      <w:r w:rsidR="001D14B6">
        <w:t>friends</w:t>
      </w:r>
      <w:proofErr w:type="gramEnd"/>
      <w:r>
        <w:t xml:space="preserve"> domain (23.4%) while a high proportion with generalised anxiety had severe impact in the family domain (30.9). A high proportion of children and adolescents with obsessive-compulsive disorder also had severe impact in the school/work domain and family domains (33.0% and 37.4% respectively). </w:t>
      </w:r>
    </w:p>
    <w:p w:rsidR="00C827EF" w:rsidRDefault="00C827EF" w:rsidP="00C827EF">
      <w:pPr>
        <w:pStyle w:val="Caption"/>
        <w:keepNext/>
        <w:pageBreakBefore/>
        <w:spacing w:before="0"/>
      </w:pPr>
      <w:bookmarkStart w:id="93" w:name="_Ref406154824"/>
      <w:bookmarkStart w:id="94" w:name="_Toc401758810"/>
      <w:r>
        <w:lastRenderedPageBreak/>
        <w:t>Table 4-</w:t>
      </w:r>
      <w:r>
        <w:rPr>
          <w:noProof/>
        </w:rPr>
        <w:t>8</w:t>
      </w:r>
      <w:bookmarkEnd w:id="93"/>
      <w:r>
        <w:t>: Severity of i</w:t>
      </w:r>
      <w:r w:rsidRPr="006B4D1D">
        <w:t>mpact in different life domains among 4-17 year-olds with anxiety disorders</w:t>
      </w:r>
    </w:p>
    <w:tbl>
      <w:tblPr>
        <w:tblW w:w="9127" w:type="dxa"/>
        <w:jc w:val="center"/>
        <w:tblLayout w:type="fixed"/>
        <w:tblCellMar>
          <w:left w:w="0" w:type="dxa"/>
          <w:right w:w="0" w:type="dxa"/>
        </w:tblCellMar>
        <w:tblLook w:val="0000" w:firstRow="0" w:lastRow="0" w:firstColumn="0" w:lastColumn="0" w:noHBand="0" w:noVBand="0"/>
        <w:tblDescription w:val="In Table 4-8 the first column defines specific anxiety disorder, the second column defines level of impact on functioning. Read across the row for the proportion with each disorder who have the specified level of impact on functioning in first the school or work domain, then the friends domain, the family domain, the self domain and finally overall severity."/>
      </w:tblPr>
      <w:tblGrid>
        <w:gridCol w:w="1367"/>
        <w:gridCol w:w="2058"/>
        <w:gridCol w:w="1140"/>
        <w:gridCol w:w="1140"/>
        <w:gridCol w:w="1141"/>
        <w:gridCol w:w="1140"/>
        <w:gridCol w:w="1141"/>
      </w:tblGrid>
      <w:tr w:rsidR="00C827EF" w:rsidRPr="00152022" w:rsidTr="00C827EF">
        <w:trPr>
          <w:cantSplit/>
          <w:tblHeader/>
          <w:jc w:val="center"/>
        </w:trPr>
        <w:tc>
          <w:tcPr>
            <w:tcW w:w="1367"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RowHeadings"/>
              <w:rPr>
                <w:rStyle w:val="Strong"/>
              </w:rPr>
            </w:pPr>
            <w:r w:rsidRPr="00AD5451">
              <w:rPr>
                <w:rStyle w:val="Strong"/>
              </w:rPr>
              <w:t>Anxiety disorder</w:t>
            </w:r>
          </w:p>
        </w:tc>
        <w:tc>
          <w:tcPr>
            <w:tcW w:w="2058" w:type="dxa"/>
            <w:tcBorders>
              <w:top w:val="single" w:sz="6" w:space="0" w:color="000000"/>
              <w:left w:val="single" w:sz="4" w:space="0" w:color="FFFFFF"/>
              <w:bottom w:val="single" w:sz="4" w:space="0" w:color="000000"/>
              <w:right w:val="nil"/>
            </w:tcBorders>
            <w:shd w:val="clear" w:color="auto" w:fill="EFF3FF"/>
            <w:vAlign w:val="bottom"/>
          </w:tcPr>
          <w:p w:rsidR="00C827EF" w:rsidRPr="00AD5451" w:rsidRDefault="00C827EF" w:rsidP="00C827EF">
            <w:pPr>
              <w:pStyle w:val="TableRowHeadings"/>
              <w:rPr>
                <w:rStyle w:val="Strong"/>
              </w:rPr>
            </w:pPr>
            <w:r w:rsidRPr="00AD5451">
              <w:rPr>
                <w:rStyle w:val="Strong"/>
              </w:rPr>
              <w:t>Severity</w:t>
            </w:r>
          </w:p>
        </w:tc>
        <w:tc>
          <w:tcPr>
            <w:tcW w:w="114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RowHeadings"/>
              <w:jc w:val="center"/>
              <w:rPr>
                <w:rStyle w:val="Strong"/>
              </w:rPr>
            </w:pPr>
            <w:r w:rsidRPr="00AD5451">
              <w:rPr>
                <w:rStyle w:val="Strong"/>
              </w:rPr>
              <w:t>School/</w:t>
            </w:r>
            <w:r w:rsidRPr="00AD5451">
              <w:rPr>
                <w:rStyle w:val="Strong"/>
              </w:rPr>
              <w:br/>
              <w:t>work</w:t>
            </w:r>
          </w:p>
          <w:p w:rsidR="00C827EF" w:rsidRPr="00AD5451" w:rsidRDefault="00C827EF" w:rsidP="00C827EF">
            <w:pPr>
              <w:pStyle w:val="TableRowHeadings"/>
              <w:jc w:val="center"/>
              <w:rPr>
                <w:rStyle w:val="Strong"/>
              </w:rPr>
            </w:pPr>
            <w:r w:rsidRPr="00AD5451">
              <w:rPr>
                <w:rStyle w:val="Strong"/>
              </w:rPr>
              <w:t>(%)</w:t>
            </w:r>
          </w:p>
        </w:tc>
        <w:tc>
          <w:tcPr>
            <w:tcW w:w="114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RowHeadings"/>
              <w:jc w:val="center"/>
              <w:rPr>
                <w:rStyle w:val="Strong"/>
              </w:rPr>
            </w:pPr>
            <w:r w:rsidRPr="00AD5451">
              <w:rPr>
                <w:rStyle w:val="Strong"/>
              </w:rPr>
              <w:t>Friends</w:t>
            </w:r>
          </w:p>
          <w:p w:rsidR="00C827EF" w:rsidRPr="00AD5451" w:rsidRDefault="00C827EF" w:rsidP="00C827EF">
            <w:pPr>
              <w:pStyle w:val="TableRowHeadings"/>
              <w:jc w:val="center"/>
              <w:rPr>
                <w:rStyle w:val="Strong"/>
              </w:rPr>
            </w:pPr>
            <w:r w:rsidRPr="00AD5451">
              <w:rPr>
                <w:rStyle w:val="Strong"/>
              </w:rPr>
              <w:t>(%)</w:t>
            </w:r>
          </w:p>
        </w:tc>
        <w:tc>
          <w:tcPr>
            <w:tcW w:w="114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RowHeadings"/>
              <w:jc w:val="center"/>
              <w:rPr>
                <w:rStyle w:val="Strong"/>
              </w:rPr>
            </w:pPr>
            <w:r w:rsidRPr="00AD5451">
              <w:rPr>
                <w:rStyle w:val="Strong"/>
              </w:rPr>
              <w:t>Family</w:t>
            </w:r>
          </w:p>
          <w:p w:rsidR="00C827EF" w:rsidRPr="00AD5451" w:rsidRDefault="00C827EF" w:rsidP="00C827EF">
            <w:pPr>
              <w:pStyle w:val="TableRowHeadings"/>
              <w:jc w:val="center"/>
              <w:rPr>
                <w:rStyle w:val="Strong"/>
              </w:rPr>
            </w:pPr>
            <w:r w:rsidRPr="00AD5451">
              <w:rPr>
                <w:rStyle w:val="Strong"/>
              </w:rPr>
              <w:t>(%)</w:t>
            </w:r>
          </w:p>
        </w:tc>
        <w:tc>
          <w:tcPr>
            <w:tcW w:w="114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RowHeadings"/>
              <w:jc w:val="center"/>
              <w:rPr>
                <w:rStyle w:val="Strong"/>
              </w:rPr>
            </w:pPr>
            <w:r w:rsidRPr="00AD5451">
              <w:rPr>
                <w:rStyle w:val="Strong"/>
              </w:rPr>
              <w:t>Self</w:t>
            </w:r>
          </w:p>
          <w:p w:rsidR="00C827EF" w:rsidRPr="00AD5451" w:rsidRDefault="00C827EF" w:rsidP="00C827EF">
            <w:pPr>
              <w:pStyle w:val="TableRowHeadings"/>
              <w:jc w:val="center"/>
              <w:rPr>
                <w:rStyle w:val="Strong"/>
              </w:rPr>
            </w:pPr>
            <w:r w:rsidRPr="00AD5451">
              <w:rPr>
                <w:rStyle w:val="Strong"/>
              </w:rPr>
              <w:t>(%)</w:t>
            </w:r>
          </w:p>
        </w:tc>
        <w:tc>
          <w:tcPr>
            <w:tcW w:w="114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D5451" w:rsidRDefault="00C827EF" w:rsidP="00C827EF">
            <w:pPr>
              <w:pStyle w:val="TableRowHeadings"/>
              <w:jc w:val="center"/>
              <w:rPr>
                <w:rStyle w:val="Strong"/>
              </w:rPr>
            </w:pPr>
            <w:r w:rsidRPr="00AD5451">
              <w:rPr>
                <w:rStyle w:val="Strong"/>
              </w:rPr>
              <w:t xml:space="preserve">Overall </w:t>
            </w:r>
            <w:proofErr w:type="gramStart"/>
            <w:r w:rsidRPr="00AD5451">
              <w:rPr>
                <w:rStyle w:val="Strong"/>
              </w:rPr>
              <w:t>severity</w:t>
            </w:r>
            <w:proofErr w:type="gramEnd"/>
            <w:r w:rsidRPr="00AD5451">
              <w:rPr>
                <w:rStyle w:val="Strong"/>
              </w:rPr>
              <w:br/>
              <w:t>(%)</w:t>
            </w:r>
          </w:p>
        </w:tc>
      </w:tr>
      <w:tr w:rsidR="00C827EF" w:rsidRPr="00152022" w:rsidTr="00C827EF">
        <w:trPr>
          <w:cantSplit/>
          <w:jc w:val="center"/>
        </w:trPr>
        <w:tc>
          <w:tcPr>
            <w:tcW w:w="1367" w:type="dxa"/>
            <w:vMerge w:val="restart"/>
            <w:tcBorders>
              <w:top w:val="single" w:sz="4" w:space="0" w:color="000000"/>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Social phobia</w:t>
            </w: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None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8.8</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17.7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19.0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7.5</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Mild</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28.3</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21.3</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25.5</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39.4</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Moderate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28.6</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37.2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30.5</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39.6</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28.8</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Severe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29.4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23.4</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29.1</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27.4</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31.8</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Does not go to school or work</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4.9</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val="restart"/>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Separation anxiety</w:t>
            </w: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None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21.2</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24.3</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15.2</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10.0</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Mild</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30.8</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31.0</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42.0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33.5</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54.3</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Moderate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22.3</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32.0</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22.8</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37.0</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26.8</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Severe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20.0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12.7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20.0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19.6</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18.9</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Does not go to school or work</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5.8</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val="restart"/>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Generalised anxiety</w:t>
            </w: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None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14.3</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16.7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10.9</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3.8</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Mild</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23.4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18.7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25.4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28.1</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38.1</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Moderate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28.5</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43.4</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32.8</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38.2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30.7</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Severe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29.4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30.9</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30.0</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31.1</w:t>
            </w:r>
          </w:p>
        </w:tc>
      </w:tr>
      <w:tr w:rsidR="00C827EF" w:rsidRPr="00152022" w:rsidTr="00C827EF">
        <w:trPr>
          <w:cantSplit/>
          <w:jc w:val="center"/>
        </w:trPr>
        <w:tc>
          <w:tcPr>
            <w:tcW w:w="1367" w:type="dxa"/>
            <w:vMerge/>
            <w:tcBorders>
              <w:top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Does not go to school or work</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4.4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val="restart"/>
            <w:tcBorders>
              <w:top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Obsessive-compulsive</w:t>
            </w: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None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15.2</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12.2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8.2</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7.9</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tcBorders>
              <w:top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Mild</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24.4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13.8</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24.4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34.1</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32.5</w:t>
            </w:r>
          </w:p>
        </w:tc>
      </w:tr>
      <w:tr w:rsidR="00C827EF" w:rsidRPr="00152022" w:rsidTr="00C827EF">
        <w:trPr>
          <w:cantSplit/>
          <w:jc w:val="center"/>
        </w:trPr>
        <w:tc>
          <w:tcPr>
            <w:tcW w:w="1367" w:type="dxa"/>
            <w:vMerge/>
            <w:tcBorders>
              <w:top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Moderate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21.1</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44.2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30.0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36.2</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35.7</w:t>
            </w:r>
          </w:p>
        </w:tc>
      </w:tr>
      <w:tr w:rsidR="00C827EF" w:rsidRPr="00152022" w:rsidTr="00C827EF">
        <w:trPr>
          <w:cantSplit/>
          <w:jc w:val="center"/>
        </w:trPr>
        <w:tc>
          <w:tcPr>
            <w:tcW w:w="1367" w:type="dxa"/>
            <w:vMerge/>
            <w:tcBorders>
              <w:top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Severe</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33.0</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29.7</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37.4</w:t>
            </w:r>
          </w:p>
        </w:tc>
        <w:tc>
          <w:tcPr>
            <w:tcW w:w="1140"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21.8</w:t>
            </w:r>
          </w:p>
        </w:tc>
        <w:tc>
          <w:tcPr>
            <w:tcW w:w="1141" w:type="dxa"/>
            <w:tcBorders>
              <w:top w:val="nil"/>
              <w:left w:val="nil"/>
              <w:bottom w:val="nil"/>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31.8</w:t>
            </w:r>
          </w:p>
        </w:tc>
      </w:tr>
      <w:tr w:rsidR="00C827EF" w:rsidRPr="00152022" w:rsidTr="00C827EF">
        <w:trPr>
          <w:cantSplit/>
          <w:jc w:val="center"/>
        </w:trPr>
        <w:tc>
          <w:tcPr>
            <w:tcW w:w="1367" w:type="dxa"/>
            <w:vMerge/>
            <w:tcBorders>
              <w:top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rFonts w:ascii="Times New Roman" w:hAnsi="Times New Roman" w:cs="Times New Roman"/>
                <w:sz w:val="24"/>
                <w:szCs w:val="24"/>
                <w:lang w:eastAsia="en-AU"/>
              </w:rPr>
            </w:pPr>
          </w:p>
        </w:tc>
        <w:tc>
          <w:tcPr>
            <w:tcW w:w="2058" w:type="dxa"/>
            <w:tcBorders>
              <w:top w:val="nil"/>
              <w:left w:val="single" w:sz="4" w:space="0" w:color="FFFFFF"/>
              <w:bottom w:val="single" w:sz="4" w:space="0" w:color="auto"/>
              <w:right w:val="nil"/>
            </w:tcBorders>
            <w:shd w:val="clear" w:color="auto" w:fill="EFF3FF"/>
            <w:tcMar>
              <w:left w:w="40" w:type="dxa"/>
              <w:right w:w="40" w:type="dxa"/>
            </w:tcMar>
          </w:tcPr>
          <w:p w:rsidR="00C827EF" w:rsidRPr="00152022" w:rsidRDefault="00C827EF" w:rsidP="00C827EF">
            <w:pPr>
              <w:pStyle w:val="TableRowHeadings"/>
              <w:rPr>
                <w:lang w:eastAsia="en-AU"/>
              </w:rPr>
            </w:pPr>
            <w:r w:rsidRPr="00152022">
              <w:rPr>
                <w:lang w:eastAsia="en-AU"/>
              </w:rPr>
              <w:t>Does not go to school or work</w:t>
            </w:r>
          </w:p>
        </w:tc>
        <w:tc>
          <w:tcPr>
            <w:tcW w:w="1140" w:type="dxa"/>
            <w:tcBorders>
              <w:top w:val="nil"/>
              <w:left w:val="nil"/>
              <w:bottom w:val="single" w:sz="4" w:space="0" w:color="auto"/>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r w:rsidRPr="00152022">
              <w:rPr>
                <w:lang w:eastAsia="en-AU"/>
              </w:rPr>
              <w:t>6.3</w:t>
            </w:r>
          </w:p>
        </w:tc>
        <w:tc>
          <w:tcPr>
            <w:tcW w:w="1140" w:type="dxa"/>
            <w:tcBorders>
              <w:top w:val="nil"/>
              <w:left w:val="nil"/>
              <w:bottom w:val="single" w:sz="4" w:space="0" w:color="auto"/>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single" w:sz="4" w:space="0" w:color="auto"/>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0" w:type="dxa"/>
            <w:tcBorders>
              <w:top w:val="nil"/>
              <w:left w:val="nil"/>
              <w:bottom w:val="single" w:sz="4" w:space="0" w:color="auto"/>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c>
          <w:tcPr>
            <w:tcW w:w="1141" w:type="dxa"/>
            <w:tcBorders>
              <w:top w:val="nil"/>
              <w:left w:val="nil"/>
              <w:bottom w:val="single" w:sz="4" w:space="0" w:color="auto"/>
              <w:right w:val="nil"/>
            </w:tcBorders>
            <w:shd w:val="clear" w:color="auto" w:fill="FFFFFF"/>
            <w:tcMar>
              <w:left w:w="40" w:type="dxa"/>
              <w:right w:w="40" w:type="dxa"/>
            </w:tcMar>
            <w:vAlign w:val="bottom"/>
          </w:tcPr>
          <w:p w:rsidR="00C827EF" w:rsidRPr="00152022" w:rsidRDefault="00C827EF" w:rsidP="00C827EF">
            <w:pPr>
              <w:pStyle w:val="TableDataCell"/>
              <w:rPr>
                <w:lang w:eastAsia="en-AU"/>
              </w:rPr>
            </w:pPr>
          </w:p>
        </w:tc>
      </w:tr>
      <w:tr w:rsidR="00C827EF" w:rsidRPr="00152022" w:rsidTr="00C827EF">
        <w:trPr>
          <w:cantSplit/>
          <w:jc w:val="center"/>
        </w:trPr>
        <w:tc>
          <w:tcPr>
            <w:tcW w:w="1367" w:type="dxa"/>
            <w:vMerge w:val="restart"/>
            <w:tcBorders>
              <w:top w:val="single" w:sz="4" w:space="0" w:color="auto"/>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Any anxiety disorder</w:t>
            </w:r>
          </w:p>
        </w:tc>
        <w:tc>
          <w:tcPr>
            <w:tcW w:w="2058" w:type="dxa"/>
            <w:tcBorders>
              <w:top w:val="single" w:sz="4" w:space="0" w:color="auto"/>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None</w:t>
            </w:r>
          </w:p>
        </w:tc>
        <w:tc>
          <w:tcPr>
            <w:tcW w:w="1140"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20.0</w:t>
            </w:r>
          </w:p>
        </w:tc>
        <w:tc>
          <w:tcPr>
            <w:tcW w:w="1140"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23.5</w:t>
            </w:r>
          </w:p>
        </w:tc>
        <w:tc>
          <w:tcPr>
            <w:tcW w:w="1141"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17.4</w:t>
            </w:r>
          </w:p>
        </w:tc>
        <w:tc>
          <w:tcPr>
            <w:tcW w:w="1140"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9.9</w:t>
            </w:r>
          </w:p>
        </w:tc>
        <w:tc>
          <w:tcPr>
            <w:tcW w:w="1141" w:type="dxa"/>
            <w:tcBorders>
              <w:top w:val="single" w:sz="4" w:space="0" w:color="auto"/>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p>
        </w:tc>
      </w:tr>
      <w:tr w:rsidR="00C827EF" w:rsidRPr="00152022" w:rsidTr="00C827EF">
        <w:trPr>
          <w:cantSplit/>
          <w:jc w:val="center"/>
        </w:trPr>
        <w:tc>
          <w:tcPr>
            <w:tcW w:w="1367"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Mild</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31.7</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28.2</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36.2</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35.0</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53.8</w:t>
            </w:r>
          </w:p>
        </w:tc>
      </w:tr>
      <w:tr w:rsidR="00C827EF" w:rsidRPr="00152022" w:rsidTr="00C827EF">
        <w:trPr>
          <w:cantSplit/>
          <w:jc w:val="center"/>
        </w:trPr>
        <w:tc>
          <w:tcPr>
            <w:tcW w:w="1367"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Moderate</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23.9</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34.6</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27.2</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36.7</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27.5</w:t>
            </w:r>
          </w:p>
        </w:tc>
      </w:tr>
      <w:tr w:rsidR="00C827EF" w:rsidRPr="00152022" w:rsidTr="00C827EF">
        <w:trPr>
          <w:cantSplit/>
          <w:jc w:val="center"/>
        </w:trPr>
        <w:tc>
          <w:tcPr>
            <w:tcW w:w="1367"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058" w:type="dxa"/>
            <w:tcBorders>
              <w:top w:val="nil"/>
              <w:left w:val="single" w:sz="4" w:space="0" w:color="FFFFFF"/>
              <w:bottom w:val="single" w:sz="4" w:space="0" w:color="FFFFFF"/>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Severe</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19.7</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13.7</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19.2</w:t>
            </w:r>
          </w:p>
        </w:tc>
        <w:tc>
          <w:tcPr>
            <w:tcW w:w="1140"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18.4</w:t>
            </w:r>
          </w:p>
        </w:tc>
        <w:tc>
          <w:tcPr>
            <w:tcW w:w="1141" w:type="dxa"/>
            <w:tcBorders>
              <w:top w:val="nil"/>
              <w:left w:val="nil"/>
              <w:bottom w:val="nil"/>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18.7</w:t>
            </w:r>
          </w:p>
        </w:tc>
      </w:tr>
      <w:tr w:rsidR="00C827EF" w:rsidRPr="00152022" w:rsidTr="00C827EF">
        <w:trPr>
          <w:cantSplit/>
          <w:jc w:val="center"/>
        </w:trPr>
        <w:tc>
          <w:tcPr>
            <w:tcW w:w="1367" w:type="dxa"/>
            <w:vMerge/>
            <w:tcBorders>
              <w:top w:val="single" w:sz="6" w:space="0" w:color="000000"/>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p>
        </w:tc>
        <w:tc>
          <w:tcPr>
            <w:tcW w:w="2058" w:type="dxa"/>
            <w:tcBorders>
              <w:top w:val="nil"/>
              <w:left w:val="single" w:sz="4" w:space="0" w:color="FFFFFF"/>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Does not go to school or work</w:t>
            </w:r>
          </w:p>
        </w:tc>
        <w:tc>
          <w:tcPr>
            <w:tcW w:w="1140"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4.7</w:t>
            </w:r>
          </w:p>
        </w:tc>
        <w:tc>
          <w:tcPr>
            <w:tcW w:w="1140"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p>
        </w:tc>
        <w:tc>
          <w:tcPr>
            <w:tcW w:w="1141"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p>
        </w:tc>
        <w:tc>
          <w:tcPr>
            <w:tcW w:w="1140"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p>
        </w:tc>
        <w:tc>
          <w:tcPr>
            <w:tcW w:w="1141" w:type="dxa"/>
            <w:tcBorders>
              <w:top w:val="nil"/>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p>
        </w:tc>
      </w:tr>
    </w:tbl>
    <w:p w:rsidR="00C827EF" w:rsidRDefault="00C827EF" w:rsidP="00C827EF">
      <w:pPr>
        <w:pStyle w:val="Heading3"/>
      </w:pPr>
      <w:r>
        <w:t>4.3.2</w:t>
      </w:r>
      <w:r>
        <w:tab/>
        <w:t>Days absent from school</w:t>
      </w:r>
      <w:bookmarkEnd w:id="94"/>
    </w:p>
    <w:p w:rsidR="00C827EF" w:rsidRPr="00AD5451" w:rsidRDefault="00C827EF" w:rsidP="00C827EF">
      <w:pPr>
        <w:pStyle w:val="BodyText"/>
        <w:rPr>
          <w:spacing w:val="2"/>
        </w:rPr>
      </w:pPr>
      <w:r w:rsidRPr="00AD5451">
        <w:rPr>
          <w:spacing w:val="2"/>
          <w:lang w:eastAsia="en-AU"/>
        </w:rPr>
        <w:t xml:space="preserve">Most children and adolescents in the survey were attending school (94%). </w:t>
      </w:r>
      <w:r w:rsidRPr="00AD5451">
        <w:rPr>
          <w:spacing w:val="2"/>
        </w:rPr>
        <w:t xml:space="preserve">Over half of 4-11 year-olds (58%) and </w:t>
      </w:r>
      <w:r w:rsidR="0074040A">
        <w:rPr>
          <w:spacing w:val="2"/>
        </w:rPr>
        <w:t>almost three quarters</w:t>
      </w:r>
      <w:r w:rsidRPr="00AD5451">
        <w:rPr>
          <w:spacing w:val="2"/>
        </w:rPr>
        <w:t xml:space="preserve"> of 12-17 year-olds (73%) attending school who had an anxiety disorder were absent from school for at least one day in the previous 12 months due to their anxiety symptoms. The average number of days absent from school due to anxiety symptoms was more than double in 12-17 year olds compared with 4-11 year-olds (20 days compared with 6 days) (Table 4-</w:t>
      </w:r>
      <w:r w:rsidRPr="00AD5451">
        <w:rPr>
          <w:noProof/>
          <w:spacing w:val="2"/>
        </w:rPr>
        <w:t>9</w:t>
      </w:r>
      <w:r w:rsidRPr="00AD5451">
        <w:rPr>
          <w:spacing w:val="2"/>
        </w:rPr>
        <w:t xml:space="preserve">). </w:t>
      </w:r>
    </w:p>
    <w:p w:rsidR="00C827EF" w:rsidRDefault="00C827EF" w:rsidP="00C827EF">
      <w:pPr>
        <w:pStyle w:val="BodyText"/>
      </w:pPr>
      <w:r>
        <w:lastRenderedPageBreak/>
        <w:t xml:space="preserve">Generalised anxiety disorder was associated with the highest number of days off school due to anxiety symptoms for children aged 4-11 years, while separation anxiety disorder was associated with the highest number of days off school due to anxiety symptoms for those aged 12-17 years. </w:t>
      </w:r>
    </w:p>
    <w:p w:rsidR="00C827EF" w:rsidRDefault="00C827EF" w:rsidP="00C827EF">
      <w:pPr>
        <w:pStyle w:val="Caption"/>
        <w:keepNext/>
      </w:pPr>
      <w:bookmarkStart w:id="95" w:name="_Ref396917745"/>
      <w:r>
        <w:t>Table 4-</w:t>
      </w:r>
      <w:r>
        <w:rPr>
          <w:noProof/>
        </w:rPr>
        <w:t>9</w:t>
      </w:r>
      <w:bookmarkEnd w:id="95"/>
      <w:r>
        <w:t xml:space="preserve">: </w:t>
      </w:r>
      <w:r w:rsidRPr="00BC6AFF">
        <w:t xml:space="preserve">Average days </w:t>
      </w:r>
      <w:r>
        <w:t>absent from</w:t>
      </w:r>
      <w:r w:rsidRPr="00BC6AFF">
        <w:t xml:space="preserve"> school in the </w:t>
      </w:r>
      <w:r>
        <w:t>past</w:t>
      </w:r>
      <w:r w:rsidRPr="00BC6AFF">
        <w:t xml:space="preserve"> 12 months due to anxiety</w:t>
      </w:r>
      <w:r>
        <w:t xml:space="preserve"> symptoms</w:t>
      </w:r>
      <w:r w:rsidRPr="004E6E27">
        <w:t xml:space="preserve"> </w:t>
      </w:r>
      <w:r>
        <w:t xml:space="preserve">among 4-17 year-olds with anxiety disorders </w:t>
      </w:r>
      <w:r w:rsidRPr="00BC6AFF">
        <w:t>by age group</w:t>
      </w:r>
    </w:p>
    <w:tbl>
      <w:tblPr>
        <w:tblW w:w="9146" w:type="dxa"/>
        <w:jc w:val="center"/>
        <w:tblLayout w:type="fixed"/>
        <w:tblCellMar>
          <w:left w:w="0" w:type="dxa"/>
          <w:right w:w="0" w:type="dxa"/>
        </w:tblCellMar>
        <w:tblLook w:val="0020" w:firstRow="1" w:lastRow="0" w:firstColumn="0" w:lastColumn="0" w:noHBand="0" w:noVBand="0"/>
        <w:tblDescription w:val="In Table 4-9 the first column defines specific anxiety disorder. Read across the row for the average number of days off school in the past 12 months due to that anxiety disorder first in children aged 4-11 years, and then in children aged 12-17 years, and finally in all children aged 4-17 years."/>
      </w:tblPr>
      <w:tblGrid>
        <w:gridCol w:w="3216"/>
        <w:gridCol w:w="1976"/>
        <w:gridCol w:w="1977"/>
        <w:gridCol w:w="1977"/>
      </w:tblGrid>
      <w:tr w:rsidR="00C827EF" w:rsidTr="00C827EF">
        <w:trPr>
          <w:cantSplit/>
          <w:tblHeader/>
          <w:jc w:val="center"/>
        </w:trPr>
        <w:tc>
          <w:tcPr>
            <w:tcW w:w="3216"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jc w:val="left"/>
              <w:rPr>
                <w:rStyle w:val="Strong"/>
              </w:rPr>
            </w:pPr>
            <w:r w:rsidRPr="00AD5451">
              <w:rPr>
                <w:rStyle w:val="Strong"/>
              </w:rPr>
              <w:t>Anxiety disorder</w:t>
            </w:r>
          </w:p>
        </w:tc>
        <w:tc>
          <w:tcPr>
            <w:tcW w:w="197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 xml:space="preserve">4-11 years </w:t>
            </w:r>
          </w:p>
          <w:p w:rsidR="00C827EF" w:rsidRPr="00AD5451" w:rsidRDefault="00C827EF" w:rsidP="00C827EF">
            <w:pPr>
              <w:pStyle w:val="TableColumnHeadings"/>
              <w:rPr>
                <w:rStyle w:val="Strong"/>
              </w:rPr>
            </w:pPr>
            <w:r w:rsidRPr="00AD5451">
              <w:rPr>
                <w:rStyle w:val="Strong"/>
              </w:rPr>
              <w:t>(days absent)</w:t>
            </w:r>
          </w:p>
        </w:tc>
        <w:tc>
          <w:tcPr>
            <w:tcW w:w="1977" w:type="dxa"/>
            <w:tcBorders>
              <w:top w:val="single" w:sz="6" w:space="0" w:color="000000"/>
              <w:left w:val="single" w:sz="4" w:space="0" w:color="FFFFFF"/>
              <w:bottom w:val="single" w:sz="4" w:space="0" w:color="000000"/>
              <w:right w:val="single" w:sz="4" w:space="0" w:color="FFFFFF"/>
            </w:tcBorders>
            <w:shd w:val="clear" w:color="auto" w:fill="EFF3FF"/>
            <w:tcMar>
              <w:left w:w="40" w:type="dxa"/>
              <w:right w:w="40" w:type="dxa"/>
            </w:tcMar>
            <w:vAlign w:val="bottom"/>
          </w:tcPr>
          <w:p w:rsidR="00C827EF" w:rsidRPr="00AD5451" w:rsidRDefault="00C827EF" w:rsidP="00C827EF">
            <w:pPr>
              <w:pStyle w:val="TableColumnHeadings"/>
              <w:rPr>
                <w:rStyle w:val="Strong"/>
              </w:rPr>
            </w:pPr>
            <w:r w:rsidRPr="00AD5451">
              <w:rPr>
                <w:rStyle w:val="Strong"/>
              </w:rPr>
              <w:t xml:space="preserve">12-17 years </w:t>
            </w:r>
          </w:p>
          <w:p w:rsidR="00C827EF" w:rsidRPr="00AD5451" w:rsidRDefault="00C827EF" w:rsidP="00C827EF">
            <w:pPr>
              <w:pStyle w:val="TableColumnHeadings"/>
              <w:rPr>
                <w:rStyle w:val="Strong"/>
              </w:rPr>
            </w:pPr>
            <w:r w:rsidRPr="00AD5451">
              <w:rPr>
                <w:rStyle w:val="Strong"/>
              </w:rPr>
              <w:t>(days absent)</w:t>
            </w:r>
          </w:p>
        </w:tc>
        <w:tc>
          <w:tcPr>
            <w:tcW w:w="1977" w:type="dxa"/>
            <w:tcBorders>
              <w:top w:val="single" w:sz="6" w:space="0" w:color="000000"/>
              <w:left w:val="single" w:sz="4" w:space="0" w:color="FFFFFF"/>
              <w:bottom w:val="single" w:sz="4" w:space="0" w:color="000000"/>
            </w:tcBorders>
            <w:shd w:val="clear" w:color="auto" w:fill="EFF3FF"/>
          </w:tcPr>
          <w:p w:rsidR="00C827EF" w:rsidRPr="00AD5451" w:rsidRDefault="00C827EF" w:rsidP="00C827EF">
            <w:pPr>
              <w:pStyle w:val="TableColumnHeadings"/>
              <w:rPr>
                <w:rStyle w:val="Strong"/>
              </w:rPr>
            </w:pPr>
            <w:r w:rsidRPr="00AD5451">
              <w:rPr>
                <w:rStyle w:val="Strong"/>
              </w:rPr>
              <w:t xml:space="preserve">4-17 years </w:t>
            </w:r>
          </w:p>
          <w:p w:rsidR="00C827EF" w:rsidRPr="00AD5451" w:rsidRDefault="00C827EF" w:rsidP="00C827EF">
            <w:pPr>
              <w:pStyle w:val="TableColumnHeadings"/>
              <w:rPr>
                <w:rStyle w:val="Strong"/>
              </w:rPr>
            </w:pPr>
            <w:r w:rsidRPr="00AD5451">
              <w:rPr>
                <w:rStyle w:val="Strong"/>
              </w:rPr>
              <w:t>(days absent)</w:t>
            </w:r>
          </w:p>
        </w:tc>
      </w:tr>
      <w:tr w:rsidR="00C827EF" w:rsidTr="00C827EF">
        <w:trPr>
          <w:cantSplit/>
          <w:jc w:val="center"/>
        </w:trPr>
        <w:tc>
          <w:tcPr>
            <w:tcW w:w="321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Social phobia</w:t>
            </w:r>
          </w:p>
        </w:tc>
        <w:tc>
          <w:tcPr>
            <w:tcW w:w="197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8</w:t>
            </w:r>
          </w:p>
        </w:tc>
        <w:tc>
          <w:tcPr>
            <w:tcW w:w="197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20</w:t>
            </w:r>
          </w:p>
        </w:tc>
        <w:tc>
          <w:tcPr>
            <w:tcW w:w="1977" w:type="dxa"/>
            <w:tcBorders>
              <w:top w:val="nil"/>
              <w:left w:val="nil"/>
              <w:bottom w:val="nil"/>
              <w:right w:val="nil"/>
            </w:tcBorders>
            <w:shd w:val="clear" w:color="auto" w:fill="FFFFFF"/>
          </w:tcPr>
          <w:p w:rsidR="00C827EF" w:rsidRDefault="00C827EF" w:rsidP="00C827EF">
            <w:pPr>
              <w:pStyle w:val="TableDataCell"/>
            </w:pPr>
            <w:r>
              <w:t>15</w:t>
            </w:r>
          </w:p>
        </w:tc>
      </w:tr>
      <w:tr w:rsidR="00C827EF" w:rsidTr="00C827EF">
        <w:trPr>
          <w:cantSplit/>
          <w:jc w:val="center"/>
        </w:trPr>
        <w:tc>
          <w:tcPr>
            <w:tcW w:w="321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 xml:space="preserve">Separation anxiety </w:t>
            </w:r>
          </w:p>
        </w:tc>
        <w:tc>
          <w:tcPr>
            <w:tcW w:w="197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w:t>
            </w:r>
          </w:p>
        </w:tc>
        <w:tc>
          <w:tcPr>
            <w:tcW w:w="197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30</w:t>
            </w:r>
          </w:p>
        </w:tc>
        <w:tc>
          <w:tcPr>
            <w:tcW w:w="1977" w:type="dxa"/>
            <w:tcBorders>
              <w:top w:val="nil"/>
              <w:left w:val="nil"/>
              <w:bottom w:val="nil"/>
              <w:right w:val="nil"/>
            </w:tcBorders>
            <w:shd w:val="clear" w:color="auto" w:fill="FFFFFF"/>
          </w:tcPr>
          <w:p w:rsidR="00C827EF" w:rsidRDefault="00C827EF" w:rsidP="00C827EF">
            <w:pPr>
              <w:pStyle w:val="TableDataCell"/>
            </w:pPr>
            <w:r>
              <w:t>14</w:t>
            </w:r>
          </w:p>
        </w:tc>
      </w:tr>
      <w:tr w:rsidR="00C827EF" w:rsidTr="00C827EF">
        <w:trPr>
          <w:cantSplit/>
          <w:jc w:val="center"/>
        </w:trPr>
        <w:tc>
          <w:tcPr>
            <w:tcW w:w="3216"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 xml:space="preserve">Generalised anxiety </w:t>
            </w:r>
          </w:p>
        </w:tc>
        <w:tc>
          <w:tcPr>
            <w:tcW w:w="1976"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10</w:t>
            </w:r>
          </w:p>
        </w:tc>
        <w:tc>
          <w:tcPr>
            <w:tcW w:w="1977"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22</w:t>
            </w:r>
          </w:p>
        </w:tc>
        <w:tc>
          <w:tcPr>
            <w:tcW w:w="1977" w:type="dxa"/>
            <w:tcBorders>
              <w:top w:val="nil"/>
              <w:left w:val="nil"/>
              <w:bottom w:val="nil"/>
              <w:right w:val="nil"/>
            </w:tcBorders>
            <w:shd w:val="clear" w:color="auto" w:fill="FFFFFF"/>
          </w:tcPr>
          <w:p w:rsidR="00C827EF" w:rsidRDefault="00C827EF" w:rsidP="00C827EF">
            <w:pPr>
              <w:pStyle w:val="TableDataCell"/>
            </w:pPr>
            <w:r>
              <w:t>17</w:t>
            </w:r>
          </w:p>
        </w:tc>
      </w:tr>
      <w:tr w:rsidR="00C827EF" w:rsidTr="00C827EF">
        <w:trPr>
          <w:cantSplit/>
          <w:jc w:val="center"/>
        </w:trPr>
        <w:tc>
          <w:tcPr>
            <w:tcW w:w="3216" w:type="dxa"/>
            <w:tcBorders>
              <w:top w:val="nil"/>
              <w:bottom w:val="single" w:sz="4" w:space="0" w:color="auto"/>
              <w:right w:val="nil"/>
            </w:tcBorders>
            <w:shd w:val="clear" w:color="auto" w:fill="EFF3FF"/>
            <w:tcMar>
              <w:left w:w="40" w:type="dxa"/>
              <w:right w:w="40" w:type="dxa"/>
            </w:tcMar>
          </w:tcPr>
          <w:p w:rsidR="00C827EF" w:rsidRDefault="00C827EF" w:rsidP="00C827EF">
            <w:pPr>
              <w:pStyle w:val="TableRowHeadings"/>
            </w:pPr>
            <w:r>
              <w:t xml:space="preserve">Obsessive-compulsive </w:t>
            </w:r>
          </w:p>
        </w:tc>
        <w:tc>
          <w:tcPr>
            <w:tcW w:w="1976"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7</w:t>
            </w:r>
          </w:p>
        </w:tc>
        <w:tc>
          <w:tcPr>
            <w:tcW w:w="1977" w:type="dxa"/>
            <w:tcBorders>
              <w:top w:val="nil"/>
              <w:left w:val="nil"/>
              <w:bottom w:val="single" w:sz="4" w:space="0" w:color="auto"/>
              <w:right w:val="nil"/>
            </w:tcBorders>
            <w:shd w:val="clear" w:color="auto" w:fill="FFFFFF"/>
            <w:tcMar>
              <w:left w:w="40" w:type="dxa"/>
              <w:right w:w="40" w:type="dxa"/>
            </w:tcMar>
            <w:vAlign w:val="bottom"/>
          </w:tcPr>
          <w:p w:rsidR="00C827EF" w:rsidRDefault="00C827EF" w:rsidP="00C827EF">
            <w:pPr>
              <w:pStyle w:val="TableDataCell"/>
            </w:pPr>
            <w:r>
              <w:t>22</w:t>
            </w:r>
          </w:p>
        </w:tc>
        <w:tc>
          <w:tcPr>
            <w:tcW w:w="1977" w:type="dxa"/>
            <w:tcBorders>
              <w:top w:val="nil"/>
              <w:left w:val="nil"/>
              <w:bottom w:val="single" w:sz="4" w:space="0" w:color="auto"/>
              <w:right w:val="nil"/>
            </w:tcBorders>
            <w:shd w:val="clear" w:color="auto" w:fill="FFFFFF"/>
          </w:tcPr>
          <w:p w:rsidR="00C827EF" w:rsidRDefault="00C827EF" w:rsidP="00C827EF">
            <w:pPr>
              <w:pStyle w:val="TableDataCell"/>
            </w:pPr>
            <w:r>
              <w:t>14</w:t>
            </w:r>
          </w:p>
        </w:tc>
      </w:tr>
      <w:tr w:rsidR="00C827EF" w:rsidRPr="00910237" w:rsidTr="00C827EF">
        <w:trPr>
          <w:cantSplit/>
          <w:jc w:val="center"/>
        </w:trPr>
        <w:tc>
          <w:tcPr>
            <w:tcW w:w="3216" w:type="dxa"/>
            <w:tcBorders>
              <w:top w:val="single" w:sz="4" w:space="0" w:color="auto"/>
              <w:bottom w:val="single" w:sz="6" w:space="0" w:color="000000"/>
              <w:right w:val="nil"/>
            </w:tcBorders>
            <w:shd w:val="clear" w:color="auto" w:fill="EFF3FF"/>
            <w:tcMar>
              <w:left w:w="40" w:type="dxa"/>
              <w:right w:w="40" w:type="dxa"/>
            </w:tcMar>
          </w:tcPr>
          <w:p w:rsidR="00C827EF" w:rsidRPr="00607B57" w:rsidRDefault="00C827EF" w:rsidP="00C827EF">
            <w:pPr>
              <w:pStyle w:val="TableRowHeadings"/>
              <w:rPr>
                <w:rStyle w:val="Strong"/>
              </w:rPr>
            </w:pPr>
            <w:r w:rsidRPr="00607B57">
              <w:rPr>
                <w:rStyle w:val="Strong"/>
              </w:rPr>
              <w:t>Any anxiety disorder</w:t>
            </w:r>
          </w:p>
        </w:tc>
        <w:tc>
          <w:tcPr>
            <w:tcW w:w="1976"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6</w:t>
            </w:r>
          </w:p>
        </w:tc>
        <w:tc>
          <w:tcPr>
            <w:tcW w:w="1977"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607B57" w:rsidRDefault="00C827EF" w:rsidP="00C827EF">
            <w:pPr>
              <w:pStyle w:val="TableDataCell"/>
              <w:rPr>
                <w:rStyle w:val="Strong"/>
              </w:rPr>
            </w:pPr>
            <w:r w:rsidRPr="00607B57">
              <w:rPr>
                <w:rStyle w:val="Strong"/>
              </w:rPr>
              <w:t>20</w:t>
            </w:r>
          </w:p>
        </w:tc>
        <w:tc>
          <w:tcPr>
            <w:tcW w:w="1977" w:type="dxa"/>
            <w:tcBorders>
              <w:top w:val="single" w:sz="4" w:space="0" w:color="auto"/>
              <w:left w:val="nil"/>
              <w:bottom w:val="single" w:sz="6" w:space="0" w:color="000000"/>
              <w:right w:val="nil"/>
            </w:tcBorders>
            <w:shd w:val="clear" w:color="auto" w:fill="FFFFFF"/>
          </w:tcPr>
          <w:p w:rsidR="00C827EF" w:rsidRPr="00607B57" w:rsidRDefault="00C827EF" w:rsidP="00C827EF">
            <w:pPr>
              <w:pStyle w:val="TableDataCell"/>
              <w:rPr>
                <w:rStyle w:val="Strong"/>
              </w:rPr>
            </w:pPr>
            <w:r w:rsidRPr="00607B57">
              <w:rPr>
                <w:rStyle w:val="Strong"/>
              </w:rPr>
              <w:t>12</w:t>
            </w:r>
          </w:p>
        </w:tc>
      </w:tr>
    </w:tbl>
    <w:p w:rsidR="00C827EF" w:rsidRPr="00555E74" w:rsidRDefault="00C827EF" w:rsidP="00555E74"/>
    <w:p w:rsidR="00C827EF" w:rsidRDefault="00C827EF" w:rsidP="00DB066C">
      <w:pPr>
        <w:jc w:val="center"/>
        <w:sectPr w:rsidR="00C827EF" w:rsidSect="003330E0">
          <w:headerReference w:type="even" r:id="rId72"/>
          <w:headerReference w:type="default" r:id="rId73"/>
          <w:footerReference w:type="default" r:id="rId74"/>
          <w:pgSz w:w="11906" w:h="16838" w:code="9"/>
          <w:pgMar w:top="1440" w:right="1440" w:bottom="1440" w:left="1440" w:header="567" w:footer="567" w:gutter="0"/>
          <w:pgNumType w:start="51"/>
          <w:cols w:space="720"/>
          <w:docGrid w:linePitch="360"/>
        </w:sectPr>
      </w:pPr>
    </w:p>
    <w:p w:rsidR="00C827EF" w:rsidRDefault="00C827EF" w:rsidP="00C827EF">
      <w:pPr>
        <w:pStyle w:val="Heading1"/>
      </w:pPr>
      <w:r>
        <w:lastRenderedPageBreak/>
        <w:t>5</w:t>
      </w:r>
      <w:r>
        <w:tab/>
        <w:t>Attention-deficit/hyperactivity disorder</w:t>
      </w:r>
    </w:p>
    <w:p w:rsidR="00C827EF" w:rsidRDefault="00C827EF" w:rsidP="00C827EF">
      <w:pPr>
        <w:pStyle w:val="BodyText"/>
      </w:pPr>
      <w:r>
        <w:t>This chapter presents data on children and adolescents who met diagnostic criteria identified in DSM-IV for Attention-deficit/hyperactivity disorder (ADHD).</w:t>
      </w:r>
    </w:p>
    <w:p w:rsidR="00C827EF" w:rsidRPr="00E814CA" w:rsidRDefault="00C827EF" w:rsidP="000430C8">
      <w:pPr>
        <w:pStyle w:val="Heading2-notintOCV2"/>
      </w:pPr>
      <w:r w:rsidRPr="00E814CA">
        <w:t>Attention-deficit/hyperactivity disorder</w:t>
      </w:r>
    </w:p>
    <w:p w:rsidR="00C827EF" w:rsidRPr="00E814CA" w:rsidRDefault="00C827EF" w:rsidP="000430C8">
      <w:pPr>
        <w:pStyle w:val="Disorderoverviewtext"/>
      </w:pPr>
      <w:r w:rsidRPr="00E814CA">
        <w:t xml:space="preserve">ADHD is a persistent pattern of inattention and/ or hyperactivity-impulsivity more frequent and severe than in other individuals at a similar developmental stage. Children and adolescents may find it difficult to pay attention and see tasks or activities through to the end or make careless mistakes with school work or other tasks. Children and adolescents with problems in the area of hyperactivity may talk </w:t>
      </w:r>
      <w:proofErr w:type="gramStart"/>
      <w:r w:rsidRPr="00E814CA">
        <w:t>excessively,</w:t>
      </w:r>
      <w:proofErr w:type="gramEnd"/>
      <w:r w:rsidRPr="00E814CA">
        <w:t xml:space="preserve"> have trouble staying still when it is appropriate or expected and act like they are always “on the go”.</w:t>
      </w:r>
    </w:p>
    <w:p w:rsidR="00C827EF" w:rsidRPr="00E814CA" w:rsidRDefault="00C827EF" w:rsidP="000430C8">
      <w:pPr>
        <w:pStyle w:val="Disorderoverviewtext"/>
      </w:pPr>
      <w:r w:rsidRPr="00E814CA">
        <w:t>There are three subtypes of ADHD based on the most common symptoms. Those with mostly inattentive symptoms are diagnosed with ADHD, predominantly inattentive type and individuals with primarily hyperactivity-impulsivity symptoms are diagnosed with ADHD, predominantly hyperactive-impulsive type. Those children and adolescence with symptoms of both inattentiveness and hyperactivity are diagnosed with ADHD, combined type.</w:t>
      </w:r>
    </w:p>
    <w:p w:rsidR="00C827EF" w:rsidRPr="00E814CA" w:rsidRDefault="00C827EF" w:rsidP="000430C8">
      <w:pPr>
        <w:pStyle w:val="Disorderoverviewtext"/>
      </w:pPr>
      <w:r w:rsidRPr="00E814CA">
        <w:t>The DSM-IV criteria require at least six symptoms of either inattention or hyperactivity-impulsivity to have persisted for at least 6 months to a degree that is maladaptive and inconsistent with developmental level. Symptoms must be present in at least two settings (e.g. at school and at home), and some symptoms causing impairment must have been present before the age of 7 years.</w:t>
      </w:r>
    </w:p>
    <w:p w:rsidR="00C827EF" w:rsidRDefault="00C827EF" w:rsidP="00C827EF">
      <w:pPr>
        <w:pStyle w:val="Heading2"/>
        <w:rPr>
          <w:rStyle w:val="Heading1Char"/>
          <w:b/>
          <w:bCs/>
          <w:caps w:val="0"/>
          <w:sz w:val="26"/>
          <w:szCs w:val="26"/>
        </w:rPr>
      </w:pPr>
      <w:r>
        <w:rPr>
          <w:rStyle w:val="Heading1Char"/>
          <w:b/>
          <w:bCs/>
          <w:caps w:val="0"/>
          <w:sz w:val="26"/>
          <w:szCs w:val="26"/>
        </w:rPr>
        <w:t>5.1</w:t>
      </w:r>
      <w:r w:rsidRPr="00F542D3">
        <w:rPr>
          <w:rStyle w:val="Heading1Char"/>
          <w:b/>
          <w:bCs/>
          <w:caps w:val="0"/>
          <w:sz w:val="26"/>
          <w:szCs w:val="26"/>
        </w:rPr>
        <w:tab/>
      </w:r>
      <w:r>
        <w:rPr>
          <w:rStyle w:val="Heading1Char"/>
          <w:b/>
          <w:bCs/>
          <w:caps w:val="0"/>
          <w:sz w:val="26"/>
          <w:szCs w:val="26"/>
        </w:rPr>
        <w:t>Prevalence of ADHD in children and adolescents</w:t>
      </w:r>
    </w:p>
    <w:p w:rsidR="00C827EF" w:rsidRPr="00333721" w:rsidRDefault="00C827EF" w:rsidP="00C827EF">
      <w:pPr>
        <w:pStyle w:val="BodyText"/>
      </w:pPr>
      <w:r>
        <w:t>In the 12 months prior to the survey 7.4% of children and adolescents had ADHD, equivalent to an estimated 298,000 children and adolescents across Australia (Table 5-</w:t>
      </w:r>
      <w:r>
        <w:rPr>
          <w:noProof/>
        </w:rPr>
        <w:t>1</w:t>
      </w:r>
      <w:r>
        <w:t>).</w:t>
      </w:r>
    </w:p>
    <w:p w:rsidR="00C827EF" w:rsidRDefault="00C827EF" w:rsidP="00C827EF">
      <w:pPr>
        <w:pStyle w:val="BodyText"/>
      </w:pPr>
      <w:r>
        <w:t>Of the three sub-types of ADHD, inattentive type was the most common, with 3.4% of children and adolescents having inattentive type, 1.2% hyperactive type and 2.8% combined type.</w:t>
      </w:r>
      <w:r w:rsidRPr="003406A1">
        <w:t xml:space="preserve"> </w:t>
      </w:r>
      <w:r>
        <w:t xml:space="preserve">The tables in this chapter report data which includes all three subtypes of ADHD. </w:t>
      </w:r>
    </w:p>
    <w:p w:rsidR="00C827EF" w:rsidRDefault="00C827EF" w:rsidP="00C827EF">
      <w:pPr>
        <w:pStyle w:val="BodyText"/>
      </w:pPr>
      <w:r>
        <w:t>The prevalence of ADHD was higher in males than females, with more than twice as many males as females having had ADHD in the previous 12 months (10.4% compared with 4.3%). The prevalence of ADHD was lower in adolescent females compared with females aged 4-11 years (2.7% compared with 5.4%). There was little difference in the prevalence between males from either age group; 10.9% of males aged 4-11 years and 9.8% of males aged 12-17 years</w:t>
      </w:r>
      <w:r w:rsidRPr="00AE7B66">
        <w:t xml:space="preserve"> </w:t>
      </w:r>
      <w:r>
        <w:t>had ADHD (Table 5-</w:t>
      </w:r>
      <w:r>
        <w:rPr>
          <w:noProof/>
        </w:rPr>
        <w:t>1</w:t>
      </w:r>
      <w:r>
        <w:t xml:space="preserve">). </w:t>
      </w:r>
    </w:p>
    <w:p w:rsidR="00C827EF" w:rsidRDefault="00C827EF" w:rsidP="00C827EF">
      <w:pPr>
        <w:pStyle w:val="Caption"/>
        <w:keepNext/>
        <w:pageBreakBefore/>
        <w:spacing w:before="0"/>
      </w:pPr>
      <w:bookmarkStart w:id="96" w:name="_Ref398100051"/>
      <w:r>
        <w:lastRenderedPageBreak/>
        <w:t>Table 5-</w:t>
      </w:r>
      <w:r>
        <w:rPr>
          <w:noProof/>
        </w:rPr>
        <w:t>1</w:t>
      </w:r>
      <w:bookmarkEnd w:id="96"/>
      <w:r>
        <w:t>: 12-month prevalence of ADHD</w:t>
      </w:r>
      <w:r w:rsidRPr="004E6E27">
        <w:t xml:space="preserve"> </w:t>
      </w:r>
      <w:r>
        <w:t>among 4-17 year-olds by sex and age group</w:t>
      </w:r>
    </w:p>
    <w:tbl>
      <w:tblPr>
        <w:tblW w:w="9114" w:type="dxa"/>
        <w:jc w:val="center"/>
        <w:tblLayout w:type="fixed"/>
        <w:tblCellMar>
          <w:left w:w="0" w:type="dxa"/>
          <w:right w:w="0" w:type="dxa"/>
        </w:tblCellMar>
        <w:tblLook w:val="0020" w:firstRow="1" w:lastRow="0" w:firstColumn="0" w:lastColumn="0" w:noHBand="0" w:noVBand="0"/>
        <w:tblDescription w:val="In Table 5-1 the first column defines age group. Read across the rows for the proportion of males, females and persons with 12-month prevalence of ADHD."/>
      </w:tblPr>
      <w:tblGrid>
        <w:gridCol w:w="3201"/>
        <w:gridCol w:w="1711"/>
        <w:gridCol w:w="2132"/>
        <w:gridCol w:w="2070"/>
      </w:tblGrid>
      <w:tr w:rsidR="00C827EF" w:rsidRPr="00E97B80" w:rsidTr="00C827EF">
        <w:trPr>
          <w:cantSplit/>
          <w:tblHeader/>
          <w:jc w:val="center"/>
        </w:trPr>
        <w:tc>
          <w:tcPr>
            <w:tcW w:w="3201"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43581D" w:rsidRDefault="00C827EF" w:rsidP="00C827EF">
            <w:pPr>
              <w:pStyle w:val="TableColumnHeadings"/>
              <w:jc w:val="left"/>
              <w:rPr>
                <w:rStyle w:val="Strong"/>
              </w:rPr>
            </w:pPr>
            <w:r w:rsidRPr="0043581D">
              <w:rPr>
                <w:rStyle w:val="Strong"/>
              </w:rPr>
              <w:t>Age group</w:t>
            </w:r>
          </w:p>
        </w:tc>
        <w:tc>
          <w:tcPr>
            <w:tcW w:w="171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Males (%)</w:t>
            </w:r>
          </w:p>
        </w:tc>
        <w:tc>
          <w:tcPr>
            <w:tcW w:w="21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Females (%)</w:t>
            </w:r>
          </w:p>
        </w:tc>
        <w:tc>
          <w:tcPr>
            <w:tcW w:w="207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Persons (%)</w:t>
            </w:r>
          </w:p>
        </w:tc>
      </w:tr>
      <w:tr w:rsidR="00C827EF" w:rsidRPr="00E97B80" w:rsidTr="00C827EF">
        <w:trPr>
          <w:cantSplit/>
          <w:jc w:val="center"/>
        </w:trPr>
        <w:tc>
          <w:tcPr>
            <w:tcW w:w="3201" w:type="dxa"/>
            <w:tcBorders>
              <w:top w:val="nil"/>
              <w:bottom w:val="single" w:sz="4" w:space="0" w:color="FFFFFF"/>
              <w:right w:val="nil"/>
            </w:tcBorders>
            <w:shd w:val="clear" w:color="auto" w:fill="EFF3FF"/>
            <w:tcMar>
              <w:left w:w="40" w:type="dxa"/>
              <w:right w:w="40" w:type="dxa"/>
            </w:tcMar>
          </w:tcPr>
          <w:p w:rsidR="00C827EF" w:rsidRPr="00E97B80" w:rsidRDefault="00C827EF" w:rsidP="00C827EF">
            <w:pPr>
              <w:pStyle w:val="TableRowHeadings"/>
              <w:rPr>
                <w:lang w:eastAsia="en-AU"/>
              </w:rPr>
            </w:pPr>
            <w:r>
              <w:rPr>
                <w:lang w:eastAsia="en-AU"/>
              </w:rPr>
              <w:t>4-</w:t>
            </w:r>
            <w:r w:rsidRPr="00E97B80">
              <w:rPr>
                <w:lang w:eastAsia="en-AU"/>
              </w:rPr>
              <w:t>11 years</w:t>
            </w:r>
          </w:p>
        </w:tc>
        <w:tc>
          <w:tcPr>
            <w:tcW w:w="1711" w:type="dxa"/>
            <w:tcBorders>
              <w:top w:val="nil"/>
              <w:left w:val="nil"/>
              <w:bottom w:val="nil"/>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10.9</w:t>
            </w:r>
          </w:p>
        </w:tc>
        <w:tc>
          <w:tcPr>
            <w:tcW w:w="2132" w:type="dxa"/>
            <w:tcBorders>
              <w:top w:val="nil"/>
              <w:left w:val="nil"/>
              <w:bottom w:val="nil"/>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5.4</w:t>
            </w:r>
          </w:p>
        </w:tc>
        <w:tc>
          <w:tcPr>
            <w:tcW w:w="2070" w:type="dxa"/>
            <w:tcBorders>
              <w:top w:val="nil"/>
              <w:left w:val="nil"/>
              <w:bottom w:val="nil"/>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8.2</w:t>
            </w:r>
          </w:p>
        </w:tc>
      </w:tr>
      <w:tr w:rsidR="00C827EF" w:rsidRPr="00E97B80" w:rsidTr="00C827EF">
        <w:trPr>
          <w:cantSplit/>
          <w:jc w:val="center"/>
        </w:trPr>
        <w:tc>
          <w:tcPr>
            <w:tcW w:w="3201" w:type="dxa"/>
            <w:tcBorders>
              <w:top w:val="nil"/>
              <w:bottom w:val="single" w:sz="4" w:space="0" w:color="auto"/>
              <w:right w:val="nil"/>
            </w:tcBorders>
            <w:shd w:val="clear" w:color="auto" w:fill="EFF3FF"/>
            <w:tcMar>
              <w:left w:w="40" w:type="dxa"/>
              <w:right w:w="40" w:type="dxa"/>
            </w:tcMar>
          </w:tcPr>
          <w:p w:rsidR="00C827EF" w:rsidRPr="00E97B80" w:rsidRDefault="00C827EF" w:rsidP="00C827EF">
            <w:pPr>
              <w:pStyle w:val="TableRowHeadings"/>
              <w:rPr>
                <w:lang w:eastAsia="en-AU"/>
              </w:rPr>
            </w:pPr>
            <w:r>
              <w:rPr>
                <w:lang w:eastAsia="en-AU"/>
              </w:rPr>
              <w:t>12-</w:t>
            </w:r>
            <w:r w:rsidRPr="00E97B80">
              <w:rPr>
                <w:lang w:eastAsia="en-AU"/>
              </w:rPr>
              <w:t>17 years</w:t>
            </w:r>
          </w:p>
        </w:tc>
        <w:tc>
          <w:tcPr>
            <w:tcW w:w="1711" w:type="dxa"/>
            <w:tcBorders>
              <w:top w:val="nil"/>
              <w:left w:val="nil"/>
              <w:bottom w:val="single" w:sz="4" w:space="0" w:color="auto"/>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9.8</w:t>
            </w:r>
          </w:p>
        </w:tc>
        <w:tc>
          <w:tcPr>
            <w:tcW w:w="2132" w:type="dxa"/>
            <w:tcBorders>
              <w:top w:val="nil"/>
              <w:left w:val="nil"/>
              <w:bottom w:val="single" w:sz="4" w:space="0" w:color="auto"/>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2.7</w:t>
            </w:r>
          </w:p>
        </w:tc>
        <w:tc>
          <w:tcPr>
            <w:tcW w:w="2070" w:type="dxa"/>
            <w:tcBorders>
              <w:top w:val="nil"/>
              <w:left w:val="nil"/>
              <w:bottom w:val="single" w:sz="4" w:space="0" w:color="auto"/>
              <w:right w:val="nil"/>
            </w:tcBorders>
            <w:shd w:val="clear" w:color="auto" w:fill="FFFFFF"/>
            <w:tcMar>
              <w:left w:w="40" w:type="dxa"/>
              <w:right w:w="40" w:type="dxa"/>
            </w:tcMar>
            <w:vAlign w:val="bottom"/>
          </w:tcPr>
          <w:p w:rsidR="00C827EF" w:rsidRPr="00E97B80" w:rsidRDefault="00C827EF" w:rsidP="00C827EF">
            <w:pPr>
              <w:pStyle w:val="TableDataCell"/>
              <w:rPr>
                <w:lang w:eastAsia="en-AU"/>
              </w:rPr>
            </w:pPr>
            <w:r w:rsidRPr="00E97B80">
              <w:rPr>
                <w:lang w:eastAsia="en-AU"/>
              </w:rPr>
              <w:t>6.3</w:t>
            </w:r>
          </w:p>
        </w:tc>
      </w:tr>
      <w:tr w:rsidR="00C827EF" w:rsidRPr="00E97B80" w:rsidTr="00C827EF">
        <w:trPr>
          <w:cantSplit/>
          <w:jc w:val="center"/>
        </w:trPr>
        <w:tc>
          <w:tcPr>
            <w:tcW w:w="3201" w:type="dxa"/>
            <w:tcBorders>
              <w:top w:val="single" w:sz="4" w:space="0" w:color="auto"/>
              <w:bottom w:val="single" w:sz="6" w:space="0" w:color="000000"/>
              <w:right w:val="nil"/>
            </w:tcBorders>
            <w:shd w:val="clear" w:color="auto" w:fill="EFF3FF"/>
            <w:tcMar>
              <w:left w:w="40" w:type="dxa"/>
              <w:right w:w="40" w:type="dxa"/>
            </w:tcMar>
          </w:tcPr>
          <w:p w:rsidR="00C827EF" w:rsidRPr="00E814CA" w:rsidRDefault="00C827EF" w:rsidP="00C827EF">
            <w:pPr>
              <w:pStyle w:val="TableRowHeadings"/>
              <w:rPr>
                <w:rStyle w:val="Strong"/>
              </w:rPr>
            </w:pPr>
            <w:r w:rsidRPr="00E814CA">
              <w:rPr>
                <w:rStyle w:val="Strong"/>
              </w:rPr>
              <w:t>4-17 years</w:t>
            </w:r>
          </w:p>
        </w:tc>
        <w:tc>
          <w:tcPr>
            <w:tcW w:w="1711"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E814CA" w:rsidRDefault="00C827EF" w:rsidP="00C827EF">
            <w:pPr>
              <w:pStyle w:val="TableDataCell"/>
              <w:rPr>
                <w:rStyle w:val="Strong"/>
              </w:rPr>
            </w:pPr>
            <w:r w:rsidRPr="00E814CA">
              <w:rPr>
                <w:rStyle w:val="Strong"/>
              </w:rPr>
              <w:t>10.4</w:t>
            </w:r>
          </w:p>
        </w:tc>
        <w:tc>
          <w:tcPr>
            <w:tcW w:w="2132"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E814CA" w:rsidRDefault="00C827EF" w:rsidP="00C827EF">
            <w:pPr>
              <w:pStyle w:val="TableDataCell"/>
              <w:rPr>
                <w:rStyle w:val="Strong"/>
              </w:rPr>
            </w:pPr>
            <w:r w:rsidRPr="00E814CA">
              <w:rPr>
                <w:rStyle w:val="Strong"/>
              </w:rPr>
              <w:t>4.3</w:t>
            </w:r>
          </w:p>
        </w:tc>
        <w:tc>
          <w:tcPr>
            <w:tcW w:w="2070"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E814CA" w:rsidRDefault="00C827EF" w:rsidP="00C827EF">
            <w:pPr>
              <w:pStyle w:val="TableDataCell"/>
              <w:rPr>
                <w:rStyle w:val="Strong"/>
              </w:rPr>
            </w:pPr>
            <w:r w:rsidRPr="00E814CA">
              <w:rPr>
                <w:rStyle w:val="Strong"/>
              </w:rPr>
              <w:t>7.4</w:t>
            </w:r>
          </w:p>
        </w:tc>
      </w:tr>
    </w:tbl>
    <w:p w:rsidR="00C827EF" w:rsidRDefault="00C827EF" w:rsidP="00C827EF">
      <w:pPr>
        <w:pStyle w:val="Heading2"/>
      </w:pPr>
      <w:r>
        <w:t>5.2</w:t>
      </w:r>
      <w:r>
        <w:tab/>
        <w:t>Social and demographic characteristics</w:t>
      </w:r>
    </w:p>
    <w:p w:rsidR="00C827EF" w:rsidRDefault="00C827EF" w:rsidP="00C827EF">
      <w:pPr>
        <w:pStyle w:val="BodyText"/>
      </w:pPr>
      <w:proofErr w:type="gramStart"/>
      <w:r>
        <w:t>Table 5-</w:t>
      </w:r>
      <w:r>
        <w:rPr>
          <w:noProof/>
        </w:rPr>
        <w:t>2</w:t>
      </w:r>
      <w:r>
        <w:t xml:space="preserve"> through to Table 5-</w:t>
      </w:r>
      <w:r>
        <w:rPr>
          <w:noProof/>
        </w:rPr>
        <w:t>6</w:t>
      </w:r>
      <w:r>
        <w:t xml:space="preserve"> report the prevalence of ADHD by a range of socio-demographic characteristics.</w:t>
      </w:r>
      <w:proofErr w:type="gramEnd"/>
      <w:r>
        <w:t xml:space="preserve"> These include family type, household income, carer education and labour force status, area of residence and family functioning. </w:t>
      </w:r>
      <w:r>
        <w:rPr>
          <w:lang w:eastAsia="en-AU"/>
        </w:rPr>
        <w:t>Overall prevalence of ADHD was higher in children and adolescents living in families with lower levels of income, education and employment and with poorer family functioning.</w:t>
      </w:r>
    </w:p>
    <w:p w:rsidR="00C827EF" w:rsidRDefault="00C827EF" w:rsidP="00C827EF">
      <w:pPr>
        <w:pStyle w:val="Heading3"/>
      </w:pPr>
      <w:r>
        <w:t xml:space="preserve">5.2.1 </w:t>
      </w:r>
      <w:r>
        <w:tab/>
        <w:t>Family type</w:t>
      </w:r>
    </w:p>
    <w:p w:rsidR="00C827EF" w:rsidRDefault="00C827EF" w:rsidP="00C827EF">
      <w:pPr>
        <w:pStyle w:val="BodyText"/>
      </w:pPr>
      <w:r>
        <w:t>The lowest prevalence of ADHD was in children and adolescents living in original families (5.7%), that is where at least one child was living with both their natural, adoptive or foster parents and there were no step children. The prevalence of ADHD was twice as high in children and adolescents from lone parent or carer families (11.1%) and slightly higher again (13.4%) in those from blended families (Table 5-</w:t>
      </w:r>
      <w:r>
        <w:rPr>
          <w:noProof/>
        </w:rPr>
        <w:t>2</w:t>
      </w:r>
      <w:r>
        <w:t>).</w:t>
      </w:r>
    </w:p>
    <w:p w:rsidR="00C827EF" w:rsidRDefault="00C827EF" w:rsidP="00C827EF">
      <w:pPr>
        <w:pStyle w:val="Caption"/>
        <w:keepNext/>
      </w:pPr>
      <w:bookmarkStart w:id="97" w:name="_Ref401147174"/>
      <w:r>
        <w:t>Table 5-</w:t>
      </w:r>
      <w:r>
        <w:rPr>
          <w:noProof/>
        </w:rPr>
        <w:t>2</w:t>
      </w:r>
      <w:bookmarkEnd w:id="97"/>
      <w:r>
        <w:t xml:space="preserve">: </w:t>
      </w:r>
      <w:r w:rsidRPr="009777F2">
        <w:t xml:space="preserve">12-month prevalence of </w:t>
      </w:r>
      <w:r>
        <w:t>ADHD</w:t>
      </w:r>
      <w:r w:rsidRPr="004E6E27">
        <w:t xml:space="preserve"> </w:t>
      </w:r>
      <w:r>
        <w:t>among 4-17 year-olds</w:t>
      </w:r>
      <w:r w:rsidRPr="009777F2">
        <w:t xml:space="preserve"> by family </w:t>
      </w:r>
      <w:r>
        <w:t>type</w:t>
      </w:r>
    </w:p>
    <w:tbl>
      <w:tblPr>
        <w:tblW w:w="0" w:type="auto"/>
        <w:jc w:val="center"/>
        <w:tblLayout w:type="fixed"/>
        <w:tblCellMar>
          <w:left w:w="0" w:type="dxa"/>
          <w:right w:w="0" w:type="dxa"/>
        </w:tblCellMar>
        <w:tblLook w:val="0020" w:firstRow="1" w:lastRow="0" w:firstColumn="0" w:lastColumn="0" w:noHBand="0" w:noVBand="0"/>
        <w:tblDescription w:val="In Table 5-2 the first column defines family type. Read across the rows for the 12 month prevalence of ADHD."/>
      </w:tblPr>
      <w:tblGrid>
        <w:gridCol w:w="6983"/>
        <w:gridCol w:w="2122"/>
      </w:tblGrid>
      <w:tr w:rsidR="00C827EF" w:rsidRPr="00237618" w:rsidTr="00C827EF">
        <w:trPr>
          <w:cantSplit/>
          <w:tblHeader/>
          <w:jc w:val="center"/>
        </w:trPr>
        <w:tc>
          <w:tcPr>
            <w:tcW w:w="6983" w:type="dxa"/>
            <w:tcBorders>
              <w:top w:val="single" w:sz="6" w:space="0" w:color="auto"/>
              <w:bottom w:val="single" w:sz="4" w:space="0" w:color="000000"/>
              <w:right w:val="nil"/>
            </w:tcBorders>
            <w:shd w:val="clear" w:color="auto" w:fill="EFF3FF"/>
            <w:tcMar>
              <w:left w:w="40" w:type="dxa"/>
              <w:right w:w="40" w:type="dxa"/>
            </w:tcMar>
            <w:vAlign w:val="center"/>
          </w:tcPr>
          <w:p w:rsidR="00C827EF" w:rsidRPr="0043581D" w:rsidRDefault="00C827EF" w:rsidP="00C827EF">
            <w:pPr>
              <w:pStyle w:val="TableColumnHeadings"/>
              <w:jc w:val="left"/>
              <w:rPr>
                <w:rStyle w:val="Strong"/>
              </w:rPr>
            </w:pPr>
            <w:r w:rsidRPr="0043581D">
              <w:rPr>
                <w:rStyle w:val="Strong"/>
              </w:rPr>
              <w:t>Family type</w:t>
            </w:r>
          </w:p>
        </w:tc>
        <w:tc>
          <w:tcPr>
            <w:tcW w:w="2122" w:type="dxa"/>
            <w:tcBorders>
              <w:top w:val="single" w:sz="6" w:space="0" w:color="auto"/>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Prevalence (%)</w:t>
            </w:r>
          </w:p>
        </w:tc>
      </w:tr>
      <w:tr w:rsidR="00C827EF" w:rsidRPr="00237618" w:rsidTr="00C827EF">
        <w:trPr>
          <w:cantSplit/>
          <w:jc w:val="center"/>
        </w:trPr>
        <w:tc>
          <w:tcPr>
            <w:tcW w:w="6983"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Families with two parents or carers</w:t>
            </w:r>
          </w:p>
        </w:tc>
        <w:tc>
          <w:tcPr>
            <w:tcW w:w="212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Pr>
                <w:lang w:eastAsia="en-AU"/>
              </w:rPr>
              <w:t>6.5</w:t>
            </w:r>
          </w:p>
        </w:tc>
      </w:tr>
      <w:tr w:rsidR="00C827EF" w:rsidRPr="00237618" w:rsidTr="00C827EF">
        <w:trPr>
          <w:cantSplit/>
          <w:jc w:val="center"/>
        </w:trPr>
        <w:tc>
          <w:tcPr>
            <w:tcW w:w="6983"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ab/>
              <w:t>Original</w:t>
            </w:r>
            <w:r w:rsidRPr="007B266A">
              <w:rPr>
                <w:lang w:eastAsia="en-AU"/>
              </w:rPr>
              <w:t xml:space="preserve"> family</w:t>
            </w:r>
          </w:p>
        </w:tc>
        <w:tc>
          <w:tcPr>
            <w:tcW w:w="212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5.7</w:t>
            </w:r>
          </w:p>
        </w:tc>
      </w:tr>
      <w:tr w:rsidR="00C827EF" w:rsidRPr="00237618" w:rsidTr="00C827EF">
        <w:trPr>
          <w:cantSplit/>
          <w:jc w:val="center"/>
        </w:trPr>
        <w:tc>
          <w:tcPr>
            <w:tcW w:w="6983"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ab/>
            </w:r>
            <w:r w:rsidRPr="007B266A">
              <w:rPr>
                <w:lang w:eastAsia="en-AU"/>
              </w:rPr>
              <w:t>Step family</w:t>
            </w:r>
          </w:p>
        </w:tc>
        <w:tc>
          <w:tcPr>
            <w:tcW w:w="212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7.9</w:t>
            </w:r>
          </w:p>
        </w:tc>
      </w:tr>
      <w:tr w:rsidR="00C827EF" w:rsidRPr="00237618" w:rsidTr="00C827EF">
        <w:trPr>
          <w:cantSplit/>
          <w:jc w:val="center"/>
        </w:trPr>
        <w:tc>
          <w:tcPr>
            <w:tcW w:w="6983"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ab/>
            </w:r>
            <w:r w:rsidRPr="007B266A">
              <w:rPr>
                <w:lang w:eastAsia="en-AU"/>
              </w:rPr>
              <w:t>Blended family</w:t>
            </w:r>
          </w:p>
        </w:tc>
        <w:tc>
          <w:tcPr>
            <w:tcW w:w="212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13.4</w:t>
            </w:r>
          </w:p>
        </w:tc>
      </w:tr>
      <w:tr w:rsidR="00C827EF" w:rsidRPr="00237618" w:rsidTr="00C827EF">
        <w:trPr>
          <w:cantSplit/>
          <w:jc w:val="center"/>
        </w:trPr>
        <w:tc>
          <w:tcPr>
            <w:tcW w:w="6983" w:type="dxa"/>
            <w:tcBorders>
              <w:top w:val="nil"/>
              <w:bottom w:val="single" w:sz="4" w:space="0" w:color="FFFFFF"/>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ab/>
            </w:r>
            <w:r w:rsidRPr="007B266A">
              <w:rPr>
                <w:lang w:eastAsia="en-AU"/>
              </w:rPr>
              <w:t>Other family</w:t>
            </w:r>
            <w:r>
              <w:rPr>
                <w:lang w:eastAsia="en-AU"/>
              </w:rPr>
              <w:t xml:space="preserve"> (a)</w:t>
            </w:r>
          </w:p>
        </w:tc>
        <w:tc>
          <w:tcPr>
            <w:tcW w:w="212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Pr>
                <w:lang w:eastAsia="en-AU"/>
              </w:rPr>
              <w:t>12.5</w:t>
            </w:r>
          </w:p>
        </w:tc>
      </w:tr>
      <w:tr w:rsidR="00C827EF" w:rsidRPr="00237618" w:rsidTr="00C827EF">
        <w:trPr>
          <w:cantSplit/>
          <w:jc w:val="center"/>
        </w:trPr>
        <w:tc>
          <w:tcPr>
            <w:tcW w:w="6983" w:type="dxa"/>
            <w:tcBorders>
              <w:top w:val="nil"/>
              <w:bottom w:val="single" w:sz="6" w:space="0" w:color="000000"/>
              <w:right w:val="nil"/>
            </w:tcBorders>
            <w:shd w:val="clear" w:color="auto" w:fill="EFF3FF"/>
            <w:tcMar>
              <w:left w:w="40" w:type="dxa"/>
              <w:right w:w="40" w:type="dxa"/>
            </w:tcMar>
          </w:tcPr>
          <w:p w:rsidR="00C827EF" w:rsidRPr="007B266A" w:rsidRDefault="00C827EF" w:rsidP="00C827EF">
            <w:pPr>
              <w:pStyle w:val="TableRowHeadings"/>
              <w:tabs>
                <w:tab w:val="left" w:pos="290"/>
              </w:tabs>
              <w:rPr>
                <w:lang w:eastAsia="en-AU"/>
              </w:rPr>
            </w:pPr>
            <w:r>
              <w:rPr>
                <w:lang w:eastAsia="en-AU"/>
              </w:rPr>
              <w:t>Families with o</w:t>
            </w:r>
            <w:r w:rsidRPr="007B266A">
              <w:rPr>
                <w:lang w:eastAsia="en-AU"/>
              </w:rPr>
              <w:t xml:space="preserve">ne parent </w:t>
            </w:r>
            <w:r>
              <w:rPr>
                <w:lang w:eastAsia="en-AU"/>
              </w:rPr>
              <w:t>or carer</w:t>
            </w:r>
          </w:p>
        </w:tc>
        <w:tc>
          <w:tcPr>
            <w:tcW w:w="2122" w:type="dxa"/>
            <w:tcBorders>
              <w:top w:val="nil"/>
              <w:left w:val="nil"/>
              <w:bottom w:val="single" w:sz="6" w:space="0" w:color="000000"/>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Pr>
                <w:lang w:eastAsia="en-AU"/>
              </w:rPr>
              <w:t>11.1</w:t>
            </w:r>
          </w:p>
        </w:tc>
      </w:tr>
    </w:tbl>
    <w:p w:rsidR="00C827EF" w:rsidRDefault="00C827EF" w:rsidP="00C827EF">
      <w:pPr>
        <w:pStyle w:val="TableFootnote"/>
        <w:spacing w:after="60"/>
      </w:pPr>
      <w:r>
        <w:t>‘Original family’ has at least one child living with their natural, adoptive or foster parents, and no step children.</w:t>
      </w:r>
    </w:p>
    <w:p w:rsidR="00C827EF" w:rsidRDefault="00C827EF" w:rsidP="00C827EF">
      <w:pPr>
        <w:pStyle w:val="TableFootnote"/>
        <w:spacing w:after="60"/>
      </w:pPr>
      <w:r>
        <w:t xml:space="preserve">‘Other family’ is where all children are not the natural, adopted, foster or step child of one or both carers. </w:t>
      </w:r>
    </w:p>
    <w:p w:rsidR="00C827EF" w:rsidRPr="00DB4742" w:rsidRDefault="00C827EF" w:rsidP="00C827EF">
      <w:pPr>
        <w:pStyle w:val="TableFootnote"/>
      </w:pPr>
      <w:r>
        <w:t>(a)</w:t>
      </w:r>
      <w:r>
        <w:tab/>
        <w:t>Data to be treated with caution due to low respondent numbers in this category.</w:t>
      </w:r>
    </w:p>
    <w:p w:rsidR="00C827EF" w:rsidRDefault="00C827EF" w:rsidP="00C827EF">
      <w:pPr>
        <w:pStyle w:val="Heading3"/>
      </w:pPr>
      <w:r>
        <w:t xml:space="preserve">5.2.2 </w:t>
      </w:r>
      <w:r>
        <w:tab/>
        <w:t>Household income</w:t>
      </w:r>
    </w:p>
    <w:p w:rsidR="00C827EF" w:rsidRDefault="00C827EF" w:rsidP="00C827EF">
      <w:pPr>
        <w:pStyle w:val="BodyText"/>
      </w:pPr>
      <w:r>
        <w:t>The prevalence of ADHD was highest in children and adolescents in households in the lowest income bracket (less than $52,000 per year or $1,000 per week), with just over one in ten (11.7%) young people who lived in these households having had ADHD in the previous 12 months (Table 5-</w:t>
      </w:r>
      <w:r>
        <w:rPr>
          <w:noProof/>
        </w:rPr>
        <w:t>3</w:t>
      </w:r>
      <w:r>
        <w:t>). This was significantly higher than the prevalence of children and adolescents in households in the middle and highest income brackets (6.6% and 5.2% respectively).</w:t>
      </w:r>
    </w:p>
    <w:p w:rsidR="00C827EF" w:rsidRDefault="00C827EF" w:rsidP="00DE592E">
      <w:pPr>
        <w:pStyle w:val="Caption"/>
        <w:keepNext/>
        <w:pageBreakBefore/>
      </w:pPr>
      <w:bookmarkStart w:id="98" w:name="_Ref398105605"/>
      <w:r>
        <w:lastRenderedPageBreak/>
        <w:t>Table 5-</w:t>
      </w:r>
      <w:r>
        <w:rPr>
          <w:noProof/>
        </w:rPr>
        <w:t>3</w:t>
      </w:r>
      <w:bookmarkEnd w:id="98"/>
      <w:r>
        <w:t xml:space="preserve">: </w:t>
      </w:r>
      <w:r w:rsidRPr="00FF2F89">
        <w:t xml:space="preserve">12-month prevalence of </w:t>
      </w:r>
      <w:r>
        <w:t>ADHD</w:t>
      </w:r>
      <w:r w:rsidRPr="004E6E27">
        <w:t xml:space="preserve"> </w:t>
      </w:r>
      <w:r>
        <w:t>among 4-17 year-olds</w:t>
      </w:r>
      <w:r w:rsidRPr="00FF2F89">
        <w:t xml:space="preserve"> by household income</w:t>
      </w:r>
    </w:p>
    <w:tbl>
      <w:tblPr>
        <w:tblW w:w="9142" w:type="dxa"/>
        <w:jc w:val="center"/>
        <w:tblLayout w:type="fixed"/>
        <w:tblCellMar>
          <w:left w:w="0" w:type="dxa"/>
          <w:right w:w="0" w:type="dxa"/>
        </w:tblCellMar>
        <w:tblLook w:val="0020" w:firstRow="1" w:lastRow="0" w:firstColumn="0" w:lastColumn="0" w:noHBand="0" w:noVBand="0"/>
        <w:tblDescription w:val="In Table 5-3 the first column defines highest education level of parent or carer. Read across the rows for the  12-month prevalence of ADHD."/>
      </w:tblPr>
      <w:tblGrid>
        <w:gridCol w:w="7029"/>
        <w:gridCol w:w="2113"/>
      </w:tblGrid>
      <w:tr w:rsidR="00C827EF" w:rsidTr="00C827EF">
        <w:trPr>
          <w:cantSplit/>
          <w:tblHeader/>
          <w:jc w:val="center"/>
        </w:trPr>
        <w:tc>
          <w:tcPr>
            <w:tcW w:w="7029"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43581D" w:rsidRDefault="00C827EF" w:rsidP="00C827EF">
            <w:pPr>
              <w:pStyle w:val="TableColumnHeadings"/>
              <w:jc w:val="left"/>
              <w:rPr>
                <w:rStyle w:val="Strong"/>
              </w:rPr>
            </w:pPr>
            <w:bookmarkStart w:id="99" w:name="IDX15"/>
            <w:bookmarkEnd w:id="99"/>
            <w:r w:rsidRPr="0043581D">
              <w:rPr>
                <w:rStyle w:val="Strong"/>
              </w:rPr>
              <w:t>Household income before tax</w:t>
            </w:r>
          </w:p>
        </w:tc>
        <w:tc>
          <w:tcPr>
            <w:tcW w:w="211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Prevalence (%)</w:t>
            </w:r>
          </w:p>
        </w:tc>
      </w:tr>
      <w:tr w:rsidR="00C827EF"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 xml:space="preserve">$130,000 or more per year </w:t>
            </w:r>
          </w:p>
        </w:tc>
        <w:tc>
          <w:tcPr>
            <w:tcW w:w="2113"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5.2</w:t>
            </w:r>
          </w:p>
        </w:tc>
      </w:tr>
      <w:tr w:rsidR="00C827EF"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Default="00C827EF" w:rsidP="00C827EF">
            <w:pPr>
              <w:pStyle w:val="TableRowHeadings"/>
            </w:pPr>
            <w:r>
              <w:t xml:space="preserve">$52,000-$129,999 per year </w:t>
            </w:r>
          </w:p>
        </w:tc>
        <w:tc>
          <w:tcPr>
            <w:tcW w:w="2113" w:type="dxa"/>
            <w:tcBorders>
              <w:top w:val="nil"/>
              <w:left w:val="nil"/>
              <w:bottom w:val="nil"/>
              <w:right w:val="nil"/>
            </w:tcBorders>
            <w:shd w:val="clear" w:color="auto" w:fill="FFFFFF"/>
            <w:tcMar>
              <w:left w:w="40" w:type="dxa"/>
              <w:right w:w="40" w:type="dxa"/>
            </w:tcMar>
            <w:vAlign w:val="bottom"/>
          </w:tcPr>
          <w:p w:rsidR="00C827EF" w:rsidRDefault="00C827EF" w:rsidP="00C827EF">
            <w:pPr>
              <w:pStyle w:val="TableDataCell"/>
            </w:pPr>
            <w:r>
              <w:t>6.6</w:t>
            </w:r>
          </w:p>
        </w:tc>
      </w:tr>
      <w:tr w:rsidR="00C827EF" w:rsidTr="00C827EF">
        <w:trPr>
          <w:cantSplit/>
          <w:jc w:val="center"/>
        </w:trPr>
        <w:tc>
          <w:tcPr>
            <w:tcW w:w="7029" w:type="dxa"/>
            <w:tcBorders>
              <w:top w:val="nil"/>
              <w:bottom w:val="single" w:sz="6" w:space="0" w:color="auto"/>
              <w:right w:val="nil"/>
            </w:tcBorders>
            <w:shd w:val="clear" w:color="auto" w:fill="EFF3FF"/>
            <w:tcMar>
              <w:left w:w="40" w:type="dxa"/>
              <w:right w:w="40" w:type="dxa"/>
            </w:tcMar>
          </w:tcPr>
          <w:p w:rsidR="00C827EF" w:rsidRDefault="00C827EF" w:rsidP="00C827EF">
            <w:pPr>
              <w:pStyle w:val="TableRowHeadings"/>
            </w:pPr>
            <w:r>
              <w:t xml:space="preserve">Less than $52,000 per year </w:t>
            </w:r>
          </w:p>
        </w:tc>
        <w:tc>
          <w:tcPr>
            <w:tcW w:w="2113" w:type="dxa"/>
            <w:tcBorders>
              <w:top w:val="nil"/>
              <w:left w:val="nil"/>
              <w:bottom w:val="single" w:sz="6" w:space="0" w:color="auto"/>
              <w:right w:val="nil"/>
            </w:tcBorders>
            <w:shd w:val="clear" w:color="auto" w:fill="FFFFFF"/>
            <w:tcMar>
              <w:left w:w="40" w:type="dxa"/>
              <w:right w:w="40" w:type="dxa"/>
            </w:tcMar>
            <w:vAlign w:val="bottom"/>
          </w:tcPr>
          <w:p w:rsidR="00C827EF" w:rsidRDefault="00C827EF" w:rsidP="00C827EF">
            <w:pPr>
              <w:pStyle w:val="TableDataCell"/>
            </w:pPr>
            <w:r>
              <w:t>11.7</w:t>
            </w:r>
          </w:p>
        </w:tc>
      </w:tr>
    </w:tbl>
    <w:p w:rsidR="00C827EF" w:rsidRPr="008127E8" w:rsidRDefault="00C827EF" w:rsidP="00C827EF">
      <w:pPr>
        <w:pStyle w:val="TableFootnote"/>
        <w:ind w:left="0" w:firstLine="0"/>
      </w:pPr>
      <w:r>
        <w:t>Household income includes the c</w:t>
      </w:r>
      <w:r w:rsidRPr="008127E8">
        <w:t>ombined income for the 2011-12 financial year of everyone living in the household before tax and other deductions are taken out.</w:t>
      </w:r>
    </w:p>
    <w:p w:rsidR="00C827EF" w:rsidRDefault="00C827EF" w:rsidP="00C827EF">
      <w:pPr>
        <w:pStyle w:val="Heading3"/>
        <w:rPr>
          <w:lang w:eastAsia="en-AU"/>
        </w:rPr>
      </w:pPr>
      <w:r>
        <w:rPr>
          <w:lang w:eastAsia="en-AU"/>
        </w:rPr>
        <w:t xml:space="preserve">5.2.3 </w:t>
      </w:r>
      <w:r>
        <w:rPr>
          <w:lang w:eastAsia="en-AU"/>
        </w:rPr>
        <w:tab/>
        <w:t>Parent and carer education</w:t>
      </w:r>
    </w:p>
    <w:p w:rsidR="00C827EF" w:rsidRPr="0067179A" w:rsidRDefault="00C827EF" w:rsidP="00C827EF">
      <w:pPr>
        <w:pStyle w:val="BodyText"/>
        <w:rPr>
          <w:lang w:eastAsia="en-AU"/>
        </w:rPr>
      </w:pPr>
      <w:proofErr w:type="gramStart"/>
      <w:r>
        <w:rPr>
          <w:lang w:eastAsia="en-AU"/>
        </w:rPr>
        <w:t>Children and adolescents from families in which the highest level of education of a parent or carer was a bachelor degree or higher had the lowest prevalence of ADHD.</w:t>
      </w:r>
      <w:proofErr w:type="gramEnd"/>
      <w:r>
        <w:rPr>
          <w:lang w:eastAsia="en-AU"/>
        </w:rPr>
        <w:t xml:space="preserve"> In contrast, children and adolescents from families where the highest level of education of either parent or carer was Year 10 or below had the highest prevalence of ADHD (5.4% compared with 11.7%) </w:t>
      </w:r>
      <w:proofErr w:type="gramStart"/>
      <w:r>
        <w:rPr>
          <w:lang w:eastAsia="en-AU"/>
        </w:rPr>
        <w:t>(</w:t>
      </w:r>
      <w:r>
        <w:t>Table 5-</w:t>
      </w:r>
      <w:r>
        <w:rPr>
          <w:noProof/>
        </w:rPr>
        <w:t>4</w:t>
      </w:r>
      <w:r>
        <w:rPr>
          <w:lang w:eastAsia="en-AU"/>
        </w:rPr>
        <w:t>).</w:t>
      </w:r>
      <w:proofErr w:type="gramEnd"/>
    </w:p>
    <w:p w:rsidR="00C827EF" w:rsidRDefault="00C827EF" w:rsidP="00C827EF">
      <w:pPr>
        <w:pStyle w:val="Caption"/>
        <w:keepNext/>
      </w:pPr>
      <w:bookmarkStart w:id="100" w:name="_Ref398108321"/>
      <w:r>
        <w:t>Table 5-</w:t>
      </w:r>
      <w:r>
        <w:rPr>
          <w:noProof/>
        </w:rPr>
        <w:t>4</w:t>
      </w:r>
      <w:bookmarkEnd w:id="100"/>
      <w:r>
        <w:t xml:space="preserve">: </w:t>
      </w:r>
      <w:r w:rsidRPr="00CD5597">
        <w:t xml:space="preserve">12-month prevalence of </w:t>
      </w:r>
      <w:r>
        <w:t>ADHD</w:t>
      </w:r>
      <w:r w:rsidRPr="004E6E27">
        <w:t xml:space="preserve"> </w:t>
      </w:r>
      <w:r>
        <w:t>among 4-17 year-olds by parent or carer</w:t>
      </w:r>
      <w:r w:rsidRPr="00CD5597">
        <w:t xml:space="preserve"> education</w:t>
      </w:r>
    </w:p>
    <w:tbl>
      <w:tblPr>
        <w:tblW w:w="9118" w:type="dxa"/>
        <w:jc w:val="center"/>
        <w:tblLayout w:type="fixed"/>
        <w:tblCellMar>
          <w:left w:w="0" w:type="dxa"/>
          <w:right w:w="0" w:type="dxa"/>
        </w:tblCellMar>
        <w:tblLook w:val="0020" w:firstRow="1" w:lastRow="0" w:firstColumn="0" w:lastColumn="0" w:noHBand="0" w:noVBand="0"/>
        <w:tblDescription w:val="In Table 5-4 the first column defines highest level of education of either primary or secondary carer. Read across the rows for the prevalence."/>
      </w:tblPr>
      <w:tblGrid>
        <w:gridCol w:w="7017"/>
        <w:gridCol w:w="2101"/>
      </w:tblGrid>
      <w:tr w:rsidR="00C827EF" w:rsidRPr="00237618" w:rsidTr="00C827EF">
        <w:trPr>
          <w:cantSplit/>
          <w:tblHeader/>
          <w:jc w:val="center"/>
        </w:trPr>
        <w:tc>
          <w:tcPr>
            <w:tcW w:w="7017"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236E3" w:rsidRDefault="00C827EF" w:rsidP="00C827EF">
            <w:pPr>
              <w:pStyle w:val="TableColumnHeadings"/>
              <w:jc w:val="left"/>
              <w:rPr>
                <w:rStyle w:val="Strong"/>
              </w:rPr>
            </w:pPr>
            <w:bookmarkStart w:id="101" w:name="IDX16"/>
            <w:bookmarkEnd w:id="101"/>
            <w:r w:rsidRPr="00A236E3">
              <w:rPr>
                <w:rStyle w:val="Strong"/>
              </w:rPr>
              <w:t>Highest level of education of either primary or secondary parent or carer</w:t>
            </w:r>
          </w:p>
        </w:tc>
        <w:tc>
          <w:tcPr>
            <w:tcW w:w="210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236E3" w:rsidRDefault="00C827EF" w:rsidP="00C827EF">
            <w:pPr>
              <w:pStyle w:val="TableColumnHeadings"/>
              <w:rPr>
                <w:rStyle w:val="Strong"/>
              </w:rPr>
            </w:pPr>
            <w:r w:rsidRPr="00A236E3">
              <w:rPr>
                <w:rStyle w:val="Strong"/>
              </w:rPr>
              <w:t>Prevalence (%)</w:t>
            </w:r>
          </w:p>
        </w:tc>
      </w:tr>
      <w:tr w:rsidR="00C827EF" w:rsidRPr="00237618" w:rsidTr="00C827EF">
        <w:trPr>
          <w:cantSplit/>
          <w:jc w:val="center"/>
        </w:trPr>
        <w:tc>
          <w:tcPr>
            <w:tcW w:w="7017"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Bachelor degree or higher</w:t>
            </w:r>
          </w:p>
        </w:tc>
        <w:tc>
          <w:tcPr>
            <w:tcW w:w="2101"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5.4</w:t>
            </w:r>
          </w:p>
        </w:tc>
      </w:tr>
      <w:tr w:rsidR="00C827EF" w:rsidRPr="00237618" w:rsidTr="00C827EF">
        <w:trPr>
          <w:cantSplit/>
          <w:jc w:val="center"/>
        </w:trPr>
        <w:tc>
          <w:tcPr>
            <w:tcW w:w="7017"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Diploma or certificate III/IV</w:t>
            </w:r>
          </w:p>
        </w:tc>
        <w:tc>
          <w:tcPr>
            <w:tcW w:w="2101"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8.6</w:t>
            </w:r>
          </w:p>
        </w:tc>
      </w:tr>
      <w:tr w:rsidR="00C827EF" w:rsidRPr="00237618" w:rsidTr="00C827EF">
        <w:trPr>
          <w:cantSplit/>
          <w:jc w:val="center"/>
        </w:trPr>
        <w:tc>
          <w:tcPr>
            <w:tcW w:w="7017"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Year 11 or 12</w:t>
            </w:r>
          </w:p>
        </w:tc>
        <w:tc>
          <w:tcPr>
            <w:tcW w:w="2101"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8.0</w:t>
            </w:r>
          </w:p>
        </w:tc>
      </w:tr>
      <w:tr w:rsidR="00C827EF" w:rsidRPr="00237618" w:rsidTr="00C827EF">
        <w:trPr>
          <w:cantSplit/>
          <w:jc w:val="center"/>
        </w:trPr>
        <w:tc>
          <w:tcPr>
            <w:tcW w:w="7017" w:type="dxa"/>
            <w:tcBorders>
              <w:top w:val="nil"/>
              <w:bottom w:val="single" w:sz="6" w:space="0" w:color="000000"/>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Year 10 or below</w:t>
            </w:r>
          </w:p>
        </w:tc>
        <w:tc>
          <w:tcPr>
            <w:tcW w:w="2101" w:type="dxa"/>
            <w:tcBorders>
              <w:top w:val="nil"/>
              <w:left w:val="nil"/>
              <w:bottom w:val="single" w:sz="6" w:space="0" w:color="000000"/>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11.7</w:t>
            </w:r>
          </w:p>
        </w:tc>
      </w:tr>
    </w:tbl>
    <w:p w:rsidR="00C827EF" w:rsidRDefault="00C827EF" w:rsidP="00C827EF">
      <w:pPr>
        <w:pStyle w:val="Heading3"/>
        <w:rPr>
          <w:lang w:eastAsia="en-AU"/>
        </w:rPr>
      </w:pPr>
      <w:r>
        <w:rPr>
          <w:lang w:eastAsia="en-AU"/>
        </w:rPr>
        <w:t xml:space="preserve">5.2.4 </w:t>
      </w:r>
      <w:r>
        <w:rPr>
          <w:lang w:eastAsia="en-AU"/>
        </w:rPr>
        <w:tab/>
        <w:t>Parent and carer labour force status</w:t>
      </w:r>
    </w:p>
    <w:p w:rsidR="00C827EF" w:rsidRPr="00DB510B" w:rsidRDefault="00C827EF" w:rsidP="00C827EF">
      <w:pPr>
        <w:pStyle w:val="BodyText"/>
        <w:rPr>
          <w:lang w:eastAsia="en-AU"/>
        </w:rPr>
      </w:pPr>
      <w:r>
        <w:rPr>
          <w:lang w:eastAsia="en-AU"/>
        </w:rPr>
        <w:t xml:space="preserve">The prevalence of ADHD was lowest (5.8%) among children and adolescents in households in which </w:t>
      </w:r>
      <w:proofErr w:type="gramStart"/>
      <w:r>
        <w:rPr>
          <w:lang w:eastAsia="en-AU"/>
        </w:rPr>
        <w:t>both parents or</w:t>
      </w:r>
      <w:proofErr w:type="gramEnd"/>
      <w:r>
        <w:rPr>
          <w:lang w:eastAsia="en-AU"/>
        </w:rPr>
        <w:t xml:space="preserve"> carers were employed and highest where no parent or carer in the household was employed (</w:t>
      </w:r>
      <w:r>
        <w:t>Table 5-</w:t>
      </w:r>
      <w:r>
        <w:rPr>
          <w:noProof/>
        </w:rPr>
        <w:t>5</w:t>
      </w:r>
      <w:r>
        <w:rPr>
          <w:lang w:eastAsia="en-AU"/>
        </w:rPr>
        <w:t xml:space="preserve">). The prevalence of ADHD in children and adolescents with </w:t>
      </w:r>
      <w:proofErr w:type="gramStart"/>
      <w:r>
        <w:rPr>
          <w:lang w:eastAsia="en-AU"/>
        </w:rPr>
        <w:t>both parents or</w:t>
      </w:r>
      <w:proofErr w:type="gramEnd"/>
      <w:r>
        <w:rPr>
          <w:lang w:eastAsia="en-AU"/>
        </w:rPr>
        <w:t xml:space="preserve"> carers not in employment</w:t>
      </w:r>
      <w:r w:rsidRPr="00DB510B">
        <w:rPr>
          <w:lang w:eastAsia="en-AU"/>
        </w:rPr>
        <w:t xml:space="preserve"> </w:t>
      </w:r>
      <w:r>
        <w:rPr>
          <w:lang w:eastAsia="en-AU"/>
        </w:rPr>
        <w:t>was twice as high (15.6%) as children or adolescents in families where one parent or carer was employed (7.0%). For children and adolescents with a sole parent or carer, prevalence rates for ADHD were 15.3% where the sole carer was not in employment, double the rate where the parent or carer was employed (7.7%).</w:t>
      </w:r>
    </w:p>
    <w:p w:rsidR="00C827EF" w:rsidRDefault="00C827EF" w:rsidP="00C827EF">
      <w:pPr>
        <w:pStyle w:val="Caption"/>
        <w:keepNext/>
      </w:pPr>
      <w:bookmarkStart w:id="102" w:name="_Ref398108877"/>
      <w:r>
        <w:t>Table 5-</w:t>
      </w:r>
      <w:r>
        <w:rPr>
          <w:noProof/>
        </w:rPr>
        <w:t>5</w:t>
      </w:r>
      <w:bookmarkEnd w:id="102"/>
      <w:r>
        <w:t xml:space="preserve">: </w:t>
      </w:r>
      <w:r w:rsidRPr="002B02A1">
        <w:t xml:space="preserve">12-month prevalence of </w:t>
      </w:r>
      <w:r>
        <w:t>ADHD</w:t>
      </w:r>
      <w:r w:rsidRPr="004E6E27">
        <w:t xml:space="preserve"> </w:t>
      </w:r>
      <w:r>
        <w:t>among 4-17 year-olds</w:t>
      </w:r>
      <w:r w:rsidRPr="002B02A1">
        <w:t xml:space="preserve"> by parent</w:t>
      </w:r>
      <w:r>
        <w:t xml:space="preserve"> or carer</w:t>
      </w:r>
      <w:r w:rsidRPr="002B02A1">
        <w:t xml:space="preserve"> labour force status</w:t>
      </w:r>
    </w:p>
    <w:tbl>
      <w:tblPr>
        <w:tblW w:w="9141" w:type="dxa"/>
        <w:jc w:val="center"/>
        <w:tblLayout w:type="fixed"/>
        <w:tblCellMar>
          <w:left w:w="0" w:type="dxa"/>
          <w:right w:w="0" w:type="dxa"/>
        </w:tblCellMar>
        <w:tblLook w:val="0020" w:firstRow="1" w:lastRow="0" w:firstColumn="0" w:lastColumn="0" w:noHBand="0" w:noVBand="0"/>
        <w:tblDescription w:val="In Table 5-5 the first column defines parental labour force status. Read across the row for the proportion with 12 month prevalence of ADHD."/>
      </w:tblPr>
      <w:tblGrid>
        <w:gridCol w:w="7029"/>
        <w:gridCol w:w="2112"/>
      </w:tblGrid>
      <w:tr w:rsidR="00C827EF" w:rsidRPr="00237618" w:rsidTr="00C827EF">
        <w:trPr>
          <w:cantSplit/>
          <w:tblHeader/>
          <w:jc w:val="center"/>
        </w:trPr>
        <w:tc>
          <w:tcPr>
            <w:tcW w:w="7029"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236E3" w:rsidRDefault="00C827EF" w:rsidP="00C827EF">
            <w:pPr>
              <w:pStyle w:val="TableColumnHeadings"/>
              <w:jc w:val="left"/>
              <w:rPr>
                <w:rStyle w:val="Strong"/>
              </w:rPr>
            </w:pPr>
            <w:bookmarkStart w:id="103" w:name="IDX17"/>
            <w:bookmarkEnd w:id="103"/>
            <w:r w:rsidRPr="00A236E3">
              <w:rPr>
                <w:rStyle w:val="Strong"/>
              </w:rPr>
              <w:t>Parent or carer labour force status</w:t>
            </w:r>
          </w:p>
        </w:tc>
        <w:tc>
          <w:tcPr>
            <w:tcW w:w="21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236E3" w:rsidRDefault="00C827EF" w:rsidP="00C827EF">
            <w:pPr>
              <w:pStyle w:val="TableColumnHeadings"/>
              <w:rPr>
                <w:rStyle w:val="Strong"/>
              </w:rPr>
            </w:pPr>
            <w:r w:rsidRPr="00A236E3">
              <w:rPr>
                <w:rStyle w:val="Strong"/>
              </w:rPr>
              <w:t>Prevalence (%)</w:t>
            </w:r>
          </w:p>
        </w:tc>
      </w:tr>
      <w:tr w:rsidR="00C827EF" w:rsidRPr="00237618"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 xml:space="preserve">Both </w:t>
            </w:r>
            <w:r>
              <w:rPr>
                <w:lang w:eastAsia="en-AU"/>
              </w:rPr>
              <w:t xml:space="preserve">parents or </w:t>
            </w:r>
            <w:r w:rsidRPr="00237618">
              <w:rPr>
                <w:lang w:eastAsia="en-AU"/>
              </w:rPr>
              <w:t>carers employed</w:t>
            </w:r>
          </w:p>
        </w:tc>
        <w:tc>
          <w:tcPr>
            <w:tcW w:w="211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5.8</w:t>
            </w:r>
          </w:p>
        </w:tc>
      </w:tr>
      <w:tr w:rsidR="00C827EF" w:rsidRPr="00237618"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Pr="00301889" w:rsidRDefault="00C827EF" w:rsidP="00C827EF">
            <w:pPr>
              <w:pStyle w:val="TableRowHeadings"/>
              <w:rPr>
                <w:lang w:eastAsia="en-AU"/>
              </w:rPr>
            </w:pPr>
            <w:r w:rsidRPr="00D93153">
              <w:rPr>
                <w:lang w:eastAsia="en-AU"/>
              </w:rPr>
              <w:t xml:space="preserve">One </w:t>
            </w:r>
            <w:r>
              <w:rPr>
                <w:lang w:eastAsia="en-AU"/>
              </w:rPr>
              <w:t>parent or carer</w:t>
            </w:r>
            <w:r w:rsidRPr="00D93153">
              <w:rPr>
                <w:lang w:eastAsia="en-AU"/>
              </w:rPr>
              <w:t xml:space="preserve"> employed, one </w:t>
            </w:r>
            <w:r>
              <w:rPr>
                <w:lang w:eastAsia="en-AU"/>
              </w:rPr>
              <w:t>parent or carer</w:t>
            </w:r>
            <w:r w:rsidRPr="00D93153">
              <w:rPr>
                <w:lang w:eastAsia="en-AU"/>
              </w:rPr>
              <w:t xml:space="preserve"> not in employment</w:t>
            </w:r>
          </w:p>
        </w:tc>
        <w:tc>
          <w:tcPr>
            <w:tcW w:w="211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7.0</w:t>
            </w:r>
          </w:p>
        </w:tc>
      </w:tr>
      <w:tr w:rsidR="00C827EF" w:rsidRPr="00237618"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D93153">
              <w:rPr>
                <w:lang w:eastAsia="en-AU"/>
              </w:rPr>
              <w:t xml:space="preserve">Both </w:t>
            </w:r>
            <w:r>
              <w:rPr>
                <w:lang w:eastAsia="en-AU"/>
              </w:rPr>
              <w:t>parents or carers</w:t>
            </w:r>
            <w:r w:rsidRPr="00D93153">
              <w:rPr>
                <w:lang w:eastAsia="en-AU"/>
              </w:rPr>
              <w:t xml:space="preserve"> not in employment</w:t>
            </w:r>
          </w:p>
        </w:tc>
        <w:tc>
          <w:tcPr>
            <w:tcW w:w="211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15.6</w:t>
            </w:r>
          </w:p>
        </w:tc>
      </w:tr>
      <w:tr w:rsidR="00C827EF" w:rsidRPr="00237618" w:rsidTr="00C827EF">
        <w:trPr>
          <w:cantSplit/>
          <w:jc w:val="center"/>
        </w:trPr>
        <w:tc>
          <w:tcPr>
            <w:tcW w:w="7029"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sidRPr="00237618">
              <w:rPr>
                <w:lang w:eastAsia="en-AU"/>
              </w:rPr>
              <w:t xml:space="preserve">Sole </w:t>
            </w:r>
            <w:r>
              <w:rPr>
                <w:lang w:eastAsia="en-AU"/>
              </w:rPr>
              <w:t xml:space="preserve">parent or </w:t>
            </w:r>
            <w:r w:rsidRPr="00237618">
              <w:rPr>
                <w:lang w:eastAsia="en-AU"/>
              </w:rPr>
              <w:t>carer employed</w:t>
            </w:r>
          </w:p>
        </w:tc>
        <w:tc>
          <w:tcPr>
            <w:tcW w:w="2112"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7.7</w:t>
            </w:r>
          </w:p>
        </w:tc>
      </w:tr>
      <w:tr w:rsidR="00C827EF" w:rsidRPr="00237618" w:rsidTr="00C827EF">
        <w:trPr>
          <w:cantSplit/>
          <w:jc w:val="center"/>
        </w:trPr>
        <w:tc>
          <w:tcPr>
            <w:tcW w:w="7029" w:type="dxa"/>
            <w:tcBorders>
              <w:top w:val="nil"/>
              <w:bottom w:val="single" w:sz="6" w:space="0" w:color="auto"/>
              <w:right w:val="nil"/>
            </w:tcBorders>
            <w:shd w:val="clear" w:color="auto" w:fill="EFF3FF"/>
            <w:tcMar>
              <w:left w:w="40" w:type="dxa"/>
              <w:right w:w="40" w:type="dxa"/>
            </w:tcMar>
          </w:tcPr>
          <w:p w:rsidR="00C827EF" w:rsidRPr="00237618" w:rsidRDefault="00C827EF" w:rsidP="00C827EF">
            <w:pPr>
              <w:pStyle w:val="TableRowHeadings"/>
              <w:rPr>
                <w:lang w:eastAsia="en-AU"/>
              </w:rPr>
            </w:pPr>
            <w:r>
              <w:rPr>
                <w:lang w:eastAsia="en-AU"/>
              </w:rPr>
              <w:t>Sole parent or carer not in employment</w:t>
            </w:r>
          </w:p>
        </w:tc>
        <w:tc>
          <w:tcPr>
            <w:tcW w:w="2112" w:type="dxa"/>
            <w:tcBorders>
              <w:top w:val="nil"/>
              <w:left w:val="nil"/>
              <w:bottom w:val="single" w:sz="6" w:space="0" w:color="auto"/>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15.3</w:t>
            </w:r>
          </w:p>
        </w:tc>
      </w:tr>
    </w:tbl>
    <w:p w:rsidR="00C827EF" w:rsidRPr="007B2657" w:rsidRDefault="00C827EF" w:rsidP="00C827EF">
      <w:pPr>
        <w:pStyle w:val="TableFootnote"/>
        <w:spacing w:after="240"/>
      </w:pPr>
      <w:r>
        <w:t>‘</w:t>
      </w:r>
      <w:r w:rsidRPr="007B2657">
        <w:t>Not in employment</w:t>
      </w:r>
      <w:r>
        <w:t>’</w:t>
      </w:r>
      <w:r w:rsidRPr="007B2657">
        <w:t xml:space="preserve"> combines unemployed and not in the labour force</w:t>
      </w:r>
      <w:r>
        <w:t>.</w:t>
      </w:r>
    </w:p>
    <w:p w:rsidR="00C827EF" w:rsidRDefault="00C827EF" w:rsidP="00C827EF">
      <w:pPr>
        <w:pStyle w:val="Heading3"/>
        <w:rPr>
          <w:lang w:eastAsia="en-AU"/>
        </w:rPr>
      </w:pPr>
      <w:r>
        <w:rPr>
          <w:lang w:eastAsia="en-AU"/>
        </w:rPr>
        <w:lastRenderedPageBreak/>
        <w:t xml:space="preserve">5.2.5 </w:t>
      </w:r>
      <w:r>
        <w:rPr>
          <w:lang w:eastAsia="en-AU"/>
        </w:rPr>
        <w:tab/>
        <w:t>Area of residence</w:t>
      </w:r>
    </w:p>
    <w:p w:rsidR="00C827EF" w:rsidRPr="007F6EA9" w:rsidRDefault="00C827EF" w:rsidP="00C827EF">
      <w:pPr>
        <w:pStyle w:val="BodyText"/>
        <w:rPr>
          <w:lang w:eastAsia="en-AU"/>
        </w:rPr>
      </w:pPr>
      <w:r>
        <w:rPr>
          <w:lang w:eastAsia="en-AU"/>
        </w:rPr>
        <w:t>While children and adolescents living in greater capital city areas had a slightly lower prevalence of ADHD than those living in other areas, the difference was not significant (</w:t>
      </w:r>
      <w:r>
        <w:t>Table 5-</w:t>
      </w:r>
      <w:r>
        <w:rPr>
          <w:noProof/>
        </w:rPr>
        <w:t>6</w:t>
      </w:r>
      <w:r>
        <w:rPr>
          <w:lang w:eastAsia="en-AU"/>
        </w:rPr>
        <w:t>).</w:t>
      </w:r>
    </w:p>
    <w:p w:rsidR="00C827EF" w:rsidRDefault="00C827EF" w:rsidP="00C827EF">
      <w:pPr>
        <w:pStyle w:val="Caption"/>
        <w:keepNext/>
      </w:pPr>
      <w:bookmarkStart w:id="104" w:name="_Ref398101904"/>
      <w:r>
        <w:t>Table 5-</w:t>
      </w:r>
      <w:r>
        <w:rPr>
          <w:noProof/>
        </w:rPr>
        <w:t>6</w:t>
      </w:r>
      <w:bookmarkEnd w:id="104"/>
      <w:r>
        <w:t xml:space="preserve">: </w:t>
      </w:r>
      <w:r w:rsidRPr="00796BAC">
        <w:t xml:space="preserve">12-month prevalence of </w:t>
      </w:r>
      <w:r>
        <w:t>ADHD</w:t>
      </w:r>
      <w:r w:rsidRPr="004E6E27">
        <w:t xml:space="preserve"> </w:t>
      </w:r>
      <w:r>
        <w:t>among 4-17 year-olds</w:t>
      </w:r>
      <w:r w:rsidRPr="00796BAC">
        <w:t xml:space="preserve"> by </w:t>
      </w:r>
      <w:r>
        <w:t>area of residence</w:t>
      </w:r>
    </w:p>
    <w:tbl>
      <w:tblPr>
        <w:tblW w:w="0" w:type="auto"/>
        <w:jc w:val="center"/>
        <w:tblLayout w:type="fixed"/>
        <w:tblCellMar>
          <w:left w:w="0" w:type="dxa"/>
          <w:right w:w="0" w:type="dxa"/>
        </w:tblCellMar>
        <w:tblLook w:val="0020" w:firstRow="1" w:lastRow="0" w:firstColumn="0" w:lastColumn="0" w:noHBand="0" w:noVBand="0"/>
        <w:tblDescription w:val="In Table 5-6 the first column defines region. Read across the row for the proportion of persons with 12 month prevalence of ADHD."/>
      </w:tblPr>
      <w:tblGrid>
        <w:gridCol w:w="6996"/>
        <w:gridCol w:w="2108"/>
      </w:tblGrid>
      <w:tr w:rsidR="00C827EF" w:rsidRPr="00237618" w:rsidTr="00C827EF">
        <w:trPr>
          <w:cantSplit/>
          <w:tblHeader/>
          <w:jc w:val="center"/>
        </w:trPr>
        <w:tc>
          <w:tcPr>
            <w:tcW w:w="6996"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43581D" w:rsidRDefault="00C827EF" w:rsidP="00C827EF">
            <w:pPr>
              <w:pStyle w:val="TableColumnHeadings"/>
              <w:jc w:val="left"/>
              <w:rPr>
                <w:rStyle w:val="Strong"/>
              </w:rPr>
            </w:pPr>
            <w:bookmarkStart w:id="105" w:name="IDX18"/>
            <w:bookmarkEnd w:id="105"/>
            <w:r w:rsidRPr="0043581D">
              <w:rPr>
                <w:rStyle w:val="Strong"/>
              </w:rPr>
              <w:t>Area of residence</w:t>
            </w:r>
          </w:p>
        </w:tc>
        <w:tc>
          <w:tcPr>
            <w:tcW w:w="210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Prevalence (%)</w:t>
            </w:r>
          </w:p>
        </w:tc>
      </w:tr>
      <w:tr w:rsidR="00C827EF" w:rsidRPr="00237618" w:rsidTr="00C827EF">
        <w:trPr>
          <w:cantSplit/>
          <w:jc w:val="center"/>
        </w:trPr>
        <w:tc>
          <w:tcPr>
            <w:tcW w:w="6996" w:type="dxa"/>
            <w:tcBorders>
              <w:top w:val="nil"/>
              <w:bottom w:val="single" w:sz="4" w:space="0" w:color="FFFFFF"/>
              <w:right w:val="nil"/>
            </w:tcBorders>
            <w:shd w:val="clear" w:color="auto" w:fill="EFF3FF"/>
            <w:tcMar>
              <w:left w:w="40" w:type="dxa"/>
              <w:right w:w="40" w:type="dxa"/>
            </w:tcMar>
          </w:tcPr>
          <w:p w:rsidR="00C827EF" w:rsidRPr="00237618" w:rsidRDefault="00C827EF" w:rsidP="00C827EF">
            <w:pPr>
              <w:pStyle w:val="TableRowHeadings"/>
              <w:rPr>
                <w:lang w:eastAsia="en-AU"/>
              </w:rPr>
            </w:pPr>
            <w:r>
              <w:rPr>
                <w:lang w:eastAsia="en-AU"/>
              </w:rPr>
              <w:t>Greater capital cities</w:t>
            </w:r>
          </w:p>
        </w:tc>
        <w:tc>
          <w:tcPr>
            <w:tcW w:w="2108" w:type="dxa"/>
            <w:tcBorders>
              <w:top w:val="nil"/>
              <w:left w:val="nil"/>
              <w:bottom w:val="nil"/>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6.7</w:t>
            </w:r>
          </w:p>
        </w:tc>
      </w:tr>
      <w:tr w:rsidR="00C827EF" w:rsidRPr="00237618" w:rsidTr="00C827EF">
        <w:trPr>
          <w:cantSplit/>
          <w:jc w:val="center"/>
        </w:trPr>
        <w:tc>
          <w:tcPr>
            <w:tcW w:w="6996" w:type="dxa"/>
            <w:tcBorders>
              <w:top w:val="nil"/>
              <w:bottom w:val="single" w:sz="6" w:space="0" w:color="000000"/>
              <w:right w:val="nil"/>
            </w:tcBorders>
            <w:shd w:val="clear" w:color="auto" w:fill="EFF3FF"/>
            <w:tcMar>
              <w:left w:w="40" w:type="dxa"/>
              <w:right w:w="40" w:type="dxa"/>
            </w:tcMar>
          </w:tcPr>
          <w:p w:rsidR="00C827EF" w:rsidRPr="00237618" w:rsidRDefault="00C827EF" w:rsidP="00C827EF">
            <w:pPr>
              <w:pStyle w:val="TableRowHeadings"/>
              <w:rPr>
                <w:lang w:eastAsia="en-AU"/>
              </w:rPr>
            </w:pPr>
            <w:r>
              <w:rPr>
                <w:lang w:eastAsia="en-AU"/>
              </w:rPr>
              <w:t>Rest of state</w:t>
            </w:r>
          </w:p>
        </w:tc>
        <w:tc>
          <w:tcPr>
            <w:tcW w:w="2108" w:type="dxa"/>
            <w:tcBorders>
              <w:top w:val="nil"/>
              <w:left w:val="nil"/>
              <w:bottom w:val="single" w:sz="6" w:space="0" w:color="000000"/>
              <w:right w:val="nil"/>
            </w:tcBorders>
            <w:shd w:val="clear" w:color="auto" w:fill="FFFFFF"/>
            <w:tcMar>
              <w:left w:w="40" w:type="dxa"/>
              <w:right w:w="40" w:type="dxa"/>
            </w:tcMar>
            <w:vAlign w:val="bottom"/>
          </w:tcPr>
          <w:p w:rsidR="00C827EF" w:rsidRPr="00237618" w:rsidRDefault="00C827EF" w:rsidP="00C827EF">
            <w:pPr>
              <w:pStyle w:val="TableDataCell"/>
              <w:rPr>
                <w:lang w:eastAsia="en-AU"/>
              </w:rPr>
            </w:pPr>
            <w:r w:rsidRPr="00237618">
              <w:rPr>
                <w:lang w:eastAsia="en-AU"/>
              </w:rPr>
              <w:t>8.6</w:t>
            </w:r>
          </w:p>
        </w:tc>
      </w:tr>
    </w:tbl>
    <w:p w:rsidR="00C827EF" w:rsidRDefault="00C827EF" w:rsidP="00C827EF">
      <w:pPr>
        <w:pStyle w:val="TableFootnote"/>
      </w:pPr>
      <w:proofErr w:type="gramStart"/>
      <w:r w:rsidRPr="00B736D6">
        <w:t>Based on the ABS classification Greater Capital City Statistical Area (GCCSA)</w:t>
      </w:r>
      <w:r>
        <w:t>.</w:t>
      </w:r>
      <w:proofErr w:type="gramEnd"/>
    </w:p>
    <w:p w:rsidR="00C827EF" w:rsidRPr="00A7777D" w:rsidRDefault="00C827EF" w:rsidP="00C827EF">
      <w:pPr>
        <w:pStyle w:val="Heading3"/>
        <w:rPr>
          <w:rFonts w:eastAsiaTheme="minorEastAsia"/>
          <w:lang w:eastAsia="en-AU"/>
        </w:rPr>
      </w:pPr>
      <w:r>
        <w:rPr>
          <w:rFonts w:eastAsiaTheme="minorEastAsia"/>
          <w:lang w:eastAsia="en-AU"/>
        </w:rPr>
        <w:t>5.2.6</w:t>
      </w:r>
      <w:r>
        <w:rPr>
          <w:rFonts w:eastAsiaTheme="minorEastAsia"/>
          <w:lang w:eastAsia="en-AU"/>
        </w:rPr>
        <w:tab/>
        <w:t>Family functioning</w:t>
      </w:r>
    </w:p>
    <w:p w:rsidR="00C827EF" w:rsidRPr="00093418" w:rsidRDefault="00C827EF" w:rsidP="00C827EF">
      <w:pPr>
        <w:pStyle w:val="BodyText"/>
        <w:rPr>
          <w:lang w:eastAsia="en-AU"/>
        </w:rPr>
      </w:pPr>
      <w:r>
        <w:rPr>
          <w:lang w:eastAsia="en-AU"/>
        </w:rPr>
        <w:t>There was a strong relationship between level of family functioning and prevalence of ADHD. Just under one fifth (18.1%) of children and adolescents living in families with poor family functioning had ADHD compared with one in twenty (5.6%) living in families with very good family functioning. This pattern was most obvious in children 4-11 years but was also evident in adolescents aged 12-17 years (</w:t>
      </w:r>
      <w:r>
        <w:t>Table 5-</w:t>
      </w:r>
      <w:r>
        <w:rPr>
          <w:noProof/>
        </w:rPr>
        <w:t>7</w:t>
      </w:r>
      <w:r>
        <w:rPr>
          <w:lang w:eastAsia="en-AU"/>
        </w:rPr>
        <w:t xml:space="preserve">). </w:t>
      </w:r>
    </w:p>
    <w:p w:rsidR="00C827EF" w:rsidRDefault="00C827EF" w:rsidP="00C827EF">
      <w:pPr>
        <w:pStyle w:val="Caption"/>
        <w:keepNext/>
      </w:pPr>
      <w:bookmarkStart w:id="106" w:name="_Ref405990116"/>
      <w:r>
        <w:t>Table 5-</w:t>
      </w:r>
      <w:r>
        <w:rPr>
          <w:noProof/>
        </w:rPr>
        <w:t>7</w:t>
      </w:r>
      <w:bookmarkEnd w:id="106"/>
      <w:r>
        <w:t xml:space="preserve">: </w:t>
      </w:r>
      <w:r w:rsidRPr="00EC7236">
        <w:t>12-month prevalence of ADHD</w:t>
      </w:r>
      <w:r w:rsidRPr="004E6E27">
        <w:t xml:space="preserve"> </w:t>
      </w:r>
      <w:r>
        <w:t>among 4-17 year-olds</w:t>
      </w:r>
      <w:r w:rsidRPr="00EC7236">
        <w:t xml:space="preserve"> by family functioning and age group</w:t>
      </w:r>
    </w:p>
    <w:tbl>
      <w:tblPr>
        <w:tblW w:w="9109" w:type="dxa"/>
        <w:jc w:val="center"/>
        <w:tblLayout w:type="fixed"/>
        <w:tblCellMar>
          <w:left w:w="0" w:type="dxa"/>
          <w:right w:w="0" w:type="dxa"/>
        </w:tblCellMar>
        <w:tblLook w:val="0020" w:firstRow="1" w:lastRow="0" w:firstColumn="0" w:lastColumn="0" w:noHBand="0" w:noVBand="0"/>
        <w:tblDescription w:val="In Table 5-7 the first column defines level of family functioning. Read across the rows for the proportion of 4-11 year-olds and then the proportion of 12-17 year-olds and then the proportion of 4-17 year-olds who have ADHD."/>
      </w:tblPr>
      <w:tblGrid>
        <w:gridCol w:w="2801"/>
        <w:gridCol w:w="2036"/>
        <w:gridCol w:w="2236"/>
        <w:gridCol w:w="2036"/>
      </w:tblGrid>
      <w:tr w:rsidR="00C827EF" w:rsidRPr="008C5A02" w:rsidTr="00C827EF">
        <w:trPr>
          <w:cantSplit/>
          <w:tblHeader/>
          <w:jc w:val="center"/>
        </w:trPr>
        <w:tc>
          <w:tcPr>
            <w:tcW w:w="2801"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A236E3" w:rsidRDefault="00C827EF" w:rsidP="00C827EF">
            <w:pPr>
              <w:pStyle w:val="TableColumnHeadings"/>
              <w:jc w:val="left"/>
              <w:rPr>
                <w:rStyle w:val="Strong"/>
              </w:rPr>
            </w:pPr>
            <w:r w:rsidRPr="00A236E3">
              <w:rPr>
                <w:rStyle w:val="Strong"/>
              </w:rPr>
              <w:t>Level of family functioning</w:t>
            </w:r>
          </w:p>
        </w:tc>
        <w:tc>
          <w:tcPr>
            <w:tcW w:w="20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236E3" w:rsidRDefault="00C827EF" w:rsidP="00C827EF">
            <w:pPr>
              <w:pStyle w:val="TableColumnHeadings"/>
              <w:rPr>
                <w:rStyle w:val="Strong"/>
              </w:rPr>
            </w:pPr>
            <w:r w:rsidRPr="00A236E3">
              <w:rPr>
                <w:rStyle w:val="Strong"/>
              </w:rPr>
              <w:t>4-11 years (%)</w:t>
            </w:r>
          </w:p>
        </w:tc>
        <w:tc>
          <w:tcPr>
            <w:tcW w:w="22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A236E3" w:rsidRDefault="00C827EF" w:rsidP="00C827EF">
            <w:pPr>
              <w:pStyle w:val="TableColumnHeadings"/>
              <w:rPr>
                <w:rStyle w:val="Strong"/>
              </w:rPr>
            </w:pPr>
            <w:r w:rsidRPr="00A236E3">
              <w:rPr>
                <w:rStyle w:val="Strong"/>
              </w:rPr>
              <w:t>12-17 years (%)</w:t>
            </w:r>
          </w:p>
        </w:tc>
        <w:tc>
          <w:tcPr>
            <w:tcW w:w="20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A236E3" w:rsidRDefault="00C827EF" w:rsidP="00C827EF">
            <w:pPr>
              <w:pStyle w:val="TableColumnHeadings"/>
              <w:rPr>
                <w:rStyle w:val="Strong"/>
              </w:rPr>
            </w:pPr>
            <w:r w:rsidRPr="00A236E3">
              <w:rPr>
                <w:rStyle w:val="Strong"/>
              </w:rPr>
              <w:t>4-17 years (%)</w:t>
            </w:r>
          </w:p>
        </w:tc>
      </w:tr>
      <w:tr w:rsidR="00C827EF" w:rsidRPr="008C5A02"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8C5A02" w:rsidRDefault="00C827EF" w:rsidP="00C827EF">
            <w:pPr>
              <w:pStyle w:val="TableRowHeadings"/>
              <w:rPr>
                <w:lang w:eastAsia="en-AU"/>
              </w:rPr>
            </w:pPr>
            <w:r w:rsidRPr="008C5A02">
              <w:rPr>
                <w:lang w:eastAsia="en-AU"/>
              </w:rPr>
              <w:t>Very good</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6.1</w:t>
            </w:r>
          </w:p>
        </w:tc>
        <w:tc>
          <w:tcPr>
            <w:tcW w:w="22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4.9</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5.6</w:t>
            </w:r>
          </w:p>
        </w:tc>
      </w:tr>
      <w:tr w:rsidR="00C827EF" w:rsidRPr="008C5A02"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8C5A02" w:rsidRDefault="00C827EF" w:rsidP="00C827EF">
            <w:pPr>
              <w:pStyle w:val="TableRowHeadings"/>
              <w:rPr>
                <w:lang w:eastAsia="en-AU"/>
              </w:rPr>
            </w:pPr>
            <w:r w:rsidRPr="008C5A02">
              <w:rPr>
                <w:lang w:eastAsia="en-AU"/>
              </w:rPr>
              <w:t>Good</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9.3</w:t>
            </w:r>
          </w:p>
        </w:tc>
        <w:tc>
          <w:tcPr>
            <w:tcW w:w="22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6.1</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7.8</w:t>
            </w:r>
          </w:p>
        </w:tc>
      </w:tr>
      <w:tr w:rsidR="00C827EF" w:rsidRPr="008C5A02" w:rsidTr="00C827EF">
        <w:trPr>
          <w:cantSplit/>
          <w:jc w:val="center"/>
        </w:trPr>
        <w:tc>
          <w:tcPr>
            <w:tcW w:w="2801" w:type="dxa"/>
            <w:tcBorders>
              <w:top w:val="nil"/>
              <w:bottom w:val="single" w:sz="4" w:space="0" w:color="FFFFFF"/>
              <w:right w:val="nil"/>
            </w:tcBorders>
            <w:shd w:val="clear" w:color="auto" w:fill="EFF3FF"/>
            <w:tcMar>
              <w:left w:w="40" w:type="dxa"/>
              <w:right w:w="40" w:type="dxa"/>
            </w:tcMar>
          </w:tcPr>
          <w:p w:rsidR="00C827EF" w:rsidRPr="008C5A02" w:rsidRDefault="00C827EF" w:rsidP="00C827EF">
            <w:pPr>
              <w:pStyle w:val="TableRowHeadings"/>
              <w:rPr>
                <w:lang w:eastAsia="en-AU"/>
              </w:rPr>
            </w:pPr>
            <w:r w:rsidRPr="008C5A02">
              <w:rPr>
                <w:lang w:eastAsia="en-AU"/>
              </w:rPr>
              <w:t>Fair</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14.6</w:t>
            </w:r>
          </w:p>
        </w:tc>
        <w:tc>
          <w:tcPr>
            <w:tcW w:w="22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9.7</w:t>
            </w:r>
          </w:p>
        </w:tc>
        <w:tc>
          <w:tcPr>
            <w:tcW w:w="2036" w:type="dxa"/>
            <w:tcBorders>
              <w:top w:val="nil"/>
              <w:left w:val="nil"/>
              <w:bottom w:val="nil"/>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12.3</w:t>
            </w:r>
          </w:p>
        </w:tc>
      </w:tr>
      <w:tr w:rsidR="00C827EF" w:rsidRPr="008C5A02" w:rsidTr="00C827EF">
        <w:trPr>
          <w:cantSplit/>
          <w:jc w:val="center"/>
        </w:trPr>
        <w:tc>
          <w:tcPr>
            <w:tcW w:w="2801" w:type="dxa"/>
            <w:tcBorders>
              <w:top w:val="nil"/>
              <w:bottom w:val="single" w:sz="6" w:space="0" w:color="000000"/>
              <w:right w:val="nil"/>
            </w:tcBorders>
            <w:shd w:val="clear" w:color="auto" w:fill="EFF3FF"/>
            <w:tcMar>
              <w:left w:w="40" w:type="dxa"/>
              <w:right w:w="40" w:type="dxa"/>
            </w:tcMar>
          </w:tcPr>
          <w:p w:rsidR="00C827EF" w:rsidRPr="008C5A02" w:rsidRDefault="00C827EF" w:rsidP="00C827EF">
            <w:pPr>
              <w:pStyle w:val="TableRowHeadings"/>
              <w:rPr>
                <w:lang w:eastAsia="en-AU"/>
              </w:rPr>
            </w:pPr>
            <w:r w:rsidRPr="008C5A02">
              <w:rPr>
                <w:lang w:eastAsia="en-AU"/>
              </w:rPr>
              <w:t>Poor</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20.9</w:t>
            </w:r>
          </w:p>
        </w:tc>
        <w:tc>
          <w:tcPr>
            <w:tcW w:w="2236" w:type="dxa"/>
            <w:tcBorders>
              <w:top w:val="nil"/>
              <w:left w:val="nil"/>
              <w:bottom w:val="single" w:sz="6" w:space="0" w:color="000000"/>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15.3</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C827EF" w:rsidRPr="008C5A02" w:rsidRDefault="00C827EF" w:rsidP="00C827EF">
            <w:pPr>
              <w:pStyle w:val="TableDataCell"/>
              <w:rPr>
                <w:lang w:eastAsia="en-AU"/>
              </w:rPr>
            </w:pPr>
            <w:r w:rsidRPr="008C5A02">
              <w:rPr>
                <w:lang w:eastAsia="en-AU"/>
              </w:rPr>
              <w:t>18.1</w:t>
            </w:r>
          </w:p>
        </w:tc>
      </w:tr>
    </w:tbl>
    <w:p w:rsidR="00C827EF" w:rsidRPr="00487276" w:rsidRDefault="00C827EF" w:rsidP="00C827EF">
      <w:pPr>
        <w:pStyle w:val="TableFootnote"/>
      </w:pPr>
      <w:r w:rsidRPr="00487276">
        <w:t>Family functioning was measured across a number of domains by the McMaster Family Assessment Device (see glossary)</w:t>
      </w:r>
      <w:r>
        <w:t>.</w:t>
      </w:r>
    </w:p>
    <w:p w:rsidR="00C827EF" w:rsidRDefault="00C827EF" w:rsidP="00C827EF">
      <w:pPr>
        <w:pStyle w:val="Heading2"/>
      </w:pPr>
      <w:r>
        <w:t>5.3</w:t>
      </w:r>
      <w:r>
        <w:tab/>
        <w:t>Impact of ADHD</w:t>
      </w:r>
    </w:p>
    <w:p w:rsidR="00C827EF" w:rsidRPr="00415895" w:rsidRDefault="00C827EF" w:rsidP="00C827EF">
      <w:pPr>
        <w:pStyle w:val="BodyText"/>
      </w:pPr>
      <w:r>
        <w:t>Mental disorders impact on young people in a number of ways across different aspects of their lives. The severity of symptoms of ADHD across four different life domains are reported as well as the number of days absent from school in the previous 12 months as a result of ADHD disorder symptoms.</w:t>
      </w:r>
    </w:p>
    <w:p w:rsidR="00C827EF" w:rsidRDefault="00C827EF" w:rsidP="00C827EF">
      <w:pPr>
        <w:pStyle w:val="Heading3"/>
      </w:pPr>
      <w:r>
        <w:t>5.3.1</w:t>
      </w:r>
      <w:r>
        <w:tab/>
        <w:t>Severity of impact on functioning</w:t>
      </w:r>
    </w:p>
    <w:p w:rsidR="00C827EF" w:rsidRDefault="00C827EF" w:rsidP="00C827EF">
      <w:pPr>
        <w:pStyle w:val="BodyText"/>
        <w:rPr>
          <w:lang w:eastAsia="en-AU"/>
        </w:rPr>
      </w:pPr>
      <w:r>
        <w:rPr>
          <w:lang w:eastAsia="en-AU"/>
        </w:rPr>
        <w:t xml:space="preserve">The severity of impact of ADHD on children and adolescents in four different domains (school or work, friends and social actives, family and impact on self) and overall is reported in </w:t>
      </w:r>
      <w:r>
        <w:t>Table 5-</w:t>
      </w:r>
      <w:r>
        <w:rPr>
          <w:noProof/>
        </w:rPr>
        <w:t>8</w:t>
      </w:r>
      <w:r>
        <w:rPr>
          <w:lang w:eastAsia="en-AU"/>
        </w:rPr>
        <w:t xml:space="preserve">. Overall one in ten (10.5%) children and adolescents with ADHD had severe impact on functioning in at least one of these domains. Severe impact on functioning was reported most commonly in the domain of family (17.3%), and then school or work (12.8%). Only 3.7% of children and adolescents with ADHD had a severe level of impact on functioning in the </w:t>
      </w:r>
      <w:proofErr w:type="spellStart"/>
      <w:r>
        <w:rPr>
          <w:lang w:eastAsia="en-AU"/>
        </w:rPr>
        <w:t>self domain</w:t>
      </w:r>
      <w:proofErr w:type="spellEnd"/>
      <w:r>
        <w:rPr>
          <w:lang w:eastAsia="en-AU"/>
        </w:rPr>
        <w:t xml:space="preserve"> (that is, where the young person experienced a high level of distress due to their symptoms). Two fifths (40.9%) of children </w:t>
      </w:r>
      <w:r>
        <w:rPr>
          <w:lang w:eastAsia="en-AU"/>
        </w:rPr>
        <w:lastRenderedPageBreak/>
        <w:t>and adolescents with ADHD had no impact in the friends domain, while only 13.3% of children with ADHD had no impact in the school or work domain.</w:t>
      </w:r>
    </w:p>
    <w:p w:rsidR="00C827EF" w:rsidRPr="00A236E3" w:rsidRDefault="00C827EF" w:rsidP="00C827EF">
      <w:pPr>
        <w:pStyle w:val="BodyText"/>
      </w:pPr>
      <w:r>
        <w:rPr>
          <w:lang w:eastAsia="en-AU"/>
        </w:rPr>
        <w:t>In contrast to other disorders, a higher proportion of children and adolescents with ADHD had mild impact on functioning overall as a result of their symptoms (65.7%).</w:t>
      </w:r>
    </w:p>
    <w:p w:rsidR="00C827EF" w:rsidRDefault="00C827EF" w:rsidP="00C827EF">
      <w:pPr>
        <w:pStyle w:val="Caption"/>
        <w:keepNext/>
      </w:pPr>
      <w:bookmarkStart w:id="107" w:name="_Ref406156902"/>
      <w:r>
        <w:t>Table 5-</w:t>
      </w:r>
      <w:r>
        <w:rPr>
          <w:noProof/>
        </w:rPr>
        <w:t>8</w:t>
      </w:r>
      <w:bookmarkEnd w:id="107"/>
      <w:r>
        <w:t>: Severity of i</w:t>
      </w:r>
      <w:r w:rsidRPr="00C94604">
        <w:t>mpact in different life domains among 4-17 year-olds with ADHD</w:t>
      </w:r>
    </w:p>
    <w:tbl>
      <w:tblPr>
        <w:tblW w:w="0" w:type="auto"/>
        <w:jc w:val="center"/>
        <w:tblLayout w:type="fixed"/>
        <w:tblCellMar>
          <w:left w:w="0" w:type="dxa"/>
          <w:right w:w="0" w:type="dxa"/>
        </w:tblCellMar>
        <w:tblLook w:val="0020" w:firstRow="1" w:lastRow="0" w:firstColumn="0" w:lastColumn="0" w:noHBand="0" w:noVBand="0"/>
        <w:tblDescription w:val="In Table 5-8 the first column defines level of impact on functioning. Read across the row for the proportion with ADHD who have the specified level of impact on functioning in first the school or work domain, then the friends domain, the family domain, the self domain, and finally overall severity."/>
      </w:tblPr>
      <w:tblGrid>
        <w:gridCol w:w="2510"/>
        <w:gridCol w:w="1318"/>
        <w:gridCol w:w="1319"/>
        <w:gridCol w:w="1318"/>
        <w:gridCol w:w="1319"/>
        <w:gridCol w:w="1319"/>
      </w:tblGrid>
      <w:tr w:rsidR="00C827EF" w:rsidRPr="001B4193" w:rsidTr="00C827EF">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jc w:val="left"/>
              <w:rPr>
                <w:rStyle w:val="Strong"/>
              </w:rPr>
            </w:pPr>
            <w:r w:rsidRPr="0043581D">
              <w:rPr>
                <w:rStyle w:val="Strong"/>
              </w:rPr>
              <w:t>Severity</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School/work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Friends (%)</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Family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Self (%)</w:t>
            </w:r>
          </w:p>
        </w:tc>
        <w:tc>
          <w:tcPr>
            <w:tcW w:w="13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Overall severity (%)</w:t>
            </w:r>
          </w:p>
        </w:tc>
      </w:tr>
      <w:tr w:rsidR="00C827EF" w:rsidRPr="001B4193"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B4193" w:rsidRDefault="00C827EF" w:rsidP="00C827EF">
            <w:pPr>
              <w:pStyle w:val="TableRowHeadings"/>
              <w:rPr>
                <w:lang w:eastAsia="en-AU"/>
              </w:rPr>
            </w:pPr>
            <w:r w:rsidRPr="001B4193">
              <w:rPr>
                <w:lang w:eastAsia="en-AU"/>
              </w:rPr>
              <w:t>None</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13.3</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40.9</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18.1</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29.3</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p>
        </w:tc>
      </w:tr>
      <w:tr w:rsidR="00C827EF" w:rsidRPr="001B4193"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B4193" w:rsidRDefault="00C827EF" w:rsidP="00C827EF">
            <w:pPr>
              <w:pStyle w:val="TableRowHeadings"/>
              <w:rPr>
                <w:lang w:eastAsia="en-AU"/>
              </w:rPr>
            </w:pPr>
            <w:r w:rsidRPr="001B4193">
              <w:rPr>
                <w:lang w:eastAsia="en-AU"/>
              </w:rPr>
              <w:t>Mild</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40.0</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24.9</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35.8</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45.7</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65.7</w:t>
            </w:r>
          </w:p>
        </w:tc>
      </w:tr>
      <w:tr w:rsidR="00C827EF" w:rsidRPr="001B4193"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B4193" w:rsidRDefault="00C827EF" w:rsidP="00C827EF">
            <w:pPr>
              <w:pStyle w:val="TableRowHeadings"/>
              <w:rPr>
                <w:lang w:eastAsia="en-AU"/>
              </w:rPr>
            </w:pPr>
            <w:r w:rsidRPr="001B4193">
              <w:rPr>
                <w:lang w:eastAsia="en-AU"/>
              </w:rPr>
              <w:t>Moderate</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31.1</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23.6</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28.8</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21.3</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23.8</w:t>
            </w:r>
          </w:p>
        </w:tc>
      </w:tr>
      <w:tr w:rsidR="00C827EF" w:rsidRPr="001B4193" w:rsidTr="00C827EF">
        <w:trPr>
          <w:cantSplit/>
          <w:jc w:val="center"/>
        </w:trPr>
        <w:tc>
          <w:tcPr>
            <w:tcW w:w="2510" w:type="dxa"/>
            <w:tcBorders>
              <w:top w:val="nil"/>
              <w:bottom w:val="single" w:sz="4" w:space="0" w:color="FFFFFF"/>
              <w:right w:val="nil"/>
            </w:tcBorders>
            <w:shd w:val="clear" w:color="auto" w:fill="EFF3FF"/>
            <w:tcMar>
              <w:left w:w="40" w:type="dxa"/>
              <w:right w:w="40" w:type="dxa"/>
            </w:tcMar>
          </w:tcPr>
          <w:p w:rsidR="00C827EF" w:rsidRPr="001B4193" w:rsidRDefault="00C827EF" w:rsidP="00C827EF">
            <w:pPr>
              <w:pStyle w:val="TableRowHeadings"/>
              <w:rPr>
                <w:lang w:eastAsia="en-AU"/>
              </w:rPr>
            </w:pPr>
            <w:r w:rsidRPr="001B4193">
              <w:rPr>
                <w:lang w:eastAsia="en-AU"/>
              </w:rPr>
              <w:t>Severe</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12.8</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10.6</w:t>
            </w:r>
          </w:p>
        </w:tc>
        <w:tc>
          <w:tcPr>
            <w:tcW w:w="1318"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17.3</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3.7</w:t>
            </w:r>
          </w:p>
        </w:tc>
        <w:tc>
          <w:tcPr>
            <w:tcW w:w="1319" w:type="dxa"/>
            <w:tcBorders>
              <w:top w:val="nil"/>
              <w:left w:val="nil"/>
              <w:bottom w:val="nil"/>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10.5</w:t>
            </w:r>
          </w:p>
        </w:tc>
      </w:tr>
      <w:tr w:rsidR="00C827EF" w:rsidRPr="001B4193" w:rsidTr="00C827EF">
        <w:trPr>
          <w:cantSplit/>
          <w:jc w:val="center"/>
        </w:trPr>
        <w:tc>
          <w:tcPr>
            <w:tcW w:w="2510" w:type="dxa"/>
            <w:tcBorders>
              <w:top w:val="nil"/>
              <w:bottom w:val="single" w:sz="6" w:space="0" w:color="000000"/>
              <w:right w:val="nil"/>
            </w:tcBorders>
            <w:shd w:val="clear" w:color="auto" w:fill="EFF3FF"/>
            <w:tcMar>
              <w:left w:w="40" w:type="dxa"/>
              <w:right w:w="40" w:type="dxa"/>
            </w:tcMar>
          </w:tcPr>
          <w:p w:rsidR="00C827EF" w:rsidRPr="001B4193" w:rsidRDefault="00C827EF" w:rsidP="00C827EF">
            <w:pPr>
              <w:pStyle w:val="TableRowHeadings"/>
              <w:rPr>
                <w:lang w:eastAsia="en-AU"/>
              </w:rPr>
            </w:pPr>
            <w:r w:rsidRPr="001B4193">
              <w:rPr>
                <w:lang w:eastAsia="en-AU"/>
              </w:rPr>
              <w:t>Does not go to school or work</w:t>
            </w: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r w:rsidRPr="001B4193">
              <w:rPr>
                <w:lang w:eastAsia="en-AU"/>
              </w:rPr>
              <w:t>2.8</w:t>
            </w: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p>
        </w:tc>
        <w:tc>
          <w:tcPr>
            <w:tcW w:w="1318" w:type="dxa"/>
            <w:tcBorders>
              <w:top w:val="nil"/>
              <w:left w:val="nil"/>
              <w:bottom w:val="single" w:sz="6" w:space="0" w:color="000000"/>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C827EF" w:rsidRPr="001B4193" w:rsidRDefault="00C827EF" w:rsidP="00C827EF">
            <w:pPr>
              <w:pStyle w:val="TableDataCell"/>
              <w:rPr>
                <w:lang w:eastAsia="en-AU"/>
              </w:rPr>
            </w:pPr>
          </w:p>
        </w:tc>
      </w:tr>
    </w:tbl>
    <w:p w:rsidR="00C827EF" w:rsidRDefault="00C827EF" w:rsidP="00C827EF">
      <w:pPr>
        <w:pStyle w:val="Heading3"/>
      </w:pPr>
      <w:r>
        <w:t>5.3.2</w:t>
      </w:r>
      <w:r>
        <w:tab/>
        <w:t>Days absent from school</w:t>
      </w:r>
    </w:p>
    <w:p w:rsidR="00C827EF" w:rsidRDefault="00C827EF" w:rsidP="00C827EF">
      <w:pPr>
        <w:pStyle w:val="BodyText"/>
        <w:rPr>
          <w:lang w:eastAsia="en-AU"/>
        </w:rPr>
      </w:pPr>
      <w:bookmarkStart w:id="108" w:name="_Ref395874707"/>
      <w:r>
        <w:t>Table 5-</w:t>
      </w:r>
      <w:r>
        <w:rPr>
          <w:noProof/>
        </w:rPr>
        <w:t>9</w:t>
      </w:r>
      <w:r>
        <w:rPr>
          <w:lang w:eastAsia="en-AU"/>
        </w:rPr>
        <w:t xml:space="preserve"> reports the average number of days off school in the previous 12 months of those children who met diagnostic criteria for ADHD. Just under a third of 4-11 year-olds and a half of 12-17 year-olds (29% and 46% respectively) with ADHD had missed at least one day of school in the previous 12 months due to their ADHD symptoms. </w:t>
      </w:r>
    </w:p>
    <w:p w:rsidR="00C827EF" w:rsidRPr="00887CB7" w:rsidRDefault="00C827EF" w:rsidP="00C827EF">
      <w:pPr>
        <w:pStyle w:val="BodyText"/>
        <w:rPr>
          <w:lang w:eastAsia="en-AU"/>
        </w:rPr>
      </w:pPr>
      <w:r>
        <w:rPr>
          <w:lang w:eastAsia="en-AU"/>
        </w:rPr>
        <w:t>The average number of days off school due to ADHD was higher for adolescents. On average, children aged 4-11 years had 4 days off, while 12-17 year-olds had 9 days off (</w:t>
      </w:r>
      <w:r>
        <w:t>Table 5-</w:t>
      </w:r>
      <w:r>
        <w:rPr>
          <w:noProof/>
        </w:rPr>
        <w:t>9</w:t>
      </w:r>
      <w:r>
        <w:rPr>
          <w:lang w:eastAsia="en-AU"/>
        </w:rPr>
        <w:t>). Compared to children and adolescents with other disorders those with ADHD missed on average the least number of days of school due to their ADHD symptoms.</w:t>
      </w:r>
    </w:p>
    <w:p w:rsidR="00C827EF" w:rsidRDefault="00C827EF" w:rsidP="00C827EF">
      <w:pPr>
        <w:pStyle w:val="Caption"/>
        <w:keepNext/>
      </w:pPr>
      <w:bookmarkStart w:id="109" w:name="_Ref398189519"/>
      <w:r>
        <w:t>Table 5-</w:t>
      </w:r>
      <w:r>
        <w:rPr>
          <w:noProof/>
        </w:rPr>
        <w:t>9</w:t>
      </w:r>
      <w:bookmarkEnd w:id="109"/>
      <w:r>
        <w:t xml:space="preserve">: </w:t>
      </w:r>
      <w:r w:rsidRPr="00F93D06">
        <w:t xml:space="preserve">Average days off school in the </w:t>
      </w:r>
      <w:r>
        <w:t>past</w:t>
      </w:r>
      <w:r w:rsidRPr="00F93D06">
        <w:t xml:space="preserve"> 12 months due to </w:t>
      </w:r>
      <w:r>
        <w:t>ADHD</w:t>
      </w:r>
      <w:r w:rsidRPr="00796BAC">
        <w:t xml:space="preserve"> </w:t>
      </w:r>
      <w:r>
        <w:t>symptoms</w:t>
      </w:r>
      <w:r w:rsidRPr="004E6E27">
        <w:t xml:space="preserve"> </w:t>
      </w:r>
      <w:r>
        <w:t xml:space="preserve">among 4-17 year-olds with ADHD </w:t>
      </w:r>
      <w:r w:rsidRPr="00F93D06">
        <w:t>by age group</w:t>
      </w:r>
    </w:p>
    <w:tbl>
      <w:tblPr>
        <w:tblW w:w="0" w:type="auto"/>
        <w:jc w:val="center"/>
        <w:tblLayout w:type="fixed"/>
        <w:tblCellMar>
          <w:left w:w="0" w:type="dxa"/>
          <w:right w:w="0" w:type="dxa"/>
        </w:tblCellMar>
        <w:tblLook w:val="0020" w:firstRow="1" w:lastRow="0" w:firstColumn="0" w:lastColumn="0" w:noHBand="0" w:noVBand="0"/>
        <w:tblDescription w:val="In Table 5-9 the first column defines the age group. Read across to the second column for the average number of days off school due to ADHD in the previous 12 months."/>
      </w:tblPr>
      <w:tblGrid>
        <w:gridCol w:w="6092"/>
        <w:gridCol w:w="2953"/>
      </w:tblGrid>
      <w:tr w:rsidR="00C827EF" w:rsidRPr="00887CB7" w:rsidTr="00C827EF">
        <w:trPr>
          <w:cantSplit/>
          <w:tblHeader/>
          <w:jc w:val="center"/>
        </w:trPr>
        <w:tc>
          <w:tcPr>
            <w:tcW w:w="6092" w:type="dxa"/>
            <w:tcBorders>
              <w:top w:val="single" w:sz="6" w:space="0" w:color="000000"/>
              <w:bottom w:val="single" w:sz="4" w:space="0" w:color="000000"/>
              <w:right w:val="nil"/>
            </w:tcBorders>
            <w:shd w:val="clear" w:color="auto" w:fill="EFF3FF"/>
            <w:tcMar>
              <w:left w:w="40" w:type="dxa"/>
              <w:right w:w="40" w:type="dxa"/>
            </w:tcMar>
            <w:vAlign w:val="center"/>
          </w:tcPr>
          <w:p w:rsidR="00C827EF" w:rsidRPr="0043581D" w:rsidRDefault="00C827EF" w:rsidP="00C827EF">
            <w:pPr>
              <w:pStyle w:val="TableColumnHeadings"/>
              <w:jc w:val="left"/>
              <w:rPr>
                <w:rStyle w:val="Strong"/>
              </w:rPr>
            </w:pPr>
            <w:r w:rsidRPr="0043581D">
              <w:rPr>
                <w:rStyle w:val="Strong"/>
              </w:rPr>
              <w:t>Age group</w:t>
            </w:r>
          </w:p>
        </w:tc>
        <w:tc>
          <w:tcPr>
            <w:tcW w:w="295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C827EF" w:rsidRPr="0043581D" w:rsidRDefault="00C827EF" w:rsidP="00C827EF">
            <w:pPr>
              <w:pStyle w:val="TableColumnHeadings"/>
              <w:rPr>
                <w:rStyle w:val="Strong"/>
              </w:rPr>
            </w:pPr>
            <w:r w:rsidRPr="0043581D">
              <w:rPr>
                <w:rStyle w:val="Strong"/>
              </w:rPr>
              <w:t>Average days absent</w:t>
            </w:r>
          </w:p>
        </w:tc>
      </w:tr>
      <w:tr w:rsidR="00C827EF" w:rsidRPr="00887CB7" w:rsidTr="00C827EF">
        <w:trPr>
          <w:cantSplit/>
          <w:jc w:val="center"/>
        </w:trPr>
        <w:tc>
          <w:tcPr>
            <w:tcW w:w="6092" w:type="dxa"/>
            <w:tcBorders>
              <w:top w:val="nil"/>
              <w:bottom w:val="single" w:sz="4" w:space="0" w:color="FFFFFF"/>
              <w:right w:val="nil"/>
            </w:tcBorders>
            <w:shd w:val="clear" w:color="auto" w:fill="EFF3FF"/>
            <w:tcMar>
              <w:left w:w="40" w:type="dxa"/>
              <w:right w:w="40" w:type="dxa"/>
            </w:tcMar>
          </w:tcPr>
          <w:p w:rsidR="00C827EF" w:rsidRPr="00887CB7" w:rsidRDefault="00C827EF" w:rsidP="00C827EF">
            <w:pPr>
              <w:pStyle w:val="TableRowHeadings"/>
              <w:rPr>
                <w:lang w:eastAsia="en-AU"/>
              </w:rPr>
            </w:pPr>
            <w:r>
              <w:rPr>
                <w:lang w:eastAsia="en-AU"/>
              </w:rPr>
              <w:t>4-</w:t>
            </w:r>
            <w:r w:rsidRPr="00887CB7">
              <w:rPr>
                <w:lang w:eastAsia="en-AU"/>
              </w:rPr>
              <w:t>11 years</w:t>
            </w:r>
          </w:p>
        </w:tc>
        <w:tc>
          <w:tcPr>
            <w:tcW w:w="2953" w:type="dxa"/>
            <w:tcBorders>
              <w:top w:val="nil"/>
              <w:left w:val="nil"/>
              <w:bottom w:val="nil"/>
              <w:right w:val="nil"/>
            </w:tcBorders>
            <w:shd w:val="clear" w:color="auto" w:fill="FFFFFF"/>
            <w:tcMar>
              <w:left w:w="40" w:type="dxa"/>
              <w:right w:w="40" w:type="dxa"/>
            </w:tcMar>
            <w:vAlign w:val="bottom"/>
          </w:tcPr>
          <w:p w:rsidR="00C827EF" w:rsidRPr="00887CB7" w:rsidRDefault="00C827EF" w:rsidP="00C827EF">
            <w:pPr>
              <w:pStyle w:val="TableDataCell"/>
              <w:rPr>
                <w:lang w:eastAsia="en-AU"/>
              </w:rPr>
            </w:pPr>
            <w:r>
              <w:rPr>
                <w:lang w:eastAsia="en-AU"/>
              </w:rPr>
              <w:t>4</w:t>
            </w:r>
          </w:p>
        </w:tc>
      </w:tr>
      <w:tr w:rsidR="00C827EF" w:rsidRPr="00887CB7" w:rsidTr="00C827EF">
        <w:trPr>
          <w:cantSplit/>
          <w:jc w:val="center"/>
        </w:trPr>
        <w:tc>
          <w:tcPr>
            <w:tcW w:w="6092" w:type="dxa"/>
            <w:tcBorders>
              <w:top w:val="nil"/>
              <w:bottom w:val="single" w:sz="4" w:space="0" w:color="auto"/>
              <w:right w:val="nil"/>
            </w:tcBorders>
            <w:shd w:val="clear" w:color="auto" w:fill="EFF3FF"/>
            <w:tcMar>
              <w:left w:w="40" w:type="dxa"/>
              <w:right w:w="40" w:type="dxa"/>
            </w:tcMar>
          </w:tcPr>
          <w:p w:rsidR="00C827EF" w:rsidRPr="00887CB7" w:rsidRDefault="00C827EF" w:rsidP="00C827EF">
            <w:pPr>
              <w:pStyle w:val="TableRowHeadings"/>
              <w:rPr>
                <w:lang w:eastAsia="en-AU"/>
              </w:rPr>
            </w:pPr>
            <w:r>
              <w:rPr>
                <w:lang w:eastAsia="en-AU"/>
              </w:rPr>
              <w:t>12-</w:t>
            </w:r>
            <w:r w:rsidRPr="00887CB7">
              <w:rPr>
                <w:lang w:eastAsia="en-AU"/>
              </w:rPr>
              <w:t>17 years</w:t>
            </w:r>
          </w:p>
        </w:tc>
        <w:tc>
          <w:tcPr>
            <w:tcW w:w="2953" w:type="dxa"/>
            <w:tcBorders>
              <w:top w:val="nil"/>
              <w:left w:val="nil"/>
              <w:bottom w:val="single" w:sz="4" w:space="0" w:color="auto"/>
              <w:right w:val="nil"/>
            </w:tcBorders>
            <w:shd w:val="clear" w:color="auto" w:fill="FFFFFF"/>
            <w:tcMar>
              <w:left w:w="40" w:type="dxa"/>
              <w:right w:w="40" w:type="dxa"/>
            </w:tcMar>
            <w:vAlign w:val="bottom"/>
          </w:tcPr>
          <w:p w:rsidR="00C827EF" w:rsidRPr="00887CB7" w:rsidRDefault="00C827EF" w:rsidP="00C827EF">
            <w:pPr>
              <w:pStyle w:val="TableDataCell"/>
              <w:rPr>
                <w:lang w:eastAsia="en-AU"/>
              </w:rPr>
            </w:pPr>
            <w:r>
              <w:rPr>
                <w:lang w:eastAsia="en-AU"/>
              </w:rPr>
              <w:t>9</w:t>
            </w:r>
          </w:p>
        </w:tc>
      </w:tr>
      <w:tr w:rsidR="00C827EF" w:rsidRPr="00887CB7" w:rsidTr="00C827EF">
        <w:trPr>
          <w:cantSplit/>
          <w:jc w:val="center"/>
        </w:trPr>
        <w:tc>
          <w:tcPr>
            <w:tcW w:w="6092" w:type="dxa"/>
            <w:tcBorders>
              <w:top w:val="single" w:sz="4" w:space="0" w:color="auto"/>
              <w:bottom w:val="single" w:sz="6" w:space="0" w:color="000000"/>
              <w:right w:val="nil"/>
            </w:tcBorders>
            <w:shd w:val="clear" w:color="auto" w:fill="EFF3FF"/>
            <w:tcMar>
              <w:left w:w="40" w:type="dxa"/>
              <w:right w:w="40" w:type="dxa"/>
            </w:tcMar>
          </w:tcPr>
          <w:p w:rsidR="00C827EF" w:rsidRPr="002B1F92" w:rsidRDefault="00C827EF" w:rsidP="00C827EF">
            <w:pPr>
              <w:pStyle w:val="TableRowHeadings"/>
              <w:rPr>
                <w:rStyle w:val="Strong"/>
              </w:rPr>
            </w:pPr>
            <w:r w:rsidRPr="002B1F92">
              <w:rPr>
                <w:rStyle w:val="Strong"/>
              </w:rPr>
              <w:t>4-17 years</w:t>
            </w:r>
          </w:p>
        </w:tc>
        <w:tc>
          <w:tcPr>
            <w:tcW w:w="2953" w:type="dxa"/>
            <w:tcBorders>
              <w:top w:val="single" w:sz="4" w:space="0" w:color="auto"/>
              <w:left w:val="nil"/>
              <w:bottom w:val="single" w:sz="6" w:space="0" w:color="000000"/>
              <w:right w:val="nil"/>
            </w:tcBorders>
            <w:shd w:val="clear" w:color="auto" w:fill="FFFFFF"/>
            <w:tcMar>
              <w:left w:w="40" w:type="dxa"/>
              <w:right w:w="40" w:type="dxa"/>
            </w:tcMar>
            <w:vAlign w:val="bottom"/>
          </w:tcPr>
          <w:p w:rsidR="00C827EF" w:rsidRPr="002B1F92" w:rsidRDefault="00C827EF" w:rsidP="00C827EF">
            <w:pPr>
              <w:pStyle w:val="TableDataCell"/>
              <w:rPr>
                <w:rStyle w:val="Strong"/>
              </w:rPr>
            </w:pPr>
            <w:r w:rsidRPr="002B1F92">
              <w:rPr>
                <w:rStyle w:val="Strong"/>
              </w:rPr>
              <w:t>5</w:t>
            </w:r>
          </w:p>
        </w:tc>
      </w:tr>
      <w:bookmarkEnd w:id="108"/>
    </w:tbl>
    <w:p w:rsidR="00C827EF" w:rsidRDefault="00C827EF" w:rsidP="00C827EF">
      <w:pPr>
        <w:pStyle w:val="BodyText"/>
      </w:pPr>
    </w:p>
    <w:p w:rsidR="00C827EF" w:rsidRDefault="00C827EF" w:rsidP="00DB066C">
      <w:pPr>
        <w:jc w:val="center"/>
        <w:sectPr w:rsidR="00C827EF" w:rsidSect="003330E0">
          <w:headerReference w:type="even" r:id="rId75"/>
          <w:headerReference w:type="default" r:id="rId76"/>
          <w:footerReference w:type="default" r:id="rId77"/>
          <w:pgSz w:w="11906" w:h="16838" w:code="9"/>
          <w:pgMar w:top="1440" w:right="1440" w:bottom="1440" w:left="1440" w:header="567" w:footer="567" w:gutter="0"/>
          <w:pgNumType w:start="60"/>
          <w:cols w:space="720"/>
          <w:docGrid w:linePitch="360"/>
        </w:sectPr>
      </w:pPr>
    </w:p>
    <w:p w:rsidR="00E30271" w:rsidRDefault="00E30271" w:rsidP="00E30271">
      <w:pPr>
        <w:pStyle w:val="Heading1"/>
        <w:ind w:left="720" w:hanging="720"/>
      </w:pPr>
      <w:r>
        <w:lastRenderedPageBreak/>
        <w:t>6</w:t>
      </w:r>
      <w:r>
        <w:tab/>
        <w:t>Conduct disorder and oppositional problem behaviours</w:t>
      </w:r>
    </w:p>
    <w:p w:rsidR="00E30271" w:rsidRDefault="00E30271" w:rsidP="00E30271">
      <w:pPr>
        <w:pStyle w:val="BodyText"/>
      </w:pPr>
      <w:r>
        <w:t xml:space="preserve">This chapter presents data on children and adolescents that met diagnostic criteria identified in DSM-IV for conduct disorder. It also presents information on oppositional problem behaviours. </w:t>
      </w:r>
    </w:p>
    <w:p w:rsidR="000430C8" w:rsidRDefault="000430C8" w:rsidP="000430C8">
      <w:pPr>
        <w:pStyle w:val="Heading2-notintOCV2"/>
      </w:pPr>
      <w:r>
        <w:t>Conduct disorder</w:t>
      </w:r>
    </w:p>
    <w:p w:rsidR="00E30271" w:rsidRPr="009A3297" w:rsidRDefault="00E30271" w:rsidP="000430C8">
      <w:pPr>
        <w:pStyle w:val="Disorderoverviewtext"/>
      </w:pPr>
      <w:r w:rsidRPr="009A3297">
        <w:t xml:space="preserve">Conduct disorder is defined as repetitive and persistent behaviour to a degree that violates the basic rights of others, major societal norms or rules in the following areas: aggression towards people or animals, destruction of property, deceitfulness or theft and serious violation of rules. </w:t>
      </w:r>
      <w:proofErr w:type="gramStart"/>
      <w:r w:rsidRPr="009A3297">
        <w:t>Young people with conduct disorder exhibit a range of behaviours often including bullying, frequent physical fights, deliberately destroying other’s property, breaking into properties or cars, staying out late at night without permission, running away from home or frequent truancy from school.</w:t>
      </w:r>
      <w:proofErr w:type="gramEnd"/>
      <w:r w:rsidRPr="009A3297">
        <w:t xml:space="preserve"> DSM-IV criteria require at least three of these behaviours to have been present in the past 12 months, and for the disturbance in behaviour to cause clinically significant impairment in social, academic or occupational functioning.</w:t>
      </w:r>
    </w:p>
    <w:p w:rsidR="00E30271" w:rsidRDefault="00E30271" w:rsidP="00E30271">
      <w:pPr>
        <w:pStyle w:val="Heading2"/>
        <w:rPr>
          <w:rStyle w:val="Heading1Char"/>
          <w:b/>
          <w:bCs/>
          <w:caps w:val="0"/>
          <w:sz w:val="26"/>
          <w:szCs w:val="26"/>
        </w:rPr>
      </w:pPr>
      <w:r>
        <w:rPr>
          <w:rStyle w:val="Heading1Char"/>
          <w:b/>
          <w:bCs/>
          <w:caps w:val="0"/>
          <w:sz w:val="26"/>
          <w:szCs w:val="26"/>
        </w:rPr>
        <w:t>6.1</w:t>
      </w:r>
      <w:r w:rsidRPr="00F542D3">
        <w:rPr>
          <w:rStyle w:val="Heading1Char"/>
          <w:b/>
          <w:bCs/>
          <w:caps w:val="0"/>
          <w:sz w:val="26"/>
          <w:szCs w:val="26"/>
        </w:rPr>
        <w:tab/>
      </w:r>
      <w:r>
        <w:rPr>
          <w:rStyle w:val="Heading1Char"/>
          <w:b/>
          <w:bCs/>
          <w:caps w:val="0"/>
          <w:sz w:val="26"/>
          <w:szCs w:val="26"/>
        </w:rPr>
        <w:t xml:space="preserve">Prevalence of conduct disorder in children and adolescents </w:t>
      </w:r>
    </w:p>
    <w:p w:rsidR="00E30271" w:rsidRPr="000972A2" w:rsidRDefault="00E30271" w:rsidP="00E30271">
      <w:pPr>
        <w:pStyle w:val="BodyText"/>
        <w:rPr>
          <w:lang w:eastAsia="en-AU"/>
        </w:rPr>
      </w:pPr>
      <w:r>
        <w:rPr>
          <w:lang w:eastAsia="en-AU"/>
        </w:rPr>
        <w:t>Around 2% of all children and adolescents had conduct disorder. This is equivalent to around 84,000 children and adolescents across Australia. The prevalence was higher in males than females (2.5% compared with 1.6%). The prevalence did not vary across age groups for either sex</w:t>
      </w:r>
      <w:r w:rsidR="004713ED">
        <w:rPr>
          <w:lang w:eastAsia="en-AU"/>
        </w:rPr>
        <w:t xml:space="preserve"> (Table 6-1)</w:t>
      </w:r>
      <w:r>
        <w:rPr>
          <w:lang w:eastAsia="en-AU"/>
        </w:rPr>
        <w:t>.</w:t>
      </w:r>
    </w:p>
    <w:p w:rsidR="00E30271" w:rsidRDefault="00E30271" w:rsidP="00E30271">
      <w:pPr>
        <w:pStyle w:val="Caption"/>
        <w:keepNext/>
      </w:pPr>
      <w:bookmarkStart w:id="110" w:name="_Ref398623385"/>
      <w:r>
        <w:t>Table 6-</w:t>
      </w:r>
      <w:r>
        <w:rPr>
          <w:noProof/>
        </w:rPr>
        <w:t>1</w:t>
      </w:r>
      <w:bookmarkEnd w:id="110"/>
      <w:r>
        <w:t xml:space="preserve">: </w:t>
      </w:r>
      <w:r w:rsidRPr="004E6E27">
        <w:t xml:space="preserve">12-month prevalence of conduct disorder </w:t>
      </w:r>
      <w:r>
        <w:t xml:space="preserve">among 4-17 year-olds </w:t>
      </w:r>
      <w:r w:rsidRPr="004E6E27">
        <w:t xml:space="preserve">by </w:t>
      </w:r>
      <w:r>
        <w:t>sex and age group</w:t>
      </w:r>
    </w:p>
    <w:tbl>
      <w:tblPr>
        <w:tblW w:w="9114" w:type="dxa"/>
        <w:jc w:val="center"/>
        <w:tblLayout w:type="fixed"/>
        <w:tblCellMar>
          <w:left w:w="0" w:type="dxa"/>
          <w:right w:w="0" w:type="dxa"/>
        </w:tblCellMar>
        <w:tblLook w:val="0020" w:firstRow="1" w:lastRow="0" w:firstColumn="0" w:lastColumn="0" w:noHBand="0" w:noVBand="0"/>
        <w:tblDescription w:val="In Table 6-1 the first column defines age group. Read across the row to obtain the prevalence of males, the prevalence of females and the prevalence of persons who had conduct disorder in the past 12 months."/>
      </w:tblPr>
      <w:tblGrid>
        <w:gridCol w:w="3201"/>
        <w:gridCol w:w="1971"/>
        <w:gridCol w:w="1971"/>
        <w:gridCol w:w="1971"/>
      </w:tblGrid>
      <w:tr w:rsidR="00E30271" w:rsidRPr="001762DB" w:rsidTr="00E30271">
        <w:trPr>
          <w:cantSplit/>
          <w:tblHeader/>
          <w:jc w:val="center"/>
        </w:trPr>
        <w:tc>
          <w:tcPr>
            <w:tcW w:w="3201"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bookmarkStart w:id="111" w:name="IDX3"/>
            <w:bookmarkEnd w:id="111"/>
            <w:r w:rsidRPr="00057BD9">
              <w:rPr>
                <w:rStyle w:val="Strong"/>
              </w:rPr>
              <w:t>Age group</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Males (%)</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Females (%)</w:t>
            </w:r>
          </w:p>
        </w:tc>
        <w:tc>
          <w:tcPr>
            <w:tcW w:w="197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Persons (%)</w:t>
            </w:r>
          </w:p>
        </w:tc>
      </w:tr>
      <w:tr w:rsidR="00E30271" w:rsidRPr="001762DB" w:rsidTr="00E30271">
        <w:trPr>
          <w:cantSplit/>
          <w:jc w:val="center"/>
        </w:trPr>
        <w:tc>
          <w:tcPr>
            <w:tcW w:w="3201" w:type="dxa"/>
            <w:tcBorders>
              <w:top w:val="nil"/>
              <w:bottom w:val="single" w:sz="4" w:space="0" w:color="FFFFFF"/>
              <w:right w:val="nil"/>
            </w:tcBorders>
            <w:shd w:val="clear" w:color="auto" w:fill="EFF3FF"/>
            <w:tcMar>
              <w:left w:w="40" w:type="dxa"/>
              <w:right w:w="40" w:type="dxa"/>
            </w:tcMar>
          </w:tcPr>
          <w:p w:rsidR="00E30271" w:rsidRPr="001762DB" w:rsidRDefault="00E30271" w:rsidP="00E30271">
            <w:pPr>
              <w:pStyle w:val="TableRowHeadings"/>
              <w:rPr>
                <w:lang w:eastAsia="en-AU"/>
              </w:rPr>
            </w:pPr>
            <w:r>
              <w:rPr>
                <w:lang w:eastAsia="en-AU"/>
              </w:rPr>
              <w:t>4-</w:t>
            </w:r>
            <w:r w:rsidRPr="001762DB">
              <w:rPr>
                <w:lang w:eastAsia="en-AU"/>
              </w:rPr>
              <w:t>11 years</w:t>
            </w:r>
          </w:p>
        </w:tc>
        <w:tc>
          <w:tcPr>
            <w:tcW w:w="1971" w:type="dxa"/>
            <w:tcBorders>
              <w:top w:val="nil"/>
              <w:left w:val="nil"/>
              <w:bottom w:val="nil"/>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2.5</w:t>
            </w:r>
          </w:p>
        </w:tc>
        <w:tc>
          <w:tcPr>
            <w:tcW w:w="1971" w:type="dxa"/>
            <w:tcBorders>
              <w:top w:val="nil"/>
              <w:left w:val="nil"/>
              <w:bottom w:val="nil"/>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1.6</w:t>
            </w:r>
          </w:p>
        </w:tc>
        <w:tc>
          <w:tcPr>
            <w:tcW w:w="1971" w:type="dxa"/>
            <w:tcBorders>
              <w:top w:val="nil"/>
              <w:left w:val="nil"/>
              <w:bottom w:val="nil"/>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2.0</w:t>
            </w:r>
          </w:p>
        </w:tc>
      </w:tr>
      <w:tr w:rsidR="00E30271" w:rsidRPr="001762DB" w:rsidTr="00E30271">
        <w:trPr>
          <w:cantSplit/>
          <w:jc w:val="center"/>
        </w:trPr>
        <w:tc>
          <w:tcPr>
            <w:tcW w:w="3201" w:type="dxa"/>
            <w:tcBorders>
              <w:top w:val="nil"/>
              <w:bottom w:val="single" w:sz="4" w:space="0" w:color="auto"/>
              <w:right w:val="nil"/>
            </w:tcBorders>
            <w:shd w:val="clear" w:color="auto" w:fill="EFF3FF"/>
            <w:tcMar>
              <w:left w:w="40" w:type="dxa"/>
              <w:right w:w="40" w:type="dxa"/>
            </w:tcMar>
          </w:tcPr>
          <w:p w:rsidR="00E30271" w:rsidRPr="001762DB" w:rsidRDefault="00E30271" w:rsidP="00E30271">
            <w:pPr>
              <w:pStyle w:val="TableRowHeadings"/>
              <w:rPr>
                <w:lang w:eastAsia="en-AU"/>
              </w:rPr>
            </w:pPr>
            <w:r>
              <w:rPr>
                <w:lang w:eastAsia="en-AU"/>
              </w:rPr>
              <w:t>12-</w:t>
            </w:r>
            <w:r w:rsidRPr="001762DB">
              <w:rPr>
                <w:lang w:eastAsia="en-AU"/>
              </w:rPr>
              <w:t>17 years</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2.6</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1.6</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E30271" w:rsidRPr="001762DB" w:rsidRDefault="00E30271" w:rsidP="00E30271">
            <w:pPr>
              <w:pStyle w:val="TableDataCell"/>
              <w:rPr>
                <w:lang w:eastAsia="en-AU"/>
              </w:rPr>
            </w:pPr>
            <w:r w:rsidRPr="001762DB">
              <w:rPr>
                <w:lang w:eastAsia="en-AU"/>
              </w:rPr>
              <w:t>2.1</w:t>
            </w:r>
          </w:p>
        </w:tc>
      </w:tr>
      <w:tr w:rsidR="00E30271" w:rsidRPr="001762DB" w:rsidTr="00E30271">
        <w:trPr>
          <w:cantSplit/>
          <w:jc w:val="center"/>
        </w:trPr>
        <w:tc>
          <w:tcPr>
            <w:tcW w:w="3201" w:type="dxa"/>
            <w:tcBorders>
              <w:top w:val="single" w:sz="4" w:space="0" w:color="auto"/>
              <w:bottom w:val="single" w:sz="6" w:space="0" w:color="000000"/>
              <w:right w:val="nil"/>
            </w:tcBorders>
            <w:shd w:val="clear" w:color="auto" w:fill="EFF3FF"/>
            <w:tcMar>
              <w:left w:w="40" w:type="dxa"/>
              <w:right w:w="40" w:type="dxa"/>
            </w:tcMar>
          </w:tcPr>
          <w:p w:rsidR="00E30271" w:rsidRPr="009A3297" w:rsidRDefault="00E30271" w:rsidP="00E30271">
            <w:pPr>
              <w:pStyle w:val="TableRowHeadings"/>
              <w:rPr>
                <w:rStyle w:val="Strong"/>
              </w:rPr>
            </w:pPr>
            <w:r w:rsidRPr="009A3297">
              <w:rPr>
                <w:rStyle w:val="Strong"/>
              </w:rPr>
              <w:t>4-17 years</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9A3297" w:rsidRDefault="00E30271" w:rsidP="00E30271">
            <w:pPr>
              <w:pStyle w:val="TableDataCell"/>
              <w:rPr>
                <w:rStyle w:val="Strong"/>
              </w:rPr>
            </w:pPr>
            <w:r w:rsidRPr="009A3297">
              <w:rPr>
                <w:rStyle w:val="Strong"/>
              </w:rPr>
              <w:t>2.5</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9A3297" w:rsidRDefault="00E30271" w:rsidP="00E30271">
            <w:pPr>
              <w:pStyle w:val="TableDataCell"/>
              <w:rPr>
                <w:rStyle w:val="Strong"/>
              </w:rPr>
            </w:pPr>
            <w:r w:rsidRPr="009A3297">
              <w:rPr>
                <w:rStyle w:val="Strong"/>
              </w:rPr>
              <w:t>1.6</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9A3297" w:rsidRDefault="00E30271" w:rsidP="00E30271">
            <w:pPr>
              <w:pStyle w:val="TableDataCell"/>
              <w:rPr>
                <w:rStyle w:val="Strong"/>
              </w:rPr>
            </w:pPr>
            <w:r w:rsidRPr="009A3297">
              <w:rPr>
                <w:rStyle w:val="Strong"/>
              </w:rPr>
              <w:t>2.1</w:t>
            </w:r>
          </w:p>
        </w:tc>
      </w:tr>
    </w:tbl>
    <w:p w:rsidR="00E30271" w:rsidRDefault="00E30271" w:rsidP="00E30271">
      <w:pPr>
        <w:pStyle w:val="Heading2"/>
      </w:pPr>
      <w:r>
        <w:t>6.2</w:t>
      </w:r>
      <w:r>
        <w:tab/>
        <w:t xml:space="preserve">Social and demographic characteristics </w:t>
      </w:r>
    </w:p>
    <w:p w:rsidR="00E30271" w:rsidRDefault="00E30271" w:rsidP="00E30271">
      <w:pPr>
        <w:pStyle w:val="BodyText"/>
      </w:pPr>
      <w:r>
        <w:t>The 12-month prevalence of conduct disorder by a range of socio-demographic characteristics is reported in Table 6-</w:t>
      </w:r>
      <w:r>
        <w:rPr>
          <w:noProof/>
        </w:rPr>
        <w:t>2</w:t>
      </w:r>
      <w:r>
        <w:t xml:space="preserve"> to Table 6-</w:t>
      </w:r>
      <w:r>
        <w:rPr>
          <w:noProof/>
        </w:rPr>
        <w:t>7</w:t>
      </w:r>
      <w:r>
        <w:t xml:space="preserve">. These include family type, household income, carer education and labour force status, area of residence and family functioning. </w:t>
      </w:r>
      <w:r>
        <w:rPr>
          <w:lang w:eastAsia="en-AU"/>
        </w:rPr>
        <w:t>Overall prevalence of conduct disorder was higher in children and adolescents living in families with lower levels of income, education and employment and with poorer family functioning.</w:t>
      </w:r>
    </w:p>
    <w:p w:rsidR="00E30271" w:rsidRDefault="00E30271" w:rsidP="00E30271">
      <w:pPr>
        <w:pStyle w:val="Heading3"/>
      </w:pPr>
      <w:r>
        <w:t>6.2.1</w:t>
      </w:r>
      <w:r>
        <w:tab/>
        <w:t>Family type</w:t>
      </w:r>
    </w:p>
    <w:p w:rsidR="00E30271" w:rsidRPr="00D10DF4" w:rsidRDefault="00E30271" w:rsidP="00E30271">
      <w:pPr>
        <w:pStyle w:val="BodyText"/>
        <w:rPr>
          <w:lang w:eastAsia="en-AU"/>
        </w:rPr>
      </w:pPr>
      <w:r>
        <w:rPr>
          <w:lang w:eastAsia="en-AU"/>
        </w:rPr>
        <w:t xml:space="preserve">The prevalence of conduct disorders was lowest (1.0%) in original families, that is where at least one child was living with both their natural, adoptive or foster parents and there were no step children. </w:t>
      </w:r>
      <w:r>
        <w:rPr>
          <w:lang w:eastAsia="en-AU"/>
        </w:rPr>
        <w:lastRenderedPageBreak/>
        <w:t>The highest prevalences were in families with one parent or carer and step families, in which 4.8% and 4.4% of children and adolescents had conduct disorder respectively (</w:t>
      </w:r>
      <w:r>
        <w:t>Table 6-</w:t>
      </w:r>
      <w:r>
        <w:rPr>
          <w:noProof/>
        </w:rPr>
        <w:t>2</w:t>
      </w:r>
      <w:r>
        <w:rPr>
          <w:lang w:eastAsia="en-AU"/>
        </w:rPr>
        <w:t>).</w:t>
      </w:r>
    </w:p>
    <w:p w:rsidR="00E30271" w:rsidRDefault="00E30271" w:rsidP="00E30271">
      <w:pPr>
        <w:pStyle w:val="Caption"/>
        <w:keepNext/>
      </w:pPr>
      <w:bookmarkStart w:id="112" w:name="IDX19"/>
      <w:bookmarkStart w:id="113" w:name="_Ref401149876"/>
      <w:bookmarkEnd w:id="112"/>
      <w:r>
        <w:t>Table 6-</w:t>
      </w:r>
      <w:r>
        <w:rPr>
          <w:noProof/>
        </w:rPr>
        <w:t>2</w:t>
      </w:r>
      <w:bookmarkEnd w:id="113"/>
      <w:r>
        <w:t xml:space="preserve">: </w:t>
      </w:r>
      <w:r w:rsidRPr="00813D23">
        <w:t>12-month prevalence of conduct disorder</w:t>
      </w:r>
      <w:r w:rsidRPr="004E6E27">
        <w:t xml:space="preserve"> </w:t>
      </w:r>
      <w:r>
        <w:t>among 4-17 year-olds</w:t>
      </w:r>
      <w:r w:rsidRPr="00813D23">
        <w:t xml:space="preserve"> by family </w:t>
      </w:r>
      <w:r>
        <w:t>type</w:t>
      </w:r>
    </w:p>
    <w:tbl>
      <w:tblPr>
        <w:tblW w:w="0" w:type="auto"/>
        <w:jc w:val="center"/>
        <w:tblLayout w:type="fixed"/>
        <w:tblCellMar>
          <w:left w:w="0" w:type="dxa"/>
          <w:right w:w="0" w:type="dxa"/>
        </w:tblCellMar>
        <w:tblLook w:val="0020" w:firstRow="1" w:lastRow="0" w:firstColumn="0" w:lastColumn="0" w:noHBand="0" w:noVBand="0"/>
        <w:tblDescription w:val="In Table 6-2 the first column defines family type. Read across the rows for the prevalence of conduct disorder in the previous 12 months."/>
      </w:tblPr>
      <w:tblGrid>
        <w:gridCol w:w="6955"/>
        <w:gridCol w:w="2150"/>
      </w:tblGrid>
      <w:tr w:rsidR="00E30271" w:rsidRPr="00D10DF4" w:rsidTr="00E30271">
        <w:trPr>
          <w:cantSplit/>
          <w:tblHeader/>
          <w:jc w:val="center"/>
        </w:trPr>
        <w:tc>
          <w:tcPr>
            <w:tcW w:w="6955"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tabs>
                <w:tab w:val="left" w:pos="290"/>
              </w:tabs>
              <w:jc w:val="left"/>
              <w:rPr>
                <w:rStyle w:val="Strong"/>
              </w:rPr>
            </w:pPr>
            <w:r w:rsidRPr="00057BD9">
              <w:rPr>
                <w:rStyle w:val="Strong"/>
              </w:rPr>
              <w:t>Family type</w:t>
            </w:r>
          </w:p>
        </w:tc>
        <w:tc>
          <w:tcPr>
            <w:tcW w:w="215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D10DF4" w:rsidTr="00E30271">
        <w:trPr>
          <w:cantSplit/>
          <w:jc w:val="center"/>
        </w:trPr>
        <w:tc>
          <w:tcPr>
            <w:tcW w:w="6955"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Families with two parents or carers</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Pr>
                <w:lang w:eastAsia="en-AU"/>
              </w:rPr>
              <w:t>1.4</w:t>
            </w:r>
          </w:p>
        </w:tc>
      </w:tr>
      <w:tr w:rsidR="00E30271" w:rsidRPr="00D10DF4" w:rsidTr="00E30271">
        <w:trPr>
          <w:cantSplit/>
          <w:jc w:val="center"/>
        </w:trPr>
        <w:tc>
          <w:tcPr>
            <w:tcW w:w="6955"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ab/>
              <w:t>Original</w:t>
            </w:r>
            <w:r w:rsidRPr="007B266A">
              <w:rPr>
                <w:lang w:eastAsia="en-AU"/>
              </w:rPr>
              <w:t xml:space="preserve"> family</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1.0</w:t>
            </w:r>
          </w:p>
        </w:tc>
      </w:tr>
      <w:tr w:rsidR="00E30271" w:rsidRPr="00D10DF4" w:rsidTr="00E30271">
        <w:trPr>
          <w:cantSplit/>
          <w:jc w:val="center"/>
        </w:trPr>
        <w:tc>
          <w:tcPr>
            <w:tcW w:w="6955"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ab/>
            </w:r>
            <w:r w:rsidRPr="007B266A">
              <w:rPr>
                <w:lang w:eastAsia="en-AU"/>
              </w:rPr>
              <w:t>Step family</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4.4</w:t>
            </w:r>
          </w:p>
        </w:tc>
      </w:tr>
      <w:tr w:rsidR="00E30271" w:rsidRPr="00D10DF4" w:rsidTr="00E30271">
        <w:trPr>
          <w:cantSplit/>
          <w:jc w:val="center"/>
        </w:trPr>
        <w:tc>
          <w:tcPr>
            <w:tcW w:w="6955"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ab/>
            </w:r>
            <w:r w:rsidRPr="007B266A">
              <w:rPr>
                <w:lang w:eastAsia="en-AU"/>
              </w:rPr>
              <w:t>Blended family</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3.4</w:t>
            </w:r>
          </w:p>
        </w:tc>
      </w:tr>
      <w:tr w:rsidR="00E30271" w:rsidRPr="00D10DF4" w:rsidTr="00E30271">
        <w:trPr>
          <w:cantSplit/>
          <w:jc w:val="center"/>
        </w:trPr>
        <w:tc>
          <w:tcPr>
            <w:tcW w:w="6955"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ab/>
            </w:r>
            <w:r w:rsidRPr="007B266A">
              <w:rPr>
                <w:lang w:eastAsia="en-AU"/>
              </w:rPr>
              <w:t>Other family</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Pr>
                <w:lang w:eastAsia="en-AU"/>
              </w:rPr>
              <w:t>np</w:t>
            </w:r>
          </w:p>
        </w:tc>
      </w:tr>
      <w:tr w:rsidR="00E30271" w:rsidRPr="00D10DF4" w:rsidTr="00E30271">
        <w:trPr>
          <w:cantSplit/>
          <w:jc w:val="center"/>
        </w:trPr>
        <w:tc>
          <w:tcPr>
            <w:tcW w:w="6955" w:type="dxa"/>
            <w:tcBorders>
              <w:top w:val="nil"/>
              <w:bottom w:val="single" w:sz="6" w:space="0" w:color="000000"/>
              <w:right w:val="nil"/>
            </w:tcBorders>
            <w:shd w:val="clear" w:color="auto" w:fill="EFF3FF"/>
            <w:tcMar>
              <w:left w:w="40" w:type="dxa"/>
              <w:right w:w="40" w:type="dxa"/>
            </w:tcMar>
          </w:tcPr>
          <w:p w:rsidR="00E30271" w:rsidRPr="00D10DF4" w:rsidRDefault="00E30271" w:rsidP="00E30271">
            <w:pPr>
              <w:pStyle w:val="TableRowHeadings"/>
              <w:tabs>
                <w:tab w:val="left" w:pos="290"/>
              </w:tabs>
              <w:rPr>
                <w:lang w:eastAsia="en-AU"/>
              </w:rPr>
            </w:pPr>
            <w:r>
              <w:rPr>
                <w:lang w:eastAsia="en-AU"/>
              </w:rPr>
              <w:t>Families with one parent or carer</w:t>
            </w:r>
          </w:p>
        </w:tc>
        <w:tc>
          <w:tcPr>
            <w:tcW w:w="2150" w:type="dxa"/>
            <w:tcBorders>
              <w:top w:val="nil"/>
              <w:left w:val="nil"/>
              <w:bottom w:val="single" w:sz="6" w:space="0" w:color="000000"/>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Pr>
                <w:lang w:eastAsia="en-AU"/>
              </w:rPr>
              <w:t>4.8</w:t>
            </w:r>
          </w:p>
        </w:tc>
      </w:tr>
    </w:tbl>
    <w:p w:rsidR="00E30271" w:rsidRDefault="00E30271" w:rsidP="00E30271">
      <w:pPr>
        <w:pStyle w:val="TableFootnote"/>
        <w:spacing w:after="60"/>
      </w:pPr>
      <w:r>
        <w:t>‘Original family’ has at least one child living with their natural, adoptive or foster parents, and no step children.</w:t>
      </w:r>
    </w:p>
    <w:p w:rsidR="00E30271" w:rsidRDefault="00E30271" w:rsidP="00E30271">
      <w:pPr>
        <w:pStyle w:val="TableFootnote"/>
        <w:spacing w:after="60"/>
      </w:pPr>
      <w:r>
        <w:t xml:space="preserve">‘Other family’ is where all children are not the natural, adopted, foster or step child of one or both carers. </w:t>
      </w:r>
    </w:p>
    <w:p w:rsidR="00E30271" w:rsidRDefault="00E30271" w:rsidP="00E30271">
      <w:pPr>
        <w:pStyle w:val="TableFootnote"/>
      </w:pPr>
      <w:proofErr w:type="gramStart"/>
      <w:r>
        <w:t>np</w:t>
      </w:r>
      <w:proofErr w:type="gramEnd"/>
      <w:r>
        <w:tab/>
        <w:t>Not available for publication because of small cell size, but included in totals where applicable.</w:t>
      </w:r>
    </w:p>
    <w:p w:rsidR="00E30271" w:rsidRDefault="00E30271" w:rsidP="00E30271">
      <w:pPr>
        <w:pStyle w:val="Heading3"/>
      </w:pPr>
      <w:r>
        <w:t xml:space="preserve">6.2.2 </w:t>
      </w:r>
      <w:r>
        <w:tab/>
        <w:t>Household income</w:t>
      </w:r>
    </w:p>
    <w:p w:rsidR="00E30271" w:rsidRDefault="00E30271" w:rsidP="00E30271">
      <w:pPr>
        <w:pStyle w:val="BodyText"/>
      </w:pPr>
      <w:r>
        <w:t>The prevalence of conduct disorder was associated with household income (Table 6-</w:t>
      </w:r>
      <w:r>
        <w:rPr>
          <w:noProof/>
        </w:rPr>
        <w:t>3</w:t>
      </w:r>
      <w:r>
        <w:t xml:space="preserve">). Children and adolescents from families in the highest income bracket, with incomes of $130,000 or more per </w:t>
      </w:r>
      <w:proofErr w:type="gramStart"/>
      <w:r>
        <w:t>year,</w:t>
      </w:r>
      <w:proofErr w:type="gramEnd"/>
      <w:r>
        <w:t xml:space="preserve"> had the lowest prevalence of conduct disorder (0.8%). Over four times as many children and adolescents from families in the lowest income bracket (less than $52,000 per year) had conduct disorder compared with families in the highest income bracket (4.3% compared with 0.8%). </w:t>
      </w:r>
    </w:p>
    <w:p w:rsidR="00E30271" w:rsidRDefault="00E30271" w:rsidP="00E30271">
      <w:pPr>
        <w:pStyle w:val="Caption"/>
        <w:keepNext/>
      </w:pPr>
      <w:bookmarkStart w:id="114" w:name="_Ref398626273"/>
      <w:r>
        <w:t>Table 6-</w:t>
      </w:r>
      <w:r>
        <w:rPr>
          <w:noProof/>
        </w:rPr>
        <w:t>3</w:t>
      </w:r>
      <w:bookmarkEnd w:id="114"/>
      <w:r>
        <w:t xml:space="preserve">: </w:t>
      </w:r>
      <w:r w:rsidRPr="00336A55">
        <w:t>12-month prevalence of conduct disorder</w:t>
      </w:r>
      <w:r w:rsidRPr="004E6E27">
        <w:t xml:space="preserve"> </w:t>
      </w:r>
      <w:r>
        <w:t>among 4-17 year-olds</w:t>
      </w:r>
      <w:r w:rsidRPr="00336A55">
        <w:t xml:space="preserve"> by household income</w:t>
      </w:r>
    </w:p>
    <w:tbl>
      <w:tblPr>
        <w:tblW w:w="9142" w:type="dxa"/>
        <w:jc w:val="center"/>
        <w:tblLayout w:type="fixed"/>
        <w:tblCellMar>
          <w:left w:w="0" w:type="dxa"/>
          <w:right w:w="0" w:type="dxa"/>
        </w:tblCellMar>
        <w:tblLook w:val="0020" w:firstRow="1" w:lastRow="0" w:firstColumn="0" w:lastColumn="0" w:noHBand="0" w:noVBand="0"/>
        <w:tblDescription w:val="In Table 6-3 the first column defines household income. Read across the rows for the prevalence of conduct disorder in the previous 12 months."/>
      </w:tblPr>
      <w:tblGrid>
        <w:gridCol w:w="6959"/>
        <w:gridCol w:w="2183"/>
      </w:tblGrid>
      <w:tr w:rsidR="00E30271" w:rsidRPr="00D10DF4" w:rsidTr="00E30271">
        <w:trPr>
          <w:cantSplit/>
          <w:tblHeader/>
          <w:jc w:val="center"/>
        </w:trPr>
        <w:tc>
          <w:tcPr>
            <w:tcW w:w="6959"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bookmarkStart w:id="115" w:name="IDX20"/>
            <w:bookmarkEnd w:id="115"/>
            <w:r w:rsidRPr="00057BD9">
              <w:rPr>
                <w:rStyle w:val="Strong"/>
              </w:rPr>
              <w:t>Household income before tax</w:t>
            </w:r>
          </w:p>
        </w:tc>
        <w:tc>
          <w:tcPr>
            <w:tcW w:w="218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D10DF4" w:rsidTr="00E30271">
        <w:trPr>
          <w:cantSplit/>
          <w:jc w:val="center"/>
        </w:trPr>
        <w:tc>
          <w:tcPr>
            <w:tcW w:w="6959"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$130,000 or more per year </w:t>
            </w:r>
          </w:p>
        </w:tc>
        <w:tc>
          <w:tcPr>
            <w:tcW w:w="2183"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0.8</w:t>
            </w:r>
          </w:p>
        </w:tc>
      </w:tr>
      <w:tr w:rsidR="00E30271" w:rsidRPr="00D10DF4" w:rsidTr="00E30271">
        <w:trPr>
          <w:cantSplit/>
          <w:jc w:val="center"/>
        </w:trPr>
        <w:tc>
          <w:tcPr>
            <w:tcW w:w="6959"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$52,000-$129,999 per year </w:t>
            </w:r>
          </w:p>
        </w:tc>
        <w:tc>
          <w:tcPr>
            <w:tcW w:w="2183"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1.7</w:t>
            </w:r>
          </w:p>
        </w:tc>
      </w:tr>
      <w:tr w:rsidR="00E30271" w:rsidRPr="00D10DF4" w:rsidTr="00E30271">
        <w:trPr>
          <w:cantSplit/>
          <w:jc w:val="center"/>
        </w:trPr>
        <w:tc>
          <w:tcPr>
            <w:tcW w:w="6959" w:type="dxa"/>
            <w:tcBorders>
              <w:top w:val="nil"/>
              <w:bottom w:val="single" w:sz="6" w:space="0" w:color="auto"/>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Less than $52,000 per year </w:t>
            </w:r>
          </w:p>
        </w:tc>
        <w:tc>
          <w:tcPr>
            <w:tcW w:w="2183" w:type="dxa"/>
            <w:tcBorders>
              <w:top w:val="nil"/>
              <w:left w:val="nil"/>
              <w:bottom w:val="single" w:sz="6" w:space="0" w:color="auto"/>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4.3</w:t>
            </w:r>
          </w:p>
        </w:tc>
      </w:tr>
    </w:tbl>
    <w:p w:rsidR="00E30271" w:rsidRPr="008127E8" w:rsidRDefault="00E30271" w:rsidP="00E30271">
      <w:pPr>
        <w:pStyle w:val="TableFootnote"/>
        <w:ind w:left="0" w:firstLine="0"/>
      </w:pPr>
      <w:r>
        <w:t>Household income includes the c</w:t>
      </w:r>
      <w:r w:rsidRPr="008127E8">
        <w:t>ombined income for the 2011-12 financial year of everyone living in the household before tax and other deductions are taken out.</w:t>
      </w:r>
    </w:p>
    <w:p w:rsidR="00E30271" w:rsidRDefault="00E30271" w:rsidP="00E30271">
      <w:pPr>
        <w:pStyle w:val="Heading3"/>
        <w:rPr>
          <w:lang w:eastAsia="en-AU"/>
        </w:rPr>
      </w:pPr>
      <w:r>
        <w:rPr>
          <w:lang w:eastAsia="en-AU"/>
        </w:rPr>
        <w:t>6.2.3</w:t>
      </w:r>
      <w:r>
        <w:rPr>
          <w:lang w:eastAsia="en-AU"/>
        </w:rPr>
        <w:tab/>
        <w:t xml:space="preserve"> Parent and carer education</w:t>
      </w:r>
    </w:p>
    <w:p w:rsidR="00E30271" w:rsidRPr="00D10DF4" w:rsidRDefault="00E30271" w:rsidP="00E30271">
      <w:pPr>
        <w:pStyle w:val="BodyText"/>
        <w:rPr>
          <w:lang w:eastAsia="en-AU"/>
        </w:rPr>
      </w:pPr>
      <w:r>
        <w:rPr>
          <w:lang w:eastAsia="en-AU"/>
        </w:rPr>
        <w:t xml:space="preserve">The prevalence of conduct disorder was lowest in families in which at least one parent or carer had a bachelor degree or higher (1.2%) and highest in families in which the highest level of education achieved by either parent or carer was year 10 or below (4.6%) </w:t>
      </w:r>
      <w:proofErr w:type="gramStart"/>
      <w:r>
        <w:rPr>
          <w:lang w:eastAsia="en-AU"/>
        </w:rPr>
        <w:t>(</w:t>
      </w:r>
      <w:r>
        <w:t>Table 6-</w:t>
      </w:r>
      <w:r>
        <w:rPr>
          <w:noProof/>
        </w:rPr>
        <w:t>4</w:t>
      </w:r>
      <w:r>
        <w:rPr>
          <w:lang w:eastAsia="en-AU"/>
        </w:rPr>
        <w:t>).</w:t>
      </w:r>
      <w:proofErr w:type="gramEnd"/>
    </w:p>
    <w:p w:rsidR="00E30271" w:rsidRDefault="00E30271" w:rsidP="00E30271">
      <w:pPr>
        <w:pStyle w:val="Caption"/>
        <w:keepNext/>
        <w:pageBreakBefore/>
      </w:pPr>
      <w:bookmarkStart w:id="116" w:name="_Ref398627753"/>
      <w:r>
        <w:lastRenderedPageBreak/>
        <w:t>Table 6-</w:t>
      </w:r>
      <w:r>
        <w:rPr>
          <w:noProof/>
        </w:rPr>
        <w:t>4</w:t>
      </w:r>
      <w:bookmarkEnd w:id="116"/>
      <w:r>
        <w:t xml:space="preserve">: 12-month prevalence </w:t>
      </w:r>
      <w:r w:rsidRPr="00974E45">
        <w:t>of conduct disorder</w:t>
      </w:r>
      <w:r w:rsidRPr="004E6E27">
        <w:t xml:space="preserve"> </w:t>
      </w:r>
      <w:r>
        <w:t>among 4-17 year-olds</w:t>
      </w:r>
      <w:r w:rsidRPr="00974E45">
        <w:t xml:space="preserve"> by parent</w:t>
      </w:r>
      <w:r>
        <w:t xml:space="preserve"> or carer</w:t>
      </w:r>
      <w:r w:rsidRPr="00974E45">
        <w:t xml:space="preserve"> education</w:t>
      </w:r>
    </w:p>
    <w:tbl>
      <w:tblPr>
        <w:tblW w:w="9118" w:type="dxa"/>
        <w:jc w:val="center"/>
        <w:tblLayout w:type="fixed"/>
        <w:tblCellMar>
          <w:left w:w="0" w:type="dxa"/>
          <w:right w:w="0" w:type="dxa"/>
        </w:tblCellMar>
        <w:tblLook w:val="0020" w:firstRow="1" w:lastRow="0" w:firstColumn="0" w:lastColumn="0" w:noHBand="0" w:noVBand="0"/>
        <w:tblDescription w:val="In Table 6-4 the first column defines highest level of education achieved by either primary or seconday carer. Read across the rows for the prevalence of  conduct disorder in the previous 12 months."/>
      </w:tblPr>
      <w:tblGrid>
        <w:gridCol w:w="6947"/>
        <w:gridCol w:w="2171"/>
      </w:tblGrid>
      <w:tr w:rsidR="00E30271" w:rsidRPr="00D10DF4" w:rsidTr="00E30271">
        <w:trPr>
          <w:cantSplit/>
          <w:tblHeader/>
          <w:jc w:val="center"/>
        </w:trPr>
        <w:tc>
          <w:tcPr>
            <w:tcW w:w="6947"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bookmarkStart w:id="117" w:name="IDX21"/>
            <w:bookmarkEnd w:id="117"/>
            <w:r w:rsidRPr="00057BD9">
              <w:rPr>
                <w:rStyle w:val="Strong"/>
              </w:rPr>
              <w:t>Highest level of education of either primary or secondary parent or carer</w:t>
            </w:r>
          </w:p>
        </w:tc>
        <w:tc>
          <w:tcPr>
            <w:tcW w:w="217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D10DF4" w:rsidTr="00E30271">
        <w:trPr>
          <w:cantSplit/>
          <w:jc w:val="center"/>
        </w:trPr>
        <w:tc>
          <w:tcPr>
            <w:tcW w:w="6947"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Bachelor degree or higher</w:t>
            </w:r>
          </w:p>
        </w:tc>
        <w:tc>
          <w:tcPr>
            <w:tcW w:w="2171"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1.2</w:t>
            </w:r>
          </w:p>
        </w:tc>
      </w:tr>
      <w:tr w:rsidR="00E30271" w:rsidRPr="00D10DF4" w:rsidTr="00E30271">
        <w:trPr>
          <w:cantSplit/>
          <w:jc w:val="center"/>
        </w:trPr>
        <w:tc>
          <w:tcPr>
            <w:tcW w:w="6947"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Diploma or certificate III/IV</w:t>
            </w:r>
          </w:p>
        </w:tc>
        <w:tc>
          <w:tcPr>
            <w:tcW w:w="2171"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2.4</w:t>
            </w:r>
          </w:p>
        </w:tc>
      </w:tr>
      <w:tr w:rsidR="00E30271" w:rsidRPr="00D10DF4" w:rsidTr="00E30271">
        <w:trPr>
          <w:cantSplit/>
          <w:jc w:val="center"/>
        </w:trPr>
        <w:tc>
          <w:tcPr>
            <w:tcW w:w="6947"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Year 11 or 12</w:t>
            </w:r>
          </w:p>
        </w:tc>
        <w:tc>
          <w:tcPr>
            <w:tcW w:w="2171"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2.6</w:t>
            </w:r>
          </w:p>
        </w:tc>
      </w:tr>
      <w:tr w:rsidR="00E30271" w:rsidRPr="00D10DF4" w:rsidTr="00E30271">
        <w:trPr>
          <w:cantSplit/>
          <w:jc w:val="center"/>
        </w:trPr>
        <w:tc>
          <w:tcPr>
            <w:tcW w:w="6947" w:type="dxa"/>
            <w:tcBorders>
              <w:top w:val="nil"/>
              <w:bottom w:val="single" w:sz="6" w:space="0" w:color="000000"/>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Year 10 or below</w:t>
            </w:r>
          </w:p>
        </w:tc>
        <w:tc>
          <w:tcPr>
            <w:tcW w:w="2171" w:type="dxa"/>
            <w:tcBorders>
              <w:top w:val="nil"/>
              <w:left w:val="nil"/>
              <w:bottom w:val="single" w:sz="6" w:space="0" w:color="000000"/>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4.6</w:t>
            </w:r>
          </w:p>
        </w:tc>
      </w:tr>
    </w:tbl>
    <w:p w:rsidR="00E30271" w:rsidRDefault="00E30271" w:rsidP="00E30271">
      <w:pPr>
        <w:pStyle w:val="Heading3"/>
      </w:pPr>
      <w:r>
        <w:t xml:space="preserve">6.2.4 </w:t>
      </w:r>
      <w:r>
        <w:tab/>
        <w:t>Parent and carer labour force status</w:t>
      </w:r>
    </w:p>
    <w:p w:rsidR="00E30271" w:rsidRDefault="00E30271" w:rsidP="00E30271">
      <w:pPr>
        <w:pStyle w:val="BodyText"/>
      </w:pPr>
      <w:r>
        <w:t xml:space="preserve">Children and adolescents from families with </w:t>
      </w:r>
      <w:proofErr w:type="gramStart"/>
      <w:r>
        <w:t>both parents or</w:t>
      </w:r>
      <w:proofErr w:type="gramEnd"/>
      <w:r>
        <w:t xml:space="preserve"> carers in employment had the lowest prevalence of conduct disorder at 1.0% (Table 6-</w:t>
      </w:r>
      <w:r>
        <w:rPr>
          <w:noProof/>
        </w:rPr>
        <w:t>5</w:t>
      </w:r>
      <w:r>
        <w:t xml:space="preserve">). In contrast, the prevalence of conduct disorder was 4.6% in children and adolescents in households where </w:t>
      </w:r>
      <w:proofErr w:type="gramStart"/>
      <w:r>
        <w:t>both parents or</w:t>
      </w:r>
      <w:proofErr w:type="gramEnd"/>
      <w:r>
        <w:t xml:space="preserve"> carers were not in employment. In households with a sole parent or carer, where the parent or carer was in employment, the prevalence was lower at 2.8%, however, it was almost three times (7.9%) higher for children and adolescents in families in which the sole parent or carer was not in employment.</w:t>
      </w:r>
    </w:p>
    <w:p w:rsidR="00E30271" w:rsidRDefault="00E30271" w:rsidP="00E30271">
      <w:pPr>
        <w:pStyle w:val="Caption"/>
        <w:keepNext/>
      </w:pPr>
      <w:bookmarkStart w:id="118" w:name="_Ref398706265"/>
      <w:r>
        <w:t>Table 6-</w:t>
      </w:r>
      <w:r>
        <w:rPr>
          <w:noProof/>
        </w:rPr>
        <w:t>5</w:t>
      </w:r>
      <w:bookmarkEnd w:id="118"/>
      <w:r>
        <w:t>: 12-month prevalence</w:t>
      </w:r>
      <w:r w:rsidRPr="00094729">
        <w:t xml:space="preserve"> of conduct disorder</w:t>
      </w:r>
      <w:r w:rsidRPr="004E6E27">
        <w:t xml:space="preserve"> </w:t>
      </w:r>
      <w:r>
        <w:t>among 4-17 year-olds</w:t>
      </w:r>
      <w:r w:rsidRPr="00094729">
        <w:t xml:space="preserve"> by </w:t>
      </w:r>
      <w:r>
        <w:t xml:space="preserve">parent or </w:t>
      </w:r>
      <w:r w:rsidRPr="007171FB">
        <w:t>carer l</w:t>
      </w:r>
      <w:r w:rsidRPr="00094729">
        <w:t>abour force status</w:t>
      </w:r>
    </w:p>
    <w:tbl>
      <w:tblPr>
        <w:tblW w:w="9141" w:type="dxa"/>
        <w:jc w:val="center"/>
        <w:tblLayout w:type="fixed"/>
        <w:tblCellMar>
          <w:left w:w="0" w:type="dxa"/>
          <w:right w:w="0" w:type="dxa"/>
        </w:tblCellMar>
        <w:tblLook w:val="0020" w:firstRow="1" w:lastRow="0" w:firstColumn="0" w:lastColumn="0" w:noHBand="0" w:noVBand="0"/>
        <w:tblDescription w:val="In Table 6-5 the first column defines parent or carer labour force status. Read across the row for the prevalence of conduct disorder."/>
      </w:tblPr>
      <w:tblGrid>
        <w:gridCol w:w="6962"/>
        <w:gridCol w:w="2179"/>
      </w:tblGrid>
      <w:tr w:rsidR="00E30271" w:rsidRPr="00D10DF4" w:rsidTr="00E30271">
        <w:trPr>
          <w:cantSplit/>
          <w:tblHeader/>
          <w:jc w:val="center"/>
        </w:trPr>
        <w:tc>
          <w:tcPr>
            <w:tcW w:w="6962"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bookmarkStart w:id="119" w:name="IDX22"/>
            <w:bookmarkEnd w:id="119"/>
            <w:r w:rsidRPr="00057BD9">
              <w:rPr>
                <w:rStyle w:val="Strong"/>
              </w:rPr>
              <w:t>Parent or carer labour force status</w:t>
            </w:r>
          </w:p>
        </w:tc>
        <w:tc>
          <w:tcPr>
            <w:tcW w:w="217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D10DF4" w:rsidTr="00E30271">
        <w:trPr>
          <w:cantSplit/>
          <w:jc w:val="center"/>
        </w:trPr>
        <w:tc>
          <w:tcPr>
            <w:tcW w:w="6962"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Both </w:t>
            </w:r>
            <w:r>
              <w:rPr>
                <w:lang w:eastAsia="en-AU"/>
              </w:rPr>
              <w:t xml:space="preserve">parents or </w:t>
            </w:r>
            <w:r w:rsidRPr="00D10DF4">
              <w:rPr>
                <w:lang w:eastAsia="en-AU"/>
              </w:rPr>
              <w:t>carers employed</w:t>
            </w:r>
          </w:p>
        </w:tc>
        <w:tc>
          <w:tcPr>
            <w:tcW w:w="2179"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1.0</w:t>
            </w:r>
          </w:p>
        </w:tc>
      </w:tr>
      <w:tr w:rsidR="00E30271" w:rsidRPr="00D10DF4" w:rsidTr="00E30271">
        <w:trPr>
          <w:cantSplit/>
          <w:jc w:val="center"/>
        </w:trPr>
        <w:tc>
          <w:tcPr>
            <w:tcW w:w="6962"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93153">
              <w:rPr>
                <w:lang w:eastAsia="en-AU"/>
              </w:rPr>
              <w:t xml:space="preserve">One </w:t>
            </w:r>
            <w:r>
              <w:rPr>
                <w:lang w:eastAsia="en-AU"/>
              </w:rPr>
              <w:t>parent or carer</w:t>
            </w:r>
            <w:r w:rsidRPr="00D93153">
              <w:rPr>
                <w:lang w:eastAsia="en-AU"/>
              </w:rPr>
              <w:t xml:space="preserve"> employed, one </w:t>
            </w:r>
            <w:r>
              <w:rPr>
                <w:lang w:eastAsia="en-AU"/>
              </w:rPr>
              <w:t>parent or carer</w:t>
            </w:r>
            <w:r w:rsidRPr="00D93153">
              <w:rPr>
                <w:lang w:eastAsia="en-AU"/>
              </w:rPr>
              <w:t xml:space="preserve"> not in employment</w:t>
            </w:r>
          </w:p>
        </w:tc>
        <w:tc>
          <w:tcPr>
            <w:tcW w:w="2179"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1.7</w:t>
            </w:r>
          </w:p>
        </w:tc>
      </w:tr>
      <w:tr w:rsidR="00E30271" w:rsidRPr="00D10DF4" w:rsidTr="00E30271">
        <w:trPr>
          <w:cantSplit/>
          <w:jc w:val="center"/>
        </w:trPr>
        <w:tc>
          <w:tcPr>
            <w:tcW w:w="6962"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93153">
              <w:rPr>
                <w:lang w:eastAsia="en-AU"/>
              </w:rPr>
              <w:t xml:space="preserve">Both </w:t>
            </w:r>
            <w:r>
              <w:rPr>
                <w:lang w:eastAsia="en-AU"/>
              </w:rPr>
              <w:t>parents or carers</w:t>
            </w:r>
            <w:r w:rsidRPr="00D93153">
              <w:rPr>
                <w:lang w:eastAsia="en-AU"/>
              </w:rPr>
              <w:t xml:space="preserve"> not in employment</w:t>
            </w:r>
          </w:p>
        </w:tc>
        <w:tc>
          <w:tcPr>
            <w:tcW w:w="2179"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4.6</w:t>
            </w:r>
          </w:p>
        </w:tc>
      </w:tr>
      <w:tr w:rsidR="00E30271" w:rsidRPr="00D10DF4" w:rsidTr="00E30271">
        <w:trPr>
          <w:cantSplit/>
          <w:jc w:val="center"/>
        </w:trPr>
        <w:tc>
          <w:tcPr>
            <w:tcW w:w="6962" w:type="dxa"/>
            <w:tcBorders>
              <w:top w:val="nil"/>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Sole </w:t>
            </w:r>
            <w:r>
              <w:rPr>
                <w:lang w:eastAsia="en-AU"/>
              </w:rPr>
              <w:t xml:space="preserve">parent or </w:t>
            </w:r>
            <w:r w:rsidRPr="00D10DF4">
              <w:rPr>
                <w:lang w:eastAsia="en-AU"/>
              </w:rPr>
              <w:t>carer employed</w:t>
            </w:r>
          </w:p>
        </w:tc>
        <w:tc>
          <w:tcPr>
            <w:tcW w:w="2179"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2.8</w:t>
            </w:r>
          </w:p>
        </w:tc>
      </w:tr>
      <w:tr w:rsidR="00E30271" w:rsidRPr="00D10DF4" w:rsidTr="00E30271">
        <w:trPr>
          <w:cantSplit/>
          <w:jc w:val="center"/>
        </w:trPr>
        <w:tc>
          <w:tcPr>
            <w:tcW w:w="6962" w:type="dxa"/>
            <w:tcBorders>
              <w:top w:val="nil"/>
              <w:bottom w:val="single" w:sz="6" w:space="0" w:color="auto"/>
              <w:right w:val="nil"/>
            </w:tcBorders>
            <w:shd w:val="clear" w:color="auto" w:fill="EFF3FF"/>
            <w:tcMar>
              <w:left w:w="40" w:type="dxa"/>
              <w:right w:w="40" w:type="dxa"/>
            </w:tcMar>
          </w:tcPr>
          <w:p w:rsidR="00E30271" w:rsidRPr="00D10DF4" w:rsidRDefault="00E30271" w:rsidP="00E30271">
            <w:pPr>
              <w:pStyle w:val="TableRowHeadings"/>
              <w:rPr>
                <w:lang w:eastAsia="en-AU"/>
              </w:rPr>
            </w:pPr>
            <w:r w:rsidRPr="00D10DF4">
              <w:rPr>
                <w:lang w:eastAsia="en-AU"/>
              </w:rPr>
              <w:t xml:space="preserve">Sole </w:t>
            </w:r>
            <w:r>
              <w:rPr>
                <w:lang w:eastAsia="en-AU"/>
              </w:rPr>
              <w:t xml:space="preserve">parent or </w:t>
            </w:r>
            <w:r w:rsidRPr="00D10DF4">
              <w:rPr>
                <w:lang w:eastAsia="en-AU"/>
              </w:rPr>
              <w:t>carer not in employment</w:t>
            </w:r>
          </w:p>
        </w:tc>
        <w:tc>
          <w:tcPr>
            <w:tcW w:w="2179" w:type="dxa"/>
            <w:tcBorders>
              <w:top w:val="nil"/>
              <w:left w:val="nil"/>
              <w:bottom w:val="single" w:sz="6" w:space="0" w:color="auto"/>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7.9</w:t>
            </w:r>
          </w:p>
        </w:tc>
      </w:tr>
    </w:tbl>
    <w:p w:rsidR="00E30271" w:rsidRPr="007B2657" w:rsidRDefault="00E30271" w:rsidP="00E30271">
      <w:pPr>
        <w:pStyle w:val="TableFootnote"/>
      </w:pPr>
      <w:r>
        <w:t>‘</w:t>
      </w:r>
      <w:r w:rsidRPr="007B2657">
        <w:t>Not in employment</w:t>
      </w:r>
      <w:r>
        <w:t>’</w:t>
      </w:r>
      <w:r w:rsidRPr="007B2657">
        <w:t xml:space="preserve"> combines unemployed and not in the labour force</w:t>
      </w:r>
      <w:r>
        <w:t>.</w:t>
      </w:r>
    </w:p>
    <w:p w:rsidR="00E30271" w:rsidRDefault="00E30271" w:rsidP="00E30271">
      <w:pPr>
        <w:pStyle w:val="Heading3"/>
        <w:rPr>
          <w:lang w:eastAsia="en-AU"/>
        </w:rPr>
      </w:pPr>
      <w:r>
        <w:rPr>
          <w:lang w:eastAsia="en-AU"/>
        </w:rPr>
        <w:t xml:space="preserve">6.2.5 </w:t>
      </w:r>
      <w:r>
        <w:rPr>
          <w:lang w:eastAsia="en-AU"/>
        </w:rPr>
        <w:tab/>
        <w:t>Area of residence</w:t>
      </w:r>
    </w:p>
    <w:p w:rsidR="00E30271" w:rsidRDefault="00E30271" w:rsidP="00E30271">
      <w:pPr>
        <w:pStyle w:val="BodyText"/>
        <w:rPr>
          <w:lang w:eastAsia="en-AU"/>
        </w:rPr>
      </w:pPr>
      <w:r w:rsidRPr="004A5429">
        <w:rPr>
          <w:lang w:eastAsia="en-AU"/>
        </w:rPr>
        <w:t xml:space="preserve">The prevalence of conduct disorder was twice as high in children and adolescents living outside greater capital city areas compared with those living </w:t>
      </w:r>
      <w:r>
        <w:rPr>
          <w:lang w:eastAsia="en-AU"/>
        </w:rPr>
        <w:t>with</w:t>
      </w:r>
      <w:r w:rsidRPr="004A5429">
        <w:rPr>
          <w:lang w:eastAsia="en-AU"/>
        </w:rPr>
        <w:t xml:space="preserve">in these areas (3.2% compared to 1.4%) </w:t>
      </w:r>
      <w:proofErr w:type="gramStart"/>
      <w:r w:rsidRPr="004A5429">
        <w:rPr>
          <w:lang w:eastAsia="en-AU"/>
        </w:rPr>
        <w:t>(</w:t>
      </w:r>
      <w:r>
        <w:t>Table 6-6</w:t>
      </w:r>
      <w:r w:rsidRPr="004A5429">
        <w:rPr>
          <w:lang w:eastAsia="en-AU"/>
        </w:rPr>
        <w:t>).</w:t>
      </w:r>
      <w:proofErr w:type="gramEnd"/>
    </w:p>
    <w:p w:rsidR="00E30271" w:rsidRDefault="00E30271" w:rsidP="00E30271">
      <w:pPr>
        <w:pStyle w:val="Caption"/>
        <w:keepNext/>
      </w:pPr>
      <w:bookmarkStart w:id="120" w:name="_Ref398624056"/>
      <w:r>
        <w:t>Table 6-</w:t>
      </w:r>
      <w:r>
        <w:rPr>
          <w:noProof/>
        </w:rPr>
        <w:t>6</w:t>
      </w:r>
      <w:bookmarkEnd w:id="120"/>
      <w:r>
        <w:t xml:space="preserve">: </w:t>
      </w:r>
      <w:r w:rsidRPr="005604DC">
        <w:t>12-month prevalence of conduct disorder</w:t>
      </w:r>
      <w:r w:rsidRPr="004E6E27">
        <w:t xml:space="preserve"> </w:t>
      </w:r>
      <w:r>
        <w:t xml:space="preserve">among 4-17 year-olds </w:t>
      </w:r>
      <w:r w:rsidRPr="005604DC">
        <w:t xml:space="preserve">by </w:t>
      </w:r>
      <w:r>
        <w:t>area of residence</w:t>
      </w:r>
    </w:p>
    <w:tbl>
      <w:tblPr>
        <w:tblW w:w="0" w:type="auto"/>
        <w:jc w:val="center"/>
        <w:tblLayout w:type="fixed"/>
        <w:tblCellMar>
          <w:left w:w="0" w:type="dxa"/>
          <w:right w:w="0" w:type="dxa"/>
        </w:tblCellMar>
        <w:tblLook w:val="0020" w:firstRow="1" w:lastRow="0" w:firstColumn="0" w:lastColumn="0" w:noHBand="0" w:noVBand="0"/>
        <w:tblDescription w:val="In Table 6-6 the first column defines place of residence. Read across the row for prevalence of conduct disorder."/>
      </w:tblPr>
      <w:tblGrid>
        <w:gridCol w:w="6954"/>
        <w:gridCol w:w="2150"/>
      </w:tblGrid>
      <w:tr w:rsidR="00E30271" w:rsidRPr="00D10DF4" w:rsidTr="00E30271">
        <w:trPr>
          <w:cantSplit/>
          <w:tblHeader/>
          <w:jc w:val="center"/>
        </w:trPr>
        <w:tc>
          <w:tcPr>
            <w:tcW w:w="6954"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bookmarkStart w:id="121" w:name="IDX23"/>
            <w:bookmarkEnd w:id="121"/>
            <w:r w:rsidRPr="00057BD9">
              <w:rPr>
                <w:rStyle w:val="Strong"/>
              </w:rPr>
              <w:t>Area of residence</w:t>
            </w:r>
          </w:p>
        </w:tc>
        <w:tc>
          <w:tcPr>
            <w:tcW w:w="215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D10DF4" w:rsidTr="00E30271">
        <w:trPr>
          <w:cantSplit/>
          <w:jc w:val="center"/>
        </w:trPr>
        <w:tc>
          <w:tcPr>
            <w:tcW w:w="6954" w:type="dxa"/>
            <w:tcBorders>
              <w:top w:val="single" w:sz="4" w:space="0" w:color="000000"/>
              <w:bottom w:val="single" w:sz="4" w:space="0" w:color="FFFFFF"/>
              <w:right w:val="nil"/>
            </w:tcBorders>
            <w:shd w:val="clear" w:color="auto" w:fill="EFF3FF"/>
            <w:tcMar>
              <w:left w:w="40" w:type="dxa"/>
              <w:right w:w="40" w:type="dxa"/>
            </w:tcMar>
          </w:tcPr>
          <w:p w:rsidR="00E30271" w:rsidRPr="00D10DF4" w:rsidRDefault="00E30271" w:rsidP="00E30271">
            <w:pPr>
              <w:pStyle w:val="TableRowHeadings"/>
              <w:rPr>
                <w:lang w:eastAsia="en-AU"/>
              </w:rPr>
            </w:pPr>
            <w:r>
              <w:rPr>
                <w:lang w:eastAsia="en-AU"/>
              </w:rPr>
              <w:t>Greater capital cities</w:t>
            </w:r>
          </w:p>
        </w:tc>
        <w:tc>
          <w:tcPr>
            <w:tcW w:w="2150" w:type="dxa"/>
            <w:tcBorders>
              <w:top w:val="nil"/>
              <w:left w:val="nil"/>
              <w:bottom w:val="nil"/>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1.4</w:t>
            </w:r>
          </w:p>
        </w:tc>
      </w:tr>
      <w:tr w:rsidR="00E30271" w:rsidRPr="00D10DF4" w:rsidTr="00E30271">
        <w:trPr>
          <w:cantSplit/>
          <w:jc w:val="center"/>
        </w:trPr>
        <w:tc>
          <w:tcPr>
            <w:tcW w:w="6954" w:type="dxa"/>
            <w:tcBorders>
              <w:top w:val="single" w:sz="4" w:space="0" w:color="FFFFFF"/>
              <w:bottom w:val="single" w:sz="6" w:space="0" w:color="000000"/>
              <w:right w:val="nil"/>
            </w:tcBorders>
            <w:shd w:val="clear" w:color="auto" w:fill="EFF3FF"/>
            <w:tcMar>
              <w:left w:w="40" w:type="dxa"/>
              <w:right w:w="40" w:type="dxa"/>
            </w:tcMar>
          </w:tcPr>
          <w:p w:rsidR="00E30271" w:rsidRPr="00D10DF4" w:rsidRDefault="00E30271" w:rsidP="00E30271">
            <w:pPr>
              <w:pStyle w:val="TableRowHeadings"/>
              <w:rPr>
                <w:lang w:eastAsia="en-AU"/>
              </w:rPr>
            </w:pPr>
            <w:r>
              <w:rPr>
                <w:lang w:eastAsia="en-AU"/>
              </w:rPr>
              <w:t>Rest of state</w:t>
            </w:r>
          </w:p>
        </w:tc>
        <w:tc>
          <w:tcPr>
            <w:tcW w:w="2150" w:type="dxa"/>
            <w:tcBorders>
              <w:top w:val="nil"/>
              <w:left w:val="nil"/>
              <w:bottom w:val="single" w:sz="6" w:space="0" w:color="000000"/>
              <w:right w:val="nil"/>
            </w:tcBorders>
            <w:shd w:val="clear" w:color="auto" w:fill="FFFFFF"/>
            <w:tcMar>
              <w:left w:w="40" w:type="dxa"/>
              <w:right w:w="40" w:type="dxa"/>
            </w:tcMar>
            <w:vAlign w:val="bottom"/>
          </w:tcPr>
          <w:p w:rsidR="00E30271" w:rsidRPr="00D10DF4" w:rsidRDefault="00E30271" w:rsidP="00E30271">
            <w:pPr>
              <w:pStyle w:val="TableDataCell"/>
              <w:rPr>
                <w:lang w:eastAsia="en-AU"/>
              </w:rPr>
            </w:pPr>
            <w:r w:rsidRPr="00D10DF4">
              <w:rPr>
                <w:lang w:eastAsia="en-AU"/>
              </w:rPr>
              <w:t>3.2</w:t>
            </w:r>
          </w:p>
        </w:tc>
      </w:tr>
    </w:tbl>
    <w:p w:rsidR="00E30271" w:rsidRDefault="00E30271" w:rsidP="00E30271">
      <w:pPr>
        <w:pStyle w:val="TableFootnote"/>
      </w:pPr>
      <w:proofErr w:type="gramStart"/>
      <w:r w:rsidRPr="00B736D6">
        <w:t>Based on the ABS classification Greater Capital City Statistical Area (GCCSA)</w:t>
      </w:r>
      <w:r>
        <w:t>.</w:t>
      </w:r>
      <w:proofErr w:type="gramEnd"/>
    </w:p>
    <w:p w:rsidR="00E30271" w:rsidRPr="00A7777D" w:rsidRDefault="00E30271" w:rsidP="00E30271">
      <w:pPr>
        <w:pStyle w:val="Heading3"/>
        <w:rPr>
          <w:rFonts w:eastAsiaTheme="minorEastAsia"/>
          <w:lang w:eastAsia="en-AU"/>
        </w:rPr>
      </w:pPr>
      <w:r>
        <w:rPr>
          <w:rFonts w:eastAsiaTheme="minorEastAsia"/>
          <w:lang w:eastAsia="en-AU"/>
        </w:rPr>
        <w:t>6.2.6</w:t>
      </w:r>
      <w:r>
        <w:rPr>
          <w:rFonts w:eastAsiaTheme="minorEastAsia"/>
          <w:lang w:eastAsia="en-AU"/>
        </w:rPr>
        <w:tab/>
        <w:t>Family functioning</w:t>
      </w:r>
    </w:p>
    <w:p w:rsidR="00E30271" w:rsidRPr="000B5816" w:rsidRDefault="00E30271" w:rsidP="00E30271">
      <w:pPr>
        <w:pStyle w:val="BodyText"/>
        <w:rPr>
          <w:lang w:eastAsia="en-AU"/>
        </w:rPr>
      </w:pPr>
      <w:r>
        <w:rPr>
          <w:lang w:eastAsia="en-AU"/>
        </w:rPr>
        <w:t xml:space="preserve">The prevalence of conduct disorder was highest in families who had poor family functioning and lowest in </w:t>
      </w:r>
      <w:r w:rsidR="004713ED">
        <w:rPr>
          <w:lang w:eastAsia="en-AU"/>
        </w:rPr>
        <w:t>families</w:t>
      </w:r>
      <w:r>
        <w:rPr>
          <w:lang w:eastAsia="en-AU"/>
        </w:rPr>
        <w:t xml:space="preserve"> with very good family functioning. Only 1.4% of 4-11 year-olds and 1.0% of 12-17 year-olds in families with very good family functioning had conduct disorder. In contrast, 6.9% of 4-</w:t>
      </w:r>
      <w:r>
        <w:rPr>
          <w:lang w:eastAsia="en-AU"/>
        </w:rPr>
        <w:lastRenderedPageBreak/>
        <w:t>11 year-olds and 7.5% of 12-17 year-olds had conduct disorder in families with poor family functioning</w:t>
      </w:r>
      <w:r w:rsidR="004713ED">
        <w:rPr>
          <w:lang w:eastAsia="en-AU"/>
        </w:rPr>
        <w:t xml:space="preserve"> (Table 6-7)</w:t>
      </w:r>
      <w:r>
        <w:rPr>
          <w:lang w:eastAsia="en-AU"/>
        </w:rPr>
        <w:t xml:space="preserve">. </w:t>
      </w:r>
    </w:p>
    <w:p w:rsidR="00E30271" w:rsidRDefault="00E30271" w:rsidP="00E30271">
      <w:pPr>
        <w:pStyle w:val="Caption"/>
        <w:keepNext/>
      </w:pPr>
      <w:bookmarkStart w:id="122" w:name="_Ref401153286"/>
      <w:r>
        <w:t>Table 6-</w:t>
      </w:r>
      <w:r>
        <w:rPr>
          <w:noProof/>
        </w:rPr>
        <w:t>7</w:t>
      </w:r>
      <w:bookmarkEnd w:id="122"/>
      <w:r>
        <w:t xml:space="preserve">: </w:t>
      </w:r>
      <w:r w:rsidRPr="00C718DD">
        <w:t>12-month prevalence of conduct disorder</w:t>
      </w:r>
      <w:r w:rsidRPr="004E6E27">
        <w:t xml:space="preserve"> </w:t>
      </w:r>
      <w:r>
        <w:t>among 4-17 year-olds</w:t>
      </w:r>
      <w:r w:rsidRPr="00C718DD">
        <w:t xml:space="preserve"> by </w:t>
      </w:r>
      <w:r>
        <w:t xml:space="preserve">level of </w:t>
      </w:r>
      <w:r w:rsidRPr="00C718DD">
        <w:t>family functioning and age group</w:t>
      </w:r>
    </w:p>
    <w:tbl>
      <w:tblPr>
        <w:tblW w:w="9109" w:type="dxa"/>
        <w:jc w:val="center"/>
        <w:tblLayout w:type="fixed"/>
        <w:tblCellMar>
          <w:left w:w="0" w:type="dxa"/>
          <w:right w:w="0" w:type="dxa"/>
        </w:tblCellMar>
        <w:tblLook w:val="0020" w:firstRow="1" w:lastRow="0" w:firstColumn="0" w:lastColumn="0" w:noHBand="0" w:noVBand="0"/>
        <w:tblDescription w:val="In Table 6-7 the first column defines level of family functioning. Read across the row for the proportion of 4-11 year-olds and then the proportion of 12-17 year-olds and finally the proportion of 4-17 year-olds who have conduct disorder from families with that level of family functioning."/>
      </w:tblPr>
      <w:tblGrid>
        <w:gridCol w:w="2801"/>
        <w:gridCol w:w="2036"/>
        <w:gridCol w:w="2236"/>
        <w:gridCol w:w="2036"/>
      </w:tblGrid>
      <w:tr w:rsidR="00E30271" w:rsidRPr="00FE38C1" w:rsidTr="00E30271">
        <w:trPr>
          <w:cantSplit/>
          <w:tblHeader/>
          <w:jc w:val="center"/>
        </w:trPr>
        <w:tc>
          <w:tcPr>
            <w:tcW w:w="280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jc w:val="left"/>
              <w:rPr>
                <w:rStyle w:val="Strong"/>
              </w:rPr>
            </w:pPr>
            <w:r w:rsidRPr="00057BD9">
              <w:rPr>
                <w:rStyle w:val="Strong"/>
              </w:rPr>
              <w:t>Level of family functioning</w:t>
            </w:r>
          </w:p>
        </w:tc>
        <w:tc>
          <w:tcPr>
            <w:tcW w:w="20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4-11 years (%)</w:t>
            </w:r>
          </w:p>
        </w:tc>
        <w:tc>
          <w:tcPr>
            <w:tcW w:w="22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12-17 years (%)</w:t>
            </w:r>
          </w:p>
        </w:tc>
        <w:tc>
          <w:tcPr>
            <w:tcW w:w="20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4-17 years (%)</w:t>
            </w:r>
          </w:p>
        </w:tc>
      </w:tr>
      <w:tr w:rsidR="00E30271" w:rsidRPr="00FE38C1" w:rsidTr="00E30271">
        <w:trPr>
          <w:cantSplit/>
          <w:jc w:val="center"/>
        </w:trPr>
        <w:tc>
          <w:tcPr>
            <w:tcW w:w="2801" w:type="dxa"/>
            <w:tcBorders>
              <w:top w:val="single" w:sz="4" w:space="0" w:color="000000"/>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Very good</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1.4</w:t>
            </w:r>
          </w:p>
        </w:tc>
        <w:tc>
          <w:tcPr>
            <w:tcW w:w="22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1.0</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1.2</w:t>
            </w:r>
          </w:p>
        </w:tc>
      </w:tr>
      <w:tr w:rsidR="00E30271" w:rsidRPr="00FE38C1" w:rsidTr="00E30271">
        <w:trPr>
          <w:cantSplit/>
          <w:jc w:val="center"/>
        </w:trPr>
        <w:tc>
          <w:tcPr>
            <w:tcW w:w="2801" w:type="dxa"/>
            <w:tcBorders>
              <w:top w:val="single" w:sz="4" w:space="0" w:color="FFFFFF"/>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Good</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2.1</w:t>
            </w:r>
          </w:p>
        </w:tc>
        <w:tc>
          <w:tcPr>
            <w:tcW w:w="22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2.4</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2.3</w:t>
            </w:r>
          </w:p>
        </w:tc>
      </w:tr>
      <w:tr w:rsidR="00E30271" w:rsidRPr="00FE38C1" w:rsidTr="00E30271">
        <w:trPr>
          <w:cantSplit/>
          <w:jc w:val="center"/>
        </w:trPr>
        <w:tc>
          <w:tcPr>
            <w:tcW w:w="2801" w:type="dxa"/>
            <w:tcBorders>
              <w:top w:val="single" w:sz="4" w:space="0" w:color="FFFFFF"/>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Fair</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4.0</w:t>
            </w:r>
          </w:p>
        </w:tc>
        <w:tc>
          <w:tcPr>
            <w:tcW w:w="22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4.6</w:t>
            </w:r>
          </w:p>
        </w:tc>
        <w:tc>
          <w:tcPr>
            <w:tcW w:w="2036" w:type="dxa"/>
            <w:tcBorders>
              <w:top w:val="nil"/>
              <w:left w:val="nil"/>
              <w:bottom w:val="nil"/>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4.3</w:t>
            </w:r>
          </w:p>
        </w:tc>
      </w:tr>
      <w:tr w:rsidR="00E30271" w:rsidRPr="00FE38C1" w:rsidTr="00E30271">
        <w:trPr>
          <w:cantSplit/>
          <w:jc w:val="center"/>
        </w:trPr>
        <w:tc>
          <w:tcPr>
            <w:tcW w:w="2801" w:type="dxa"/>
            <w:tcBorders>
              <w:top w:val="single" w:sz="4" w:space="0" w:color="FFFFFF"/>
              <w:bottom w:val="single" w:sz="6" w:space="0" w:color="000000"/>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Poor</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6.9</w:t>
            </w:r>
          </w:p>
        </w:tc>
        <w:tc>
          <w:tcPr>
            <w:tcW w:w="2236" w:type="dxa"/>
            <w:tcBorders>
              <w:top w:val="nil"/>
              <w:left w:val="nil"/>
              <w:bottom w:val="single" w:sz="6" w:space="0" w:color="000000"/>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7.5</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E30271" w:rsidRPr="00FE38C1" w:rsidRDefault="00E30271" w:rsidP="00E30271">
            <w:pPr>
              <w:pStyle w:val="TableDataCell"/>
              <w:rPr>
                <w:lang w:eastAsia="en-AU"/>
              </w:rPr>
            </w:pPr>
            <w:r w:rsidRPr="00FE38C1">
              <w:rPr>
                <w:lang w:eastAsia="en-AU"/>
              </w:rPr>
              <w:t>7.2</w:t>
            </w:r>
          </w:p>
        </w:tc>
      </w:tr>
    </w:tbl>
    <w:p w:rsidR="00E30271" w:rsidRPr="003D659D" w:rsidRDefault="00E30271" w:rsidP="00E30271">
      <w:pPr>
        <w:pStyle w:val="TableFootnote"/>
      </w:pPr>
      <w:r w:rsidRPr="003D659D">
        <w:t>Family functioning was measured across a number of domains by the McMaster Family Assessment Device (see glossary)</w:t>
      </w:r>
      <w:r>
        <w:t>.</w:t>
      </w:r>
    </w:p>
    <w:p w:rsidR="00E30271" w:rsidRDefault="00E30271" w:rsidP="00E30271">
      <w:pPr>
        <w:pStyle w:val="Heading2"/>
      </w:pPr>
      <w:r>
        <w:t>6.3</w:t>
      </w:r>
      <w:r>
        <w:tab/>
        <w:t>Impact of conduct disorder</w:t>
      </w:r>
    </w:p>
    <w:p w:rsidR="00E30271" w:rsidRPr="00415895" w:rsidRDefault="00E30271" w:rsidP="00E30271">
      <w:pPr>
        <w:pStyle w:val="BodyText"/>
      </w:pPr>
      <w:r>
        <w:t>Mental disorders impact on young people in a number of ways across different aspects of their lives. The severity that symptoms of conduct disorder had across four different life domains are reported as well as the number of days absent from school in the previous 12 months as a result of conduct disorder symptoms.</w:t>
      </w:r>
    </w:p>
    <w:p w:rsidR="00E30271" w:rsidRPr="007B78B0" w:rsidRDefault="00E30271" w:rsidP="00E30271">
      <w:pPr>
        <w:pStyle w:val="Heading3"/>
      </w:pPr>
      <w:r>
        <w:t>6.3.1</w:t>
      </w:r>
      <w:r>
        <w:tab/>
        <w:t>Severity of impact on functioning</w:t>
      </w:r>
    </w:p>
    <w:p w:rsidR="00E30271" w:rsidRDefault="00E30271" w:rsidP="00E30271">
      <w:pPr>
        <w:pStyle w:val="BodyText"/>
      </w:pPr>
      <w:r>
        <w:rPr>
          <w:lang w:eastAsia="en-AU"/>
        </w:rPr>
        <w:t xml:space="preserve">The severity of conduct disorder on children and adolescent’s functioning was assessed in </w:t>
      </w:r>
      <w:r>
        <w:t>four different domains (school or work, friends and social activities, family and self) and overall. Overall 18.9% of children and adolescents with conduct disorder had severe disorder. The family domain was most severely affected by conduct disorder, with nearly one third (29.5%) of children or adolescents with conduct disorder having severe impact in the family domain (Table 6-</w:t>
      </w:r>
      <w:r>
        <w:rPr>
          <w:noProof/>
        </w:rPr>
        <w:t>8</w:t>
      </w:r>
      <w:r>
        <w:t xml:space="preserve">). Only 4.3% of children or adolescents with conduct disorder had no impact in the family domain. The </w:t>
      </w:r>
      <w:proofErr w:type="spellStart"/>
      <w:r>
        <w:t>self domain</w:t>
      </w:r>
      <w:proofErr w:type="spellEnd"/>
      <w:r>
        <w:t xml:space="preserve"> (that is, where the young person experienced distress due to their symptoms) showed the smallest proportion of children or adolescents with severe impact (3.6%).</w:t>
      </w:r>
    </w:p>
    <w:p w:rsidR="00E30271" w:rsidRDefault="00E30271" w:rsidP="00E30271">
      <w:pPr>
        <w:pStyle w:val="BodyText"/>
      </w:pPr>
      <w:r>
        <w:t xml:space="preserve">In comparison to other disorders, a higher proportion of children and adolescents with conduct disorder had severe impact in the family domain (29.5%). A large proportion of families with young people who had generalised anxiety and obsessive-compulsive disorder also had severe impact in the family domain (30.9% and 37.4% respectively). </w:t>
      </w:r>
    </w:p>
    <w:p w:rsidR="00E30271" w:rsidRDefault="00E30271" w:rsidP="00E30271">
      <w:pPr>
        <w:pStyle w:val="Caption"/>
        <w:keepNext/>
        <w:pageBreakBefore/>
        <w:spacing w:before="0"/>
      </w:pPr>
      <w:bookmarkStart w:id="123" w:name="_Ref406157586"/>
      <w:r>
        <w:lastRenderedPageBreak/>
        <w:t>Table 6-</w:t>
      </w:r>
      <w:r>
        <w:rPr>
          <w:noProof/>
        </w:rPr>
        <w:t>8</w:t>
      </w:r>
      <w:bookmarkEnd w:id="123"/>
      <w:r>
        <w:t>: Severity of i</w:t>
      </w:r>
      <w:r w:rsidRPr="00A922B0">
        <w:t>mpact in different life domains among 4-17 year-olds with conduct disorder</w:t>
      </w:r>
    </w:p>
    <w:tbl>
      <w:tblPr>
        <w:tblW w:w="0" w:type="auto"/>
        <w:jc w:val="center"/>
        <w:tblLayout w:type="fixed"/>
        <w:tblCellMar>
          <w:left w:w="0" w:type="dxa"/>
          <w:right w:w="0" w:type="dxa"/>
        </w:tblCellMar>
        <w:tblLook w:val="0020" w:firstRow="1" w:lastRow="0" w:firstColumn="0" w:lastColumn="0" w:noHBand="0" w:noVBand="0"/>
        <w:tblDescription w:val="In Table 6-8 the first column defines level of impact on functioning. Read across the row for the proportion with conduct disorder who have the specified level of impact on functioning in first the school or work domain, then the friends domain, the family domain, the self domain, and finally overall severity."/>
      </w:tblPr>
      <w:tblGrid>
        <w:gridCol w:w="2510"/>
        <w:gridCol w:w="1318"/>
        <w:gridCol w:w="1319"/>
        <w:gridCol w:w="1318"/>
        <w:gridCol w:w="1319"/>
        <w:gridCol w:w="1319"/>
      </w:tblGrid>
      <w:tr w:rsidR="00E30271" w:rsidRPr="007D32C5" w:rsidTr="00E30271">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jc w:val="left"/>
              <w:rPr>
                <w:rStyle w:val="Strong"/>
              </w:rPr>
            </w:pPr>
            <w:r w:rsidRPr="00057BD9">
              <w:rPr>
                <w:rStyle w:val="Strong"/>
              </w:rPr>
              <w:t>Severity</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School/work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Friends (%)</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Family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Self (%)</w:t>
            </w:r>
          </w:p>
        </w:tc>
        <w:tc>
          <w:tcPr>
            <w:tcW w:w="13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Overall severity (%)</w:t>
            </w:r>
          </w:p>
        </w:tc>
      </w:tr>
      <w:tr w:rsidR="00E30271" w:rsidRPr="007D32C5"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32C5" w:rsidRDefault="00E30271" w:rsidP="00E30271">
            <w:pPr>
              <w:pStyle w:val="TableRowHeadings"/>
              <w:rPr>
                <w:lang w:eastAsia="en-AU"/>
              </w:rPr>
            </w:pPr>
            <w:r w:rsidRPr="007D32C5">
              <w:rPr>
                <w:lang w:eastAsia="en-AU"/>
              </w:rPr>
              <w:t>None</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35.6</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32.5</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4.3</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28.3</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p>
        </w:tc>
      </w:tr>
      <w:tr w:rsidR="00E30271" w:rsidRPr="007D32C5"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32C5" w:rsidRDefault="00E30271" w:rsidP="00E30271">
            <w:pPr>
              <w:pStyle w:val="TableRowHeadings"/>
              <w:rPr>
                <w:lang w:eastAsia="en-AU"/>
              </w:rPr>
            </w:pPr>
            <w:r w:rsidRPr="007D32C5">
              <w:rPr>
                <w:lang w:eastAsia="en-AU"/>
              </w:rPr>
              <w:t>Mild</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18.1</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26.2</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30.7</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43.6</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58.7</w:t>
            </w:r>
          </w:p>
        </w:tc>
      </w:tr>
      <w:tr w:rsidR="00E30271" w:rsidRPr="007D32C5"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32C5" w:rsidRDefault="00E30271" w:rsidP="00E30271">
            <w:pPr>
              <w:pStyle w:val="TableRowHeadings"/>
              <w:rPr>
                <w:lang w:eastAsia="en-AU"/>
              </w:rPr>
            </w:pPr>
            <w:r w:rsidRPr="007D32C5">
              <w:rPr>
                <w:lang w:eastAsia="en-AU"/>
              </w:rPr>
              <w:t>Moderate</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25.2</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31.4</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35.5</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24.6</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22.4</w:t>
            </w:r>
          </w:p>
        </w:tc>
      </w:tr>
      <w:tr w:rsidR="00E30271" w:rsidRPr="007D32C5"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32C5" w:rsidRDefault="00E30271" w:rsidP="00E30271">
            <w:pPr>
              <w:pStyle w:val="TableRowHeadings"/>
              <w:rPr>
                <w:lang w:eastAsia="en-AU"/>
              </w:rPr>
            </w:pPr>
            <w:r w:rsidRPr="007D32C5">
              <w:rPr>
                <w:lang w:eastAsia="en-AU"/>
              </w:rPr>
              <w:t>Severe</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15.8</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10.0</w:t>
            </w:r>
          </w:p>
        </w:tc>
        <w:tc>
          <w:tcPr>
            <w:tcW w:w="1318"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29.5</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3.6</w:t>
            </w:r>
          </w:p>
        </w:tc>
        <w:tc>
          <w:tcPr>
            <w:tcW w:w="1319" w:type="dxa"/>
            <w:tcBorders>
              <w:top w:val="nil"/>
              <w:left w:val="nil"/>
              <w:bottom w:val="nil"/>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18.9</w:t>
            </w:r>
          </w:p>
        </w:tc>
      </w:tr>
      <w:tr w:rsidR="00E30271" w:rsidRPr="007D32C5" w:rsidTr="00E30271">
        <w:trPr>
          <w:cantSplit/>
          <w:jc w:val="center"/>
        </w:trPr>
        <w:tc>
          <w:tcPr>
            <w:tcW w:w="2510" w:type="dxa"/>
            <w:tcBorders>
              <w:top w:val="nil"/>
              <w:bottom w:val="single" w:sz="6" w:space="0" w:color="000000"/>
              <w:right w:val="nil"/>
            </w:tcBorders>
            <w:shd w:val="clear" w:color="auto" w:fill="EFF3FF"/>
            <w:tcMar>
              <w:left w:w="40" w:type="dxa"/>
              <w:right w:w="40" w:type="dxa"/>
            </w:tcMar>
          </w:tcPr>
          <w:p w:rsidR="00E30271" w:rsidRPr="007D32C5" w:rsidRDefault="00E30271" w:rsidP="00E30271">
            <w:pPr>
              <w:pStyle w:val="TableRowHeadings"/>
              <w:rPr>
                <w:lang w:eastAsia="en-AU"/>
              </w:rPr>
            </w:pPr>
            <w:r w:rsidRPr="007D32C5">
              <w:rPr>
                <w:lang w:eastAsia="en-AU"/>
              </w:rPr>
              <w:t>Does not go to school or work</w:t>
            </w:r>
          </w:p>
        </w:tc>
        <w:tc>
          <w:tcPr>
            <w:tcW w:w="1318" w:type="dxa"/>
            <w:tcBorders>
              <w:top w:val="nil"/>
              <w:left w:val="nil"/>
              <w:bottom w:val="single" w:sz="6" w:space="0" w:color="000000"/>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r w:rsidRPr="007D32C5">
              <w:rPr>
                <w:lang w:eastAsia="en-AU"/>
              </w:rPr>
              <w:t>5.4</w:t>
            </w: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p>
        </w:tc>
        <w:tc>
          <w:tcPr>
            <w:tcW w:w="1318" w:type="dxa"/>
            <w:tcBorders>
              <w:top w:val="nil"/>
              <w:left w:val="nil"/>
              <w:bottom w:val="single" w:sz="6" w:space="0" w:color="000000"/>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7D32C5" w:rsidRDefault="00E30271" w:rsidP="00E30271">
            <w:pPr>
              <w:pStyle w:val="TableDataCell"/>
              <w:rPr>
                <w:lang w:eastAsia="en-AU"/>
              </w:rPr>
            </w:pPr>
          </w:p>
        </w:tc>
      </w:tr>
    </w:tbl>
    <w:p w:rsidR="00E30271" w:rsidRDefault="00E30271" w:rsidP="00E30271">
      <w:pPr>
        <w:pStyle w:val="Heading3"/>
      </w:pPr>
      <w:r>
        <w:t>6.3.2</w:t>
      </w:r>
      <w:r>
        <w:tab/>
        <w:t>Days absent from school</w:t>
      </w:r>
    </w:p>
    <w:p w:rsidR="00E30271" w:rsidRDefault="00E30271" w:rsidP="00E30271">
      <w:pPr>
        <w:pStyle w:val="BodyText"/>
      </w:pPr>
      <w:r>
        <w:t>One quarter of 4-11 year-olds (26%) and just over a half (54%) of 12-17 year-olds with conduct disorder attending school had missed at least one day of school in the previous 12 months due to symptoms of their conduct disorder.</w:t>
      </w:r>
    </w:p>
    <w:p w:rsidR="00E30271" w:rsidRDefault="00E30271" w:rsidP="00E30271">
      <w:pPr>
        <w:pStyle w:val="BodyText"/>
      </w:pPr>
      <w:r>
        <w:t>The average number of days missed of school was higher in 12-17 year-olds than 4-11 year-olds (Table 6-</w:t>
      </w:r>
      <w:r>
        <w:rPr>
          <w:noProof/>
        </w:rPr>
        <w:t>9</w:t>
      </w:r>
      <w:r>
        <w:t xml:space="preserve">). Children aged 4-11 years missed an average of two days in the previous 12 months, while 12-17 year-olds missed an average of 17 days. </w:t>
      </w:r>
    </w:p>
    <w:p w:rsidR="00E30271" w:rsidRDefault="00E30271" w:rsidP="00E30271">
      <w:pPr>
        <w:pStyle w:val="Caption"/>
        <w:keepNext/>
      </w:pPr>
      <w:bookmarkStart w:id="124" w:name="_Ref398712591"/>
      <w:r>
        <w:t>Table 6-</w:t>
      </w:r>
      <w:r>
        <w:rPr>
          <w:noProof/>
        </w:rPr>
        <w:t>9</w:t>
      </w:r>
      <w:bookmarkEnd w:id="124"/>
      <w:r>
        <w:t xml:space="preserve">: </w:t>
      </w:r>
      <w:r w:rsidRPr="00D1588D">
        <w:t xml:space="preserve">Average days off school in the </w:t>
      </w:r>
      <w:r>
        <w:t>past</w:t>
      </w:r>
      <w:r w:rsidRPr="00D1588D">
        <w:t xml:space="preserve"> 12 months due to conduct disorder </w:t>
      </w:r>
      <w:r>
        <w:t>symptoms</w:t>
      </w:r>
      <w:r w:rsidRPr="004E6E27">
        <w:t xml:space="preserve"> </w:t>
      </w:r>
      <w:r>
        <w:t xml:space="preserve">among 4-17 year-olds with conduct disorder </w:t>
      </w:r>
      <w:r w:rsidRPr="00D1588D">
        <w:t>by age group</w:t>
      </w:r>
    </w:p>
    <w:tbl>
      <w:tblPr>
        <w:tblW w:w="0" w:type="auto"/>
        <w:jc w:val="center"/>
        <w:tblLayout w:type="fixed"/>
        <w:tblCellMar>
          <w:left w:w="0" w:type="dxa"/>
          <w:right w:w="0" w:type="dxa"/>
        </w:tblCellMar>
        <w:tblLook w:val="0020" w:firstRow="1" w:lastRow="0" w:firstColumn="0" w:lastColumn="0" w:noHBand="0" w:noVBand="0"/>
        <w:tblDescription w:val="In Table 6-9 the first column defines age group. Read across to the second column for the average days off school for children in that age group."/>
      </w:tblPr>
      <w:tblGrid>
        <w:gridCol w:w="6092"/>
        <w:gridCol w:w="2953"/>
      </w:tblGrid>
      <w:tr w:rsidR="00E30271" w:rsidRPr="003C70C6" w:rsidTr="00E30271">
        <w:trPr>
          <w:cantSplit/>
          <w:tblHeader/>
          <w:jc w:val="center"/>
        </w:trPr>
        <w:tc>
          <w:tcPr>
            <w:tcW w:w="6092"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r w:rsidRPr="00057BD9">
              <w:rPr>
                <w:rStyle w:val="Strong"/>
              </w:rPr>
              <w:t>Age group</w:t>
            </w:r>
          </w:p>
        </w:tc>
        <w:tc>
          <w:tcPr>
            <w:tcW w:w="295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Average days absent</w:t>
            </w:r>
          </w:p>
        </w:tc>
      </w:tr>
      <w:tr w:rsidR="00E30271" w:rsidRPr="003C70C6" w:rsidTr="00E30271">
        <w:trPr>
          <w:cantSplit/>
          <w:jc w:val="center"/>
        </w:trPr>
        <w:tc>
          <w:tcPr>
            <w:tcW w:w="6092" w:type="dxa"/>
            <w:tcBorders>
              <w:top w:val="nil"/>
              <w:bottom w:val="single" w:sz="4" w:space="0" w:color="FFFFFF"/>
              <w:right w:val="nil"/>
            </w:tcBorders>
            <w:shd w:val="clear" w:color="auto" w:fill="EFF3FF"/>
            <w:tcMar>
              <w:left w:w="40" w:type="dxa"/>
              <w:right w:w="40" w:type="dxa"/>
            </w:tcMar>
          </w:tcPr>
          <w:p w:rsidR="00E30271" w:rsidRPr="003C70C6" w:rsidRDefault="00E30271" w:rsidP="00E30271">
            <w:pPr>
              <w:pStyle w:val="TableRowHeadings"/>
              <w:rPr>
                <w:lang w:eastAsia="en-AU"/>
              </w:rPr>
            </w:pPr>
            <w:r>
              <w:rPr>
                <w:lang w:eastAsia="en-AU"/>
              </w:rPr>
              <w:t>4-</w:t>
            </w:r>
            <w:r w:rsidRPr="003C70C6">
              <w:rPr>
                <w:lang w:eastAsia="en-AU"/>
              </w:rPr>
              <w:t>11 years</w:t>
            </w:r>
          </w:p>
        </w:tc>
        <w:tc>
          <w:tcPr>
            <w:tcW w:w="2953" w:type="dxa"/>
            <w:tcBorders>
              <w:top w:val="nil"/>
              <w:left w:val="nil"/>
              <w:bottom w:val="nil"/>
              <w:right w:val="nil"/>
            </w:tcBorders>
            <w:shd w:val="clear" w:color="auto" w:fill="FFFFFF"/>
            <w:tcMar>
              <w:left w:w="40" w:type="dxa"/>
              <w:right w:w="40" w:type="dxa"/>
            </w:tcMar>
            <w:vAlign w:val="bottom"/>
          </w:tcPr>
          <w:p w:rsidR="00E30271" w:rsidRPr="003C70C6" w:rsidRDefault="00E30271" w:rsidP="00E30271">
            <w:pPr>
              <w:pStyle w:val="TableDataCell"/>
              <w:rPr>
                <w:lang w:eastAsia="en-AU"/>
              </w:rPr>
            </w:pPr>
            <w:r>
              <w:rPr>
                <w:lang w:eastAsia="en-AU"/>
              </w:rPr>
              <w:t>2</w:t>
            </w:r>
          </w:p>
        </w:tc>
      </w:tr>
      <w:tr w:rsidR="00E30271" w:rsidRPr="003C70C6" w:rsidTr="00E30271">
        <w:trPr>
          <w:cantSplit/>
          <w:jc w:val="center"/>
        </w:trPr>
        <w:tc>
          <w:tcPr>
            <w:tcW w:w="6092" w:type="dxa"/>
            <w:tcBorders>
              <w:top w:val="nil"/>
              <w:bottom w:val="single" w:sz="4" w:space="0" w:color="auto"/>
              <w:right w:val="nil"/>
            </w:tcBorders>
            <w:shd w:val="clear" w:color="auto" w:fill="EFF3FF"/>
            <w:tcMar>
              <w:left w:w="40" w:type="dxa"/>
              <w:right w:w="40" w:type="dxa"/>
            </w:tcMar>
          </w:tcPr>
          <w:p w:rsidR="00E30271" w:rsidRPr="003C70C6" w:rsidRDefault="00E30271" w:rsidP="00E30271">
            <w:pPr>
              <w:pStyle w:val="TableRowHeadings"/>
              <w:rPr>
                <w:lang w:eastAsia="en-AU"/>
              </w:rPr>
            </w:pPr>
            <w:r>
              <w:rPr>
                <w:lang w:eastAsia="en-AU"/>
              </w:rPr>
              <w:t>12-</w:t>
            </w:r>
            <w:r w:rsidRPr="003C70C6">
              <w:rPr>
                <w:lang w:eastAsia="en-AU"/>
              </w:rPr>
              <w:t>17 years</w:t>
            </w:r>
          </w:p>
        </w:tc>
        <w:tc>
          <w:tcPr>
            <w:tcW w:w="2953" w:type="dxa"/>
            <w:tcBorders>
              <w:top w:val="nil"/>
              <w:left w:val="nil"/>
              <w:bottom w:val="single" w:sz="4" w:space="0" w:color="auto"/>
              <w:right w:val="nil"/>
            </w:tcBorders>
            <w:shd w:val="clear" w:color="auto" w:fill="FFFFFF"/>
            <w:tcMar>
              <w:left w:w="40" w:type="dxa"/>
              <w:right w:w="40" w:type="dxa"/>
            </w:tcMar>
            <w:vAlign w:val="bottom"/>
          </w:tcPr>
          <w:p w:rsidR="00E30271" w:rsidRPr="003C70C6" w:rsidRDefault="00E30271" w:rsidP="00E30271">
            <w:pPr>
              <w:pStyle w:val="TableDataCell"/>
              <w:rPr>
                <w:lang w:eastAsia="en-AU"/>
              </w:rPr>
            </w:pPr>
            <w:r>
              <w:rPr>
                <w:lang w:eastAsia="en-AU"/>
              </w:rPr>
              <w:t>17</w:t>
            </w:r>
          </w:p>
        </w:tc>
      </w:tr>
      <w:tr w:rsidR="00E30271" w:rsidRPr="003C70C6" w:rsidTr="00E30271">
        <w:trPr>
          <w:cantSplit/>
          <w:jc w:val="center"/>
        </w:trPr>
        <w:tc>
          <w:tcPr>
            <w:tcW w:w="6092" w:type="dxa"/>
            <w:tcBorders>
              <w:top w:val="single" w:sz="4" w:space="0" w:color="auto"/>
              <w:bottom w:val="single" w:sz="6" w:space="0" w:color="000000"/>
              <w:right w:val="nil"/>
            </w:tcBorders>
            <w:shd w:val="clear" w:color="auto" w:fill="EFF3FF"/>
            <w:tcMar>
              <w:left w:w="40" w:type="dxa"/>
              <w:right w:w="40" w:type="dxa"/>
            </w:tcMar>
          </w:tcPr>
          <w:p w:rsidR="00E30271" w:rsidRPr="009A3297" w:rsidRDefault="00E30271" w:rsidP="00E30271">
            <w:pPr>
              <w:pStyle w:val="TableRowHeadings"/>
              <w:rPr>
                <w:rStyle w:val="Strong"/>
              </w:rPr>
            </w:pPr>
            <w:r w:rsidRPr="009A3297">
              <w:rPr>
                <w:rStyle w:val="Strong"/>
              </w:rPr>
              <w:t>4-17 years</w:t>
            </w:r>
          </w:p>
        </w:tc>
        <w:tc>
          <w:tcPr>
            <w:tcW w:w="295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9A3297" w:rsidRDefault="00E30271" w:rsidP="00E30271">
            <w:pPr>
              <w:pStyle w:val="TableDataCell"/>
              <w:rPr>
                <w:rStyle w:val="Strong"/>
              </w:rPr>
            </w:pPr>
            <w:r w:rsidRPr="009A3297">
              <w:rPr>
                <w:rStyle w:val="Strong"/>
              </w:rPr>
              <w:t>8</w:t>
            </w:r>
          </w:p>
        </w:tc>
      </w:tr>
    </w:tbl>
    <w:p w:rsidR="00E30271" w:rsidRDefault="00E30271" w:rsidP="00E30271">
      <w:pPr>
        <w:pStyle w:val="Heading2"/>
        <w:rPr>
          <w:rStyle w:val="Heading1Char"/>
          <w:b/>
          <w:bCs/>
          <w:caps w:val="0"/>
          <w:sz w:val="26"/>
          <w:szCs w:val="26"/>
        </w:rPr>
      </w:pPr>
      <w:r>
        <w:rPr>
          <w:rStyle w:val="Heading1Char"/>
          <w:b/>
          <w:bCs/>
          <w:caps w:val="0"/>
          <w:sz w:val="26"/>
          <w:szCs w:val="26"/>
        </w:rPr>
        <w:t>6.4</w:t>
      </w:r>
      <w:r w:rsidRPr="00F542D3">
        <w:rPr>
          <w:rStyle w:val="Heading1Char"/>
          <w:b/>
          <w:bCs/>
          <w:caps w:val="0"/>
          <w:sz w:val="26"/>
          <w:szCs w:val="26"/>
        </w:rPr>
        <w:tab/>
      </w:r>
      <w:r>
        <w:rPr>
          <w:rStyle w:val="Heading1Char"/>
          <w:b/>
          <w:bCs/>
          <w:caps w:val="0"/>
          <w:sz w:val="26"/>
          <w:szCs w:val="26"/>
        </w:rPr>
        <w:t>Oppositional problem behaviours</w:t>
      </w:r>
    </w:p>
    <w:p w:rsidR="00E30271" w:rsidRDefault="00E30271" w:rsidP="00E30271">
      <w:pPr>
        <w:pStyle w:val="BodyText"/>
      </w:pPr>
      <w:r>
        <w:t xml:space="preserve">The DSM-IV includes a mental disorder category called </w:t>
      </w:r>
      <w:r w:rsidRPr="006E034B">
        <w:rPr>
          <w:i/>
        </w:rPr>
        <w:t>oppositional defiant disorder</w:t>
      </w:r>
      <w:r>
        <w:t xml:space="preserve"> and the DISC-IV module for oppositional defiant disorder was included in </w:t>
      </w:r>
      <w:r w:rsidRPr="006E034B">
        <w:rPr>
          <w:i/>
        </w:rPr>
        <w:t>Young Minds Matter</w:t>
      </w:r>
      <w:r>
        <w:t xml:space="preserve">. However, unlike other disorders included in this publication, the diagnosis for oppositional defiant disorder includes an element of clinical judgement that could not be implemented within the DISC-IV questions. In particular, for each symptom assessed in oppositional defiant disorder the DSM-IV specifies that the symptom criterion is met only if the behaviour occurs more frequently than is typically observed in individuals of comparable age and developmental level. A mental health trained clinician is required to make this judgement. The data collection for </w:t>
      </w:r>
      <w:r w:rsidRPr="0082526A">
        <w:rPr>
          <w:i/>
        </w:rPr>
        <w:t>Young Minds Matter</w:t>
      </w:r>
      <w:r>
        <w:t xml:space="preserve"> was undertaken by lay professional interviewers who were not specifically trained in psychology or psychiatry and expert clinical review of each child or adolescent in the survey was not undertaken. As such it was not possible to implement all of the diagnostic criteria for oppositional defiant disorder. </w:t>
      </w:r>
    </w:p>
    <w:p w:rsidR="00E30271" w:rsidRDefault="00E30271" w:rsidP="00E30271">
      <w:pPr>
        <w:pStyle w:val="BodyText"/>
        <w:rPr>
          <w:lang w:eastAsia="en-AU"/>
        </w:rPr>
      </w:pPr>
      <w:r>
        <w:t xml:space="preserve">Despite these limitations, information collected in the survey on the prevalence of oppositional problem behaviours in children and adolescents is useful for a broad range of purposes. The information from parents and carers on oppositional problem behaviours in their children that was obtained from the DISC-IV module is presented in this section. These are referred to as oppositional </w:t>
      </w:r>
      <w:r>
        <w:lastRenderedPageBreak/>
        <w:t xml:space="preserve">problem behaviours to distinguish them from the diagnostic condition of oppositional defiant disorder. </w:t>
      </w:r>
    </w:p>
    <w:p w:rsidR="00E30271" w:rsidRPr="009A3297" w:rsidRDefault="00E30271" w:rsidP="000430C8">
      <w:pPr>
        <w:pStyle w:val="Heading2-notintOCV2"/>
      </w:pPr>
      <w:r w:rsidRPr="009A3297">
        <w:t>Oppositional problem behaviours</w:t>
      </w:r>
    </w:p>
    <w:p w:rsidR="00E30271" w:rsidRPr="009A3297" w:rsidRDefault="00E30271" w:rsidP="000430C8">
      <w:pPr>
        <w:pStyle w:val="Disorderoverviewtext"/>
      </w:pPr>
      <w:r w:rsidRPr="009A3297">
        <w:t>Oppositional problem behaviours are negativistic, hostile and defiant behaviours lasting at least six months characterised by behaviour such as often losing temper, arguing with adults, actively defying adults’ requests and rules, being angry, resentful, spiteful or vindictive.</w:t>
      </w:r>
    </w:p>
    <w:p w:rsidR="00E30271" w:rsidRDefault="00E30271" w:rsidP="00E30271">
      <w:pPr>
        <w:pStyle w:val="BodyText"/>
      </w:pPr>
      <w:r>
        <w:t>If a child or adolescent met diagnostic criteria for conduct disorder, the oppositional problem behaviours module was not administered for that child or adolescent.</w:t>
      </w:r>
    </w:p>
    <w:p w:rsidR="00E30271" w:rsidRDefault="00E30271" w:rsidP="00E30271">
      <w:pPr>
        <w:pStyle w:val="Heading3"/>
        <w:rPr>
          <w:rStyle w:val="Heading1Char"/>
          <w:b/>
          <w:bCs/>
          <w:caps w:val="0"/>
          <w:sz w:val="26"/>
          <w:szCs w:val="26"/>
        </w:rPr>
      </w:pPr>
      <w:r>
        <w:t>6.4.1</w:t>
      </w:r>
      <w:r>
        <w:tab/>
        <w:t>Prevalence of oppositional problem behaviours in children and adolescents</w:t>
      </w:r>
    </w:p>
    <w:p w:rsidR="00E30271" w:rsidRPr="000972A2" w:rsidRDefault="00E30271" w:rsidP="00E30271">
      <w:pPr>
        <w:pStyle w:val="BodyText"/>
        <w:rPr>
          <w:lang w:eastAsia="en-AU"/>
        </w:rPr>
      </w:pPr>
      <w:r>
        <w:rPr>
          <w:lang w:eastAsia="en-AU"/>
        </w:rPr>
        <w:t>Around 5.1% of all children and adolescents had oppositional problem behaviours. This is equivalent to around 204,000 children and adolescents across Australia. The prevalence was higher in males than females (5.6% compared with 4.5%). The prevalence did not vary across age groups for either sex</w:t>
      </w:r>
      <w:r w:rsidR="004713ED">
        <w:rPr>
          <w:lang w:eastAsia="en-AU"/>
        </w:rPr>
        <w:t xml:space="preserve"> (Table 6-10)</w:t>
      </w:r>
      <w:r>
        <w:rPr>
          <w:lang w:eastAsia="en-AU"/>
        </w:rPr>
        <w:t>.</w:t>
      </w:r>
    </w:p>
    <w:p w:rsidR="00E30271" w:rsidRDefault="00E30271" w:rsidP="00E30271">
      <w:pPr>
        <w:pStyle w:val="Caption"/>
        <w:keepNext/>
      </w:pPr>
      <w:r>
        <w:t>Table 6-</w:t>
      </w:r>
      <w:r>
        <w:rPr>
          <w:noProof/>
        </w:rPr>
        <w:t>10</w:t>
      </w:r>
      <w:r>
        <w:t xml:space="preserve">: </w:t>
      </w:r>
      <w:r w:rsidRPr="00447E3C">
        <w:t xml:space="preserve">12-month prevalence of oppositional </w:t>
      </w:r>
      <w:r>
        <w:t xml:space="preserve">problem </w:t>
      </w:r>
      <w:r w:rsidRPr="00447E3C">
        <w:t>behaviours</w:t>
      </w:r>
      <w:r w:rsidRPr="004E6E27">
        <w:t xml:space="preserve"> </w:t>
      </w:r>
      <w:r>
        <w:t>among 4-17 year-olds</w:t>
      </w:r>
      <w:r w:rsidRPr="00447E3C">
        <w:t xml:space="preserve"> by sex and age group</w:t>
      </w:r>
    </w:p>
    <w:tbl>
      <w:tblPr>
        <w:tblW w:w="9114" w:type="dxa"/>
        <w:jc w:val="center"/>
        <w:tblLayout w:type="fixed"/>
        <w:tblCellMar>
          <w:left w:w="0" w:type="dxa"/>
          <w:right w:w="0" w:type="dxa"/>
        </w:tblCellMar>
        <w:tblLook w:val="0020" w:firstRow="1" w:lastRow="0" w:firstColumn="0" w:lastColumn="0" w:noHBand="0" w:noVBand="0"/>
        <w:tblDescription w:val="In Table 6-10 the first column defines age group. Read across the row to obtain the prevalence of males, the prevalence of females and the prevalence of persons who had oppositional problem behaviours in the past 12 months."/>
      </w:tblPr>
      <w:tblGrid>
        <w:gridCol w:w="3201"/>
        <w:gridCol w:w="1711"/>
        <w:gridCol w:w="2132"/>
        <w:gridCol w:w="2070"/>
      </w:tblGrid>
      <w:tr w:rsidR="00E30271" w:rsidRPr="00EB7319" w:rsidTr="00E30271">
        <w:trPr>
          <w:cantSplit/>
          <w:tblHeader/>
          <w:jc w:val="center"/>
        </w:trPr>
        <w:tc>
          <w:tcPr>
            <w:tcW w:w="320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jc w:val="left"/>
              <w:rPr>
                <w:rStyle w:val="Strong"/>
              </w:rPr>
            </w:pPr>
            <w:r w:rsidRPr="00057BD9">
              <w:rPr>
                <w:rStyle w:val="Strong"/>
              </w:rPr>
              <w:t>Age group</w:t>
            </w:r>
          </w:p>
        </w:tc>
        <w:tc>
          <w:tcPr>
            <w:tcW w:w="171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Males (%)</w:t>
            </w:r>
          </w:p>
        </w:tc>
        <w:tc>
          <w:tcPr>
            <w:tcW w:w="21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Females (%)</w:t>
            </w:r>
          </w:p>
        </w:tc>
        <w:tc>
          <w:tcPr>
            <w:tcW w:w="207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Persons (%)</w:t>
            </w:r>
          </w:p>
        </w:tc>
      </w:tr>
      <w:tr w:rsidR="00E30271" w:rsidRPr="00EB7319" w:rsidTr="00E30271">
        <w:trPr>
          <w:cantSplit/>
          <w:jc w:val="center"/>
        </w:trPr>
        <w:tc>
          <w:tcPr>
            <w:tcW w:w="3201" w:type="dxa"/>
            <w:tcBorders>
              <w:top w:val="nil"/>
              <w:bottom w:val="single" w:sz="4" w:space="0" w:color="FFFFFF"/>
              <w:right w:val="nil"/>
            </w:tcBorders>
            <w:shd w:val="clear" w:color="auto" w:fill="EFF3FF"/>
            <w:tcMar>
              <w:left w:w="40" w:type="dxa"/>
              <w:right w:w="40" w:type="dxa"/>
            </w:tcMar>
          </w:tcPr>
          <w:p w:rsidR="00E30271" w:rsidRPr="00EB7319" w:rsidRDefault="00E30271" w:rsidP="00E30271">
            <w:pPr>
              <w:pStyle w:val="TableRowHeadings"/>
              <w:rPr>
                <w:lang w:eastAsia="en-AU"/>
              </w:rPr>
            </w:pPr>
            <w:r>
              <w:rPr>
                <w:lang w:eastAsia="en-AU"/>
              </w:rPr>
              <w:t>4-</w:t>
            </w:r>
            <w:r w:rsidRPr="00EB7319">
              <w:rPr>
                <w:lang w:eastAsia="en-AU"/>
              </w:rPr>
              <w:t>11 years</w:t>
            </w:r>
          </w:p>
        </w:tc>
        <w:tc>
          <w:tcPr>
            <w:tcW w:w="1711" w:type="dxa"/>
            <w:tcBorders>
              <w:top w:val="nil"/>
              <w:left w:val="nil"/>
              <w:bottom w:val="nil"/>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5.6</w:t>
            </w:r>
          </w:p>
        </w:tc>
        <w:tc>
          <w:tcPr>
            <w:tcW w:w="2132" w:type="dxa"/>
            <w:tcBorders>
              <w:top w:val="nil"/>
              <w:left w:val="nil"/>
              <w:bottom w:val="nil"/>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4.4</w:t>
            </w:r>
          </w:p>
        </w:tc>
        <w:tc>
          <w:tcPr>
            <w:tcW w:w="2070" w:type="dxa"/>
            <w:tcBorders>
              <w:top w:val="nil"/>
              <w:left w:val="nil"/>
              <w:bottom w:val="nil"/>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5.0</w:t>
            </w:r>
          </w:p>
        </w:tc>
      </w:tr>
      <w:tr w:rsidR="00E30271" w:rsidRPr="00EB7319" w:rsidTr="00E30271">
        <w:trPr>
          <w:cantSplit/>
          <w:jc w:val="center"/>
        </w:trPr>
        <w:tc>
          <w:tcPr>
            <w:tcW w:w="3201" w:type="dxa"/>
            <w:tcBorders>
              <w:top w:val="nil"/>
              <w:bottom w:val="single" w:sz="4" w:space="0" w:color="auto"/>
              <w:right w:val="nil"/>
            </w:tcBorders>
            <w:shd w:val="clear" w:color="auto" w:fill="EFF3FF"/>
            <w:tcMar>
              <w:left w:w="40" w:type="dxa"/>
              <w:right w:w="40" w:type="dxa"/>
            </w:tcMar>
          </w:tcPr>
          <w:p w:rsidR="00E30271" w:rsidRPr="00EB7319" w:rsidRDefault="00E30271" w:rsidP="00E30271">
            <w:pPr>
              <w:pStyle w:val="TableRowHeadings"/>
              <w:rPr>
                <w:lang w:eastAsia="en-AU"/>
              </w:rPr>
            </w:pPr>
            <w:r>
              <w:rPr>
                <w:lang w:eastAsia="en-AU"/>
              </w:rPr>
              <w:t>12-</w:t>
            </w:r>
            <w:r w:rsidRPr="00EB7319">
              <w:rPr>
                <w:lang w:eastAsia="en-AU"/>
              </w:rPr>
              <w:t>17 years</w:t>
            </w:r>
          </w:p>
        </w:tc>
        <w:tc>
          <w:tcPr>
            <w:tcW w:w="1711" w:type="dxa"/>
            <w:tcBorders>
              <w:top w:val="nil"/>
              <w:left w:val="nil"/>
              <w:bottom w:val="single" w:sz="4" w:space="0" w:color="auto"/>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5.6</w:t>
            </w:r>
          </w:p>
        </w:tc>
        <w:tc>
          <w:tcPr>
            <w:tcW w:w="2132" w:type="dxa"/>
            <w:tcBorders>
              <w:top w:val="nil"/>
              <w:left w:val="nil"/>
              <w:bottom w:val="single" w:sz="4" w:space="0" w:color="auto"/>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4.6</w:t>
            </w:r>
          </w:p>
        </w:tc>
        <w:tc>
          <w:tcPr>
            <w:tcW w:w="2070" w:type="dxa"/>
            <w:tcBorders>
              <w:top w:val="nil"/>
              <w:left w:val="nil"/>
              <w:bottom w:val="single" w:sz="4" w:space="0" w:color="auto"/>
              <w:right w:val="nil"/>
            </w:tcBorders>
            <w:shd w:val="clear" w:color="auto" w:fill="FFFFFF"/>
            <w:tcMar>
              <w:left w:w="40" w:type="dxa"/>
              <w:right w:w="40" w:type="dxa"/>
            </w:tcMar>
            <w:vAlign w:val="bottom"/>
          </w:tcPr>
          <w:p w:rsidR="00E30271" w:rsidRPr="00EB7319" w:rsidRDefault="00E30271" w:rsidP="00E30271">
            <w:pPr>
              <w:pStyle w:val="TableDataCell"/>
              <w:rPr>
                <w:lang w:eastAsia="en-AU"/>
              </w:rPr>
            </w:pPr>
            <w:r w:rsidRPr="00EB7319">
              <w:rPr>
                <w:lang w:eastAsia="en-AU"/>
              </w:rPr>
              <w:t>5.1</w:t>
            </w:r>
          </w:p>
        </w:tc>
      </w:tr>
      <w:tr w:rsidR="00E30271" w:rsidRPr="00EB7319" w:rsidTr="00E30271">
        <w:trPr>
          <w:cantSplit/>
          <w:jc w:val="center"/>
        </w:trPr>
        <w:tc>
          <w:tcPr>
            <w:tcW w:w="3201" w:type="dxa"/>
            <w:tcBorders>
              <w:top w:val="single" w:sz="4" w:space="0" w:color="auto"/>
              <w:bottom w:val="single" w:sz="6" w:space="0" w:color="000000"/>
              <w:right w:val="nil"/>
            </w:tcBorders>
            <w:shd w:val="clear" w:color="auto" w:fill="EFF3FF"/>
            <w:tcMar>
              <w:left w:w="40" w:type="dxa"/>
              <w:right w:w="40" w:type="dxa"/>
            </w:tcMar>
          </w:tcPr>
          <w:p w:rsidR="00E30271" w:rsidRPr="00284974" w:rsidRDefault="00E30271" w:rsidP="00E30271">
            <w:pPr>
              <w:pStyle w:val="TableRowHeadings"/>
              <w:rPr>
                <w:rStyle w:val="Strong"/>
              </w:rPr>
            </w:pPr>
            <w:r w:rsidRPr="00284974">
              <w:rPr>
                <w:rStyle w:val="Strong"/>
              </w:rPr>
              <w:t>4-17 years</w:t>
            </w:r>
          </w:p>
        </w:tc>
        <w:tc>
          <w:tcPr>
            <w:tcW w:w="171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284974" w:rsidRDefault="00E30271" w:rsidP="00E30271">
            <w:pPr>
              <w:pStyle w:val="TableDataCell"/>
              <w:rPr>
                <w:rStyle w:val="Strong"/>
              </w:rPr>
            </w:pPr>
            <w:r w:rsidRPr="00284974">
              <w:rPr>
                <w:rStyle w:val="Strong"/>
              </w:rPr>
              <w:t>5.6</w:t>
            </w:r>
          </w:p>
        </w:tc>
        <w:tc>
          <w:tcPr>
            <w:tcW w:w="2132"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284974" w:rsidRDefault="00E30271" w:rsidP="00E30271">
            <w:pPr>
              <w:pStyle w:val="TableDataCell"/>
              <w:rPr>
                <w:rStyle w:val="Strong"/>
              </w:rPr>
            </w:pPr>
            <w:r w:rsidRPr="00284974">
              <w:rPr>
                <w:rStyle w:val="Strong"/>
              </w:rPr>
              <w:t>4.5</w:t>
            </w:r>
          </w:p>
        </w:tc>
        <w:tc>
          <w:tcPr>
            <w:tcW w:w="207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284974" w:rsidRDefault="00E30271" w:rsidP="00E30271">
            <w:pPr>
              <w:pStyle w:val="TableDataCell"/>
              <w:rPr>
                <w:rStyle w:val="Strong"/>
              </w:rPr>
            </w:pPr>
            <w:r w:rsidRPr="00284974">
              <w:rPr>
                <w:rStyle w:val="Strong"/>
              </w:rPr>
              <w:t>5.1</w:t>
            </w:r>
          </w:p>
        </w:tc>
      </w:tr>
    </w:tbl>
    <w:p w:rsidR="00E30271" w:rsidRDefault="00E30271" w:rsidP="00E30271">
      <w:pPr>
        <w:pStyle w:val="Heading3"/>
        <w:rPr>
          <w:rFonts w:eastAsiaTheme="minorEastAsia"/>
          <w:lang w:eastAsia="en-AU"/>
        </w:rPr>
      </w:pPr>
      <w:r>
        <w:rPr>
          <w:rFonts w:eastAsiaTheme="minorEastAsia"/>
          <w:lang w:eastAsia="en-AU"/>
        </w:rPr>
        <w:t>6.4.2</w:t>
      </w:r>
      <w:r>
        <w:rPr>
          <w:rFonts w:eastAsiaTheme="minorEastAsia"/>
          <w:lang w:eastAsia="en-AU"/>
        </w:rPr>
        <w:tab/>
        <w:t>Co-occurrence of oppositional problem behaviours and mental disorders</w:t>
      </w:r>
    </w:p>
    <w:p w:rsidR="00E30271" w:rsidRDefault="00E30271" w:rsidP="00E30271">
      <w:pPr>
        <w:pStyle w:val="BodyText"/>
        <w:rPr>
          <w:lang w:eastAsia="en-AU"/>
        </w:rPr>
      </w:pPr>
      <w:r>
        <w:rPr>
          <w:lang w:eastAsia="en-AU"/>
        </w:rPr>
        <w:t xml:space="preserve">As conduct disorder is regarded as a more severe form of oppositional problem behaviours, an exclusion rule was applied so that no child or adolescent could be given the diagnosis of conduct disorder and oppositional problem behaviours. To reduce respondent burden in the survey, parents and carers of children or adolescents who met diagnostic criteria for conduct disorder were not asked questions about oppositional problem behaviours. </w:t>
      </w:r>
    </w:p>
    <w:p w:rsidR="00E30271" w:rsidRDefault="00E30271" w:rsidP="00E30271">
      <w:pPr>
        <w:pStyle w:val="BodyText"/>
        <w:rPr>
          <w:lang w:eastAsia="en-AU"/>
        </w:rPr>
      </w:pPr>
      <w:r>
        <w:rPr>
          <w:lang w:eastAsia="en-AU"/>
        </w:rPr>
        <w:t>There was a substantial overlap between oppositional problem behaviours and the group of mental disorders included in the survey. Over half of children and adolescents with oppositional problem behaviours also met diagnostic c</w:t>
      </w:r>
      <w:r w:rsidR="00A57E37">
        <w:rPr>
          <w:lang w:eastAsia="en-AU"/>
        </w:rPr>
        <w:t>riteria for a mental disorder (</w:t>
      </w:r>
      <w:r>
        <w:rPr>
          <w:lang w:eastAsia="en-AU"/>
        </w:rPr>
        <w:t>3.0% of all children and adolescents had oppositional problem behaviours and met diagnostic criteria for a mental disorder, and 2.1% had oppositional problem behaviours and did not meet diagnostic criteria for any mental disorders). Some 1.0% of children and adolescents had oppositional problem behaviours and ADHD, 1.1% had oppositional problem behaviours and anxiety or depression, and 0.9% of children and adolescents had oppositional problem behaviours and both ADHD and anxiety or depression (</w:t>
      </w:r>
      <w:r>
        <w:t>Table 6-11</w:t>
      </w:r>
      <w:r>
        <w:rPr>
          <w:lang w:eastAsia="en-AU"/>
        </w:rPr>
        <w:t>).</w:t>
      </w:r>
    </w:p>
    <w:p w:rsidR="00E30271" w:rsidRDefault="00E30271" w:rsidP="005A61DA">
      <w:pPr>
        <w:pStyle w:val="Caption"/>
        <w:keepNext/>
        <w:pageBreakBefore/>
      </w:pPr>
      <w:bookmarkStart w:id="125" w:name="_Ref401150414"/>
      <w:r>
        <w:lastRenderedPageBreak/>
        <w:t>Table 6-</w:t>
      </w:r>
      <w:r>
        <w:rPr>
          <w:noProof/>
        </w:rPr>
        <w:t>11</w:t>
      </w:r>
      <w:bookmarkEnd w:id="125"/>
      <w:r>
        <w:t>: Co-occurrence of oppositional problem behaviours and mental disorders</w:t>
      </w:r>
      <w:r w:rsidRPr="004E6E27">
        <w:t xml:space="preserve"> </w:t>
      </w:r>
      <w:r>
        <w:t>among 4-17 year-olds</w:t>
      </w:r>
    </w:p>
    <w:tbl>
      <w:tblPr>
        <w:tblW w:w="9128" w:type="dxa"/>
        <w:jc w:val="center"/>
        <w:tblLayout w:type="fixed"/>
        <w:tblCellMar>
          <w:left w:w="0" w:type="dxa"/>
          <w:right w:w="0" w:type="dxa"/>
        </w:tblCellMar>
        <w:tblLook w:val="0020" w:firstRow="1" w:lastRow="0" w:firstColumn="0" w:lastColumn="0" w:noHBand="0" w:noVBand="0"/>
        <w:tblDescription w:val="In Table 6-11 the first column defines problem or disorder, and the second column provides the prevalence of that problem or disorder."/>
      </w:tblPr>
      <w:tblGrid>
        <w:gridCol w:w="6314"/>
        <w:gridCol w:w="2814"/>
      </w:tblGrid>
      <w:tr w:rsidR="00E30271" w:rsidRPr="000264EF" w:rsidTr="00E30271">
        <w:trPr>
          <w:cantSplit/>
          <w:tblHeader/>
          <w:jc w:val="center"/>
        </w:trPr>
        <w:tc>
          <w:tcPr>
            <w:tcW w:w="6314"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tabs>
                <w:tab w:val="left" w:pos="271"/>
              </w:tabs>
              <w:jc w:val="left"/>
              <w:rPr>
                <w:rStyle w:val="Strong"/>
              </w:rPr>
            </w:pPr>
            <w:r w:rsidRPr="00057BD9">
              <w:rPr>
                <w:rStyle w:val="Strong"/>
              </w:rPr>
              <w:t>Problem or disorder</w:t>
            </w:r>
          </w:p>
        </w:tc>
        <w:tc>
          <w:tcPr>
            <w:tcW w:w="281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Prevalence (%)</w:t>
            </w:r>
          </w:p>
        </w:tc>
      </w:tr>
      <w:tr w:rsidR="00E30271" w:rsidRPr="000264EF" w:rsidTr="00E30271">
        <w:trPr>
          <w:cantSplit/>
          <w:jc w:val="center"/>
        </w:trPr>
        <w:tc>
          <w:tcPr>
            <w:tcW w:w="6314" w:type="dxa"/>
            <w:tcBorders>
              <w:top w:val="nil"/>
              <w:bottom w:val="single" w:sz="4" w:space="0" w:color="FFFFFF"/>
              <w:right w:val="nil"/>
            </w:tcBorders>
            <w:shd w:val="clear" w:color="auto" w:fill="EFF3FF"/>
            <w:tcMar>
              <w:left w:w="40" w:type="dxa"/>
              <w:right w:w="40" w:type="dxa"/>
            </w:tcMar>
          </w:tcPr>
          <w:p w:rsidR="00E30271" w:rsidRPr="000264EF" w:rsidRDefault="00E30271" w:rsidP="00E30271">
            <w:pPr>
              <w:pStyle w:val="TableRowHeadings"/>
              <w:tabs>
                <w:tab w:val="left" w:pos="271"/>
              </w:tabs>
            </w:pPr>
            <w:r w:rsidRPr="000264EF">
              <w:t xml:space="preserve">Oppositional </w:t>
            </w:r>
            <w:r>
              <w:t xml:space="preserve">problem </w:t>
            </w:r>
            <w:r w:rsidRPr="000264EF">
              <w:t>behaviour</w:t>
            </w:r>
            <w:r>
              <w:t>s</w:t>
            </w:r>
            <w:r w:rsidRPr="000264EF">
              <w:t xml:space="preserve"> only</w:t>
            </w:r>
          </w:p>
        </w:tc>
        <w:tc>
          <w:tcPr>
            <w:tcW w:w="2814" w:type="dxa"/>
            <w:tcBorders>
              <w:top w:val="nil"/>
              <w:left w:val="nil"/>
              <w:bottom w:val="nil"/>
              <w:right w:val="nil"/>
            </w:tcBorders>
            <w:shd w:val="clear" w:color="auto" w:fill="FFFFFF"/>
            <w:tcMar>
              <w:left w:w="40" w:type="dxa"/>
              <w:right w:w="40" w:type="dxa"/>
            </w:tcMar>
            <w:vAlign w:val="bottom"/>
          </w:tcPr>
          <w:p w:rsidR="00E30271" w:rsidRPr="000264EF" w:rsidRDefault="00E30271" w:rsidP="00E30271">
            <w:pPr>
              <w:pStyle w:val="TableDataCell"/>
            </w:pPr>
            <w:r w:rsidRPr="000264EF">
              <w:t>2.1</w:t>
            </w:r>
          </w:p>
        </w:tc>
      </w:tr>
      <w:tr w:rsidR="00E30271" w:rsidRPr="000264EF" w:rsidTr="00E30271">
        <w:trPr>
          <w:cantSplit/>
          <w:jc w:val="center"/>
        </w:trPr>
        <w:tc>
          <w:tcPr>
            <w:tcW w:w="6314" w:type="dxa"/>
            <w:tcBorders>
              <w:top w:val="nil"/>
              <w:bottom w:val="single" w:sz="4" w:space="0" w:color="FFFFFF"/>
              <w:right w:val="nil"/>
            </w:tcBorders>
            <w:shd w:val="clear" w:color="auto" w:fill="EFF3FF"/>
            <w:tcMar>
              <w:left w:w="40" w:type="dxa"/>
              <w:right w:w="40" w:type="dxa"/>
            </w:tcMar>
          </w:tcPr>
          <w:p w:rsidR="00E30271" w:rsidRPr="000264EF" w:rsidRDefault="00E30271" w:rsidP="00E30271">
            <w:pPr>
              <w:pStyle w:val="TableRowHeadings"/>
              <w:tabs>
                <w:tab w:val="left" w:pos="271"/>
              </w:tabs>
            </w:pPr>
            <w:r w:rsidRPr="000264EF">
              <w:t xml:space="preserve">Oppositional </w:t>
            </w:r>
            <w:r>
              <w:t xml:space="preserve">problem </w:t>
            </w:r>
            <w:r w:rsidRPr="000264EF">
              <w:t>behaviour</w:t>
            </w:r>
            <w:r>
              <w:t>s</w:t>
            </w:r>
            <w:r w:rsidRPr="000264EF">
              <w:t xml:space="preserve"> and one or more DISC</w:t>
            </w:r>
            <w:r>
              <w:t>-IV</w:t>
            </w:r>
            <w:r w:rsidRPr="000264EF">
              <w:t xml:space="preserve"> disorder</w:t>
            </w:r>
          </w:p>
        </w:tc>
        <w:tc>
          <w:tcPr>
            <w:tcW w:w="2814" w:type="dxa"/>
            <w:tcBorders>
              <w:top w:val="nil"/>
              <w:left w:val="nil"/>
              <w:bottom w:val="nil"/>
              <w:right w:val="nil"/>
            </w:tcBorders>
            <w:shd w:val="clear" w:color="auto" w:fill="FFFFFF"/>
            <w:tcMar>
              <w:left w:w="40" w:type="dxa"/>
              <w:right w:w="40" w:type="dxa"/>
            </w:tcMar>
            <w:vAlign w:val="bottom"/>
          </w:tcPr>
          <w:p w:rsidR="00E30271" w:rsidRPr="000264EF" w:rsidRDefault="00E30271" w:rsidP="00E30271">
            <w:pPr>
              <w:pStyle w:val="TableDataCell"/>
            </w:pPr>
            <w:r w:rsidRPr="000264EF">
              <w:t>3.0</w:t>
            </w:r>
          </w:p>
        </w:tc>
      </w:tr>
      <w:tr w:rsidR="00E30271" w:rsidRPr="000264EF" w:rsidTr="00E30271">
        <w:trPr>
          <w:cantSplit/>
          <w:jc w:val="center"/>
        </w:trPr>
        <w:tc>
          <w:tcPr>
            <w:tcW w:w="6314" w:type="dxa"/>
            <w:tcBorders>
              <w:top w:val="nil"/>
              <w:bottom w:val="single" w:sz="4" w:space="0" w:color="FFFFFF"/>
              <w:right w:val="nil"/>
            </w:tcBorders>
            <w:shd w:val="clear" w:color="auto" w:fill="EFF3FF"/>
            <w:tcMar>
              <w:left w:w="40" w:type="dxa"/>
              <w:right w:w="40" w:type="dxa"/>
            </w:tcMar>
          </w:tcPr>
          <w:p w:rsidR="00E30271" w:rsidRPr="000264EF" w:rsidRDefault="00E30271" w:rsidP="00E30271">
            <w:pPr>
              <w:pStyle w:val="TableRowHeadings"/>
              <w:tabs>
                <w:tab w:val="left" w:pos="271"/>
              </w:tabs>
            </w:pPr>
            <w:r w:rsidRPr="000264EF">
              <w:tab/>
              <w:t xml:space="preserve">Oppositional </w:t>
            </w:r>
            <w:r>
              <w:t xml:space="preserve">problem </w:t>
            </w:r>
            <w:r w:rsidRPr="000264EF">
              <w:t>behaviour</w:t>
            </w:r>
            <w:r>
              <w:t>s</w:t>
            </w:r>
            <w:r w:rsidRPr="000264EF">
              <w:t xml:space="preserve"> and ADHD</w:t>
            </w:r>
          </w:p>
        </w:tc>
        <w:tc>
          <w:tcPr>
            <w:tcW w:w="2814" w:type="dxa"/>
            <w:tcBorders>
              <w:top w:val="nil"/>
              <w:left w:val="nil"/>
              <w:bottom w:val="nil"/>
              <w:right w:val="nil"/>
            </w:tcBorders>
            <w:shd w:val="clear" w:color="auto" w:fill="FFFFFF"/>
            <w:tcMar>
              <w:left w:w="40" w:type="dxa"/>
              <w:right w:w="40" w:type="dxa"/>
            </w:tcMar>
            <w:vAlign w:val="bottom"/>
          </w:tcPr>
          <w:p w:rsidR="00E30271" w:rsidRPr="000264EF" w:rsidRDefault="00E30271" w:rsidP="00E30271">
            <w:pPr>
              <w:pStyle w:val="TableDataCell"/>
            </w:pPr>
            <w:r w:rsidRPr="000264EF">
              <w:t>1.0</w:t>
            </w:r>
          </w:p>
        </w:tc>
      </w:tr>
      <w:tr w:rsidR="00E30271" w:rsidRPr="000264EF" w:rsidTr="00E30271">
        <w:trPr>
          <w:cantSplit/>
          <w:jc w:val="center"/>
        </w:trPr>
        <w:tc>
          <w:tcPr>
            <w:tcW w:w="6314" w:type="dxa"/>
            <w:tcBorders>
              <w:top w:val="nil"/>
              <w:bottom w:val="single" w:sz="4" w:space="0" w:color="FFFFFF"/>
              <w:right w:val="nil"/>
            </w:tcBorders>
            <w:shd w:val="clear" w:color="auto" w:fill="EFF3FF"/>
            <w:tcMar>
              <w:left w:w="40" w:type="dxa"/>
              <w:right w:w="40" w:type="dxa"/>
            </w:tcMar>
          </w:tcPr>
          <w:p w:rsidR="00E30271" w:rsidRPr="000264EF" w:rsidRDefault="00E30271" w:rsidP="00E30271">
            <w:pPr>
              <w:pStyle w:val="TableRowHeadings"/>
              <w:tabs>
                <w:tab w:val="left" w:pos="271"/>
              </w:tabs>
            </w:pPr>
            <w:r w:rsidRPr="000264EF">
              <w:tab/>
              <w:t xml:space="preserve">Oppositional </w:t>
            </w:r>
            <w:r>
              <w:t xml:space="preserve">problem </w:t>
            </w:r>
            <w:r w:rsidRPr="000264EF">
              <w:t>behaviour</w:t>
            </w:r>
            <w:r>
              <w:t>s</w:t>
            </w:r>
            <w:r w:rsidRPr="000264EF">
              <w:t xml:space="preserve"> and anxiety or depression</w:t>
            </w:r>
          </w:p>
        </w:tc>
        <w:tc>
          <w:tcPr>
            <w:tcW w:w="2814" w:type="dxa"/>
            <w:tcBorders>
              <w:top w:val="nil"/>
              <w:left w:val="nil"/>
              <w:bottom w:val="nil"/>
              <w:right w:val="nil"/>
            </w:tcBorders>
            <w:shd w:val="clear" w:color="auto" w:fill="FFFFFF"/>
            <w:tcMar>
              <w:left w:w="40" w:type="dxa"/>
              <w:right w:w="40" w:type="dxa"/>
            </w:tcMar>
            <w:vAlign w:val="bottom"/>
          </w:tcPr>
          <w:p w:rsidR="00E30271" w:rsidRPr="000264EF" w:rsidRDefault="00E30271" w:rsidP="00E30271">
            <w:pPr>
              <w:pStyle w:val="TableDataCell"/>
            </w:pPr>
            <w:r w:rsidRPr="000264EF">
              <w:t>1.1</w:t>
            </w:r>
          </w:p>
        </w:tc>
      </w:tr>
      <w:tr w:rsidR="00E30271" w:rsidRPr="000264EF" w:rsidTr="00E30271">
        <w:trPr>
          <w:cantSplit/>
          <w:jc w:val="center"/>
        </w:trPr>
        <w:tc>
          <w:tcPr>
            <w:tcW w:w="6314" w:type="dxa"/>
            <w:tcBorders>
              <w:top w:val="nil"/>
              <w:bottom w:val="single" w:sz="6" w:space="0" w:color="000000"/>
              <w:right w:val="nil"/>
            </w:tcBorders>
            <w:shd w:val="clear" w:color="auto" w:fill="EFF3FF"/>
            <w:tcMar>
              <w:left w:w="40" w:type="dxa"/>
              <w:right w:w="40" w:type="dxa"/>
            </w:tcMar>
          </w:tcPr>
          <w:p w:rsidR="00E30271" w:rsidRPr="000264EF" w:rsidRDefault="00E30271" w:rsidP="00E30271">
            <w:pPr>
              <w:pStyle w:val="TableRowHeadings"/>
              <w:tabs>
                <w:tab w:val="left" w:pos="271"/>
              </w:tabs>
            </w:pPr>
            <w:r w:rsidRPr="000264EF">
              <w:tab/>
              <w:t xml:space="preserve">Oppositional </w:t>
            </w:r>
            <w:r>
              <w:t xml:space="preserve">problem </w:t>
            </w:r>
            <w:r w:rsidRPr="000264EF">
              <w:t>behaviours and ADHD and anxiety or depression</w:t>
            </w:r>
          </w:p>
        </w:tc>
        <w:tc>
          <w:tcPr>
            <w:tcW w:w="2814" w:type="dxa"/>
            <w:tcBorders>
              <w:top w:val="nil"/>
              <w:left w:val="nil"/>
              <w:bottom w:val="single" w:sz="6" w:space="0" w:color="000000"/>
              <w:right w:val="nil"/>
            </w:tcBorders>
            <w:shd w:val="clear" w:color="auto" w:fill="FFFFFF"/>
            <w:tcMar>
              <w:left w:w="40" w:type="dxa"/>
              <w:right w:w="40" w:type="dxa"/>
            </w:tcMar>
            <w:vAlign w:val="bottom"/>
          </w:tcPr>
          <w:p w:rsidR="00E30271" w:rsidRPr="000264EF" w:rsidRDefault="00E30271" w:rsidP="00E30271">
            <w:pPr>
              <w:pStyle w:val="TableDataCell"/>
            </w:pPr>
            <w:r w:rsidRPr="000264EF">
              <w:t>0.9</w:t>
            </w:r>
          </w:p>
        </w:tc>
      </w:tr>
    </w:tbl>
    <w:p w:rsidR="00E30271" w:rsidRPr="00A7777D" w:rsidRDefault="00E30271" w:rsidP="00E30271">
      <w:pPr>
        <w:pStyle w:val="Heading3"/>
        <w:rPr>
          <w:rFonts w:eastAsiaTheme="minorEastAsia"/>
          <w:lang w:eastAsia="en-AU"/>
        </w:rPr>
      </w:pPr>
      <w:r>
        <w:rPr>
          <w:rFonts w:eastAsiaTheme="minorEastAsia"/>
          <w:lang w:eastAsia="en-AU"/>
        </w:rPr>
        <w:t>6.4.3</w:t>
      </w:r>
      <w:r>
        <w:rPr>
          <w:rFonts w:eastAsiaTheme="minorEastAsia"/>
          <w:lang w:eastAsia="en-AU"/>
        </w:rPr>
        <w:tab/>
        <w:t>Family functioning</w:t>
      </w:r>
    </w:p>
    <w:p w:rsidR="00E30271" w:rsidRPr="000B5816" w:rsidRDefault="00E30271" w:rsidP="00E30271">
      <w:pPr>
        <w:pStyle w:val="BodyText"/>
        <w:rPr>
          <w:lang w:eastAsia="en-AU"/>
        </w:rPr>
      </w:pPr>
      <w:r>
        <w:rPr>
          <w:lang w:eastAsia="en-AU"/>
        </w:rPr>
        <w:t xml:space="preserve">The prevalence of </w:t>
      </w:r>
      <w:r>
        <w:t>oppositional problem behaviours</w:t>
      </w:r>
      <w:r>
        <w:rPr>
          <w:lang w:eastAsia="en-AU"/>
        </w:rPr>
        <w:t xml:space="preserve"> was highest in families who had poor family functioning and lowest in those with very good family functioning. Only 3.5% of 4-11 year-olds and 4.0% of 12-17 year-olds in families with very good family functioning had </w:t>
      </w:r>
      <w:r>
        <w:t>oppositional problem behaviours</w:t>
      </w:r>
      <w:r>
        <w:rPr>
          <w:lang w:eastAsia="en-AU"/>
        </w:rPr>
        <w:t xml:space="preserve">. In contrast, 18.0% of 4-11 year-olds and 15.5% of 12-17 year-olds had </w:t>
      </w:r>
      <w:r>
        <w:t>oppositional problem behaviours</w:t>
      </w:r>
      <w:r>
        <w:rPr>
          <w:lang w:eastAsia="en-AU"/>
        </w:rPr>
        <w:t xml:space="preserve"> in families with poor family functioning (</w:t>
      </w:r>
      <w:r>
        <w:t>Table 6-</w:t>
      </w:r>
      <w:r>
        <w:rPr>
          <w:noProof/>
        </w:rPr>
        <w:t>12</w:t>
      </w:r>
      <w:r>
        <w:rPr>
          <w:lang w:eastAsia="en-AU"/>
        </w:rPr>
        <w:t xml:space="preserve">). </w:t>
      </w:r>
    </w:p>
    <w:p w:rsidR="00E30271" w:rsidRDefault="00E30271" w:rsidP="00E30271">
      <w:pPr>
        <w:pStyle w:val="Caption"/>
        <w:keepNext/>
      </w:pPr>
      <w:bookmarkStart w:id="126" w:name="_Ref401154364"/>
      <w:r>
        <w:t>Table 6-</w:t>
      </w:r>
      <w:r>
        <w:rPr>
          <w:noProof/>
        </w:rPr>
        <w:t>12</w:t>
      </w:r>
      <w:bookmarkEnd w:id="126"/>
      <w:r>
        <w:t xml:space="preserve">: </w:t>
      </w:r>
      <w:r w:rsidRPr="00C718DD">
        <w:t xml:space="preserve">12-month prevalence of </w:t>
      </w:r>
      <w:r>
        <w:t>oppositional problem behaviours</w:t>
      </w:r>
      <w:r w:rsidRPr="004E6E27">
        <w:t xml:space="preserve"> </w:t>
      </w:r>
      <w:r>
        <w:t>among 4-17 year-olds</w:t>
      </w:r>
      <w:r w:rsidRPr="00C718DD">
        <w:t xml:space="preserve"> by family functioning and age group</w:t>
      </w:r>
    </w:p>
    <w:tbl>
      <w:tblPr>
        <w:tblW w:w="9109" w:type="dxa"/>
        <w:jc w:val="center"/>
        <w:tblLayout w:type="fixed"/>
        <w:tblCellMar>
          <w:left w:w="0" w:type="dxa"/>
          <w:right w:w="0" w:type="dxa"/>
        </w:tblCellMar>
        <w:tblLook w:val="0020" w:firstRow="1" w:lastRow="0" w:firstColumn="0" w:lastColumn="0" w:noHBand="0" w:noVBand="0"/>
        <w:tblDescription w:val="In Table 6-12 the first column defines level of family functioning. Read across the row for the proportion of 4-11 year-olds and then the proportion of 12-17 year-olds and finally the proportion of 4-17 year-olds who have conduct disorder from families with that level of family functioning."/>
      </w:tblPr>
      <w:tblGrid>
        <w:gridCol w:w="2801"/>
        <w:gridCol w:w="2036"/>
        <w:gridCol w:w="2236"/>
        <w:gridCol w:w="2036"/>
      </w:tblGrid>
      <w:tr w:rsidR="00E30271" w:rsidRPr="00FE38C1" w:rsidTr="00E30271">
        <w:trPr>
          <w:cantSplit/>
          <w:tblHeader/>
          <w:jc w:val="center"/>
        </w:trPr>
        <w:tc>
          <w:tcPr>
            <w:tcW w:w="280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jc w:val="left"/>
              <w:rPr>
                <w:rStyle w:val="Strong"/>
              </w:rPr>
            </w:pPr>
            <w:r w:rsidRPr="00057BD9">
              <w:rPr>
                <w:rStyle w:val="Strong"/>
              </w:rPr>
              <w:t>Level of family functioning</w:t>
            </w:r>
          </w:p>
        </w:tc>
        <w:tc>
          <w:tcPr>
            <w:tcW w:w="20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4-11 years (%)</w:t>
            </w:r>
          </w:p>
        </w:tc>
        <w:tc>
          <w:tcPr>
            <w:tcW w:w="22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12-17 years (%)</w:t>
            </w:r>
          </w:p>
        </w:tc>
        <w:tc>
          <w:tcPr>
            <w:tcW w:w="20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4-17 years (%)</w:t>
            </w:r>
          </w:p>
        </w:tc>
      </w:tr>
      <w:tr w:rsidR="00E30271" w:rsidRPr="00FE38C1" w:rsidTr="00E30271">
        <w:trPr>
          <w:cantSplit/>
          <w:jc w:val="center"/>
        </w:trPr>
        <w:tc>
          <w:tcPr>
            <w:tcW w:w="2801" w:type="dxa"/>
            <w:tcBorders>
              <w:top w:val="nil"/>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Very good</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3.5</w:t>
            </w:r>
          </w:p>
        </w:tc>
        <w:tc>
          <w:tcPr>
            <w:tcW w:w="22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4.0</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3.7</w:t>
            </w:r>
          </w:p>
        </w:tc>
      </w:tr>
      <w:tr w:rsidR="00E30271" w:rsidRPr="00FE38C1" w:rsidTr="00E30271">
        <w:trPr>
          <w:cantSplit/>
          <w:jc w:val="center"/>
        </w:trPr>
        <w:tc>
          <w:tcPr>
            <w:tcW w:w="2801" w:type="dxa"/>
            <w:tcBorders>
              <w:top w:val="nil"/>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Good</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6.2</w:t>
            </w:r>
          </w:p>
        </w:tc>
        <w:tc>
          <w:tcPr>
            <w:tcW w:w="22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4.6</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5.4</w:t>
            </w:r>
          </w:p>
        </w:tc>
      </w:tr>
      <w:tr w:rsidR="00E30271" w:rsidRPr="00FE38C1" w:rsidTr="00E30271">
        <w:trPr>
          <w:cantSplit/>
          <w:jc w:val="center"/>
        </w:trPr>
        <w:tc>
          <w:tcPr>
            <w:tcW w:w="2801" w:type="dxa"/>
            <w:tcBorders>
              <w:top w:val="nil"/>
              <w:bottom w:val="single" w:sz="4" w:space="0" w:color="FFFFFF"/>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Fair</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7.6</w:t>
            </w:r>
          </w:p>
        </w:tc>
        <w:tc>
          <w:tcPr>
            <w:tcW w:w="22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7.7</w:t>
            </w:r>
          </w:p>
        </w:tc>
        <w:tc>
          <w:tcPr>
            <w:tcW w:w="2036"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7.6</w:t>
            </w:r>
          </w:p>
        </w:tc>
      </w:tr>
      <w:tr w:rsidR="00E30271" w:rsidRPr="00FE38C1" w:rsidTr="00E30271">
        <w:trPr>
          <w:cantSplit/>
          <w:jc w:val="center"/>
        </w:trPr>
        <w:tc>
          <w:tcPr>
            <w:tcW w:w="2801" w:type="dxa"/>
            <w:tcBorders>
              <w:top w:val="nil"/>
              <w:bottom w:val="single" w:sz="6" w:space="0" w:color="000000"/>
              <w:right w:val="nil"/>
            </w:tcBorders>
            <w:shd w:val="clear" w:color="auto" w:fill="EFF3FF"/>
            <w:tcMar>
              <w:left w:w="40" w:type="dxa"/>
              <w:right w:w="40" w:type="dxa"/>
            </w:tcMar>
          </w:tcPr>
          <w:p w:rsidR="00E30271" w:rsidRPr="00FE38C1" w:rsidRDefault="00E30271" w:rsidP="00E30271">
            <w:pPr>
              <w:pStyle w:val="TableRowHeadings"/>
              <w:rPr>
                <w:lang w:eastAsia="en-AU"/>
              </w:rPr>
            </w:pPr>
            <w:r w:rsidRPr="00FE38C1">
              <w:rPr>
                <w:lang w:eastAsia="en-AU"/>
              </w:rPr>
              <w:t>Poor</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E30271" w:rsidRDefault="00E30271" w:rsidP="00E30271">
            <w:pPr>
              <w:pStyle w:val="TableDataCell"/>
            </w:pPr>
            <w:r>
              <w:t>18.0</w:t>
            </w:r>
          </w:p>
        </w:tc>
        <w:tc>
          <w:tcPr>
            <w:tcW w:w="2236" w:type="dxa"/>
            <w:tcBorders>
              <w:top w:val="nil"/>
              <w:left w:val="nil"/>
              <w:bottom w:val="single" w:sz="6" w:space="0" w:color="000000"/>
              <w:right w:val="nil"/>
            </w:tcBorders>
            <w:shd w:val="clear" w:color="auto" w:fill="FFFFFF"/>
            <w:tcMar>
              <w:left w:w="40" w:type="dxa"/>
              <w:right w:w="40" w:type="dxa"/>
            </w:tcMar>
            <w:vAlign w:val="bottom"/>
          </w:tcPr>
          <w:p w:rsidR="00E30271" w:rsidRDefault="00E30271" w:rsidP="00E30271">
            <w:pPr>
              <w:pStyle w:val="TableDataCell"/>
            </w:pPr>
            <w:r>
              <w:t>15.5</w:t>
            </w:r>
          </w:p>
        </w:tc>
        <w:tc>
          <w:tcPr>
            <w:tcW w:w="2036" w:type="dxa"/>
            <w:tcBorders>
              <w:top w:val="nil"/>
              <w:left w:val="nil"/>
              <w:bottom w:val="single" w:sz="6" w:space="0" w:color="000000"/>
              <w:right w:val="nil"/>
            </w:tcBorders>
            <w:shd w:val="clear" w:color="auto" w:fill="FFFFFF"/>
            <w:tcMar>
              <w:left w:w="40" w:type="dxa"/>
              <w:right w:w="40" w:type="dxa"/>
            </w:tcMar>
            <w:vAlign w:val="bottom"/>
          </w:tcPr>
          <w:p w:rsidR="00E30271" w:rsidRDefault="00E30271" w:rsidP="00E30271">
            <w:pPr>
              <w:pStyle w:val="TableDataCell"/>
            </w:pPr>
            <w:r>
              <w:t>16.8</w:t>
            </w:r>
          </w:p>
        </w:tc>
      </w:tr>
    </w:tbl>
    <w:p w:rsidR="00E30271" w:rsidRPr="0029136C" w:rsidRDefault="00E30271" w:rsidP="00E30271">
      <w:pPr>
        <w:pStyle w:val="TableFootnote"/>
        <w:rPr>
          <w:rFonts w:cs="Source Sans Pro Light"/>
        </w:rPr>
      </w:pPr>
      <w:r w:rsidRPr="0029136C">
        <w:t>Family functioning was measured across a number of domains by the McMaster Family Assessment Device (see glossary)</w:t>
      </w:r>
      <w:r>
        <w:t>.</w:t>
      </w:r>
    </w:p>
    <w:p w:rsidR="00E30271" w:rsidRPr="007B78B0" w:rsidRDefault="00E30271" w:rsidP="00E30271">
      <w:pPr>
        <w:pStyle w:val="Heading3"/>
      </w:pPr>
      <w:r>
        <w:t>6.4.4</w:t>
      </w:r>
      <w:r>
        <w:tab/>
        <w:t>Severity of impact on functioning</w:t>
      </w:r>
    </w:p>
    <w:p w:rsidR="00E30271" w:rsidRDefault="00E30271" w:rsidP="00E30271">
      <w:pPr>
        <w:pStyle w:val="BodyText"/>
        <w:rPr>
          <w:lang w:eastAsia="en-AU"/>
        </w:rPr>
      </w:pPr>
      <w:r>
        <w:rPr>
          <w:lang w:eastAsia="en-AU"/>
        </w:rPr>
        <w:t xml:space="preserve">The severity of </w:t>
      </w:r>
      <w:r>
        <w:t>oppositional problem behaviours</w:t>
      </w:r>
      <w:r>
        <w:rPr>
          <w:lang w:eastAsia="en-AU"/>
        </w:rPr>
        <w:t xml:space="preserve"> on children and adolescent’s functioning was assessed in </w:t>
      </w:r>
      <w:r>
        <w:t xml:space="preserve">four different domains (school or work, friends and social activities, family and self) and overall. </w:t>
      </w:r>
      <w:r>
        <w:rPr>
          <w:lang w:eastAsia="en-AU"/>
        </w:rPr>
        <w:t xml:space="preserve">The overall impact on functioning was assessed as mild for more than two thirds (68.6%) of the children and adolescents with </w:t>
      </w:r>
      <w:r>
        <w:t>oppositional problem behaviours</w:t>
      </w:r>
      <w:r>
        <w:rPr>
          <w:lang w:eastAsia="en-AU"/>
        </w:rPr>
        <w:t>. One fifth (20.3%) of children and adolescents experienced moderate impact and just over one in ten (11.1%) experienced severe impact on functioning.</w:t>
      </w:r>
    </w:p>
    <w:p w:rsidR="00E30271" w:rsidRPr="00922E50" w:rsidRDefault="00E30271" w:rsidP="00E30271">
      <w:pPr>
        <w:pStyle w:val="BodyText"/>
        <w:rPr>
          <w:lang w:eastAsia="en-AU"/>
        </w:rPr>
      </w:pPr>
      <w:r>
        <w:rPr>
          <w:lang w:eastAsia="en-AU"/>
        </w:rPr>
        <w:t xml:space="preserve">Family was the domain in which the most children and adolescents with </w:t>
      </w:r>
      <w:r>
        <w:t xml:space="preserve">oppositional problem behaviours </w:t>
      </w:r>
      <w:r>
        <w:rPr>
          <w:lang w:eastAsia="en-AU"/>
        </w:rPr>
        <w:t>had moderate or severe impact (35.1% moderate, 16.6% severe) (</w:t>
      </w:r>
      <w:r>
        <w:t>Table 6-</w:t>
      </w:r>
      <w:r>
        <w:rPr>
          <w:noProof/>
        </w:rPr>
        <w:t>13</w:t>
      </w:r>
      <w:r>
        <w:rPr>
          <w:lang w:eastAsia="en-AU"/>
        </w:rPr>
        <w:t>).</w:t>
      </w:r>
    </w:p>
    <w:p w:rsidR="00E30271" w:rsidRDefault="00E30271" w:rsidP="00E30271">
      <w:pPr>
        <w:pStyle w:val="Caption"/>
        <w:keepNext/>
        <w:pageBreakBefore/>
        <w:spacing w:before="0"/>
      </w:pPr>
      <w:bookmarkStart w:id="127" w:name="_Ref406158053"/>
      <w:r>
        <w:lastRenderedPageBreak/>
        <w:t>Table 6-</w:t>
      </w:r>
      <w:r>
        <w:rPr>
          <w:noProof/>
        </w:rPr>
        <w:t>13</w:t>
      </w:r>
      <w:bookmarkEnd w:id="127"/>
      <w:r>
        <w:t xml:space="preserve">: </w:t>
      </w:r>
      <w:r w:rsidRPr="009C0DDB">
        <w:t>Severity of impact in different life domains among 4-17 year-olds with oppositional problem behaviours</w:t>
      </w:r>
    </w:p>
    <w:tbl>
      <w:tblPr>
        <w:tblW w:w="0" w:type="auto"/>
        <w:jc w:val="center"/>
        <w:tblLayout w:type="fixed"/>
        <w:tblCellMar>
          <w:left w:w="0" w:type="dxa"/>
          <w:right w:w="0" w:type="dxa"/>
        </w:tblCellMar>
        <w:tblLook w:val="0020" w:firstRow="1" w:lastRow="0" w:firstColumn="0" w:lastColumn="0" w:noHBand="0" w:noVBand="0"/>
        <w:tblDescription w:val="In Table 6-13 the first column defines level of impact on functioning. Read across the row for the proportion with conduct disorder who have the specified level of impact on functioning in first the school or work domain, then the friends domain, the family domain, the self domain, and finally overall severity."/>
      </w:tblPr>
      <w:tblGrid>
        <w:gridCol w:w="2510"/>
        <w:gridCol w:w="1318"/>
        <w:gridCol w:w="1319"/>
        <w:gridCol w:w="1318"/>
        <w:gridCol w:w="1319"/>
        <w:gridCol w:w="1319"/>
      </w:tblGrid>
      <w:tr w:rsidR="00E30271" w:rsidRPr="00235598" w:rsidTr="00E30271">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jc w:val="left"/>
              <w:rPr>
                <w:rStyle w:val="Strong"/>
              </w:rPr>
            </w:pPr>
            <w:r w:rsidRPr="00057BD9">
              <w:rPr>
                <w:rStyle w:val="Strong"/>
              </w:rPr>
              <w:t>Severity</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School/work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Friends (%)</w:t>
            </w:r>
          </w:p>
        </w:tc>
        <w:tc>
          <w:tcPr>
            <w:tcW w:w="13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Family (%)</w:t>
            </w:r>
          </w:p>
        </w:tc>
        <w:tc>
          <w:tcPr>
            <w:tcW w:w="13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Self (%)</w:t>
            </w:r>
          </w:p>
        </w:tc>
        <w:tc>
          <w:tcPr>
            <w:tcW w:w="13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Overall severity (%)</w:t>
            </w:r>
          </w:p>
        </w:tc>
      </w:tr>
      <w:tr w:rsidR="00E30271" w:rsidRPr="00235598"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235598" w:rsidRDefault="00E30271" w:rsidP="00E30271">
            <w:pPr>
              <w:pStyle w:val="TableRowHeadings"/>
              <w:rPr>
                <w:lang w:eastAsia="en-AU"/>
              </w:rPr>
            </w:pPr>
            <w:r w:rsidRPr="00235598">
              <w:rPr>
                <w:lang w:eastAsia="en-AU"/>
              </w:rPr>
              <w:t>None</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43.3</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46.5</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11.0</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30.2</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p>
        </w:tc>
      </w:tr>
      <w:tr w:rsidR="00E30271" w:rsidRPr="00235598"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235598" w:rsidRDefault="00E30271" w:rsidP="00E30271">
            <w:pPr>
              <w:pStyle w:val="TableRowHeadings"/>
              <w:rPr>
                <w:lang w:eastAsia="en-AU"/>
              </w:rPr>
            </w:pPr>
            <w:r w:rsidRPr="00235598">
              <w:rPr>
                <w:lang w:eastAsia="en-AU"/>
              </w:rPr>
              <w:t>Mild</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26.0</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24.5</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37.3</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42.8</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68.6</w:t>
            </w:r>
          </w:p>
        </w:tc>
      </w:tr>
      <w:tr w:rsidR="00E30271" w:rsidRPr="00235598"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235598" w:rsidRDefault="00E30271" w:rsidP="00E30271">
            <w:pPr>
              <w:pStyle w:val="TableRowHeadings"/>
              <w:rPr>
                <w:lang w:eastAsia="en-AU"/>
              </w:rPr>
            </w:pPr>
            <w:r w:rsidRPr="00235598">
              <w:rPr>
                <w:lang w:eastAsia="en-AU"/>
              </w:rPr>
              <w:t>Moderate</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18.3</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23.3</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35.1</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20.7</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20.3</w:t>
            </w:r>
          </w:p>
        </w:tc>
      </w:tr>
      <w:tr w:rsidR="00E30271" w:rsidRPr="00235598"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235598" w:rsidRDefault="00E30271" w:rsidP="00E30271">
            <w:pPr>
              <w:pStyle w:val="TableRowHeadings"/>
              <w:rPr>
                <w:lang w:eastAsia="en-AU"/>
              </w:rPr>
            </w:pPr>
            <w:r w:rsidRPr="00235598">
              <w:rPr>
                <w:lang w:eastAsia="en-AU"/>
              </w:rPr>
              <w:t>Severe</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9.7</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5.7</w:t>
            </w:r>
          </w:p>
        </w:tc>
        <w:tc>
          <w:tcPr>
            <w:tcW w:w="1318"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16.6</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6.3</w:t>
            </w:r>
          </w:p>
        </w:tc>
        <w:tc>
          <w:tcPr>
            <w:tcW w:w="1319" w:type="dxa"/>
            <w:tcBorders>
              <w:top w:val="nil"/>
              <w:left w:val="nil"/>
              <w:bottom w:val="nil"/>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11.1</w:t>
            </w:r>
          </w:p>
        </w:tc>
      </w:tr>
      <w:tr w:rsidR="00E30271" w:rsidRPr="00235598" w:rsidTr="00E30271">
        <w:trPr>
          <w:cantSplit/>
          <w:jc w:val="center"/>
        </w:trPr>
        <w:tc>
          <w:tcPr>
            <w:tcW w:w="2510" w:type="dxa"/>
            <w:tcBorders>
              <w:top w:val="nil"/>
              <w:bottom w:val="single" w:sz="6" w:space="0" w:color="000000"/>
              <w:right w:val="nil"/>
            </w:tcBorders>
            <w:shd w:val="clear" w:color="auto" w:fill="EFF3FF"/>
            <w:tcMar>
              <w:left w:w="40" w:type="dxa"/>
              <w:right w:w="40" w:type="dxa"/>
            </w:tcMar>
          </w:tcPr>
          <w:p w:rsidR="00E30271" w:rsidRPr="00235598" w:rsidRDefault="00E30271" w:rsidP="00E30271">
            <w:pPr>
              <w:pStyle w:val="TableRowHeadings"/>
              <w:rPr>
                <w:lang w:eastAsia="en-AU"/>
              </w:rPr>
            </w:pPr>
            <w:r w:rsidRPr="00235598">
              <w:rPr>
                <w:lang w:eastAsia="en-AU"/>
              </w:rPr>
              <w:t>Does not go to school or work</w:t>
            </w:r>
          </w:p>
        </w:tc>
        <w:tc>
          <w:tcPr>
            <w:tcW w:w="1318" w:type="dxa"/>
            <w:tcBorders>
              <w:top w:val="nil"/>
              <w:left w:val="nil"/>
              <w:bottom w:val="single" w:sz="6" w:space="0" w:color="000000"/>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r w:rsidRPr="00235598">
              <w:rPr>
                <w:lang w:eastAsia="en-AU"/>
              </w:rPr>
              <w:t>2.8</w:t>
            </w: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p>
        </w:tc>
        <w:tc>
          <w:tcPr>
            <w:tcW w:w="1318" w:type="dxa"/>
            <w:tcBorders>
              <w:top w:val="nil"/>
              <w:left w:val="nil"/>
              <w:bottom w:val="single" w:sz="6" w:space="0" w:color="000000"/>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p>
        </w:tc>
        <w:tc>
          <w:tcPr>
            <w:tcW w:w="1319" w:type="dxa"/>
            <w:tcBorders>
              <w:top w:val="nil"/>
              <w:left w:val="nil"/>
              <w:bottom w:val="single" w:sz="6" w:space="0" w:color="000000"/>
              <w:right w:val="nil"/>
            </w:tcBorders>
            <w:shd w:val="clear" w:color="auto" w:fill="FFFFFF"/>
            <w:tcMar>
              <w:left w:w="40" w:type="dxa"/>
              <w:right w:w="40" w:type="dxa"/>
            </w:tcMar>
            <w:vAlign w:val="bottom"/>
          </w:tcPr>
          <w:p w:rsidR="00E30271" w:rsidRPr="00235598" w:rsidRDefault="00E30271" w:rsidP="00E30271">
            <w:pPr>
              <w:pStyle w:val="TableDataCell"/>
              <w:rPr>
                <w:lang w:eastAsia="en-AU"/>
              </w:rPr>
            </w:pPr>
          </w:p>
        </w:tc>
      </w:tr>
    </w:tbl>
    <w:p w:rsidR="00E30271" w:rsidRDefault="00E30271" w:rsidP="00E30271">
      <w:pPr>
        <w:pStyle w:val="Heading3"/>
      </w:pPr>
      <w:r>
        <w:t>6.4.5</w:t>
      </w:r>
      <w:r>
        <w:tab/>
        <w:t>Days absent from school</w:t>
      </w:r>
    </w:p>
    <w:p w:rsidR="00E30271" w:rsidRDefault="00E30271" w:rsidP="00E30271">
      <w:pPr>
        <w:pStyle w:val="BodyText"/>
      </w:pPr>
      <w:r>
        <w:t>Some 40% of 4-11 year-olds and 13% of 12-17 year-olds with oppositional problem behaviours attending school had missed at least one day of school in the last 12 months due to their oppositional problem behaviours.</w:t>
      </w:r>
    </w:p>
    <w:p w:rsidR="00E30271" w:rsidRDefault="00E30271" w:rsidP="00E30271">
      <w:pPr>
        <w:pStyle w:val="BodyText"/>
      </w:pPr>
      <w:r>
        <w:t>The average number of days missed of school was significantly higher in adolescents than 4-11 year-olds (Table 6-</w:t>
      </w:r>
      <w:r>
        <w:rPr>
          <w:noProof/>
        </w:rPr>
        <w:t>14</w:t>
      </w:r>
      <w:r>
        <w:t xml:space="preserve">). Children 4-11 years missed an average of four days in the past 12 months, while 12-17 year-olds missed an average of nine days. </w:t>
      </w:r>
    </w:p>
    <w:p w:rsidR="00E30271" w:rsidRDefault="00E30271" w:rsidP="00E30271">
      <w:pPr>
        <w:pStyle w:val="Caption"/>
        <w:keepNext/>
      </w:pPr>
      <w:bookmarkStart w:id="128" w:name="_Ref405882615"/>
      <w:r>
        <w:t>Table 6-</w:t>
      </w:r>
      <w:r>
        <w:rPr>
          <w:noProof/>
        </w:rPr>
        <w:t>14</w:t>
      </w:r>
      <w:bookmarkEnd w:id="128"/>
      <w:r>
        <w:t xml:space="preserve">: </w:t>
      </w:r>
      <w:r w:rsidRPr="00074AE8">
        <w:t>Average days off school in the past 12 months due to oppositional problem behaviours</w:t>
      </w:r>
      <w:r>
        <w:t xml:space="preserve"> among 4-17 year-olds</w:t>
      </w:r>
      <w:r w:rsidRPr="00074AE8">
        <w:t xml:space="preserve"> by age group</w:t>
      </w:r>
    </w:p>
    <w:tbl>
      <w:tblPr>
        <w:tblW w:w="0" w:type="auto"/>
        <w:jc w:val="center"/>
        <w:tblLayout w:type="fixed"/>
        <w:tblCellMar>
          <w:left w:w="0" w:type="dxa"/>
          <w:right w:w="0" w:type="dxa"/>
        </w:tblCellMar>
        <w:tblLook w:val="0020" w:firstRow="1" w:lastRow="0" w:firstColumn="0" w:lastColumn="0" w:noHBand="0" w:noVBand="0"/>
        <w:tblDescription w:val="In Table 6-14 the first column defines age group. Read across to the second column for the average days off school for children in that age group."/>
      </w:tblPr>
      <w:tblGrid>
        <w:gridCol w:w="6092"/>
        <w:gridCol w:w="2953"/>
      </w:tblGrid>
      <w:tr w:rsidR="00E30271" w:rsidRPr="003C70C6" w:rsidTr="00E30271">
        <w:trPr>
          <w:cantSplit/>
          <w:tblHeader/>
          <w:jc w:val="center"/>
        </w:trPr>
        <w:tc>
          <w:tcPr>
            <w:tcW w:w="6092"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057BD9" w:rsidRDefault="00E30271" w:rsidP="00E30271">
            <w:pPr>
              <w:pStyle w:val="TableColumnHeadings"/>
              <w:jc w:val="left"/>
              <w:rPr>
                <w:rStyle w:val="Strong"/>
              </w:rPr>
            </w:pPr>
            <w:r w:rsidRPr="00057BD9">
              <w:rPr>
                <w:rStyle w:val="Strong"/>
              </w:rPr>
              <w:t>Age group</w:t>
            </w:r>
          </w:p>
        </w:tc>
        <w:tc>
          <w:tcPr>
            <w:tcW w:w="295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057BD9" w:rsidRDefault="00E30271" w:rsidP="00E30271">
            <w:pPr>
              <w:pStyle w:val="TableColumnHeadings"/>
              <w:rPr>
                <w:rStyle w:val="Strong"/>
              </w:rPr>
            </w:pPr>
            <w:r w:rsidRPr="00057BD9">
              <w:rPr>
                <w:rStyle w:val="Strong"/>
              </w:rPr>
              <w:t>Average days absent</w:t>
            </w:r>
          </w:p>
        </w:tc>
      </w:tr>
      <w:tr w:rsidR="00E30271" w:rsidRPr="003C70C6" w:rsidTr="00E30271">
        <w:trPr>
          <w:cantSplit/>
          <w:jc w:val="center"/>
        </w:trPr>
        <w:tc>
          <w:tcPr>
            <w:tcW w:w="6092" w:type="dxa"/>
            <w:tcBorders>
              <w:top w:val="nil"/>
              <w:bottom w:val="single" w:sz="4" w:space="0" w:color="FFFFFF"/>
              <w:right w:val="nil"/>
            </w:tcBorders>
            <w:shd w:val="clear" w:color="auto" w:fill="EFF3FF"/>
            <w:tcMar>
              <w:left w:w="40" w:type="dxa"/>
              <w:right w:w="40" w:type="dxa"/>
            </w:tcMar>
          </w:tcPr>
          <w:p w:rsidR="00E30271" w:rsidRPr="003C70C6" w:rsidRDefault="00E30271" w:rsidP="00E30271">
            <w:pPr>
              <w:pStyle w:val="TableRowHeadings"/>
              <w:rPr>
                <w:lang w:eastAsia="en-AU"/>
              </w:rPr>
            </w:pPr>
            <w:r w:rsidRPr="003C70C6">
              <w:rPr>
                <w:lang w:eastAsia="en-AU"/>
              </w:rPr>
              <w:t>4-11 years</w:t>
            </w:r>
          </w:p>
        </w:tc>
        <w:tc>
          <w:tcPr>
            <w:tcW w:w="2953" w:type="dxa"/>
            <w:tcBorders>
              <w:top w:val="nil"/>
              <w:left w:val="nil"/>
              <w:bottom w:val="nil"/>
              <w:right w:val="nil"/>
            </w:tcBorders>
            <w:shd w:val="clear" w:color="auto" w:fill="FFFFFF"/>
            <w:tcMar>
              <w:left w:w="40" w:type="dxa"/>
              <w:right w:w="40" w:type="dxa"/>
            </w:tcMar>
            <w:vAlign w:val="bottom"/>
          </w:tcPr>
          <w:p w:rsidR="00E30271" w:rsidRPr="003C70C6" w:rsidRDefault="00E30271" w:rsidP="00E30271">
            <w:pPr>
              <w:pStyle w:val="TableDataCell"/>
              <w:rPr>
                <w:lang w:eastAsia="en-AU"/>
              </w:rPr>
            </w:pPr>
            <w:r>
              <w:rPr>
                <w:lang w:eastAsia="en-AU"/>
              </w:rPr>
              <w:t>4</w:t>
            </w:r>
          </w:p>
        </w:tc>
      </w:tr>
      <w:tr w:rsidR="00E30271" w:rsidRPr="003C70C6" w:rsidTr="00E30271">
        <w:trPr>
          <w:cantSplit/>
          <w:jc w:val="center"/>
        </w:trPr>
        <w:tc>
          <w:tcPr>
            <w:tcW w:w="6092" w:type="dxa"/>
            <w:tcBorders>
              <w:top w:val="nil"/>
              <w:bottom w:val="single" w:sz="4" w:space="0" w:color="auto"/>
              <w:right w:val="nil"/>
            </w:tcBorders>
            <w:shd w:val="clear" w:color="auto" w:fill="EFF3FF"/>
            <w:tcMar>
              <w:left w:w="40" w:type="dxa"/>
              <w:right w:w="40" w:type="dxa"/>
            </w:tcMar>
          </w:tcPr>
          <w:p w:rsidR="00E30271" w:rsidRPr="003C70C6" w:rsidRDefault="00E30271" w:rsidP="00E30271">
            <w:pPr>
              <w:pStyle w:val="TableRowHeadings"/>
              <w:rPr>
                <w:lang w:eastAsia="en-AU"/>
              </w:rPr>
            </w:pPr>
            <w:r w:rsidRPr="003C70C6">
              <w:rPr>
                <w:lang w:eastAsia="en-AU"/>
              </w:rPr>
              <w:t>12-17 years</w:t>
            </w:r>
          </w:p>
        </w:tc>
        <w:tc>
          <w:tcPr>
            <w:tcW w:w="2953" w:type="dxa"/>
            <w:tcBorders>
              <w:top w:val="nil"/>
              <w:left w:val="nil"/>
              <w:bottom w:val="single" w:sz="4" w:space="0" w:color="auto"/>
              <w:right w:val="nil"/>
            </w:tcBorders>
            <w:shd w:val="clear" w:color="auto" w:fill="FFFFFF"/>
            <w:tcMar>
              <w:left w:w="40" w:type="dxa"/>
              <w:right w:w="40" w:type="dxa"/>
            </w:tcMar>
            <w:vAlign w:val="bottom"/>
          </w:tcPr>
          <w:p w:rsidR="00E30271" w:rsidRPr="003C70C6" w:rsidRDefault="00E30271" w:rsidP="00E30271">
            <w:pPr>
              <w:pStyle w:val="TableDataCell"/>
              <w:rPr>
                <w:lang w:eastAsia="en-AU"/>
              </w:rPr>
            </w:pPr>
            <w:r>
              <w:rPr>
                <w:lang w:eastAsia="en-AU"/>
              </w:rPr>
              <w:t>9</w:t>
            </w:r>
          </w:p>
        </w:tc>
      </w:tr>
      <w:tr w:rsidR="00E30271" w:rsidRPr="003C70C6" w:rsidTr="00E30271">
        <w:trPr>
          <w:cantSplit/>
          <w:jc w:val="center"/>
        </w:trPr>
        <w:tc>
          <w:tcPr>
            <w:tcW w:w="6092" w:type="dxa"/>
            <w:tcBorders>
              <w:top w:val="single" w:sz="4" w:space="0" w:color="auto"/>
              <w:bottom w:val="single" w:sz="6" w:space="0" w:color="000000"/>
              <w:right w:val="nil"/>
            </w:tcBorders>
            <w:shd w:val="clear" w:color="auto" w:fill="EFF3FF"/>
            <w:tcMar>
              <w:left w:w="40" w:type="dxa"/>
              <w:right w:w="40" w:type="dxa"/>
            </w:tcMar>
          </w:tcPr>
          <w:p w:rsidR="00E30271" w:rsidRPr="00284974" w:rsidRDefault="00E30271" w:rsidP="00E30271">
            <w:pPr>
              <w:pStyle w:val="TableRowHeadings"/>
              <w:rPr>
                <w:rStyle w:val="Strong"/>
              </w:rPr>
            </w:pPr>
            <w:r w:rsidRPr="00284974">
              <w:rPr>
                <w:rStyle w:val="Strong"/>
              </w:rPr>
              <w:t>4-17 years</w:t>
            </w:r>
          </w:p>
        </w:tc>
        <w:tc>
          <w:tcPr>
            <w:tcW w:w="295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284974" w:rsidRDefault="00E30271" w:rsidP="00E30271">
            <w:pPr>
              <w:pStyle w:val="TableDataCell"/>
              <w:rPr>
                <w:rStyle w:val="Strong"/>
              </w:rPr>
            </w:pPr>
            <w:r w:rsidRPr="00284974">
              <w:rPr>
                <w:rStyle w:val="Strong"/>
              </w:rPr>
              <w:t>6</w:t>
            </w:r>
          </w:p>
        </w:tc>
      </w:tr>
    </w:tbl>
    <w:p w:rsidR="00E30271" w:rsidRPr="00555E74" w:rsidRDefault="00E30271" w:rsidP="00555E74"/>
    <w:p w:rsidR="00E30271" w:rsidRDefault="00E30271" w:rsidP="00DB066C">
      <w:pPr>
        <w:jc w:val="center"/>
        <w:sectPr w:rsidR="00E30271" w:rsidSect="003330E0">
          <w:headerReference w:type="even" r:id="rId78"/>
          <w:headerReference w:type="default" r:id="rId79"/>
          <w:footerReference w:type="even" r:id="rId80"/>
          <w:footerReference w:type="default" r:id="rId81"/>
          <w:headerReference w:type="first" r:id="rId82"/>
          <w:footerReference w:type="first" r:id="rId83"/>
          <w:pgSz w:w="11906" w:h="16838" w:code="9"/>
          <w:pgMar w:top="1440" w:right="1440" w:bottom="1440" w:left="1440" w:header="567" w:footer="567" w:gutter="0"/>
          <w:pgNumType w:start="65"/>
          <w:cols w:space="720"/>
          <w:docGrid w:linePitch="360"/>
        </w:sectPr>
      </w:pPr>
    </w:p>
    <w:p w:rsidR="00E30271" w:rsidRPr="00BB1762" w:rsidRDefault="00E30271" w:rsidP="00E30271">
      <w:pPr>
        <w:spacing w:after="0" w:line="276" w:lineRule="auto"/>
        <w:jc w:val="center"/>
        <w:rPr>
          <w:b/>
          <w:color w:val="2171B5"/>
          <w:sz w:val="40"/>
          <w:szCs w:val="40"/>
        </w:rPr>
      </w:pPr>
      <w:r w:rsidRPr="00F822EB">
        <w:rPr>
          <w:b/>
          <w:noProof/>
          <w:color w:val="2171B5"/>
          <w:sz w:val="40"/>
          <w:szCs w:val="40"/>
          <w:lang w:eastAsia="en-AU"/>
        </w:rPr>
        <w:lastRenderedPageBreak/>
        <mc:AlternateContent>
          <mc:Choice Requires="wps">
            <w:drawing>
              <wp:anchor distT="0" distB="0" distL="114300" distR="114300" simplePos="0" relativeHeight="251665408" behindDoc="1" locked="0" layoutInCell="1" allowOverlap="1" wp14:anchorId="58F8B7CF" wp14:editId="58B065BA">
                <wp:simplePos x="0" y="0"/>
                <wp:positionH relativeFrom="column">
                  <wp:posOffset>-1481122</wp:posOffset>
                </wp:positionH>
                <wp:positionV relativeFrom="paragraph">
                  <wp:posOffset>-968991</wp:posOffset>
                </wp:positionV>
                <wp:extent cx="8224832" cy="11252200"/>
                <wp:effectExtent l="0" t="0" r="5080" b="6350"/>
                <wp:wrapNone/>
                <wp:docPr id="23" name="Rectangle 23"/>
                <wp:cNvGraphicFramePr/>
                <a:graphic xmlns:a="http://schemas.openxmlformats.org/drawingml/2006/main">
                  <a:graphicData uri="http://schemas.microsoft.com/office/word/2010/wordprocessingShape">
                    <wps:wsp>
                      <wps:cNvSpPr/>
                      <wps:spPr>
                        <a:xfrm>
                          <a:off x="0" y="0"/>
                          <a:ext cx="8224832"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E30271">
                            <w:pPr>
                              <w:pStyle w:val="Intro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116.6pt;margin-top:-76.3pt;width:647.6pt;height:8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" fillcolor="#eff3ff" stroked="f" strokeweight="2pt">
                <v:fill opacity="56283f"/>
                <v:textbox>
                  <w:txbxContent>
                    <w:p w:rsidR="00711229" w:rsidRDefault="00711229" w:rsidP="00E30271">
                      <w:pPr>
                        <w:pStyle w:val="IntroText"/>
                      </w:pPr>
                      <w:r>
                        <w:softHyphen/>
                      </w:r>
                      <w:r>
                        <w:softHyphen/>
                      </w:r>
                    </w:p>
                  </w:txbxContent>
                </v:textbox>
              </v:rect>
            </w:pict>
          </mc:Fallback>
        </mc:AlternateContent>
      </w:r>
      <w:r w:rsidRPr="00BB1762">
        <w:rPr>
          <w:b/>
          <w:color w:val="2171B5"/>
          <w:sz w:val="40"/>
          <w:szCs w:val="40"/>
        </w:rPr>
        <w:t>PART 3</w:t>
      </w:r>
    </w:p>
    <w:p w:rsidR="00E30271" w:rsidRPr="00F822EB" w:rsidRDefault="00E30271" w:rsidP="00E30271">
      <w:pPr>
        <w:pStyle w:val="PartHeading"/>
      </w:pPr>
      <w:r w:rsidRPr="00F822EB">
        <w:t>Service use</w:t>
      </w:r>
    </w:p>
    <w:p w:rsidR="00E30271" w:rsidRPr="00BB1762" w:rsidRDefault="00E30271" w:rsidP="00E30271">
      <w:pPr>
        <w:spacing w:after="0" w:line="276" w:lineRule="auto"/>
        <w:jc w:val="center"/>
        <w:rPr>
          <w:b/>
          <w:color w:val="2171B5"/>
          <w:sz w:val="34"/>
          <w:szCs w:val="34"/>
        </w:rPr>
      </w:pPr>
      <w:r w:rsidRPr="00BB1762">
        <w:rPr>
          <w:b/>
          <w:color w:val="2171B5"/>
          <w:sz w:val="34"/>
          <w:szCs w:val="34"/>
        </w:rPr>
        <w:t>Services used and those felt to be needed by children and adolescents for emotional or behavioural problems and their families, and</w:t>
      </w:r>
    </w:p>
    <w:p w:rsidR="00E30271" w:rsidRPr="00BB1762" w:rsidRDefault="00E30271" w:rsidP="00E30271">
      <w:pPr>
        <w:spacing w:after="0" w:line="276" w:lineRule="auto"/>
        <w:jc w:val="center"/>
        <w:rPr>
          <w:b/>
          <w:color w:val="2171B5"/>
          <w:sz w:val="38"/>
          <w:szCs w:val="38"/>
        </w:rPr>
      </w:pPr>
      <w:proofErr w:type="gramStart"/>
      <w:r w:rsidRPr="00BB1762">
        <w:rPr>
          <w:b/>
          <w:color w:val="2171B5"/>
          <w:sz w:val="34"/>
          <w:szCs w:val="34"/>
        </w:rPr>
        <w:t>barriers</w:t>
      </w:r>
      <w:proofErr w:type="gramEnd"/>
      <w:r w:rsidRPr="00BB1762">
        <w:rPr>
          <w:b/>
          <w:color w:val="2171B5"/>
          <w:sz w:val="34"/>
          <w:szCs w:val="34"/>
        </w:rPr>
        <w:t xml:space="preserve"> to seeking and receiving help</w:t>
      </w:r>
    </w:p>
    <w:p w:rsidR="00E30271" w:rsidRPr="00F822EB" w:rsidRDefault="00E30271" w:rsidP="00E30271">
      <w:pPr>
        <w:pStyle w:val="IntroText"/>
        <w:spacing w:before="900"/>
      </w:pPr>
      <w:r w:rsidRPr="00F822EB">
        <w:t>A key aim of the survey was to determine the services used by children and adolescents to assist them with their emotional or behavioural problems. Questions were specifically tailored to the current Australian health care environment.</w:t>
      </w:r>
    </w:p>
    <w:p w:rsidR="00E30271" w:rsidRPr="00F822EB" w:rsidRDefault="00E30271" w:rsidP="00E30271">
      <w:pPr>
        <w:pStyle w:val="IntroText"/>
      </w:pPr>
      <w:r w:rsidRPr="00F822EB">
        <w:t>Health services across the full range of settings and by different providers are identified and information on services provided by schools is also provided in recognition of the important role that the education sector plays in providing support for children and adolescents with problems.</w:t>
      </w:r>
    </w:p>
    <w:p w:rsidR="00E30271" w:rsidRPr="00F822EB" w:rsidRDefault="00E30271" w:rsidP="00E30271">
      <w:pPr>
        <w:pStyle w:val="IntroText"/>
      </w:pPr>
      <w:r w:rsidRPr="00F822EB">
        <w:t>Service use by young people with mental disorders is examined in detail, and those who did and did not use services further explored.</w:t>
      </w:r>
    </w:p>
    <w:p w:rsidR="00E30271" w:rsidRPr="00F822EB" w:rsidRDefault="00E30271" w:rsidP="00E30271">
      <w:pPr>
        <w:pStyle w:val="IntroText"/>
      </w:pPr>
      <w:r w:rsidRPr="00F822EB">
        <w:t>The survey also measured perceived need for care. Specifically this identified whether parents and carers felt that their children needed any help with emotional or behavioural problems and, if so, whether their needs have been fully or partially met by the services they received. Where needs were not fully met information was collected on the barriers to seeking help or receiving more of the help they felt their children needed.</w:t>
      </w:r>
    </w:p>
    <w:p w:rsidR="00E30271" w:rsidRPr="00F822EB" w:rsidRDefault="00E30271" w:rsidP="00E30271">
      <w:pPr>
        <w:pStyle w:val="IntroText"/>
      </w:pPr>
      <w:r w:rsidRPr="00F822EB">
        <w:t>Parents and carers were asked about the services they had received and their need for help for themselves and other family members to deal with the emotional and behavioural problems affecting their children.</w:t>
      </w:r>
    </w:p>
    <w:p w:rsidR="00E30271" w:rsidRDefault="00E30271" w:rsidP="00E30271">
      <w:pPr>
        <w:rPr>
          <w:rFonts w:ascii="Source Sans Pro" w:hAnsi="Source Sans Pro"/>
          <w:sz w:val="24"/>
          <w:szCs w:val="24"/>
        </w:rPr>
        <w:sectPr w:rsidR="00E30271" w:rsidSect="003330E0">
          <w:headerReference w:type="even" r:id="rId84"/>
          <w:headerReference w:type="default" r:id="rId85"/>
          <w:footerReference w:type="even" r:id="rId86"/>
          <w:footerReference w:type="default" r:id="rId87"/>
          <w:headerReference w:type="first" r:id="rId88"/>
          <w:footerReference w:type="first" r:id="rId89"/>
          <w:pgSz w:w="11906" w:h="16838" w:code="9"/>
          <w:pgMar w:top="1440" w:right="2268" w:bottom="1440" w:left="2268" w:header="567" w:footer="567" w:gutter="0"/>
          <w:pgNumType w:start="65"/>
          <w:cols w:space="720"/>
          <w:titlePg/>
          <w:docGrid w:linePitch="360"/>
        </w:sectPr>
      </w:pPr>
    </w:p>
    <w:p w:rsidR="00E30271" w:rsidRPr="00555E74" w:rsidRDefault="00E30271" w:rsidP="00555E74"/>
    <w:p w:rsidR="00E30271" w:rsidRDefault="00E30271" w:rsidP="00DB066C">
      <w:pPr>
        <w:jc w:val="center"/>
        <w:sectPr w:rsidR="00E30271" w:rsidSect="003330E0">
          <w:headerReference w:type="first" r:id="rId90"/>
          <w:pgSz w:w="11906" w:h="16838" w:code="9"/>
          <w:pgMar w:top="1440" w:right="1440" w:bottom="1440" w:left="1440" w:header="567" w:footer="567" w:gutter="0"/>
          <w:pgNumType w:start="74"/>
          <w:cols w:space="720"/>
          <w:titlePg/>
          <w:docGrid w:linePitch="360"/>
        </w:sectPr>
      </w:pPr>
    </w:p>
    <w:p w:rsidR="00E30271" w:rsidRDefault="00E30271" w:rsidP="00E30271">
      <w:pPr>
        <w:pStyle w:val="Heading1"/>
      </w:pPr>
      <w:bookmarkStart w:id="129" w:name="_Toc401758756"/>
      <w:r>
        <w:lastRenderedPageBreak/>
        <w:t>7</w:t>
      </w:r>
      <w:r>
        <w:tab/>
      </w:r>
      <w:bookmarkEnd w:id="129"/>
      <w:r>
        <w:t>Service use</w:t>
      </w:r>
    </w:p>
    <w:p w:rsidR="00E30271" w:rsidRDefault="00E30271" w:rsidP="00E30271">
      <w:pPr>
        <w:pStyle w:val="BodyText"/>
      </w:pPr>
      <w:r>
        <w:t>This chapter presents data provided by parents and carers on the services used by their children and adolescents for emotional or behavioural problems. This reflects service use for a range of emotional and behavioural problems and for specific mental disorders.</w:t>
      </w:r>
    </w:p>
    <w:p w:rsidR="00E30271" w:rsidRDefault="00E30271" w:rsidP="00E30271">
      <w:pPr>
        <w:pStyle w:val="BodyText"/>
      </w:pPr>
      <w:r>
        <w:t xml:space="preserve">Children and adolescents use a wide variety of services to support and assist them with emotional or behavioural problems. These include health services, school services, </w:t>
      </w:r>
      <w:proofErr w:type="gramStart"/>
      <w:r>
        <w:t>telephone</w:t>
      </w:r>
      <w:proofErr w:type="gramEnd"/>
      <w:r>
        <w:t xml:space="preserve"> counselling and online services. A summary measure of '</w:t>
      </w:r>
      <w:r w:rsidRPr="00544F7D">
        <w:t xml:space="preserve">service use' </w:t>
      </w:r>
      <w:r>
        <w:t xml:space="preserve">was created that includes all of these services, but online services were limited to those providing structured or personalised assistance. While valuable in </w:t>
      </w:r>
      <w:proofErr w:type="gramStart"/>
      <w:r>
        <w:t>their own</w:t>
      </w:r>
      <w:proofErr w:type="gramEnd"/>
      <w:r>
        <w:t xml:space="preserve"> right, online services where information is accessed on the internet but no other service is provided were excluded from this composite measure.</w:t>
      </w:r>
    </w:p>
    <w:p w:rsidR="00E30271" w:rsidRDefault="00E30271" w:rsidP="00E30271">
      <w:pPr>
        <w:pStyle w:val="BodyText"/>
      </w:pPr>
      <w:r>
        <w:t xml:space="preserve">The data presented in this chapter on telephone and online services do not provide a particularly accurate picture of the use of telephone and online services. Parents and carers often reported that they did not know services of these types that their child or adolescent had used. These data </w:t>
      </w:r>
      <w:proofErr w:type="gramStart"/>
      <w:r>
        <w:t>have,</w:t>
      </w:r>
      <w:proofErr w:type="gramEnd"/>
      <w:r>
        <w:t xml:space="preserve"> however, been included with those on health and school services, as together they provide the most complete picture of services used by children and adolescents.</w:t>
      </w:r>
    </w:p>
    <w:p w:rsidR="00E30271" w:rsidRDefault="00E30271" w:rsidP="00E30271">
      <w:pPr>
        <w:pStyle w:val="BodyText"/>
      </w:pPr>
      <w:r>
        <w:t>Young people aged 1</w:t>
      </w:r>
      <w:r w:rsidR="002C3A67">
        <w:t>3</w:t>
      </w:r>
      <w:r>
        <w:t xml:space="preserve"> years and over were asked directly about the services they used. Their responses are reported in Chapter 13 which provides a more accurate picture of young people’s use of telephone and online services, not only for counselling and support, but also as an important source of information on their emotional and behavioural problems. Young people also reported on the informal support for their emotional and behavioural problems that they received from family, friends and other significant people in their lives. This is also reported in Chapter 13.</w:t>
      </w:r>
    </w:p>
    <w:p w:rsidR="00E30271" w:rsidRPr="004E47B6" w:rsidRDefault="00E30271" w:rsidP="00E30271">
      <w:pPr>
        <w:pStyle w:val="Heading2"/>
      </w:pPr>
      <w:bookmarkStart w:id="130" w:name="_Toc401758757"/>
      <w:bookmarkStart w:id="131" w:name="_Ref395604063"/>
      <w:bookmarkStart w:id="132" w:name="_Ref395604047"/>
      <w:r>
        <w:t xml:space="preserve">7.1 </w:t>
      </w:r>
      <w:r>
        <w:tab/>
        <w:t>S</w:t>
      </w:r>
      <w:r w:rsidRPr="004E47B6">
        <w:t>ervice</w:t>
      </w:r>
      <w:r>
        <w:t xml:space="preserve"> use</w:t>
      </w:r>
      <w:r w:rsidRPr="004E47B6">
        <w:t xml:space="preserve"> by </w:t>
      </w:r>
      <w:r>
        <w:t>all children and adolescents</w:t>
      </w:r>
      <w:r w:rsidRPr="004E47B6">
        <w:t xml:space="preserve"> </w:t>
      </w:r>
      <w:bookmarkEnd w:id="130"/>
    </w:p>
    <w:p w:rsidR="00E30271" w:rsidRPr="00544F7D" w:rsidRDefault="00E30271" w:rsidP="00E30271">
      <w:pPr>
        <w:pStyle w:val="BodyText"/>
      </w:pPr>
      <w:r>
        <w:t xml:space="preserve">‘Services’ comprise </w:t>
      </w:r>
      <w:r w:rsidRPr="00544F7D">
        <w:t xml:space="preserve">the following: </w:t>
      </w:r>
    </w:p>
    <w:p w:rsidR="00E30271" w:rsidRPr="00A70BB1" w:rsidRDefault="00E30271" w:rsidP="00E30271">
      <w:pPr>
        <w:pStyle w:val="NumberedList2"/>
      </w:pPr>
      <w:r>
        <w:t xml:space="preserve">health services — </w:t>
      </w:r>
      <w:r w:rsidRPr="00A70BB1">
        <w:t>any service provided by a qualified health professional regardless of where that service was provided</w:t>
      </w:r>
      <w:r>
        <w:t xml:space="preserve"> including in the </w:t>
      </w:r>
      <w:r w:rsidRPr="00A70BB1">
        <w:t>community, hospital inpatient, outpatient and emergency, and private rooms;</w:t>
      </w:r>
    </w:p>
    <w:p w:rsidR="00E30271" w:rsidRDefault="00E30271" w:rsidP="00E30271">
      <w:pPr>
        <w:pStyle w:val="NumberedList2"/>
      </w:pPr>
      <w:r w:rsidRPr="00A70BB1">
        <w:t>school s</w:t>
      </w:r>
      <w:r>
        <w:t xml:space="preserve">ervices — </w:t>
      </w:r>
      <w:r w:rsidRPr="00A70BB1">
        <w:t>any service provided by the school or other educational institution that a young person was attending</w:t>
      </w:r>
      <w:r>
        <w:t>;</w:t>
      </w:r>
    </w:p>
    <w:p w:rsidR="00E30271" w:rsidRDefault="00E30271" w:rsidP="00E30271">
      <w:pPr>
        <w:pStyle w:val="NumberedList2"/>
      </w:pPr>
      <w:r>
        <w:t>telephone counselling services; and</w:t>
      </w:r>
    </w:p>
    <w:p w:rsidR="00E30271" w:rsidRPr="00A70BB1" w:rsidRDefault="00E30271" w:rsidP="00E30271">
      <w:pPr>
        <w:pStyle w:val="NumberedList2"/>
      </w:pPr>
      <w:proofErr w:type="gramStart"/>
      <w:r>
        <w:t>online</w:t>
      </w:r>
      <w:proofErr w:type="gramEnd"/>
      <w:r>
        <w:t xml:space="preserve"> services that provided personalised assessment, support, counselling or structured self-help programs.</w:t>
      </w:r>
    </w:p>
    <w:p w:rsidR="00E30271" w:rsidRDefault="00E30271" w:rsidP="00E30271">
      <w:pPr>
        <w:pStyle w:val="BodyText"/>
      </w:pPr>
      <w:r>
        <w:t>One sixth (17.0%) of all children and adolescents aged 4-17 years had used services for emotional or behavioural problems in the previous 12 months (Table 7-</w:t>
      </w:r>
      <w:r>
        <w:rPr>
          <w:noProof/>
        </w:rPr>
        <w:t>1</w:t>
      </w:r>
      <w:r>
        <w:t>). One in seven (14.8%) of all 4-17 year-olds had used services in the health sector, and one in nine (11.5%) had used services provided by schools in the previous 12 months for emotional or behavioural problems.</w:t>
      </w:r>
      <w:r w:rsidRPr="00C21A68">
        <w:t xml:space="preserve"> </w:t>
      </w:r>
      <w:r>
        <w:t>According to parents and carers, very few had used a telephone counselling service (0.5%) or online personal support or counselling (0.1%) for emotional or behavioural problems.</w:t>
      </w:r>
    </w:p>
    <w:p w:rsidR="00E30271" w:rsidRDefault="00E30271" w:rsidP="00E30271">
      <w:pPr>
        <w:pStyle w:val="Caption"/>
        <w:keepNext/>
      </w:pPr>
      <w:bookmarkStart w:id="133" w:name="_Ref409109002"/>
      <w:r>
        <w:lastRenderedPageBreak/>
        <w:t>Table 7-</w:t>
      </w:r>
      <w:r>
        <w:rPr>
          <w:noProof/>
        </w:rPr>
        <w:t>1</w:t>
      </w:r>
      <w:bookmarkEnd w:id="133"/>
      <w:r>
        <w:t>: Service use for emotional or behavioural problems in past 12 months among all 4-17 year-olds by type of service</w:t>
      </w:r>
    </w:p>
    <w:tbl>
      <w:tblPr>
        <w:tblW w:w="9119" w:type="dxa"/>
        <w:jc w:val="center"/>
        <w:tblLayout w:type="fixed"/>
        <w:tblCellMar>
          <w:left w:w="0" w:type="dxa"/>
          <w:right w:w="0" w:type="dxa"/>
        </w:tblCellMar>
        <w:tblLook w:val="0020" w:firstRow="1" w:lastRow="0" w:firstColumn="0" w:lastColumn="0" w:noHBand="0" w:noVBand="0"/>
        <w:tblDescription w:val="In Table 7-1 the first column defines the type of services used in past 12 months. The second column provides the percentage of those who used each service."/>
      </w:tblPr>
      <w:tblGrid>
        <w:gridCol w:w="6961"/>
        <w:gridCol w:w="2158"/>
      </w:tblGrid>
      <w:tr w:rsidR="00E30271" w:rsidRPr="002E1AD6" w:rsidTr="00E30271">
        <w:trPr>
          <w:cantSplit/>
          <w:tblHeader/>
          <w:jc w:val="center"/>
        </w:trPr>
        <w:tc>
          <w:tcPr>
            <w:tcW w:w="696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Type of services</w:t>
            </w:r>
          </w:p>
        </w:tc>
        <w:tc>
          <w:tcPr>
            <w:tcW w:w="215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2E1AD6" w:rsidTr="00E30271">
        <w:trPr>
          <w:cantSplit/>
          <w:jc w:val="center"/>
        </w:trPr>
        <w:tc>
          <w:tcPr>
            <w:tcW w:w="6961" w:type="dxa"/>
            <w:tcBorders>
              <w:top w:val="nil"/>
              <w:bottom w:val="single" w:sz="4" w:space="0" w:color="FFFFFF"/>
              <w:right w:val="nil"/>
            </w:tcBorders>
            <w:shd w:val="clear" w:color="auto" w:fill="EFF3FF"/>
            <w:tcMar>
              <w:left w:w="40" w:type="dxa"/>
              <w:right w:w="40" w:type="dxa"/>
            </w:tcMar>
          </w:tcPr>
          <w:p w:rsidR="00E30271" w:rsidRPr="002E1AD6" w:rsidRDefault="00E30271" w:rsidP="00E30271">
            <w:pPr>
              <w:pStyle w:val="TableRowHeadings"/>
              <w:rPr>
                <w:lang w:eastAsia="en-AU"/>
              </w:rPr>
            </w:pPr>
            <w:r w:rsidRPr="002E1AD6">
              <w:rPr>
                <w:lang w:eastAsia="en-AU"/>
              </w:rPr>
              <w:t>Health services</w:t>
            </w:r>
          </w:p>
        </w:tc>
        <w:tc>
          <w:tcPr>
            <w:tcW w:w="2158" w:type="dxa"/>
            <w:tcBorders>
              <w:top w:val="nil"/>
              <w:left w:val="nil"/>
              <w:bottom w:val="nil"/>
              <w:right w:val="nil"/>
            </w:tcBorders>
            <w:shd w:val="clear" w:color="auto" w:fill="FFFFFF"/>
            <w:tcMar>
              <w:left w:w="40" w:type="dxa"/>
              <w:right w:w="40" w:type="dxa"/>
            </w:tcMar>
            <w:vAlign w:val="bottom"/>
          </w:tcPr>
          <w:p w:rsidR="00E30271" w:rsidRPr="002E1AD6" w:rsidRDefault="00E30271" w:rsidP="00E30271">
            <w:pPr>
              <w:pStyle w:val="TableDataCell"/>
              <w:rPr>
                <w:lang w:eastAsia="en-AU"/>
              </w:rPr>
            </w:pPr>
            <w:r w:rsidRPr="002E1AD6">
              <w:rPr>
                <w:lang w:eastAsia="en-AU"/>
              </w:rPr>
              <w:t>14.8</w:t>
            </w:r>
          </w:p>
        </w:tc>
      </w:tr>
      <w:tr w:rsidR="00E30271" w:rsidRPr="002E1AD6" w:rsidTr="00E30271">
        <w:trPr>
          <w:cantSplit/>
          <w:jc w:val="center"/>
        </w:trPr>
        <w:tc>
          <w:tcPr>
            <w:tcW w:w="6961" w:type="dxa"/>
            <w:tcBorders>
              <w:top w:val="nil"/>
              <w:bottom w:val="single" w:sz="4" w:space="0" w:color="FFFFFF"/>
              <w:right w:val="nil"/>
            </w:tcBorders>
            <w:shd w:val="clear" w:color="auto" w:fill="EFF3FF"/>
            <w:tcMar>
              <w:left w:w="40" w:type="dxa"/>
              <w:right w:w="40" w:type="dxa"/>
            </w:tcMar>
          </w:tcPr>
          <w:p w:rsidR="00E30271" w:rsidRPr="002E1AD6" w:rsidRDefault="00E30271" w:rsidP="00E30271">
            <w:pPr>
              <w:pStyle w:val="TableRowHeadings"/>
              <w:rPr>
                <w:lang w:eastAsia="en-AU"/>
              </w:rPr>
            </w:pPr>
            <w:r w:rsidRPr="002E1AD6">
              <w:rPr>
                <w:lang w:eastAsia="en-AU"/>
              </w:rPr>
              <w:t>School services</w:t>
            </w:r>
          </w:p>
        </w:tc>
        <w:tc>
          <w:tcPr>
            <w:tcW w:w="2158" w:type="dxa"/>
            <w:tcBorders>
              <w:top w:val="nil"/>
              <w:left w:val="nil"/>
              <w:bottom w:val="nil"/>
              <w:right w:val="nil"/>
            </w:tcBorders>
            <w:shd w:val="clear" w:color="auto" w:fill="FFFFFF"/>
            <w:tcMar>
              <w:left w:w="40" w:type="dxa"/>
              <w:right w:w="40" w:type="dxa"/>
            </w:tcMar>
            <w:vAlign w:val="bottom"/>
          </w:tcPr>
          <w:p w:rsidR="00E30271" w:rsidRPr="002E1AD6" w:rsidRDefault="00E30271" w:rsidP="00E30271">
            <w:pPr>
              <w:pStyle w:val="TableDataCell"/>
              <w:rPr>
                <w:lang w:eastAsia="en-AU"/>
              </w:rPr>
            </w:pPr>
            <w:r w:rsidRPr="002E1AD6">
              <w:rPr>
                <w:lang w:eastAsia="en-AU"/>
              </w:rPr>
              <w:t>11.5</w:t>
            </w:r>
          </w:p>
        </w:tc>
      </w:tr>
      <w:tr w:rsidR="00E30271" w:rsidRPr="002E1AD6" w:rsidTr="00E30271">
        <w:trPr>
          <w:cantSplit/>
          <w:jc w:val="center"/>
        </w:trPr>
        <w:tc>
          <w:tcPr>
            <w:tcW w:w="6961" w:type="dxa"/>
            <w:tcBorders>
              <w:top w:val="nil"/>
              <w:bottom w:val="single" w:sz="4" w:space="0" w:color="FFFFFF"/>
              <w:right w:val="nil"/>
            </w:tcBorders>
            <w:shd w:val="clear" w:color="auto" w:fill="EFF3FF"/>
            <w:tcMar>
              <w:left w:w="40" w:type="dxa"/>
              <w:right w:w="40" w:type="dxa"/>
            </w:tcMar>
          </w:tcPr>
          <w:p w:rsidR="00E30271" w:rsidRPr="002E1AD6" w:rsidRDefault="00E30271" w:rsidP="00E30271">
            <w:pPr>
              <w:pStyle w:val="TableRowHeadings"/>
              <w:rPr>
                <w:lang w:eastAsia="en-AU"/>
              </w:rPr>
            </w:pPr>
            <w:r w:rsidRPr="002E1AD6">
              <w:rPr>
                <w:lang w:eastAsia="en-AU"/>
              </w:rPr>
              <w:t>Telephone counselling service</w:t>
            </w:r>
          </w:p>
        </w:tc>
        <w:tc>
          <w:tcPr>
            <w:tcW w:w="2158" w:type="dxa"/>
            <w:tcBorders>
              <w:top w:val="nil"/>
              <w:left w:val="nil"/>
              <w:bottom w:val="nil"/>
              <w:right w:val="nil"/>
            </w:tcBorders>
            <w:shd w:val="clear" w:color="auto" w:fill="FFFFFF"/>
            <w:tcMar>
              <w:left w:w="40" w:type="dxa"/>
              <w:right w:w="40" w:type="dxa"/>
            </w:tcMar>
            <w:vAlign w:val="bottom"/>
          </w:tcPr>
          <w:p w:rsidR="00E30271" w:rsidRPr="002E1AD6" w:rsidRDefault="00E30271" w:rsidP="00E30271">
            <w:pPr>
              <w:pStyle w:val="TableDataCell"/>
              <w:rPr>
                <w:lang w:eastAsia="en-AU"/>
              </w:rPr>
            </w:pPr>
            <w:r w:rsidRPr="002E1AD6">
              <w:rPr>
                <w:lang w:eastAsia="en-AU"/>
              </w:rPr>
              <w:t>0.5</w:t>
            </w:r>
          </w:p>
        </w:tc>
      </w:tr>
      <w:tr w:rsidR="00E30271" w:rsidRPr="002E1AD6" w:rsidTr="00E30271">
        <w:trPr>
          <w:cantSplit/>
          <w:jc w:val="center"/>
        </w:trPr>
        <w:tc>
          <w:tcPr>
            <w:tcW w:w="6961" w:type="dxa"/>
            <w:tcBorders>
              <w:top w:val="nil"/>
              <w:bottom w:val="single" w:sz="4" w:space="0" w:color="auto"/>
              <w:right w:val="nil"/>
            </w:tcBorders>
            <w:shd w:val="clear" w:color="auto" w:fill="EFF3FF"/>
            <w:tcMar>
              <w:left w:w="40" w:type="dxa"/>
              <w:right w:w="40" w:type="dxa"/>
            </w:tcMar>
          </w:tcPr>
          <w:p w:rsidR="00E30271" w:rsidRPr="002E1AD6" w:rsidRDefault="00E30271" w:rsidP="00E30271">
            <w:pPr>
              <w:pStyle w:val="TableRowHeadings"/>
              <w:rPr>
                <w:lang w:eastAsia="en-AU"/>
              </w:rPr>
            </w:pPr>
            <w:r w:rsidRPr="002E1AD6">
              <w:rPr>
                <w:lang w:eastAsia="en-AU"/>
              </w:rPr>
              <w:t>Online personal support or counselling</w:t>
            </w:r>
          </w:p>
        </w:tc>
        <w:tc>
          <w:tcPr>
            <w:tcW w:w="2158" w:type="dxa"/>
            <w:tcBorders>
              <w:top w:val="nil"/>
              <w:left w:val="nil"/>
              <w:bottom w:val="single" w:sz="4" w:space="0" w:color="auto"/>
              <w:right w:val="nil"/>
            </w:tcBorders>
            <w:shd w:val="clear" w:color="auto" w:fill="FFFFFF"/>
            <w:tcMar>
              <w:left w:w="40" w:type="dxa"/>
              <w:right w:w="40" w:type="dxa"/>
            </w:tcMar>
            <w:vAlign w:val="bottom"/>
          </w:tcPr>
          <w:p w:rsidR="00E30271" w:rsidRPr="002E1AD6" w:rsidRDefault="00E30271" w:rsidP="00E30271">
            <w:pPr>
              <w:pStyle w:val="TableDataCell"/>
              <w:rPr>
                <w:lang w:eastAsia="en-AU"/>
              </w:rPr>
            </w:pPr>
            <w:r w:rsidRPr="002E1AD6">
              <w:rPr>
                <w:lang w:eastAsia="en-AU"/>
              </w:rPr>
              <w:t>0.1</w:t>
            </w:r>
          </w:p>
        </w:tc>
      </w:tr>
      <w:tr w:rsidR="00E30271" w:rsidRPr="002E1AD6" w:rsidTr="00E30271">
        <w:trPr>
          <w:cantSplit/>
          <w:jc w:val="center"/>
        </w:trPr>
        <w:tc>
          <w:tcPr>
            <w:tcW w:w="6961" w:type="dxa"/>
            <w:tcBorders>
              <w:top w:val="single" w:sz="4" w:space="0" w:color="auto"/>
              <w:bottom w:val="single" w:sz="6" w:space="0" w:color="000000"/>
              <w:right w:val="nil"/>
            </w:tcBorders>
            <w:shd w:val="clear" w:color="auto" w:fill="EFF3FF"/>
            <w:tcMar>
              <w:left w:w="40" w:type="dxa"/>
              <w:right w:w="40" w:type="dxa"/>
            </w:tcMar>
          </w:tcPr>
          <w:p w:rsidR="00E30271" w:rsidRPr="00EB2EF4" w:rsidRDefault="00E30271" w:rsidP="00E30271">
            <w:pPr>
              <w:pStyle w:val="TableRowHeadings"/>
              <w:rPr>
                <w:rStyle w:val="Strong"/>
              </w:rPr>
            </w:pPr>
            <w:r w:rsidRPr="00EB2EF4">
              <w:rPr>
                <w:rStyle w:val="Strong"/>
              </w:rPr>
              <w:t>Any service (a)</w:t>
            </w:r>
          </w:p>
        </w:tc>
        <w:tc>
          <w:tcPr>
            <w:tcW w:w="215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17.0</w:t>
            </w:r>
          </w:p>
        </w:tc>
      </w:tr>
    </w:tbl>
    <w:p w:rsidR="00E30271" w:rsidRDefault="00E30271" w:rsidP="00E30271">
      <w:pPr>
        <w:pStyle w:val="TableFootnote"/>
      </w:pPr>
      <w:r w:rsidRPr="001B3ADE">
        <w:t>The proportion using school services is based on those who were at school at the time of the survey.</w:t>
      </w:r>
    </w:p>
    <w:p w:rsidR="00E30271" w:rsidRPr="001B3ADE" w:rsidRDefault="00E30271" w:rsidP="00E30271">
      <w:pPr>
        <w:pStyle w:val="TableFootnote"/>
      </w:pPr>
      <w:r w:rsidRPr="001B3ADE">
        <w:t>(a)</w:t>
      </w:r>
      <w:r w:rsidRPr="001B3ADE">
        <w:tab/>
        <w:t>Any service is not equal to the sum of individual services because adolescents may have used more than one type of service.</w:t>
      </w:r>
    </w:p>
    <w:p w:rsidR="00E30271" w:rsidRPr="00F015A3" w:rsidRDefault="00E30271" w:rsidP="00E30271">
      <w:pPr>
        <w:pStyle w:val="BodyText"/>
        <w:rPr>
          <w:spacing w:val="-2"/>
        </w:rPr>
      </w:pPr>
      <w:r w:rsidRPr="00F015A3">
        <w:rPr>
          <w:spacing w:val="-2"/>
        </w:rPr>
        <w:t>Just over half (53.5%) of 4-17 year-olds who had used services for emotional or behavioural problems in the previous 12 months had used both health and school services. About one third (34.5%) had only used health services and just under one in eight (12.0%) had only used school services.</w:t>
      </w:r>
    </w:p>
    <w:p w:rsidR="00E30271" w:rsidRDefault="00E30271" w:rsidP="00E30271">
      <w:pPr>
        <w:pStyle w:val="BodyText"/>
      </w:pPr>
      <w:r>
        <w:t>The proportion of males and females using services for emotional and behavioural problems was similar, but the proportion was higher among adolescents than children (21.4% for 12-17 year-olds compared with 13.7% for 4</w:t>
      </w:r>
      <w:r>
        <w:noBreakHyphen/>
        <w:t>11 year-olds) (Table 7-</w:t>
      </w:r>
      <w:r>
        <w:rPr>
          <w:noProof/>
        </w:rPr>
        <w:t>2</w:t>
      </w:r>
      <w:r>
        <w:t>).</w:t>
      </w:r>
    </w:p>
    <w:p w:rsidR="00E30271" w:rsidRDefault="00E30271" w:rsidP="00E30271">
      <w:pPr>
        <w:pStyle w:val="Caption"/>
        <w:keepNext/>
      </w:pPr>
      <w:bookmarkStart w:id="134" w:name="_Ref409109009"/>
      <w:r>
        <w:t>Table 7-</w:t>
      </w:r>
      <w:r>
        <w:rPr>
          <w:noProof/>
        </w:rPr>
        <w:t>2</w:t>
      </w:r>
      <w:bookmarkEnd w:id="134"/>
      <w:r>
        <w:t>: Service use for emotional or behavioural problems in past 12 months among all 4-17 year-olds by sex and age group</w:t>
      </w:r>
    </w:p>
    <w:tbl>
      <w:tblPr>
        <w:tblW w:w="0" w:type="auto"/>
        <w:jc w:val="center"/>
        <w:tblLayout w:type="fixed"/>
        <w:tblCellMar>
          <w:left w:w="0" w:type="dxa"/>
          <w:right w:w="0" w:type="dxa"/>
        </w:tblCellMar>
        <w:tblLook w:val="0020" w:firstRow="1" w:lastRow="0" w:firstColumn="0" w:lastColumn="0" w:noHBand="0" w:noVBand="0"/>
        <w:tblDescription w:val="In Table 7-2 the first column defines age group. Read across the rows for the percentage of males, percentage of females, and the percentage of 4-17 year olds who used services in past 12 months."/>
      </w:tblPr>
      <w:tblGrid>
        <w:gridCol w:w="3631"/>
        <w:gridCol w:w="1824"/>
        <w:gridCol w:w="1824"/>
        <w:gridCol w:w="1824"/>
      </w:tblGrid>
      <w:tr w:rsidR="00E30271" w:rsidRPr="00B255AE" w:rsidTr="00E30271">
        <w:trPr>
          <w:cantSplit/>
          <w:tblHeader/>
          <w:jc w:val="center"/>
        </w:trPr>
        <w:tc>
          <w:tcPr>
            <w:tcW w:w="363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Age group</w:t>
            </w:r>
          </w:p>
        </w:tc>
        <w:tc>
          <w:tcPr>
            <w:tcW w:w="182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Males (%)</w:t>
            </w:r>
          </w:p>
        </w:tc>
        <w:tc>
          <w:tcPr>
            <w:tcW w:w="182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Females (%)</w:t>
            </w:r>
          </w:p>
        </w:tc>
        <w:tc>
          <w:tcPr>
            <w:tcW w:w="182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Persons (%)</w:t>
            </w:r>
          </w:p>
        </w:tc>
      </w:tr>
      <w:tr w:rsidR="00E30271" w:rsidRPr="00B255AE" w:rsidTr="00E30271">
        <w:trPr>
          <w:cantSplit/>
          <w:jc w:val="center"/>
        </w:trPr>
        <w:tc>
          <w:tcPr>
            <w:tcW w:w="3631" w:type="dxa"/>
            <w:tcBorders>
              <w:top w:val="nil"/>
              <w:bottom w:val="single" w:sz="4" w:space="0" w:color="FFFFFF"/>
              <w:right w:val="nil"/>
            </w:tcBorders>
            <w:shd w:val="clear" w:color="auto" w:fill="EFF3FF"/>
            <w:tcMar>
              <w:left w:w="40" w:type="dxa"/>
              <w:right w:w="40" w:type="dxa"/>
            </w:tcMar>
          </w:tcPr>
          <w:p w:rsidR="00E30271" w:rsidRPr="00B255AE" w:rsidRDefault="00E30271" w:rsidP="00E30271">
            <w:pPr>
              <w:pStyle w:val="TableRowHeadings"/>
              <w:rPr>
                <w:lang w:eastAsia="en-AU"/>
              </w:rPr>
            </w:pPr>
            <w:r w:rsidRPr="00B255AE">
              <w:rPr>
                <w:lang w:eastAsia="en-AU"/>
              </w:rPr>
              <w:t>4-11 years</w:t>
            </w:r>
          </w:p>
        </w:tc>
        <w:tc>
          <w:tcPr>
            <w:tcW w:w="1824" w:type="dxa"/>
            <w:tcBorders>
              <w:top w:val="nil"/>
              <w:left w:val="nil"/>
              <w:bottom w:val="nil"/>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15.3</w:t>
            </w:r>
          </w:p>
        </w:tc>
        <w:tc>
          <w:tcPr>
            <w:tcW w:w="1824" w:type="dxa"/>
            <w:tcBorders>
              <w:top w:val="nil"/>
              <w:left w:val="nil"/>
              <w:bottom w:val="nil"/>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12.0</w:t>
            </w:r>
          </w:p>
        </w:tc>
        <w:tc>
          <w:tcPr>
            <w:tcW w:w="1824" w:type="dxa"/>
            <w:tcBorders>
              <w:top w:val="nil"/>
              <w:left w:val="nil"/>
              <w:bottom w:val="nil"/>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13.7</w:t>
            </w:r>
          </w:p>
        </w:tc>
      </w:tr>
      <w:tr w:rsidR="00E30271" w:rsidRPr="00B255AE" w:rsidTr="00E30271">
        <w:trPr>
          <w:cantSplit/>
          <w:jc w:val="center"/>
        </w:trPr>
        <w:tc>
          <w:tcPr>
            <w:tcW w:w="3631" w:type="dxa"/>
            <w:tcBorders>
              <w:top w:val="nil"/>
              <w:bottom w:val="single" w:sz="4" w:space="0" w:color="auto"/>
              <w:right w:val="nil"/>
            </w:tcBorders>
            <w:shd w:val="clear" w:color="auto" w:fill="EFF3FF"/>
            <w:tcMar>
              <w:left w:w="40" w:type="dxa"/>
              <w:right w:w="40" w:type="dxa"/>
            </w:tcMar>
          </w:tcPr>
          <w:p w:rsidR="00E30271" w:rsidRPr="00B255AE" w:rsidRDefault="00E30271" w:rsidP="00E30271">
            <w:pPr>
              <w:pStyle w:val="TableRowHeadings"/>
              <w:rPr>
                <w:lang w:eastAsia="en-AU"/>
              </w:rPr>
            </w:pPr>
            <w:r w:rsidRPr="00B255AE">
              <w:rPr>
                <w:lang w:eastAsia="en-AU"/>
              </w:rPr>
              <w:t>12-17 years</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20.5</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22.4</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B255AE" w:rsidRDefault="00E30271" w:rsidP="00E30271">
            <w:pPr>
              <w:pStyle w:val="TableDataCell"/>
              <w:rPr>
                <w:lang w:eastAsia="en-AU"/>
              </w:rPr>
            </w:pPr>
            <w:r w:rsidRPr="00B255AE">
              <w:rPr>
                <w:lang w:eastAsia="en-AU"/>
              </w:rPr>
              <w:t>21.4</w:t>
            </w:r>
          </w:p>
        </w:tc>
      </w:tr>
      <w:tr w:rsidR="00E30271" w:rsidRPr="00B255AE" w:rsidTr="00E30271">
        <w:trPr>
          <w:cantSplit/>
          <w:jc w:val="center"/>
        </w:trPr>
        <w:tc>
          <w:tcPr>
            <w:tcW w:w="3631" w:type="dxa"/>
            <w:tcBorders>
              <w:top w:val="single" w:sz="4" w:space="0" w:color="auto"/>
              <w:bottom w:val="single" w:sz="6" w:space="0" w:color="000000"/>
              <w:right w:val="nil"/>
            </w:tcBorders>
            <w:shd w:val="clear" w:color="auto" w:fill="EFF3FF"/>
            <w:tcMar>
              <w:left w:w="40" w:type="dxa"/>
              <w:right w:w="40" w:type="dxa"/>
            </w:tcMar>
          </w:tcPr>
          <w:p w:rsidR="00E30271" w:rsidRPr="00EB2EF4" w:rsidRDefault="00E30271" w:rsidP="00E30271">
            <w:pPr>
              <w:pStyle w:val="TableRowHeadings"/>
              <w:rPr>
                <w:rStyle w:val="Strong"/>
              </w:rPr>
            </w:pPr>
            <w:r w:rsidRPr="00EB2EF4">
              <w:rPr>
                <w:rStyle w:val="Strong"/>
              </w:rPr>
              <w:t>4-17 years</w:t>
            </w:r>
          </w:p>
        </w:tc>
        <w:tc>
          <w:tcPr>
            <w:tcW w:w="182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17.5</w:t>
            </w:r>
          </w:p>
        </w:tc>
        <w:tc>
          <w:tcPr>
            <w:tcW w:w="182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16.4</w:t>
            </w:r>
          </w:p>
        </w:tc>
        <w:tc>
          <w:tcPr>
            <w:tcW w:w="182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17.0</w:t>
            </w:r>
          </w:p>
        </w:tc>
      </w:tr>
    </w:tbl>
    <w:p w:rsidR="00E30271" w:rsidRPr="004E47B6" w:rsidRDefault="00E30271" w:rsidP="00E30271">
      <w:pPr>
        <w:pStyle w:val="Heading2"/>
      </w:pPr>
      <w:r>
        <w:t xml:space="preserve">7.2 </w:t>
      </w:r>
      <w:r>
        <w:tab/>
        <w:t>Service use by children and adolescents</w:t>
      </w:r>
      <w:r w:rsidRPr="004E47B6">
        <w:t xml:space="preserve"> with </w:t>
      </w:r>
      <w:r>
        <w:t>mental disorders</w:t>
      </w:r>
    </w:p>
    <w:p w:rsidR="00E30271" w:rsidRDefault="00E30271" w:rsidP="00E30271">
      <w:pPr>
        <w:pStyle w:val="BodyText"/>
      </w:pPr>
      <w:r>
        <w:t>Just over half (56.0%) of children and adolescents with mental disorders had used services for emotional or behavioural problems in the previous 12 months (Table 7-</w:t>
      </w:r>
      <w:r>
        <w:rPr>
          <w:noProof/>
        </w:rPr>
        <w:t>3</w:t>
      </w:r>
      <w:r>
        <w:t xml:space="preserve">). </w:t>
      </w:r>
    </w:p>
    <w:p w:rsidR="00E30271" w:rsidRPr="004544E9" w:rsidRDefault="00E30271" w:rsidP="00E30271">
      <w:pPr>
        <w:pStyle w:val="Heading3"/>
      </w:pPr>
      <w:bookmarkStart w:id="135" w:name="_Toc401758758"/>
      <w:r>
        <w:t>7</w:t>
      </w:r>
      <w:r w:rsidRPr="004544E9">
        <w:t>.</w:t>
      </w:r>
      <w:r>
        <w:t>2</w:t>
      </w:r>
      <w:r w:rsidRPr="004544E9">
        <w:t>.1</w:t>
      </w:r>
      <w:r w:rsidRPr="004544E9">
        <w:tab/>
      </w:r>
      <w:r>
        <w:t>S</w:t>
      </w:r>
      <w:r w:rsidRPr="004544E9">
        <w:t>e</w:t>
      </w:r>
      <w:r>
        <w:t>x and age</w:t>
      </w:r>
      <w:bookmarkEnd w:id="135"/>
      <w:r>
        <w:t xml:space="preserve"> group</w:t>
      </w:r>
    </w:p>
    <w:p w:rsidR="00E30271" w:rsidRPr="00F015A3" w:rsidRDefault="00E30271" w:rsidP="00E30271">
      <w:pPr>
        <w:pStyle w:val="BodyText"/>
        <w:rPr>
          <w:spacing w:val="-2"/>
        </w:rPr>
      </w:pPr>
      <w:r w:rsidRPr="00F015A3">
        <w:rPr>
          <w:spacing w:val="-2"/>
        </w:rPr>
        <w:t>Service use was similar for males and females with mental disorders. However, there was a difference between age groups, with two thirds (65.1%) of adolescents aged 12-17 years with mental disorders having used services compared with half (48.9%) of children aged 4-11 years (Table 7-</w:t>
      </w:r>
      <w:r w:rsidRPr="00F015A3">
        <w:rPr>
          <w:noProof/>
          <w:spacing w:val="-2"/>
        </w:rPr>
        <w:t>3</w:t>
      </w:r>
      <w:r w:rsidRPr="00F015A3">
        <w:rPr>
          <w:spacing w:val="-2"/>
        </w:rPr>
        <w:t xml:space="preserve">). </w:t>
      </w:r>
    </w:p>
    <w:p w:rsidR="00E30271" w:rsidRPr="00B13C2B" w:rsidRDefault="00E30271" w:rsidP="00E30271">
      <w:pPr>
        <w:pStyle w:val="Caption"/>
        <w:keepNext/>
        <w:rPr>
          <w:spacing w:val="-4"/>
        </w:rPr>
      </w:pPr>
      <w:bookmarkStart w:id="136" w:name="_Ref409109017"/>
      <w:r w:rsidRPr="00B13C2B">
        <w:rPr>
          <w:spacing w:val="-4"/>
        </w:rPr>
        <w:t>Table 7-</w:t>
      </w:r>
      <w:r w:rsidRPr="00B13C2B">
        <w:rPr>
          <w:noProof/>
          <w:spacing w:val="-4"/>
        </w:rPr>
        <w:t>3</w:t>
      </w:r>
      <w:bookmarkEnd w:id="136"/>
      <w:r w:rsidRPr="00B13C2B">
        <w:rPr>
          <w:spacing w:val="-4"/>
        </w:rPr>
        <w:t>: Service use in past 12 months among 4-17 year-olds with mental disorders by sex and age group</w:t>
      </w:r>
    </w:p>
    <w:tbl>
      <w:tblPr>
        <w:tblW w:w="9103" w:type="dxa"/>
        <w:jc w:val="center"/>
        <w:tblLayout w:type="fixed"/>
        <w:tblCellMar>
          <w:left w:w="0" w:type="dxa"/>
          <w:right w:w="0" w:type="dxa"/>
        </w:tblCellMar>
        <w:tblLook w:val="0020" w:firstRow="1" w:lastRow="0" w:firstColumn="0" w:lastColumn="0" w:noHBand="0" w:noVBand="0"/>
        <w:tblDescription w:val="In Table 7-3 the first column defines age group. Read across the rows for the proportion of males, females and all persons with mental disorders who had used services in the past 12 months"/>
      </w:tblPr>
      <w:tblGrid>
        <w:gridCol w:w="3631"/>
        <w:gridCol w:w="1824"/>
        <w:gridCol w:w="1824"/>
        <w:gridCol w:w="1824"/>
      </w:tblGrid>
      <w:tr w:rsidR="00E30271" w:rsidRPr="00964E89" w:rsidTr="00E30271">
        <w:trPr>
          <w:cantSplit/>
          <w:tblHeader/>
          <w:jc w:val="center"/>
        </w:trPr>
        <w:tc>
          <w:tcPr>
            <w:tcW w:w="3631" w:type="dxa"/>
            <w:tcBorders>
              <w:top w:val="single" w:sz="6" w:space="0" w:color="000000"/>
              <w:left w:val="single" w:sz="4" w:space="0" w:color="FFFFFF" w:themeColor="background1"/>
              <w:bottom w:val="single" w:sz="4" w:space="0" w:color="000000"/>
              <w:right w:val="nil"/>
            </w:tcBorders>
            <w:shd w:val="clear" w:color="auto" w:fill="EFF3FF"/>
            <w:tcMar>
              <w:left w:w="40" w:type="dxa"/>
              <w:right w:w="40" w:type="dxa"/>
            </w:tcMar>
            <w:vAlign w:val="center"/>
          </w:tcPr>
          <w:p w:rsidR="00E30271" w:rsidRPr="00D010EC" w:rsidRDefault="00E30271" w:rsidP="00E30271">
            <w:pPr>
              <w:pStyle w:val="TableColumnHeadings"/>
              <w:jc w:val="left"/>
              <w:rPr>
                <w:rStyle w:val="Strong"/>
              </w:rPr>
            </w:pPr>
            <w:r w:rsidRPr="00D010EC">
              <w:rPr>
                <w:rStyle w:val="Strong"/>
              </w:rPr>
              <w:t>Age group</w:t>
            </w:r>
          </w:p>
        </w:tc>
        <w:tc>
          <w:tcPr>
            <w:tcW w:w="182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Males (%)</w:t>
            </w:r>
          </w:p>
        </w:tc>
        <w:tc>
          <w:tcPr>
            <w:tcW w:w="182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Females (%)</w:t>
            </w:r>
          </w:p>
        </w:tc>
        <w:tc>
          <w:tcPr>
            <w:tcW w:w="182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Persons (%)</w:t>
            </w:r>
          </w:p>
        </w:tc>
      </w:tr>
      <w:tr w:rsidR="00E30271" w:rsidRPr="00964E89" w:rsidTr="00E30271">
        <w:trPr>
          <w:cantSplit/>
          <w:jc w:val="center"/>
        </w:trPr>
        <w:tc>
          <w:tcPr>
            <w:tcW w:w="3631" w:type="dxa"/>
            <w:tcBorders>
              <w:top w:val="nil"/>
              <w:left w:val="single" w:sz="4" w:space="0" w:color="FFFFFF" w:themeColor="background1"/>
              <w:bottom w:val="single" w:sz="4" w:space="0" w:color="FFFFFF"/>
              <w:right w:val="nil"/>
            </w:tcBorders>
            <w:shd w:val="clear" w:color="auto" w:fill="EFF3FF"/>
            <w:tcMar>
              <w:left w:w="40" w:type="dxa"/>
              <w:right w:w="40" w:type="dxa"/>
            </w:tcMar>
          </w:tcPr>
          <w:p w:rsidR="00E30271" w:rsidRPr="00964E89" w:rsidRDefault="00E30271" w:rsidP="00E30271">
            <w:pPr>
              <w:pStyle w:val="TableRowHeadings"/>
              <w:rPr>
                <w:lang w:eastAsia="en-AU"/>
              </w:rPr>
            </w:pPr>
            <w:r w:rsidRPr="00964E89">
              <w:rPr>
                <w:lang w:eastAsia="en-AU"/>
              </w:rPr>
              <w:t>4-11 years</w:t>
            </w:r>
          </w:p>
        </w:tc>
        <w:tc>
          <w:tcPr>
            <w:tcW w:w="1824" w:type="dxa"/>
            <w:tcBorders>
              <w:top w:val="nil"/>
              <w:left w:val="nil"/>
              <w:bottom w:val="nil"/>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49.8</w:t>
            </w:r>
          </w:p>
        </w:tc>
        <w:tc>
          <w:tcPr>
            <w:tcW w:w="1824" w:type="dxa"/>
            <w:tcBorders>
              <w:top w:val="nil"/>
              <w:left w:val="nil"/>
              <w:bottom w:val="nil"/>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47.5</w:t>
            </w:r>
          </w:p>
        </w:tc>
        <w:tc>
          <w:tcPr>
            <w:tcW w:w="1824" w:type="dxa"/>
            <w:tcBorders>
              <w:top w:val="nil"/>
              <w:left w:val="nil"/>
              <w:bottom w:val="nil"/>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48.9</w:t>
            </w:r>
          </w:p>
        </w:tc>
      </w:tr>
      <w:tr w:rsidR="00E30271" w:rsidRPr="00964E89" w:rsidTr="00E30271">
        <w:trPr>
          <w:cantSplit/>
          <w:jc w:val="center"/>
        </w:trPr>
        <w:tc>
          <w:tcPr>
            <w:tcW w:w="3631" w:type="dxa"/>
            <w:tcBorders>
              <w:top w:val="nil"/>
              <w:left w:val="single" w:sz="4" w:space="0" w:color="FFFFFF" w:themeColor="background1"/>
              <w:bottom w:val="single" w:sz="4" w:space="0" w:color="auto"/>
              <w:right w:val="nil"/>
            </w:tcBorders>
            <w:shd w:val="clear" w:color="auto" w:fill="EFF3FF"/>
            <w:tcMar>
              <w:left w:w="40" w:type="dxa"/>
              <w:right w:w="40" w:type="dxa"/>
            </w:tcMar>
          </w:tcPr>
          <w:p w:rsidR="00E30271" w:rsidRPr="00964E89" w:rsidRDefault="00E30271" w:rsidP="00E30271">
            <w:pPr>
              <w:pStyle w:val="TableRowHeadings"/>
              <w:rPr>
                <w:lang w:eastAsia="en-AU"/>
              </w:rPr>
            </w:pPr>
            <w:r w:rsidRPr="00964E89">
              <w:rPr>
                <w:lang w:eastAsia="en-AU"/>
              </w:rPr>
              <w:t>12-17 years</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63.5</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67.2</w:t>
            </w:r>
          </w:p>
        </w:tc>
        <w:tc>
          <w:tcPr>
            <w:tcW w:w="1824" w:type="dxa"/>
            <w:tcBorders>
              <w:top w:val="nil"/>
              <w:left w:val="nil"/>
              <w:bottom w:val="single" w:sz="4" w:space="0" w:color="auto"/>
              <w:right w:val="nil"/>
            </w:tcBorders>
            <w:shd w:val="clear" w:color="auto" w:fill="FFFFFF"/>
            <w:tcMar>
              <w:left w:w="40" w:type="dxa"/>
              <w:right w:w="40" w:type="dxa"/>
            </w:tcMar>
            <w:vAlign w:val="bottom"/>
          </w:tcPr>
          <w:p w:rsidR="00E30271" w:rsidRPr="00964E89" w:rsidRDefault="00E30271" w:rsidP="00E30271">
            <w:pPr>
              <w:pStyle w:val="TableDataCell"/>
              <w:rPr>
                <w:lang w:eastAsia="en-AU"/>
              </w:rPr>
            </w:pPr>
            <w:r>
              <w:rPr>
                <w:lang w:eastAsia="en-AU"/>
              </w:rPr>
              <w:t>65.1</w:t>
            </w:r>
          </w:p>
        </w:tc>
      </w:tr>
      <w:tr w:rsidR="00E30271" w:rsidRPr="00F85D3C" w:rsidTr="00E30271">
        <w:trPr>
          <w:cantSplit/>
          <w:jc w:val="center"/>
        </w:trPr>
        <w:tc>
          <w:tcPr>
            <w:tcW w:w="3631" w:type="dxa"/>
            <w:tcBorders>
              <w:top w:val="single" w:sz="4" w:space="0" w:color="auto"/>
              <w:left w:val="single" w:sz="4" w:space="0" w:color="FFFFFF" w:themeColor="background1"/>
              <w:bottom w:val="single" w:sz="6" w:space="0" w:color="auto"/>
              <w:right w:val="nil"/>
            </w:tcBorders>
            <w:shd w:val="clear" w:color="auto" w:fill="EFF3FF"/>
            <w:tcMar>
              <w:left w:w="40" w:type="dxa"/>
              <w:right w:w="40" w:type="dxa"/>
            </w:tcMar>
          </w:tcPr>
          <w:p w:rsidR="00E30271" w:rsidRPr="00EB2EF4" w:rsidRDefault="00E30271" w:rsidP="00E30271">
            <w:pPr>
              <w:pStyle w:val="TableRowHeadings"/>
              <w:rPr>
                <w:rStyle w:val="Strong"/>
              </w:rPr>
            </w:pPr>
            <w:r w:rsidRPr="00EB2EF4">
              <w:rPr>
                <w:rStyle w:val="Strong"/>
              </w:rPr>
              <w:t>4-17 years</w:t>
            </w:r>
          </w:p>
        </w:tc>
        <w:tc>
          <w:tcPr>
            <w:tcW w:w="1824"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55.5</w:t>
            </w:r>
          </w:p>
        </w:tc>
        <w:tc>
          <w:tcPr>
            <w:tcW w:w="1824"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56.7</w:t>
            </w:r>
          </w:p>
        </w:tc>
        <w:tc>
          <w:tcPr>
            <w:tcW w:w="1824"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56.0</w:t>
            </w:r>
          </w:p>
        </w:tc>
      </w:tr>
    </w:tbl>
    <w:p w:rsidR="00E30271" w:rsidRDefault="00E30271" w:rsidP="00E30271">
      <w:pPr>
        <w:pStyle w:val="Heading3"/>
      </w:pPr>
      <w:bookmarkStart w:id="137" w:name="_Toc401758759"/>
      <w:r>
        <w:lastRenderedPageBreak/>
        <w:t>7</w:t>
      </w:r>
      <w:r w:rsidRPr="004544E9">
        <w:t>.</w:t>
      </w:r>
      <w:r>
        <w:t>2</w:t>
      </w:r>
      <w:r w:rsidRPr="004544E9">
        <w:t>.</w:t>
      </w:r>
      <w:r>
        <w:t>2</w:t>
      </w:r>
      <w:r w:rsidRPr="004544E9">
        <w:tab/>
      </w:r>
      <w:r>
        <w:t>Family type</w:t>
      </w:r>
    </w:p>
    <w:p w:rsidR="00E30271" w:rsidRDefault="00E30271" w:rsidP="00E30271">
      <w:pPr>
        <w:pStyle w:val="BodyText"/>
      </w:pPr>
      <w:r>
        <w:t xml:space="preserve">As discussed in Chapter 2, the prevalence of mental disorders among 4-17 year-olds in families with one parent or carer was twice that in families with two parents or carers. However, service use for emotional and behavioural problems in the previous 12 months was also higher among children or adolescents with mental disorders in families with one parent or carer (65.6%) compared with families with two parents or carers (51.3%) </w:t>
      </w:r>
      <w:proofErr w:type="gramStart"/>
      <w:r>
        <w:t>(Table 7-</w:t>
      </w:r>
      <w:r>
        <w:rPr>
          <w:noProof/>
        </w:rPr>
        <w:t>4</w:t>
      </w:r>
      <w:r>
        <w:t>).</w:t>
      </w:r>
      <w:proofErr w:type="gramEnd"/>
      <w:r>
        <w:t xml:space="preserve"> Children and adolescents with mental disorders living in blended families were more likely to use services (63.3%) than those living in original (49.4%) or step families (44.2%).</w:t>
      </w:r>
    </w:p>
    <w:p w:rsidR="00E30271" w:rsidRDefault="00E30271" w:rsidP="00E30271">
      <w:pPr>
        <w:pStyle w:val="Caption"/>
        <w:keepNext/>
      </w:pPr>
      <w:bookmarkStart w:id="138" w:name="_Ref405822518"/>
      <w:r>
        <w:t>Table 7-</w:t>
      </w:r>
      <w:r>
        <w:rPr>
          <w:noProof/>
        </w:rPr>
        <w:t>4</w:t>
      </w:r>
      <w:bookmarkEnd w:id="138"/>
      <w:r>
        <w:t>: Service use in past 12 months among 4-17 year-olds with mental disorders by family type</w:t>
      </w:r>
    </w:p>
    <w:tbl>
      <w:tblPr>
        <w:tblW w:w="0" w:type="auto"/>
        <w:jc w:val="center"/>
        <w:tblLayout w:type="fixed"/>
        <w:tblCellMar>
          <w:left w:w="0" w:type="dxa"/>
          <w:right w:w="0" w:type="dxa"/>
        </w:tblCellMar>
        <w:tblLook w:val="0020" w:firstRow="1" w:lastRow="0" w:firstColumn="0" w:lastColumn="0" w:noHBand="0" w:noVBand="0"/>
        <w:tblDescription w:val="In Table 7-4 the first column defines family type. Read across the rows for the proportion that had used services in the past 12 months."/>
      </w:tblPr>
      <w:tblGrid>
        <w:gridCol w:w="6217"/>
        <w:gridCol w:w="2872"/>
      </w:tblGrid>
      <w:tr w:rsidR="00E30271" w:rsidTr="00E30271">
        <w:trPr>
          <w:cantSplit/>
          <w:tblHeader/>
          <w:jc w:val="center"/>
        </w:trPr>
        <w:tc>
          <w:tcPr>
            <w:tcW w:w="621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Family type</w:t>
            </w:r>
          </w:p>
        </w:tc>
        <w:tc>
          <w:tcPr>
            <w:tcW w:w="28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Tr="00E30271">
        <w:trPr>
          <w:cantSplit/>
          <w:jc w:val="center"/>
        </w:trPr>
        <w:tc>
          <w:tcPr>
            <w:tcW w:w="6217" w:type="dxa"/>
            <w:tcBorders>
              <w:top w:val="single" w:sz="4" w:space="0" w:color="000000"/>
              <w:bottom w:val="single" w:sz="4" w:space="0" w:color="FFFFFF" w:themeColor="background1"/>
              <w:right w:val="nil"/>
            </w:tcBorders>
            <w:shd w:val="clear" w:color="auto" w:fill="EFF3FF"/>
            <w:tcMar>
              <w:left w:w="40" w:type="dxa"/>
              <w:right w:w="40" w:type="dxa"/>
            </w:tcMar>
          </w:tcPr>
          <w:p w:rsidR="00E30271" w:rsidRPr="00AD289F" w:rsidRDefault="00E30271" w:rsidP="00E30271">
            <w:pPr>
              <w:pStyle w:val="TableRowHeadings"/>
              <w:tabs>
                <w:tab w:val="left" w:pos="283"/>
              </w:tabs>
            </w:pPr>
            <w:r w:rsidRPr="00AD289F">
              <w:t>Families with two parents or carers</w:t>
            </w:r>
          </w:p>
        </w:tc>
        <w:tc>
          <w:tcPr>
            <w:tcW w:w="2872"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4A61EE" w:rsidRDefault="00E30271" w:rsidP="00E30271">
            <w:pPr>
              <w:pStyle w:val="TableDataCell"/>
            </w:pPr>
            <w:r w:rsidRPr="004A61EE">
              <w:t>51.3</w:t>
            </w:r>
          </w:p>
        </w:tc>
      </w:tr>
      <w:tr w:rsidR="00E30271" w:rsidTr="00E30271">
        <w:trPr>
          <w:cantSplit/>
          <w:jc w:val="center"/>
        </w:trPr>
        <w:tc>
          <w:tcPr>
            <w:tcW w:w="6217"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4A61EE" w:rsidRDefault="00E30271" w:rsidP="00E30271">
            <w:pPr>
              <w:pStyle w:val="TableRowHeadings"/>
              <w:tabs>
                <w:tab w:val="left" w:pos="283"/>
              </w:tabs>
            </w:pPr>
            <w:r>
              <w:tab/>
              <w:t>Original</w:t>
            </w:r>
            <w:r w:rsidRPr="00AD289F">
              <w:t xml:space="preserve"> family</w:t>
            </w:r>
          </w:p>
        </w:tc>
        <w:tc>
          <w:tcPr>
            <w:tcW w:w="287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A61EE" w:rsidRDefault="00E30271" w:rsidP="00E30271">
            <w:pPr>
              <w:pStyle w:val="TableDataCell"/>
            </w:pPr>
            <w:r w:rsidRPr="004A61EE">
              <w:t>49.4</w:t>
            </w:r>
          </w:p>
        </w:tc>
      </w:tr>
      <w:tr w:rsidR="00E30271" w:rsidTr="00E30271">
        <w:trPr>
          <w:cantSplit/>
          <w:jc w:val="center"/>
        </w:trPr>
        <w:tc>
          <w:tcPr>
            <w:tcW w:w="6217"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4A61EE" w:rsidRDefault="00E30271" w:rsidP="00E30271">
            <w:pPr>
              <w:pStyle w:val="TableRowHeadings"/>
              <w:tabs>
                <w:tab w:val="left" w:pos="283"/>
              </w:tabs>
            </w:pPr>
            <w:r>
              <w:tab/>
            </w:r>
            <w:r w:rsidRPr="00AD289F">
              <w:t>Step family</w:t>
            </w:r>
          </w:p>
        </w:tc>
        <w:tc>
          <w:tcPr>
            <w:tcW w:w="287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A61EE" w:rsidRDefault="00E30271" w:rsidP="00E30271">
            <w:pPr>
              <w:pStyle w:val="TableDataCell"/>
            </w:pPr>
            <w:r w:rsidRPr="004A61EE">
              <w:t>44.2</w:t>
            </w:r>
          </w:p>
        </w:tc>
      </w:tr>
      <w:tr w:rsidR="00E30271" w:rsidTr="00E30271">
        <w:trPr>
          <w:cantSplit/>
          <w:jc w:val="center"/>
        </w:trPr>
        <w:tc>
          <w:tcPr>
            <w:tcW w:w="6217"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4A61EE" w:rsidRDefault="00E30271" w:rsidP="00E30271">
            <w:pPr>
              <w:pStyle w:val="TableRowHeadings"/>
              <w:tabs>
                <w:tab w:val="left" w:pos="283"/>
              </w:tabs>
            </w:pPr>
            <w:r>
              <w:tab/>
            </w:r>
            <w:r w:rsidRPr="00AD289F">
              <w:t>Blended family</w:t>
            </w:r>
          </w:p>
        </w:tc>
        <w:tc>
          <w:tcPr>
            <w:tcW w:w="287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A61EE" w:rsidRDefault="00E30271" w:rsidP="00E30271">
            <w:pPr>
              <w:pStyle w:val="TableDataCell"/>
            </w:pPr>
            <w:r w:rsidRPr="004A61EE">
              <w:t>63.3</w:t>
            </w:r>
          </w:p>
        </w:tc>
      </w:tr>
      <w:tr w:rsidR="00E30271" w:rsidTr="00E30271">
        <w:trPr>
          <w:cantSplit/>
          <w:jc w:val="center"/>
        </w:trPr>
        <w:tc>
          <w:tcPr>
            <w:tcW w:w="6217"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4A61EE" w:rsidRDefault="00E30271" w:rsidP="00E30271">
            <w:pPr>
              <w:pStyle w:val="TableRowHeadings"/>
              <w:tabs>
                <w:tab w:val="left" w:pos="283"/>
              </w:tabs>
            </w:pPr>
            <w:r>
              <w:tab/>
            </w:r>
            <w:r w:rsidRPr="00AD289F">
              <w:t>Other family</w:t>
            </w:r>
            <w:r>
              <w:t xml:space="preserve"> (a)</w:t>
            </w:r>
          </w:p>
        </w:tc>
        <w:tc>
          <w:tcPr>
            <w:tcW w:w="287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A61EE" w:rsidRDefault="00E30271" w:rsidP="00E30271">
            <w:pPr>
              <w:pStyle w:val="TableDataCell"/>
            </w:pPr>
            <w:r w:rsidRPr="004A61EE">
              <w:t>66.3</w:t>
            </w:r>
          </w:p>
        </w:tc>
      </w:tr>
      <w:tr w:rsidR="00E30271" w:rsidTr="00E30271">
        <w:trPr>
          <w:cantSplit/>
          <w:jc w:val="center"/>
        </w:trPr>
        <w:tc>
          <w:tcPr>
            <w:tcW w:w="6217" w:type="dxa"/>
            <w:tcBorders>
              <w:top w:val="single" w:sz="4" w:space="0" w:color="FFFFFF" w:themeColor="background1"/>
              <w:bottom w:val="single" w:sz="6" w:space="0" w:color="auto"/>
              <w:right w:val="nil"/>
            </w:tcBorders>
            <w:shd w:val="clear" w:color="auto" w:fill="EFF3FF"/>
            <w:tcMar>
              <w:left w:w="40" w:type="dxa"/>
              <w:right w:w="40" w:type="dxa"/>
            </w:tcMar>
          </w:tcPr>
          <w:p w:rsidR="00E30271" w:rsidRPr="004A61EE" w:rsidRDefault="00E30271" w:rsidP="00E30271">
            <w:pPr>
              <w:pStyle w:val="TableRowHeadings"/>
              <w:tabs>
                <w:tab w:val="left" w:pos="283"/>
              </w:tabs>
            </w:pPr>
            <w:r w:rsidRPr="00AD289F">
              <w:t>Families with one parent or carer</w:t>
            </w:r>
          </w:p>
        </w:tc>
        <w:tc>
          <w:tcPr>
            <w:tcW w:w="2872"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4A61EE" w:rsidRDefault="00E30271" w:rsidP="00E30271">
            <w:pPr>
              <w:pStyle w:val="TableDataCell"/>
            </w:pPr>
            <w:r w:rsidRPr="004A61EE">
              <w:t>65.6</w:t>
            </w:r>
          </w:p>
        </w:tc>
      </w:tr>
    </w:tbl>
    <w:p w:rsidR="00E30271" w:rsidRPr="00226310" w:rsidRDefault="00E30271" w:rsidP="00E30271">
      <w:pPr>
        <w:pStyle w:val="TableFootnote"/>
      </w:pPr>
      <w:r w:rsidRPr="00226310">
        <w:t>‘Original family’ has at least one child living with their natural, adoptive or foster parents, and no step children.</w:t>
      </w:r>
    </w:p>
    <w:p w:rsidR="00E30271" w:rsidRPr="00226310" w:rsidRDefault="00E30271" w:rsidP="00E30271">
      <w:pPr>
        <w:pStyle w:val="TableFootnote"/>
      </w:pPr>
      <w:r w:rsidRPr="00226310">
        <w:t xml:space="preserve">‘Other family’ is where all children are not the natural, adopted, foster or step child of one or both carers. </w:t>
      </w:r>
    </w:p>
    <w:p w:rsidR="00E30271" w:rsidRPr="00555E74" w:rsidRDefault="00E30271" w:rsidP="00E30271">
      <w:pPr>
        <w:pStyle w:val="TableFootnote"/>
      </w:pPr>
      <w:r>
        <w:t>(a)</w:t>
      </w:r>
      <w:r>
        <w:tab/>
      </w:r>
      <w:r w:rsidRPr="00226310">
        <w:t>Data to be treated with caution due to low respondent numbers in this category.</w:t>
      </w:r>
    </w:p>
    <w:p w:rsidR="00E30271" w:rsidRDefault="00E30271" w:rsidP="00E30271">
      <w:pPr>
        <w:pStyle w:val="Heading3"/>
      </w:pPr>
      <w:r>
        <w:t>7</w:t>
      </w:r>
      <w:r w:rsidRPr="004544E9">
        <w:t>.</w:t>
      </w:r>
      <w:r>
        <w:t>2</w:t>
      </w:r>
      <w:r w:rsidRPr="004544E9">
        <w:t>.</w:t>
      </w:r>
      <w:r>
        <w:t>3</w:t>
      </w:r>
      <w:r w:rsidRPr="004544E9">
        <w:tab/>
      </w:r>
      <w:r>
        <w:t>Household income</w:t>
      </w:r>
    </w:p>
    <w:p w:rsidR="00E30271" w:rsidRDefault="00E30271" w:rsidP="00E30271">
      <w:pPr>
        <w:pStyle w:val="BodyText"/>
      </w:pPr>
      <w:r>
        <w:t>As reported in Chapter 2, the prevalence of mental disorders among children and adolescents living in the lowest income bracket (less than $52,000 per year) was almost double that of those in the highest income bracket ($130,000 or more per year).</w:t>
      </w:r>
    </w:p>
    <w:p w:rsidR="00E30271" w:rsidRDefault="00E30271" w:rsidP="00E30271">
      <w:pPr>
        <w:pStyle w:val="BodyText"/>
      </w:pPr>
      <w:r>
        <w:t>Among children and adolescents with mental disorders, service use in the previous 12 months for emotional or behavioural problems was higher in the lowest income bracket than the highest income bracket (61.9% compared with 50.6% respectively) (Table 7-</w:t>
      </w:r>
      <w:r>
        <w:rPr>
          <w:noProof/>
        </w:rPr>
        <w:t>5</w:t>
      </w:r>
      <w:r>
        <w:t>).</w:t>
      </w:r>
    </w:p>
    <w:p w:rsidR="00E30271" w:rsidRDefault="00E30271" w:rsidP="00E30271">
      <w:pPr>
        <w:pStyle w:val="Caption"/>
        <w:keepNext/>
      </w:pPr>
      <w:bookmarkStart w:id="139" w:name="_Ref405824608"/>
      <w:r>
        <w:t>Table 7-</w:t>
      </w:r>
      <w:r>
        <w:rPr>
          <w:noProof/>
        </w:rPr>
        <w:t>5</w:t>
      </w:r>
      <w:bookmarkEnd w:id="139"/>
      <w:r>
        <w:t>: Service use in past 12 months among 4-17 year-olds with mental disorders by household income</w:t>
      </w:r>
    </w:p>
    <w:tbl>
      <w:tblPr>
        <w:tblW w:w="0" w:type="auto"/>
        <w:jc w:val="center"/>
        <w:tblLayout w:type="fixed"/>
        <w:tblCellMar>
          <w:left w:w="0" w:type="dxa"/>
          <w:right w:w="0" w:type="dxa"/>
        </w:tblCellMar>
        <w:tblLook w:val="0020" w:firstRow="1" w:lastRow="0" w:firstColumn="0" w:lastColumn="0" w:noHBand="0" w:noVBand="0"/>
        <w:tblDescription w:val="In Table 7-5 the first column defines household income before tax. Read across the rows for the proportion that had used services in the past 12 months"/>
      </w:tblPr>
      <w:tblGrid>
        <w:gridCol w:w="6217"/>
        <w:gridCol w:w="2872"/>
      </w:tblGrid>
      <w:tr w:rsidR="00E30271" w:rsidRPr="004E567C" w:rsidTr="00E30271">
        <w:trPr>
          <w:cantSplit/>
          <w:tblHeader/>
          <w:jc w:val="center"/>
        </w:trPr>
        <w:tc>
          <w:tcPr>
            <w:tcW w:w="621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Household income before tax</w:t>
            </w:r>
          </w:p>
        </w:tc>
        <w:tc>
          <w:tcPr>
            <w:tcW w:w="28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4E567C"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$130,000 or more per year</w:t>
            </w:r>
          </w:p>
        </w:tc>
        <w:tc>
          <w:tcPr>
            <w:tcW w:w="2872" w:type="dxa"/>
            <w:tcBorders>
              <w:top w:val="nil"/>
              <w:left w:val="nil"/>
              <w:bottom w:val="nil"/>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50.6</w:t>
            </w:r>
          </w:p>
        </w:tc>
      </w:tr>
      <w:tr w:rsidR="00E30271" w:rsidRPr="004E567C"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$52,000-$129,999 per year</w:t>
            </w:r>
          </w:p>
        </w:tc>
        <w:tc>
          <w:tcPr>
            <w:tcW w:w="2872" w:type="dxa"/>
            <w:tcBorders>
              <w:top w:val="nil"/>
              <w:left w:val="nil"/>
              <w:bottom w:val="nil"/>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53.0</w:t>
            </w:r>
          </w:p>
        </w:tc>
      </w:tr>
      <w:tr w:rsidR="00E30271" w:rsidRPr="004E567C" w:rsidTr="00E30271">
        <w:trPr>
          <w:cantSplit/>
          <w:jc w:val="center"/>
        </w:trPr>
        <w:tc>
          <w:tcPr>
            <w:tcW w:w="6217" w:type="dxa"/>
            <w:tcBorders>
              <w:top w:val="nil"/>
              <w:bottom w:val="single" w:sz="6" w:space="0" w:color="auto"/>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Less than $52,000 per year</w:t>
            </w:r>
          </w:p>
        </w:tc>
        <w:tc>
          <w:tcPr>
            <w:tcW w:w="2872" w:type="dxa"/>
            <w:tcBorders>
              <w:top w:val="nil"/>
              <w:left w:val="nil"/>
              <w:bottom w:val="single" w:sz="6" w:space="0" w:color="auto"/>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61.9</w:t>
            </w:r>
          </w:p>
        </w:tc>
      </w:tr>
    </w:tbl>
    <w:p w:rsidR="00E30271" w:rsidRDefault="00E30271" w:rsidP="00E30271">
      <w:pPr>
        <w:pStyle w:val="TableFootnote"/>
        <w:ind w:left="0" w:firstLine="0"/>
      </w:pPr>
      <w:r>
        <w:t>Household income includes the c</w:t>
      </w:r>
      <w:r w:rsidRPr="008127E8">
        <w:t>ombined income for the 2011-12 financial year of everyone living in the household before tax and other deductions are taken out.</w:t>
      </w:r>
    </w:p>
    <w:p w:rsidR="00E30271" w:rsidRDefault="00E30271" w:rsidP="00E30271">
      <w:pPr>
        <w:pStyle w:val="Heading3"/>
        <w:pageBreakBefore/>
      </w:pPr>
      <w:r>
        <w:lastRenderedPageBreak/>
        <w:t>7</w:t>
      </w:r>
      <w:r w:rsidRPr="004544E9">
        <w:t>.</w:t>
      </w:r>
      <w:r>
        <w:t>2</w:t>
      </w:r>
      <w:r w:rsidRPr="004544E9">
        <w:t>.</w:t>
      </w:r>
      <w:r>
        <w:t>4</w:t>
      </w:r>
      <w:r w:rsidRPr="004544E9">
        <w:tab/>
      </w:r>
      <w:r>
        <w:t>Parent and carer education</w:t>
      </w:r>
    </w:p>
    <w:p w:rsidR="00E30271" w:rsidRDefault="00E30271" w:rsidP="00E30271">
      <w:pPr>
        <w:pStyle w:val="BodyText"/>
      </w:pPr>
      <w:r>
        <w:t>Rates of mental disorders among 4-17 year-olds were highest when they lived in a family in which the highest level of education for either the parent or carer was Year 10 or below as reported in Chapter 2. Service use for emotional and behavioural problems in the previous 12 months was also highest in these families (62.2%). However, d</w:t>
      </w:r>
      <w:r w:rsidRPr="00A00E9A">
        <w:t xml:space="preserve">ifferences in service use </w:t>
      </w:r>
      <w:r>
        <w:t>by</w:t>
      </w:r>
      <w:r w:rsidRPr="00A00E9A">
        <w:t xml:space="preserve"> education level </w:t>
      </w:r>
      <w:r>
        <w:t>of parents and carer</w:t>
      </w:r>
      <w:r w:rsidRPr="00A00E9A">
        <w:t>s</w:t>
      </w:r>
      <w:r>
        <w:t xml:space="preserve"> s</w:t>
      </w:r>
      <w:r w:rsidRPr="00A00E9A">
        <w:t>hould be treated with caution as they are not statistically significant (</w:t>
      </w:r>
      <w:r>
        <w:t>Table 7-6</w:t>
      </w:r>
      <w:r w:rsidRPr="00A00E9A">
        <w:t>)</w:t>
      </w:r>
      <w:r>
        <w:t>.</w:t>
      </w:r>
    </w:p>
    <w:p w:rsidR="00E30271" w:rsidRDefault="00E30271" w:rsidP="00E30271">
      <w:pPr>
        <w:pStyle w:val="Caption"/>
        <w:keepNext/>
      </w:pPr>
      <w:bookmarkStart w:id="140" w:name="_Ref405824637"/>
      <w:r>
        <w:t>Table 7-</w:t>
      </w:r>
      <w:r>
        <w:rPr>
          <w:noProof/>
        </w:rPr>
        <w:t>6</w:t>
      </w:r>
      <w:bookmarkEnd w:id="140"/>
      <w:r>
        <w:t>: Service use in past 12 months among 4-17 year-olds with mental disorders by parent or carer education</w:t>
      </w:r>
    </w:p>
    <w:tbl>
      <w:tblPr>
        <w:tblW w:w="0" w:type="auto"/>
        <w:jc w:val="center"/>
        <w:tblLayout w:type="fixed"/>
        <w:tblCellMar>
          <w:left w:w="0" w:type="dxa"/>
          <w:right w:w="0" w:type="dxa"/>
        </w:tblCellMar>
        <w:tblLook w:val="0020" w:firstRow="1" w:lastRow="0" w:firstColumn="0" w:lastColumn="0" w:noHBand="0" w:noVBand="0"/>
        <w:tblDescription w:val="In Table 7-6 the first column defines the highest level of education of either primary or secondary parent or carer. Read across the rows for the proportion that had used services in the past 12 months."/>
      </w:tblPr>
      <w:tblGrid>
        <w:gridCol w:w="6217"/>
        <w:gridCol w:w="2872"/>
      </w:tblGrid>
      <w:tr w:rsidR="00E30271" w:rsidRPr="004E567C" w:rsidTr="00E30271">
        <w:trPr>
          <w:cantSplit/>
          <w:tblHeader/>
          <w:jc w:val="center"/>
        </w:trPr>
        <w:tc>
          <w:tcPr>
            <w:tcW w:w="621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Highest level of education of either primary or secondary parent or carer</w:t>
            </w:r>
          </w:p>
        </w:tc>
        <w:tc>
          <w:tcPr>
            <w:tcW w:w="28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4E567C"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Bachelor degree or higher</w:t>
            </w:r>
          </w:p>
        </w:tc>
        <w:tc>
          <w:tcPr>
            <w:tcW w:w="2872" w:type="dxa"/>
            <w:tcBorders>
              <w:top w:val="nil"/>
              <w:left w:val="nil"/>
              <w:bottom w:val="nil"/>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55.5</w:t>
            </w:r>
          </w:p>
        </w:tc>
      </w:tr>
      <w:tr w:rsidR="00E30271" w:rsidRPr="004E567C"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Diploma or certificate III/IV</w:t>
            </w:r>
          </w:p>
        </w:tc>
        <w:tc>
          <w:tcPr>
            <w:tcW w:w="2872" w:type="dxa"/>
            <w:tcBorders>
              <w:top w:val="nil"/>
              <w:left w:val="nil"/>
              <w:bottom w:val="nil"/>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56.3</w:t>
            </w:r>
          </w:p>
        </w:tc>
      </w:tr>
      <w:tr w:rsidR="00E30271" w:rsidRPr="004E567C"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Year 11 or 12</w:t>
            </w:r>
          </w:p>
        </w:tc>
        <w:tc>
          <w:tcPr>
            <w:tcW w:w="2872" w:type="dxa"/>
            <w:tcBorders>
              <w:top w:val="nil"/>
              <w:left w:val="nil"/>
              <w:bottom w:val="nil"/>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51.4</w:t>
            </w:r>
          </w:p>
        </w:tc>
      </w:tr>
      <w:tr w:rsidR="00E30271" w:rsidRPr="004E567C" w:rsidTr="00E30271">
        <w:trPr>
          <w:cantSplit/>
          <w:jc w:val="center"/>
        </w:trPr>
        <w:tc>
          <w:tcPr>
            <w:tcW w:w="6217" w:type="dxa"/>
            <w:tcBorders>
              <w:top w:val="nil"/>
              <w:bottom w:val="single" w:sz="6" w:space="0" w:color="auto"/>
              <w:right w:val="nil"/>
            </w:tcBorders>
            <w:shd w:val="clear" w:color="auto" w:fill="EFF3FF"/>
            <w:tcMar>
              <w:left w:w="40" w:type="dxa"/>
              <w:right w:w="40" w:type="dxa"/>
            </w:tcMar>
          </w:tcPr>
          <w:p w:rsidR="00E30271" w:rsidRPr="004E567C" w:rsidRDefault="00E30271" w:rsidP="00E30271">
            <w:pPr>
              <w:pStyle w:val="TableRowHeadings"/>
              <w:rPr>
                <w:lang w:eastAsia="en-AU"/>
              </w:rPr>
            </w:pPr>
            <w:r w:rsidRPr="004E567C">
              <w:rPr>
                <w:lang w:eastAsia="en-AU"/>
              </w:rPr>
              <w:t>Year 10 or below</w:t>
            </w:r>
          </w:p>
        </w:tc>
        <w:tc>
          <w:tcPr>
            <w:tcW w:w="2872" w:type="dxa"/>
            <w:tcBorders>
              <w:top w:val="nil"/>
              <w:left w:val="nil"/>
              <w:bottom w:val="single" w:sz="6" w:space="0" w:color="auto"/>
              <w:right w:val="nil"/>
            </w:tcBorders>
            <w:shd w:val="clear" w:color="auto" w:fill="FFFFFF"/>
            <w:tcMar>
              <w:left w:w="40" w:type="dxa"/>
              <w:right w:w="40" w:type="dxa"/>
            </w:tcMar>
            <w:vAlign w:val="bottom"/>
          </w:tcPr>
          <w:p w:rsidR="00E30271" w:rsidRPr="004E567C" w:rsidRDefault="00E30271" w:rsidP="00E30271">
            <w:pPr>
              <w:pStyle w:val="TableDataCell"/>
              <w:rPr>
                <w:lang w:eastAsia="en-AU"/>
              </w:rPr>
            </w:pPr>
            <w:r w:rsidRPr="004E567C">
              <w:rPr>
                <w:lang w:eastAsia="en-AU"/>
              </w:rPr>
              <w:t>62.2</w:t>
            </w:r>
          </w:p>
        </w:tc>
      </w:tr>
    </w:tbl>
    <w:p w:rsidR="00E30271" w:rsidRDefault="00E30271" w:rsidP="00E30271">
      <w:pPr>
        <w:pStyle w:val="Heading3"/>
      </w:pPr>
      <w:r>
        <w:t>7</w:t>
      </w:r>
      <w:r w:rsidRPr="004544E9">
        <w:t>.</w:t>
      </w:r>
      <w:r>
        <w:t>2</w:t>
      </w:r>
      <w:r w:rsidRPr="004544E9">
        <w:t>.</w:t>
      </w:r>
      <w:r>
        <w:t>5</w:t>
      </w:r>
      <w:r w:rsidRPr="004544E9">
        <w:tab/>
      </w:r>
      <w:r>
        <w:t>Parent and carer labour force status</w:t>
      </w:r>
    </w:p>
    <w:p w:rsidR="00E30271" w:rsidRDefault="00E30271" w:rsidP="00E30271">
      <w:pPr>
        <w:pStyle w:val="BodyText"/>
        <w:rPr>
          <w:lang w:eastAsia="en-AU"/>
        </w:rPr>
      </w:pPr>
      <w:r>
        <w:rPr>
          <w:lang w:eastAsia="en-AU"/>
        </w:rPr>
        <w:t xml:space="preserve">As presented in Chapter 2, children and adolescents living in households with no parents or carers in employment had higher rates of mental disorders than those living in households with one or both parents or carers in employment. </w:t>
      </w:r>
      <w:r>
        <w:t>Table 7-</w:t>
      </w:r>
      <w:r>
        <w:rPr>
          <w:noProof/>
        </w:rPr>
        <w:t>7</w:t>
      </w:r>
      <w:r>
        <w:t xml:space="preserve"> shows rates of service use for emotional or behavioural problems by the labour force status of the young person’s parents or carers.</w:t>
      </w:r>
    </w:p>
    <w:p w:rsidR="00E30271" w:rsidRDefault="00E30271" w:rsidP="00E30271">
      <w:pPr>
        <w:pStyle w:val="BodyText"/>
      </w:pPr>
      <w:r>
        <w:t>About two thirds of children and adolescents with mental disorders in families without an employed parent or carer (65.0% with both parents or carers not employed and 64.0% in families with a sole parent or carer not employed) or in a family where the sole parent or carer was employed (65.4%) had used services for emotional or behavioural problems in the previous 12 months.</w:t>
      </w:r>
    </w:p>
    <w:p w:rsidR="00E30271" w:rsidRPr="00A93143" w:rsidRDefault="00E30271" w:rsidP="00E30271">
      <w:pPr>
        <w:pStyle w:val="BodyText"/>
      </w:pPr>
      <w:r>
        <w:t>Service use was lower among children and adolescents with mental disorders living in families where both parents and carers were employed (50.8%), or where one parent or carer was employed (51.5%). Differences in service use within two parent or carer families by employment status should be treated with caution as they are not statistically significant.</w:t>
      </w:r>
    </w:p>
    <w:p w:rsidR="00E30271" w:rsidRDefault="00E30271" w:rsidP="00E30271">
      <w:pPr>
        <w:pStyle w:val="Caption"/>
        <w:keepNext/>
      </w:pPr>
      <w:bookmarkStart w:id="141" w:name="_Ref405824681"/>
      <w:r>
        <w:t>Table 7-</w:t>
      </w:r>
      <w:r>
        <w:rPr>
          <w:noProof/>
        </w:rPr>
        <w:t>7</w:t>
      </w:r>
      <w:bookmarkEnd w:id="141"/>
      <w:r>
        <w:t>: Service use in past 12 months among 4-17 year-olds with mental disorders by parent or carer labour force status</w:t>
      </w:r>
    </w:p>
    <w:tbl>
      <w:tblPr>
        <w:tblW w:w="0" w:type="auto"/>
        <w:jc w:val="center"/>
        <w:tblLayout w:type="fixed"/>
        <w:tblCellMar>
          <w:left w:w="0" w:type="dxa"/>
          <w:right w:w="0" w:type="dxa"/>
        </w:tblCellMar>
        <w:tblLook w:val="0020" w:firstRow="1" w:lastRow="0" w:firstColumn="0" w:lastColumn="0" w:noHBand="0" w:noVBand="0"/>
        <w:tblDescription w:val="In Table 7-7 the first colum defines parent or carer labour force status. Read across the rows for the proportion that had used services in the past 12 months."/>
      </w:tblPr>
      <w:tblGrid>
        <w:gridCol w:w="6217"/>
        <w:gridCol w:w="2872"/>
      </w:tblGrid>
      <w:tr w:rsidR="00E30271" w:rsidRPr="008B50AA" w:rsidTr="00E30271">
        <w:trPr>
          <w:cantSplit/>
          <w:tblHeader/>
          <w:jc w:val="center"/>
        </w:trPr>
        <w:tc>
          <w:tcPr>
            <w:tcW w:w="621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Parent or carer labour force status</w:t>
            </w:r>
          </w:p>
        </w:tc>
        <w:tc>
          <w:tcPr>
            <w:tcW w:w="28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8B50AA"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8B50AA" w:rsidRDefault="00E30271" w:rsidP="00E30271">
            <w:pPr>
              <w:pStyle w:val="TableRowHeadings"/>
              <w:rPr>
                <w:lang w:eastAsia="en-AU"/>
              </w:rPr>
            </w:pPr>
            <w:r w:rsidRPr="008B50AA">
              <w:rPr>
                <w:lang w:eastAsia="en-AU"/>
              </w:rPr>
              <w:t>Both parents or carers employed</w:t>
            </w:r>
          </w:p>
        </w:tc>
        <w:tc>
          <w:tcPr>
            <w:tcW w:w="2872" w:type="dxa"/>
            <w:tcBorders>
              <w:top w:val="nil"/>
              <w:left w:val="nil"/>
              <w:bottom w:val="nil"/>
              <w:right w:val="nil"/>
            </w:tcBorders>
            <w:shd w:val="clear" w:color="auto" w:fill="FFFFFF"/>
            <w:tcMar>
              <w:left w:w="40" w:type="dxa"/>
              <w:right w:w="40" w:type="dxa"/>
            </w:tcMar>
            <w:vAlign w:val="bottom"/>
          </w:tcPr>
          <w:p w:rsidR="00E30271" w:rsidRPr="008B50AA" w:rsidRDefault="00E30271" w:rsidP="00E30271">
            <w:pPr>
              <w:pStyle w:val="TableDataCell"/>
              <w:rPr>
                <w:lang w:eastAsia="en-AU"/>
              </w:rPr>
            </w:pPr>
            <w:r w:rsidRPr="008B50AA">
              <w:rPr>
                <w:lang w:eastAsia="en-AU"/>
              </w:rPr>
              <w:t>50.8</w:t>
            </w:r>
          </w:p>
        </w:tc>
      </w:tr>
      <w:tr w:rsidR="00E30271" w:rsidRPr="008B50AA"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8B50AA" w:rsidRDefault="00E30271" w:rsidP="00E30271">
            <w:pPr>
              <w:pStyle w:val="TableRowHeadings"/>
              <w:rPr>
                <w:lang w:eastAsia="en-AU"/>
              </w:rPr>
            </w:pPr>
            <w:r w:rsidRPr="008B50AA">
              <w:rPr>
                <w:lang w:eastAsia="en-AU"/>
              </w:rPr>
              <w:t>One parent or carer employed, one parent or carer not in employment</w:t>
            </w:r>
          </w:p>
        </w:tc>
        <w:tc>
          <w:tcPr>
            <w:tcW w:w="2872" w:type="dxa"/>
            <w:tcBorders>
              <w:top w:val="nil"/>
              <w:left w:val="nil"/>
              <w:bottom w:val="nil"/>
              <w:right w:val="nil"/>
            </w:tcBorders>
            <w:shd w:val="clear" w:color="auto" w:fill="FFFFFF"/>
            <w:tcMar>
              <w:left w:w="40" w:type="dxa"/>
              <w:right w:w="40" w:type="dxa"/>
            </w:tcMar>
            <w:vAlign w:val="bottom"/>
          </w:tcPr>
          <w:p w:rsidR="00E30271" w:rsidRPr="008B50AA" w:rsidRDefault="00E30271" w:rsidP="00E30271">
            <w:pPr>
              <w:pStyle w:val="TableDataCell"/>
              <w:rPr>
                <w:lang w:eastAsia="en-AU"/>
              </w:rPr>
            </w:pPr>
            <w:r w:rsidRPr="008B50AA">
              <w:rPr>
                <w:lang w:eastAsia="en-AU"/>
              </w:rPr>
              <w:t>51.5</w:t>
            </w:r>
          </w:p>
        </w:tc>
      </w:tr>
      <w:tr w:rsidR="00E30271" w:rsidRPr="008B50AA"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8B50AA" w:rsidRDefault="00E30271" w:rsidP="00E30271">
            <w:pPr>
              <w:pStyle w:val="TableRowHeadings"/>
              <w:rPr>
                <w:lang w:eastAsia="en-AU"/>
              </w:rPr>
            </w:pPr>
            <w:r w:rsidRPr="008B50AA">
              <w:rPr>
                <w:lang w:eastAsia="en-AU"/>
              </w:rPr>
              <w:t>Both parents or carers not in employment</w:t>
            </w:r>
          </w:p>
        </w:tc>
        <w:tc>
          <w:tcPr>
            <w:tcW w:w="2872" w:type="dxa"/>
            <w:tcBorders>
              <w:top w:val="nil"/>
              <w:left w:val="nil"/>
              <w:bottom w:val="nil"/>
              <w:right w:val="nil"/>
            </w:tcBorders>
            <w:shd w:val="clear" w:color="auto" w:fill="FFFFFF"/>
            <w:tcMar>
              <w:left w:w="40" w:type="dxa"/>
              <w:right w:w="40" w:type="dxa"/>
            </w:tcMar>
            <w:vAlign w:val="bottom"/>
          </w:tcPr>
          <w:p w:rsidR="00E30271" w:rsidRPr="008B50AA" w:rsidRDefault="00E30271" w:rsidP="00E30271">
            <w:pPr>
              <w:pStyle w:val="TableDataCell"/>
              <w:rPr>
                <w:lang w:eastAsia="en-AU"/>
              </w:rPr>
            </w:pPr>
            <w:r w:rsidRPr="008B50AA">
              <w:rPr>
                <w:lang w:eastAsia="en-AU"/>
              </w:rPr>
              <w:t>65.0</w:t>
            </w:r>
          </w:p>
        </w:tc>
      </w:tr>
      <w:tr w:rsidR="00E30271" w:rsidRPr="008B50AA"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8B50AA" w:rsidRDefault="00E30271" w:rsidP="00E30271">
            <w:pPr>
              <w:pStyle w:val="TableRowHeadings"/>
              <w:rPr>
                <w:lang w:eastAsia="en-AU"/>
              </w:rPr>
            </w:pPr>
            <w:r w:rsidRPr="008B50AA">
              <w:rPr>
                <w:lang w:eastAsia="en-AU"/>
              </w:rPr>
              <w:t>Sole parent or carer employed</w:t>
            </w:r>
          </w:p>
        </w:tc>
        <w:tc>
          <w:tcPr>
            <w:tcW w:w="2872" w:type="dxa"/>
            <w:tcBorders>
              <w:top w:val="nil"/>
              <w:left w:val="nil"/>
              <w:bottom w:val="nil"/>
              <w:right w:val="nil"/>
            </w:tcBorders>
            <w:shd w:val="clear" w:color="auto" w:fill="FFFFFF"/>
            <w:tcMar>
              <w:left w:w="40" w:type="dxa"/>
              <w:right w:w="40" w:type="dxa"/>
            </w:tcMar>
            <w:vAlign w:val="bottom"/>
          </w:tcPr>
          <w:p w:rsidR="00E30271" w:rsidRPr="008B50AA" w:rsidRDefault="00E30271" w:rsidP="00E30271">
            <w:pPr>
              <w:pStyle w:val="TableDataCell"/>
              <w:rPr>
                <w:lang w:eastAsia="en-AU"/>
              </w:rPr>
            </w:pPr>
            <w:r w:rsidRPr="008B50AA">
              <w:rPr>
                <w:lang w:eastAsia="en-AU"/>
              </w:rPr>
              <w:t>65.4</w:t>
            </w:r>
          </w:p>
        </w:tc>
      </w:tr>
      <w:tr w:rsidR="00E30271" w:rsidRPr="008B50AA" w:rsidTr="00E30271">
        <w:trPr>
          <w:cantSplit/>
          <w:jc w:val="center"/>
        </w:trPr>
        <w:tc>
          <w:tcPr>
            <w:tcW w:w="6217" w:type="dxa"/>
            <w:tcBorders>
              <w:top w:val="nil"/>
              <w:bottom w:val="single" w:sz="6" w:space="0" w:color="auto"/>
              <w:right w:val="nil"/>
            </w:tcBorders>
            <w:shd w:val="clear" w:color="auto" w:fill="EFF3FF"/>
            <w:tcMar>
              <w:left w:w="40" w:type="dxa"/>
              <w:right w:w="40" w:type="dxa"/>
            </w:tcMar>
          </w:tcPr>
          <w:p w:rsidR="00E30271" w:rsidRPr="008B50AA" w:rsidRDefault="00E30271" w:rsidP="00E30271">
            <w:pPr>
              <w:pStyle w:val="TableRowHeadings"/>
              <w:rPr>
                <w:lang w:eastAsia="en-AU"/>
              </w:rPr>
            </w:pPr>
            <w:r w:rsidRPr="008B50AA">
              <w:rPr>
                <w:lang w:eastAsia="en-AU"/>
              </w:rPr>
              <w:t>Sole parent or carer not in employment</w:t>
            </w:r>
          </w:p>
        </w:tc>
        <w:tc>
          <w:tcPr>
            <w:tcW w:w="2872" w:type="dxa"/>
            <w:tcBorders>
              <w:top w:val="nil"/>
              <w:left w:val="nil"/>
              <w:bottom w:val="single" w:sz="6" w:space="0" w:color="auto"/>
              <w:right w:val="nil"/>
            </w:tcBorders>
            <w:shd w:val="clear" w:color="auto" w:fill="FFFFFF"/>
            <w:tcMar>
              <w:left w:w="40" w:type="dxa"/>
              <w:right w:w="40" w:type="dxa"/>
            </w:tcMar>
            <w:vAlign w:val="bottom"/>
          </w:tcPr>
          <w:p w:rsidR="00E30271" w:rsidRPr="008B50AA" w:rsidRDefault="00E30271" w:rsidP="00E30271">
            <w:pPr>
              <w:pStyle w:val="TableDataCell"/>
              <w:rPr>
                <w:lang w:eastAsia="en-AU"/>
              </w:rPr>
            </w:pPr>
            <w:r w:rsidRPr="008B50AA">
              <w:rPr>
                <w:lang w:eastAsia="en-AU"/>
              </w:rPr>
              <w:t>64.0</w:t>
            </w:r>
          </w:p>
        </w:tc>
      </w:tr>
    </w:tbl>
    <w:p w:rsidR="00E30271" w:rsidRDefault="00E30271" w:rsidP="00E30271">
      <w:pPr>
        <w:pStyle w:val="TableFootnote"/>
      </w:pPr>
      <w:r>
        <w:t>‘</w:t>
      </w:r>
      <w:r w:rsidRPr="007B2657">
        <w:t>Not in employment</w:t>
      </w:r>
      <w:r>
        <w:t>’</w:t>
      </w:r>
      <w:r w:rsidRPr="007B2657">
        <w:t xml:space="preserve"> combines unemployed and not in the labour force</w:t>
      </w:r>
      <w:r>
        <w:t>.</w:t>
      </w:r>
    </w:p>
    <w:p w:rsidR="00E30271" w:rsidRDefault="00E30271" w:rsidP="00E30271">
      <w:pPr>
        <w:pStyle w:val="Heading3"/>
      </w:pPr>
      <w:r>
        <w:lastRenderedPageBreak/>
        <w:t>7</w:t>
      </w:r>
      <w:r w:rsidRPr="004544E9">
        <w:t>.</w:t>
      </w:r>
      <w:r>
        <w:t>2</w:t>
      </w:r>
      <w:r w:rsidRPr="004544E9">
        <w:t>.</w:t>
      </w:r>
      <w:r>
        <w:t>6</w:t>
      </w:r>
      <w:r w:rsidRPr="004544E9">
        <w:tab/>
      </w:r>
      <w:r>
        <w:t>Area of residence</w:t>
      </w:r>
    </w:p>
    <w:p w:rsidR="00E30271" w:rsidRDefault="00E30271" w:rsidP="00E30271">
      <w:pPr>
        <w:pStyle w:val="BodyText"/>
      </w:pPr>
      <w:r>
        <w:t>Rates of mental disorders were higher among those living outside of greater capital cities but service use for emotional and behavioural problems among 4-17 year-olds with mental disorders was similar in greater capital cities and other areas (Table 7-</w:t>
      </w:r>
      <w:r>
        <w:rPr>
          <w:noProof/>
        </w:rPr>
        <w:t>8</w:t>
      </w:r>
      <w:r>
        <w:t>).</w:t>
      </w:r>
    </w:p>
    <w:p w:rsidR="00E30271" w:rsidRPr="00EB4E31" w:rsidRDefault="00E30271" w:rsidP="00E30271">
      <w:pPr>
        <w:pStyle w:val="Caption"/>
        <w:keepNext/>
        <w:rPr>
          <w:spacing w:val="-4"/>
        </w:rPr>
      </w:pPr>
      <w:bookmarkStart w:id="142" w:name="_Ref405824699"/>
      <w:r w:rsidRPr="00EB4E31">
        <w:rPr>
          <w:spacing w:val="-4"/>
        </w:rPr>
        <w:t>Table 7-</w:t>
      </w:r>
      <w:r w:rsidRPr="00EB4E31">
        <w:rPr>
          <w:noProof/>
          <w:spacing w:val="-4"/>
        </w:rPr>
        <w:t>8</w:t>
      </w:r>
      <w:bookmarkEnd w:id="142"/>
      <w:r w:rsidRPr="00EB4E31">
        <w:rPr>
          <w:spacing w:val="-4"/>
        </w:rPr>
        <w:t xml:space="preserve">: Service use in past 12 months among 4-17 year-olds with mental disorders by </w:t>
      </w:r>
      <w:r>
        <w:rPr>
          <w:spacing w:val="-4"/>
        </w:rPr>
        <w:t>area</w:t>
      </w:r>
      <w:r w:rsidRPr="00EB4E31">
        <w:rPr>
          <w:spacing w:val="-4"/>
        </w:rPr>
        <w:t xml:space="preserve"> of residence</w:t>
      </w:r>
    </w:p>
    <w:tbl>
      <w:tblPr>
        <w:tblW w:w="0" w:type="auto"/>
        <w:jc w:val="center"/>
        <w:tblLayout w:type="fixed"/>
        <w:tblCellMar>
          <w:left w:w="0" w:type="dxa"/>
          <w:right w:w="0" w:type="dxa"/>
        </w:tblCellMar>
        <w:tblLook w:val="0020" w:firstRow="1" w:lastRow="0" w:firstColumn="0" w:lastColumn="0" w:noHBand="0" w:noVBand="0"/>
        <w:tblDescription w:val="In Table 7-8 the first column defines area of residence. Read across the rows for the proportion that had used services in the past 12 months."/>
      </w:tblPr>
      <w:tblGrid>
        <w:gridCol w:w="6217"/>
        <w:gridCol w:w="2872"/>
      </w:tblGrid>
      <w:tr w:rsidR="00E30271" w:rsidRPr="004500CF" w:rsidTr="00E30271">
        <w:trPr>
          <w:cantSplit/>
          <w:tblHeader/>
          <w:jc w:val="center"/>
        </w:trPr>
        <w:tc>
          <w:tcPr>
            <w:tcW w:w="621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Area of residence</w:t>
            </w:r>
          </w:p>
        </w:tc>
        <w:tc>
          <w:tcPr>
            <w:tcW w:w="28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4500CF" w:rsidTr="00E30271">
        <w:trPr>
          <w:cantSplit/>
          <w:jc w:val="center"/>
        </w:trPr>
        <w:tc>
          <w:tcPr>
            <w:tcW w:w="6217" w:type="dxa"/>
            <w:tcBorders>
              <w:top w:val="nil"/>
              <w:bottom w:val="single" w:sz="4" w:space="0" w:color="FFFFFF"/>
              <w:right w:val="nil"/>
            </w:tcBorders>
            <w:shd w:val="clear" w:color="auto" w:fill="EFF3FF"/>
            <w:tcMar>
              <w:left w:w="40" w:type="dxa"/>
              <w:right w:w="40" w:type="dxa"/>
            </w:tcMar>
          </w:tcPr>
          <w:p w:rsidR="00E30271" w:rsidRPr="004500CF" w:rsidRDefault="00E30271" w:rsidP="00E30271">
            <w:pPr>
              <w:pStyle w:val="TableRowHeadings"/>
              <w:rPr>
                <w:lang w:eastAsia="en-AU"/>
              </w:rPr>
            </w:pPr>
            <w:r>
              <w:rPr>
                <w:lang w:eastAsia="en-AU"/>
              </w:rPr>
              <w:t>Greater capital cities</w:t>
            </w:r>
          </w:p>
        </w:tc>
        <w:tc>
          <w:tcPr>
            <w:tcW w:w="2872" w:type="dxa"/>
            <w:tcBorders>
              <w:top w:val="nil"/>
              <w:left w:val="nil"/>
              <w:bottom w:val="nil"/>
              <w:right w:val="nil"/>
            </w:tcBorders>
            <w:shd w:val="clear" w:color="auto" w:fill="FFFFFF"/>
            <w:tcMar>
              <w:left w:w="40" w:type="dxa"/>
              <w:right w:w="40" w:type="dxa"/>
            </w:tcMar>
            <w:vAlign w:val="bottom"/>
          </w:tcPr>
          <w:p w:rsidR="00E30271" w:rsidRPr="004500CF" w:rsidRDefault="00E30271" w:rsidP="00E30271">
            <w:pPr>
              <w:pStyle w:val="TableDataCell"/>
              <w:rPr>
                <w:lang w:eastAsia="en-AU"/>
              </w:rPr>
            </w:pPr>
            <w:r w:rsidRPr="004500CF">
              <w:rPr>
                <w:lang w:eastAsia="en-AU"/>
              </w:rPr>
              <w:t>56.7</w:t>
            </w:r>
          </w:p>
        </w:tc>
      </w:tr>
      <w:tr w:rsidR="00E30271" w:rsidRPr="004500CF" w:rsidTr="00E30271">
        <w:trPr>
          <w:cantSplit/>
          <w:jc w:val="center"/>
        </w:trPr>
        <w:tc>
          <w:tcPr>
            <w:tcW w:w="6217" w:type="dxa"/>
            <w:tcBorders>
              <w:top w:val="nil"/>
              <w:bottom w:val="single" w:sz="6" w:space="0" w:color="000000"/>
              <w:right w:val="nil"/>
            </w:tcBorders>
            <w:shd w:val="clear" w:color="auto" w:fill="EFF3FF"/>
            <w:tcMar>
              <w:left w:w="40" w:type="dxa"/>
              <w:right w:w="40" w:type="dxa"/>
            </w:tcMar>
          </w:tcPr>
          <w:p w:rsidR="00E30271" w:rsidRPr="004500CF" w:rsidRDefault="00E30271" w:rsidP="00E30271">
            <w:pPr>
              <w:pStyle w:val="TableRowHeadings"/>
              <w:rPr>
                <w:lang w:eastAsia="en-AU"/>
              </w:rPr>
            </w:pPr>
            <w:r>
              <w:rPr>
                <w:lang w:eastAsia="en-AU"/>
              </w:rPr>
              <w:t>Rest of state</w:t>
            </w:r>
          </w:p>
        </w:tc>
        <w:tc>
          <w:tcPr>
            <w:tcW w:w="2872" w:type="dxa"/>
            <w:tcBorders>
              <w:top w:val="nil"/>
              <w:left w:val="nil"/>
              <w:bottom w:val="single" w:sz="6" w:space="0" w:color="000000"/>
              <w:right w:val="nil"/>
            </w:tcBorders>
            <w:shd w:val="clear" w:color="auto" w:fill="FFFFFF"/>
            <w:tcMar>
              <w:left w:w="40" w:type="dxa"/>
              <w:right w:w="40" w:type="dxa"/>
            </w:tcMar>
            <w:vAlign w:val="bottom"/>
          </w:tcPr>
          <w:p w:rsidR="00E30271" w:rsidRPr="004500CF" w:rsidRDefault="00E30271" w:rsidP="00E30271">
            <w:pPr>
              <w:pStyle w:val="TableDataCell"/>
              <w:rPr>
                <w:lang w:eastAsia="en-AU"/>
              </w:rPr>
            </w:pPr>
            <w:r w:rsidRPr="004500CF">
              <w:rPr>
                <w:lang w:eastAsia="en-AU"/>
              </w:rPr>
              <w:t>55.1</w:t>
            </w:r>
          </w:p>
        </w:tc>
      </w:tr>
    </w:tbl>
    <w:p w:rsidR="00E30271" w:rsidRDefault="00E30271" w:rsidP="00E30271">
      <w:pPr>
        <w:pStyle w:val="TableFootnote"/>
      </w:pPr>
      <w:proofErr w:type="gramStart"/>
      <w:r w:rsidRPr="00B736D6">
        <w:t>Based on the ABS classification Greater Capital City Statistical Area (GCCSA)</w:t>
      </w:r>
      <w:r>
        <w:t>.</w:t>
      </w:r>
      <w:proofErr w:type="gramEnd"/>
    </w:p>
    <w:p w:rsidR="00E30271" w:rsidRPr="004544E9" w:rsidRDefault="00E30271" w:rsidP="00E30271">
      <w:pPr>
        <w:pStyle w:val="Heading3"/>
      </w:pPr>
      <w:r>
        <w:t>7</w:t>
      </w:r>
      <w:r w:rsidRPr="004544E9">
        <w:t>.</w:t>
      </w:r>
      <w:r>
        <w:t>2</w:t>
      </w:r>
      <w:r w:rsidRPr="004544E9">
        <w:t>.</w:t>
      </w:r>
      <w:r>
        <w:t>7</w:t>
      </w:r>
      <w:r w:rsidRPr="004544E9">
        <w:tab/>
      </w:r>
      <w:r>
        <w:t xml:space="preserve">Type of mental </w:t>
      </w:r>
      <w:r w:rsidRPr="004544E9">
        <w:t>disorder</w:t>
      </w:r>
      <w:bookmarkEnd w:id="137"/>
    </w:p>
    <w:p w:rsidR="00E30271" w:rsidRDefault="00E30271" w:rsidP="00E30271">
      <w:pPr>
        <w:pStyle w:val="BodyText"/>
      </w:pPr>
      <w:r>
        <w:t>Service use was highest among children and adolescents with a major depressive disorder, with four fifths (79.6%) of these children and adolescents having used services in the previous 12 months. Just over two thirds (68.8%) of those with a conduct disorder, 61.4% of those with anxiety disorders and half (52.7%) of children and adolescents with ADHD</w:t>
      </w:r>
      <w:r w:rsidRPr="00DE5D29">
        <w:t xml:space="preserve"> </w:t>
      </w:r>
      <w:r>
        <w:t>had used services. Service use was consistently higher among adolescents than children for each type of disorder (Table 7-</w:t>
      </w:r>
      <w:r>
        <w:rPr>
          <w:noProof/>
        </w:rPr>
        <w:t>9</w:t>
      </w:r>
      <w:r>
        <w:t xml:space="preserve">). </w:t>
      </w:r>
    </w:p>
    <w:p w:rsidR="00E30271" w:rsidRDefault="00E30271" w:rsidP="00E30271">
      <w:pPr>
        <w:pStyle w:val="Caption"/>
        <w:keepNext/>
      </w:pPr>
      <w:bookmarkStart w:id="143" w:name="_Ref403482205"/>
      <w:r>
        <w:t>Table 7-</w:t>
      </w:r>
      <w:r>
        <w:rPr>
          <w:noProof/>
        </w:rPr>
        <w:t>9</w:t>
      </w:r>
      <w:bookmarkEnd w:id="143"/>
      <w:r>
        <w:t>: Service use in past 12 months among 4-17 year-olds with mental disorders by disorder type and age group</w:t>
      </w:r>
    </w:p>
    <w:tbl>
      <w:tblPr>
        <w:tblW w:w="9122" w:type="dxa"/>
        <w:jc w:val="center"/>
        <w:tblLayout w:type="fixed"/>
        <w:tblCellMar>
          <w:left w:w="0" w:type="dxa"/>
          <w:right w:w="0" w:type="dxa"/>
        </w:tblCellMar>
        <w:tblLook w:val="0020" w:firstRow="1" w:lastRow="0" w:firstColumn="0" w:lastColumn="0" w:noHBand="0" w:noVBand="0"/>
        <w:tblDescription w:val="In Table 7-9 the first column defines the type of disorder. Read across the rows for the proportion of 4-11 year-olds and 12-17 year-olds, and 4-17 year-olds who had used services in the past 12 months."/>
      </w:tblPr>
      <w:tblGrid>
        <w:gridCol w:w="3464"/>
        <w:gridCol w:w="1886"/>
        <w:gridCol w:w="1886"/>
        <w:gridCol w:w="1886"/>
      </w:tblGrid>
      <w:tr w:rsidR="00E30271" w:rsidRPr="001A5C79" w:rsidTr="00E30271">
        <w:trPr>
          <w:cantSplit/>
          <w:tblHeader/>
          <w:jc w:val="center"/>
        </w:trPr>
        <w:tc>
          <w:tcPr>
            <w:tcW w:w="3464"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D010EC" w:rsidRDefault="00E30271" w:rsidP="00E30271">
            <w:pPr>
              <w:pStyle w:val="TableColumnHeadings"/>
              <w:jc w:val="left"/>
              <w:rPr>
                <w:rStyle w:val="Strong"/>
              </w:rPr>
            </w:pPr>
            <w:r w:rsidRPr="00D010EC">
              <w:rPr>
                <w:rStyle w:val="Strong"/>
              </w:rPr>
              <w:t>Disorder</w:t>
            </w:r>
          </w:p>
        </w:tc>
        <w:tc>
          <w:tcPr>
            <w:tcW w:w="18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8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88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1A5C79" w:rsidTr="00E30271">
        <w:trPr>
          <w:cantSplit/>
          <w:jc w:val="center"/>
        </w:trPr>
        <w:tc>
          <w:tcPr>
            <w:tcW w:w="3464" w:type="dxa"/>
            <w:tcBorders>
              <w:top w:val="nil"/>
              <w:bottom w:val="single" w:sz="4" w:space="0" w:color="FFFFFF"/>
              <w:right w:val="nil"/>
            </w:tcBorders>
            <w:shd w:val="clear" w:color="auto" w:fill="EFF3FF"/>
            <w:tcMar>
              <w:left w:w="40" w:type="dxa"/>
              <w:right w:w="40" w:type="dxa"/>
            </w:tcMar>
          </w:tcPr>
          <w:p w:rsidR="00E30271" w:rsidRPr="00862571" w:rsidRDefault="00E30271" w:rsidP="00E30271">
            <w:pPr>
              <w:pStyle w:val="TableRowHeadings"/>
              <w:rPr>
                <w:lang w:eastAsia="en-AU"/>
              </w:rPr>
            </w:pPr>
            <w:r w:rsidRPr="00862571">
              <w:rPr>
                <w:lang w:eastAsia="en-AU"/>
              </w:rPr>
              <w:t xml:space="preserve">Anxiety </w:t>
            </w:r>
            <w:r>
              <w:rPr>
                <w:lang w:eastAsia="en-AU"/>
              </w:rPr>
              <w:t>d</w:t>
            </w:r>
            <w:r w:rsidRPr="00862571">
              <w:rPr>
                <w:lang w:eastAsia="en-AU"/>
              </w:rPr>
              <w:t>isorder</w:t>
            </w:r>
            <w:r>
              <w:rPr>
                <w:lang w:eastAsia="en-AU"/>
              </w:rPr>
              <w:t>s</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53.6</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71.7</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61.4</w:t>
            </w:r>
          </w:p>
        </w:tc>
      </w:tr>
      <w:tr w:rsidR="00E30271" w:rsidRPr="001A5C79" w:rsidTr="00E30271">
        <w:trPr>
          <w:cantSplit/>
          <w:jc w:val="center"/>
        </w:trPr>
        <w:tc>
          <w:tcPr>
            <w:tcW w:w="3464" w:type="dxa"/>
            <w:tcBorders>
              <w:top w:val="nil"/>
              <w:bottom w:val="single" w:sz="4" w:space="0" w:color="FFFFFF"/>
              <w:right w:val="nil"/>
            </w:tcBorders>
            <w:shd w:val="clear" w:color="auto" w:fill="EFF3FF"/>
            <w:tcMar>
              <w:left w:w="40" w:type="dxa"/>
              <w:right w:w="40" w:type="dxa"/>
            </w:tcMar>
          </w:tcPr>
          <w:p w:rsidR="00E30271" w:rsidRPr="00862571" w:rsidRDefault="00E30271" w:rsidP="00E30271">
            <w:pPr>
              <w:pStyle w:val="TableRowHeadings"/>
              <w:rPr>
                <w:lang w:eastAsia="en-AU"/>
              </w:rPr>
            </w:pPr>
            <w:r w:rsidRPr="00862571">
              <w:rPr>
                <w:lang w:eastAsia="en-AU"/>
              </w:rPr>
              <w:t xml:space="preserve">Major </w:t>
            </w:r>
            <w:r>
              <w:rPr>
                <w:lang w:eastAsia="en-AU"/>
              </w:rPr>
              <w:t>d</w:t>
            </w:r>
            <w:r w:rsidRPr="00862571">
              <w:rPr>
                <w:lang w:eastAsia="en-AU"/>
              </w:rPr>
              <w:t xml:space="preserve">epressive </w:t>
            </w:r>
            <w:r>
              <w:rPr>
                <w:lang w:eastAsia="en-AU"/>
              </w:rPr>
              <w:t>d</w:t>
            </w:r>
            <w:r w:rsidRPr="00862571">
              <w:rPr>
                <w:lang w:eastAsia="en-AU"/>
              </w:rPr>
              <w:t>isorder</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73.2</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81.6</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79.6</w:t>
            </w:r>
          </w:p>
        </w:tc>
      </w:tr>
      <w:tr w:rsidR="00E30271" w:rsidRPr="001A5C79" w:rsidTr="00E30271">
        <w:trPr>
          <w:cantSplit/>
          <w:jc w:val="center"/>
        </w:trPr>
        <w:tc>
          <w:tcPr>
            <w:tcW w:w="3464" w:type="dxa"/>
            <w:tcBorders>
              <w:top w:val="nil"/>
              <w:bottom w:val="single" w:sz="4" w:space="0" w:color="FFFFFF"/>
              <w:right w:val="nil"/>
            </w:tcBorders>
            <w:shd w:val="clear" w:color="auto" w:fill="EFF3FF"/>
            <w:tcMar>
              <w:left w:w="40" w:type="dxa"/>
              <w:right w:w="40" w:type="dxa"/>
            </w:tcMar>
          </w:tcPr>
          <w:p w:rsidR="00E30271" w:rsidRPr="00862571" w:rsidRDefault="00E30271" w:rsidP="00E30271">
            <w:pPr>
              <w:pStyle w:val="TableRowHeadings"/>
              <w:rPr>
                <w:lang w:eastAsia="en-AU"/>
              </w:rPr>
            </w:pPr>
            <w:r w:rsidRPr="00862571">
              <w:rPr>
                <w:lang w:eastAsia="en-AU"/>
              </w:rPr>
              <w:t>ADHD</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48.9</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59.3</w:t>
            </w:r>
          </w:p>
        </w:tc>
        <w:tc>
          <w:tcPr>
            <w:tcW w:w="1886" w:type="dxa"/>
            <w:tcBorders>
              <w:top w:val="nil"/>
              <w:left w:val="nil"/>
              <w:bottom w:val="nil"/>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52.7</w:t>
            </w:r>
          </w:p>
        </w:tc>
      </w:tr>
      <w:tr w:rsidR="00E30271" w:rsidRPr="001A5C79" w:rsidTr="00E30271">
        <w:trPr>
          <w:cantSplit/>
          <w:jc w:val="center"/>
        </w:trPr>
        <w:tc>
          <w:tcPr>
            <w:tcW w:w="3464" w:type="dxa"/>
            <w:tcBorders>
              <w:top w:val="nil"/>
              <w:bottom w:val="single" w:sz="4" w:space="0" w:color="auto"/>
              <w:right w:val="nil"/>
            </w:tcBorders>
            <w:shd w:val="clear" w:color="auto" w:fill="EFF3FF"/>
            <w:tcMar>
              <w:left w:w="40" w:type="dxa"/>
              <w:right w:w="40" w:type="dxa"/>
            </w:tcMar>
          </w:tcPr>
          <w:p w:rsidR="00E30271" w:rsidRPr="00862571" w:rsidRDefault="00E30271" w:rsidP="00E30271">
            <w:pPr>
              <w:pStyle w:val="TableRowHeadings"/>
              <w:rPr>
                <w:lang w:eastAsia="en-AU"/>
              </w:rPr>
            </w:pPr>
            <w:r w:rsidRPr="00862571">
              <w:rPr>
                <w:lang w:eastAsia="en-AU"/>
              </w:rPr>
              <w:t xml:space="preserve">Conduct </w:t>
            </w:r>
            <w:r>
              <w:rPr>
                <w:lang w:eastAsia="en-AU"/>
              </w:rPr>
              <w:t>d</w:t>
            </w:r>
            <w:r w:rsidRPr="00862571">
              <w:rPr>
                <w:lang w:eastAsia="en-AU"/>
              </w:rPr>
              <w:t>isorder</w:t>
            </w:r>
          </w:p>
        </w:tc>
        <w:tc>
          <w:tcPr>
            <w:tcW w:w="1886" w:type="dxa"/>
            <w:tcBorders>
              <w:top w:val="nil"/>
              <w:left w:val="nil"/>
              <w:bottom w:val="single" w:sz="4" w:space="0" w:color="auto"/>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66.4</w:t>
            </w:r>
          </w:p>
        </w:tc>
        <w:tc>
          <w:tcPr>
            <w:tcW w:w="1886" w:type="dxa"/>
            <w:tcBorders>
              <w:top w:val="nil"/>
              <w:left w:val="nil"/>
              <w:bottom w:val="single" w:sz="4" w:space="0" w:color="auto"/>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72.0</w:t>
            </w:r>
          </w:p>
        </w:tc>
        <w:tc>
          <w:tcPr>
            <w:tcW w:w="1886" w:type="dxa"/>
            <w:tcBorders>
              <w:top w:val="nil"/>
              <w:left w:val="nil"/>
              <w:bottom w:val="single" w:sz="4" w:space="0" w:color="auto"/>
              <w:right w:val="nil"/>
            </w:tcBorders>
            <w:shd w:val="clear" w:color="auto" w:fill="FFFFFF"/>
            <w:tcMar>
              <w:left w:w="40" w:type="dxa"/>
              <w:right w:w="40" w:type="dxa"/>
            </w:tcMar>
            <w:vAlign w:val="bottom"/>
          </w:tcPr>
          <w:p w:rsidR="00E30271" w:rsidRPr="001A5C79" w:rsidRDefault="00E30271" w:rsidP="00E30271">
            <w:pPr>
              <w:pStyle w:val="TableDataCell"/>
              <w:rPr>
                <w:lang w:eastAsia="en-AU"/>
              </w:rPr>
            </w:pPr>
            <w:r w:rsidRPr="001A5C79">
              <w:rPr>
                <w:lang w:eastAsia="en-AU"/>
              </w:rPr>
              <w:t>68.8</w:t>
            </w:r>
          </w:p>
        </w:tc>
      </w:tr>
      <w:tr w:rsidR="00E30271" w:rsidRPr="001A5C79" w:rsidTr="00E30271">
        <w:trPr>
          <w:cantSplit/>
          <w:jc w:val="center"/>
        </w:trPr>
        <w:tc>
          <w:tcPr>
            <w:tcW w:w="3464" w:type="dxa"/>
            <w:tcBorders>
              <w:top w:val="single" w:sz="4" w:space="0" w:color="auto"/>
              <w:bottom w:val="single" w:sz="6" w:space="0" w:color="000000"/>
              <w:right w:val="nil"/>
            </w:tcBorders>
            <w:shd w:val="clear" w:color="auto" w:fill="EFF3FF"/>
            <w:tcMar>
              <w:left w:w="40" w:type="dxa"/>
              <w:right w:w="40" w:type="dxa"/>
            </w:tcMar>
          </w:tcPr>
          <w:p w:rsidR="00E30271" w:rsidRPr="00EB2EF4" w:rsidRDefault="00E30271" w:rsidP="00E30271">
            <w:pPr>
              <w:pStyle w:val="TableRowHeadings"/>
              <w:rPr>
                <w:rStyle w:val="Strong"/>
              </w:rPr>
            </w:pPr>
            <w:r w:rsidRPr="00EB2EF4">
              <w:rPr>
                <w:rStyle w:val="Strong"/>
              </w:rPr>
              <w:t>Any mental disorder</w:t>
            </w:r>
          </w:p>
        </w:tc>
        <w:tc>
          <w:tcPr>
            <w:tcW w:w="1886"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48.9</w:t>
            </w:r>
          </w:p>
        </w:tc>
        <w:tc>
          <w:tcPr>
            <w:tcW w:w="1886"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65.1</w:t>
            </w:r>
          </w:p>
        </w:tc>
        <w:tc>
          <w:tcPr>
            <w:tcW w:w="1886"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56.0</w:t>
            </w:r>
          </w:p>
        </w:tc>
      </w:tr>
    </w:tbl>
    <w:p w:rsidR="00E30271" w:rsidRPr="004544E9" w:rsidRDefault="00E30271" w:rsidP="00E30271">
      <w:pPr>
        <w:pStyle w:val="Heading3"/>
      </w:pPr>
      <w:bookmarkStart w:id="144" w:name="_Toc401758761"/>
      <w:r>
        <w:t>7</w:t>
      </w:r>
      <w:r w:rsidRPr="004544E9">
        <w:t>.</w:t>
      </w:r>
      <w:r>
        <w:t>2</w:t>
      </w:r>
      <w:r w:rsidRPr="004544E9">
        <w:t>.</w:t>
      </w:r>
      <w:r>
        <w:t>8</w:t>
      </w:r>
      <w:r w:rsidRPr="004544E9">
        <w:tab/>
      </w:r>
      <w:bookmarkEnd w:id="144"/>
      <w:r>
        <w:t>Severity of disorders</w:t>
      </w:r>
    </w:p>
    <w:p w:rsidR="00E30271" w:rsidRDefault="00E30271" w:rsidP="00E30271">
      <w:pPr>
        <w:pStyle w:val="BodyText"/>
      </w:pPr>
      <w:bookmarkStart w:id="145" w:name="_Ref396239474"/>
      <w:r>
        <w:t>Service use varied markedly with the level of severity of the disorders, ranging from two fifths (41.2%) of those with mild disorders to 72.5% of those with moderate disorders, and up to 87.6% of those with severe disorders having used services in the previous 12 months (Table 7-</w:t>
      </w:r>
      <w:r>
        <w:rPr>
          <w:noProof/>
        </w:rPr>
        <w:t>10</w:t>
      </w:r>
      <w:r>
        <w:t>).</w:t>
      </w:r>
    </w:p>
    <w:p w:rsidR="00E30271" w:rsidRDefault="00E30271" w:rsidP="00E30271">
      <w:pPr>
        <w:pStyle w:val="Caption"/>
        <w:keepNext/>
      </w:pPr>
      <w:bookmarkStart w:id="146" w:name="_Ref405824761"/>
      <w:r>
        <w:t>Table 7-</w:t>
      </w:r>
      <w:r>
        <w:rPr>
          <w:noProof/>
        </w:rPr>
        <w:t>10</w:t>
      </w:r>
      <w:bookmarkEnd w:id="146"/>
      <w:r>
        <w:rPr>
          <w:noProof/>
        </w:rPr>
        <w:t>: Service use in past 12 months among 4-17 year-olds with mental disorders by severity of impact and age group</w:t>
      </w:r>
    </w:p>
    <w:tbl>
      <w:tblPr>
        <w:tblW w:w="9109" w:type="dxa"/>
        <w:jc w:val="center"/>
        <w:tblLayout w:type="fixed"/>
        <w:tblCellMar>
          <w:left w:w="0" w:type="dxa"/>
          <w:right w:w="0" w:type="dxa"/>
        </w:tblCellMar>
        <w:tblLook w:val="0020" w:firstRow="1" w:lastRow="0" w:firstColumn="0" w:lastColumn="0" w:noHBand="0" w:noVBand="0"/>
        <w:tblDescription w:val="In Table 7-10 the first column defines level of severity.Read across the rows for the proportion of 4-11 year-olds, 12-17 year-olds and 4-17 year-olds with mental disorders who had used services in the past 12 months."/>
      </w:tblPr>
      <w:tblGrid>
        <w:gridCol w:w="3458"/>
        <w:gridCol w:w="1883"/>
        <w:gridCol w:w="1884"/>
        <w:gridCol w:w="1884"/>
      </w:tblGrid>
      <w:tr w:rsidR="00E30271" w:rsidRPr="00152F8A" w:rsidTr="00E30271">
        <w:trPr>
          <w:cantSplit/>
          <w:tblHeader/>
          <w:jc w:val="center"/>
        </w:trPr>
        <w:tc>
          <w:tcPr>
            <w:tcW w:w="3458"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D010EC" w:rsidRDefault="00E30271" w:rsidP="00E30271">
            <w:pPr>
              <w:pStyle w:val="TableColumnHeadings"/>
              <w:jc w:val="left"/>
              <w:rPr>
                <w:rStyle w:val="Strong"/>
              </w:rPr>
            </w:pPr>
            <w:r w:rsidRPr="00D010EC">
              <w:rPr>
                <w:rStyle w:val="Strong"/>
              </w:rPr>
              <w:t>Severity</w:t>
            </w:r>
          </w:p>
        </w:tc>
        <w:tc>
          <w:tcPr>
            <w:tcW w:w="188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88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88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152F8A" w:rsidTr="00E30271">
        <w:trPr>
          <w:cantSplit/>
          <w:jc w:val="center"/>
        </w:trPr>
        <w:tc>
          <w:tcPr>
            <w:tcW w:w="3458" w:type="dxa"/>
            <w:tcBorders>
              <w:top w:val="nil"/>
              <w:bottom w:val="single" w:sz="4" w:space="0" w:color="FFFFFF"/>
              <w:right w:val="nil"/>
            </w:tcBorders>
            <w:shd w:val="clear" w:color="auto" w:fill="EFF3FF"/>
            <w:tcMar>
              <w:left w:w="40" w:type="dxa"/>
              <w:right w:w="40" w:type="dxa"/>
            </w:tcMar>
          </w:tcPr>
          <w:p w:rsidR="00E30271" w:rsidRPr="00152F8A" w:rsidRDefault="00E30271" w:rsidP="00E30271">
            <w:pPr>
              <w:pStyle w:val="TableRowHeadings"/>
              <w:rPr>
                <w:lang w:eastAsia="en-AU"/>
              </w:rPr>
            </w:pPr>
            <w:r w:rsidRPr="00152F8A">
              <w:rPr>
                <w:lang w:eastAsia="en-AU"/>
              </w:rPr>
              <w:t>Mild</w:t>
            </w:r>
          </w:p>
        </w:tc>
        <w:tc>
          <w:tcPr>
            <w:tcW w:w="1883"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39.9</w:t>
            </w:r>
          </w:p>
        </w:tc>
        <w:tc>
          <w:tcPr>
            <w:tcW w:w="1884"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43.9</w:t>
            </w:r>
          </w:p>
        </w:tc>
        <w:tc>
          <w:tcPr>
            <w:tcW w:w="1884"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41.2</w:t>
            </w:r>
          </w:p>
        </w:tc>
      </w:tr>
      <w:tr w:rsidR="00E30271" w:rsidRPr="00152F8A" w:rsidTr="00E30271">
        <w:trPr>
          <w:cantSplit/>
          <w:jc w:val="center"/>
        </w:trPr>
        <w:tc>
          <w:tcPr>
            <w:tcW w:w="3458" w:type="dxa"/>
            <w:tcBorders>
              <w:top w:val="nil"/>
              <w:bottom w:val="single" w:sz="4" w:space="0" w:color="FFFFFF"/>
              <w:right w:val="nil"/>
            </w:tcBorders>
            <w:shd w:val="clear" w:color="auto" w:fill="EFF3FF"/>
            <w:tcMar>
              <w:left w:w="40" w:type="dxa"/>
              <w:right w:w="40" w:type="dxa"/>
            </w:tcMar>
          </w:tcPr>
          <w:p w:rsidR="00E30271" w:rsidRPr="00152F8A" w:rsidRDefault="00E30271" w:rsidP="00E30271">
            <w:pPr>
              <w:pStyle w:val="TableRowHeadings"/>
              <w:rPr>
                <w:lang w:eastAsia="en-AU"/>
              </w:rPr>
            </w:pPr>
            <w:r w:rsidRPr="00152F8A">
              <w:rPr>
                <w:lang w:eastAsia="en-AU"/>
              </w:rPr>
              <w:t>Moderate</w:t>
            </w:r>
          </w:p>
        </w:tc>
        <w:tc>
          <w:tcPr>
            <w:tcW w:w="1883"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67.5</w:t>
            </w:r>
          </w:p>
        </w:tc>
        <w:tc>
          <w:tcPr>
            <w:tcW w:w="1884"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76.3</w:t>
            </w:r>
          </w:p>
        </w:tc>
        <w:tc>
          <w:tcPr>
            <w:tcW w:w="1884" w:type="dxa"/>
            <w:tcBorders>
              <w:top w:val="nil"/>
              <w:left w:val="nil"/>
              <w:bottom w:val="nil"/>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72.5</w:t>
            </w:r>
          </w:p>
        </w:tc>
      </w:tr>
      <w:tr w:rsidR="00E30271" w:rsidRPr="00152F8A" w:rsidTr="00E30271">
        <w:trPr>
          <w:cantSplit/>
          <w:jc w:val="center"/>
        </w:trPr>
        <w:tc>
          <w:tcPr>
            <w:tcW w:w="3458" w:type="dxa"/>
            <w:tcBorders>
              <w:top w:val="nil"/>
              <w:bottom w:val="single" w:sz="4" w:space="0" w:color="auto"/>
              <w:right w:val="nil"/>
            </w:tcBorders>
            <w:shd w:val="clear" w:color="auto" w:fill="EFF3FF"/>
            <w:tcMar>
              <w:left w:w="40" w:type="dxa"/>
              <w:right w:w="40" w:type="dxa"/>
            </w:tcMar>
          </w:tcPr>
          <w:p w:rsidR="00E30271" w:rsidRPr="00152F8A" w:rsidRDefault="00E30271" w:rsidP="00E30271">
            <w:pPr>
              <w:pStyle w:val="TableRowHeadings"/>
              <w:rPr>
                <w:lang w:eastAsia="en-AU"/>
              </w:rPr>
            </w:pPr>
            <w:r w:rsidRPr="00152F8A">
              <w:rPr>
                <w:lang w:eastAsia="en-AU"/>
              </w:rPr>
              <w:t>Severe</w:t>
            </w:r>
          </w:p>
        </w:tc>
        <w:tc>
          <w:tcPr>
            <w:tcW w:w="1883" w:type="dxa"/>
            <w:tcBorders>
              <w:top w:val="nil"/>
              <w:left w:val="nil"/>
              <w:bottom w:val="single" w:sz="4" w:space="0" w:color="auto"/>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83.3</w:t>
            </w:r>
          </w:p>
        </w:tc>
        <w:tc>
          <w:tcPr>
            <w:tcW w:w="1884" w:type="dxa"/>
            <w:tcBorders>
              <w:top w:val="nil"/>
              <w:left w:val="nil"/>
              <w:bottom w:val="single" w:sz="4" w:space="0" w:color="auto"/>
              <w:right w:val="nil"/>
            </w:tcBorders>
            <w:shd w:val="clear" w:color="auto" w:fill="FFFFFF"/>
            <w:tcMar>
              <w:left w:w="40" w:type="dxa"/>
              <w:right w:w="40" w:type="dxa"/>
            </w:tcMar>
            <w:vAlign w:val="bottom"/>
          </w:tcPr>
          <w:p w:rsidR="00E30271" w:rsidRPr="00152F8A" w:rsidRDefault="00E30271" w:rsidP="00E30271">
            <w:pPr>
              <w:pStyle w:val="TableDataCell"/>
              <w:rPr>
                <w:lang w:eastAsia="en-AU"/>
              </w:rPr>
            </w:pPr>
            <w:r w:rsidRPr="00152F8A">
              <w:rPr>
                <w:lang w:eastAsia="en-AU"/>
              </w:rPr>
              <w:t>89.6</w:t>
            </w:r>
          </w:p>
        </w:tc>
        <w:tc>
          <w:tcPr>
            <w:tcW w:w="1884" w:type="dxa"/>
            <w:tcBorders>
              <w:top w:val="nil"/>
              <w:left w:val="nil"/>
              <w:bottom w:val="single" w:sz="4" w:space="0" w:color="auto"/>
              <w:right w:val="nil"/>
            </w:tcBorders>
            <w:shd w:val="clear" w:color="auto" w:fill="FFFFFF"/>
            <w:tcMar>
              <w:left w:w="40" w:type="dxa"/>
              <w:right w:w="40" w:type="dxa"/>
            </w:tcMar>
            <w:vAlign w:val="bottom"/>
          </w:tcPr>
          <w:p w:rsidR="00E30271" w:rsidRPr="00152F8A" w:rsidRDefault="00E30271" w:rsidP="00E30271">
            <w:pPr>
              <w:pStyle w:val="TableDataCell"/>
              <w:keepNext/>
              <w:rPr>
                <w:lang w:eastAsia="en-AU"/>
              </w:rPr>
            </w:pPr>
            <w:r w:rsidRPr="00152F8A">
              <w:rPr>
                <w:lang w:eastAsia="en-AU"/>
              </w:rPr>
              <w:t>87.6</w:t>
            </w:r>
          </w:p>
        </w:tc>
      </w:tr>
      <w:tr w:rsidR="00E30271" w:rsidRPr="00152F8A" w:rsidTr="00E30271">
        <w:trPr>
          <w:cantSplit/>
          <w:jc w:val="center"/>
        </w:trPr>
        <w:tc>
          <w:tcPr>
            <w:tcW w:w="3458" w:type="dxa"/>
            <w:tcBorders>
              <w:top w:val="single" w:sz="4" w:space="0" w:color="auto"/>
              <w:bottom w:val="single" w:sz="6" w:space="0" w:color="000000"/>
              <w:right w:val="nil"/>
            </w:tcBorders>
            <w:shd w:val="clear" w:color="auto" w:fill="EFF3FF"/>
            <w:tcMar>
              <w:left w:w="40" w:type="dxa"/>
              <w:right w:w="40" w:type="dxa"/>
            </w:tcMar>
          </w:tcPr>
          <w:p w:rsidR="00E30271" w:rsidRPr="00EB2EF4" w:rsidRDefault="00E30271" w:rsidP="00E30271">
            <w:pPr>
              <w:pStyle w:val="TableRowHeadings"/>
              <w:rPr>
                <w:rStyle w:val="Strong"/>
              </w:rPr>
            </w:pPr>
            <w:r w:rsidRPr="00EB2EF4">
              <w:rPr>
                <w:rStyle w:val="Strong"/>
              </w:rPr>
              <w:t>Any mental disorder</w:t>
            </w:r>
          </w:p>
        </w:tc>
        <w:tc>
          <w:tcPr>
            <w:tcW w:w="188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48.9</w:t>
            </w:r>
          </w:p>
        </w:tc>
        <w:tc>
          <w:tcPr>
            <w:tcW w:w="188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65.1</w:t>
            </w:r>
          </w:p>
        </w:tc>
        <w:tc>
          <w:tcPr>
            <w:tcW w:w="188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2EF4" w:rsidRDefault="00E30271" w:rsidP="00E30271">
            <w:pPr>
              <w:pStyle w:val="TableDataCell"/>
              <w:rPr>
                <w:rStyle w:val="Strong"/>
              </w:rPr>
            </w:pPr>
            <w:r w:rsidRPr="00EB2EF4">
              <w:rPr>
                <w:rStyle w:val="Strong"/>
              </w:rPr>
              <w:t>56.0</w:t>
            </w:r>
          </w:p>
        </w:tc>
      </w:tr>
    </w:tbl>
    <w:p w:rsidR="00E30271" w:rsidRPr="004E47B6" w:rsidRDefault="00E30271" w:rsidP="00E30271">
      <w:pPr>
        <w:pStyle w:val="Heading2"/>
      </w:pPr>
      <w:bookmarkStart w:id="147" w:name="_Toc401758762"/>
      <w:bookmarkEnd w:id="145"/>
      <w:r>
        <w:lastRenderedPageBreak/>
        <w:t xml:space="preserve">7.3 </w:t>
      </w:r>
      <w:r>
        <w:tab/>
        <w:t>Health service use by children and adolescents with mental disorder</w:t>
      </w:r>
      <w:bookmarkEnd w:id="147"/>
      <w:r>
        <w:t>s</w:t>
      </w:r>
    </w:p>
    <w:p w:rsidR="00E30271" w:rsidRDefault="00E30271" w:rsidP="00E30271">
      <w:pPr>
        <w:pStyle w:val="BodyText"/>
      </w:pPr>
      <w:r>
        <w:t>This section reports on the use of services provided by health professionals in the community, hospital inpatient, outpatient or emergency departments, private rooms and at headspace centres.</w:t>
      </w:r>
    </w:p>
    <w:p w:rsidR="00E30271" w:rsidRDefault="00E30271" w:rsidP="00E30271">
      <w:pPr>
        <w:pStyle w:val="Heading3"/>
      </w:pPr>
      <w:bookmarkStart w:id="148" w:name="_Toc401758763"/>
      <w:r>
        <w:t>7</w:t>
      </w:r>
      <w:r w:rsidRPr="005C5203">
        <w:t>.</w:t>
      </w:r>
      <w:r>
        <w:t>3</w:t>
      </w:r>
      <w:r w:rsidRPr="005C5203">
        <w:t xml:space="preserve">.1 </w:t>
      </w:r>
      <w:r w:rsidRPr="005C5203">
        <w:tab/>
      </w:r>
      <w:r>
        <w:t xml:space="preserve">Type and </w:t>
      </w:r>
      <w:bookmarkEnd w:id="148"/>
      <w:r>
        <w:t>severity of disorders</w:t>
      </w:r>
    </w:p>
    <w:p w:rsidR="00E30271" w:rsidRDefault="00E30271" w:rsidP="00E30271">
      <w:pPr>
        <w:pStyle w:val="BodyText"/>
      </w:pPr>
      <w:r>
        <w:t>Just over half (53.0%) of 4-17 year-olds with mental disorders had used a health service for emotional or behavioural problems in the previous 12 months, with the highest level of health service use among those with a major depressive disorder (77.0%) (Table 7-</w:t>
      </w:r>
      <w:r>
        <w:rPr>
          <w:noProof/>
        </w:rPr>
        <w:t>11</w:t>
      </w:r>
      <w:r>
        <w:t xml:space="preserve">). </w:t>
      </w:r>
    </w:p>
    <w:p w:rsidR="00E30271" w:rsidRDefault="00E30271" w:rsidP="00E30271">
      <w:pPr>
        <w:pStyle w:val="BodyText"/>
      </w:pPr>
      <w:r>
        <w:t xml:space="preserve">Most children and adolescents (86.6%) with severe disorders had used health services in the previous 12 months. Whereas two thirds (68.5%) of those with moderate disorders and 38.1% of those with mild disorders had done so. </w:t>
      </w:r>
    </w:p>
    <w:p w:rsidR="00E30271" w:rsidRDefault="00E30271" w:rsidP="00E30271">
      <w:pPr>
        <w:pStyle w:val="BodyText"/>
      </w:pPr>
      <w:r>
        <w:t>The proportion of young people using health services in the previous 12 months was, no matter what the type of disorder, consistently high when the disorder was severe, ranging from 90.1% of those with severe conduct disorders down to 86.4% of those with severe major depressive disorder. Service use by those with moderate disorders was also relatively high, ranging between 72.0% and 80.2% in the previous 12 months. There was, however, more variation for mild disorders, with health service use in the previous 12 months being lowest for mild ADHD (37.0%) and mild anxiety disorders (40.2%), but up to 57.1% for those with mild major depressive disorder.</w:t>
      </w:r>
    </w:p>
    <w:p w:rsidR="00E30271" w:rsidRDefault="00E30271" w:rsidP="00E30271">
      <w:pPr>
        <w:pStyle w:val="Caption"/>
        <w:keepNext/>
      </w:pPr>
      <w:bookmarkStart w:id="149" w:name="_Ref405824783"/>
      <w:r>
        <w:t>Table 7-</w:t>
      </w:r>
      <w:r>
        <w:rPr>
          <w:noProof/>
        </w:rPr>
        <w:t>11</w:t>
      </w:r>
      <w:bookmarkEnd w:id="149"/>
      <w:r>
        <w:t>: Health service use in past 12 months among 4-17 year-olds with mental disorders by disorder type and severity of impact</w:t>
      </w:r>
    </w:p>
    <w:tbl>
      <w:tblPr>
        <w:tblW w:w="9113" w:type="dxa"/>
        <w:jc w:val="center"/>
        <w:tblLayout w:type="fixed"/>
        <w:tblCellMar>
          <w:left w:w="0" w:type="dxa"/>
          <w:right w:w="0" w:type="dxa"/>
        </w:tblCellMar>
        <w:tblLook w:val="0020" w:firstRow="1" w:lastRow="0" w:firstColumn="0" w:lastColumn="0" w:noHBand="0" w:noVBand="0"/>
        <w:tblDescription w:val="In Table 7-11 the first column defines the type of disorder. Read across the rows for the proportion of 4-17 year-olds with mild disorders, moderate disorders, severe disorders and overall who had used services in the past 12 months."/>
      </w:tblPr>
      <w:tblGrid>
        <w:gridCol w:w="2760"/>
        <w:gridCol w:w="1588"/>
        <w:gridCol w:w="1588"/>
        <w:gridCol w:w="1588"/>
        <w:gridCol w:w="1589"/>
      </w:tblGrid>
      <w:tr w:rsidR="00E30271" w:rsidRPr="00565D18" w:rsidTr="00E30271">
        <w:trPr>
          <w:cantSplit/>
          <w:tblHeader/>
          <w:jc w:val="center"/>
        </w:trPr>
        <w:tc>
          <w:tcPr>
            <w:tcW w:w="276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Disorder</w:t>
            </w:r>
          </w:p>
        </w:tc>
        <w:tc>
          <w:tcPr>
            <w:tcW w:w="15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Mild (%)</w:t>
            </w:r>
          </w:p>
        </w:tc>
        <w:tc>
          <w:tcPr>
            <w:tcW w:w="15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Moderate (%)</w:t>
            </w:r>
          </w:p>
        </w:tc>
        <w:tc>
          <w:tcPr>
            <w:tcW w:w="15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Severe (%)</w:t>
            </w:r>
          </w:p>
        </w:tc>
        <w:tc>
          <w:tcPr>
            <w:tcW w:w="158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Total (%)</w:t>
            </w:r>
          </w:p>
        </w:tc>
      </w:tr>
      <w:tr w:rsidR="00E30271" w:rsidRPr="00565D18" w:rsidTr="00E30271">
        <w:trPr>
          <w:cantSplit/>
          <w:jc w:val="center"/>
        </w:trPr>
        <w:tc>
          <w:tcPr>
            <w:tcW w:w="2760"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Anxiety disorders</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40.2</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75.6</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87.5</w:t>
            </w:r>
          </w:p>
        </w:tc>
        <w:tc>
          <w:tcPr>
            <w:tcW w:w="1589"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58.8</w:t>
            </w:r>
          </w:p>
        </w:tc>
      </w:tr>
      <w:tr w:rsidR="00E30271" w:rsidRPr="00565D18" w:rsidTr="00E30271">
        <w:trPr>
          <w:cantSplit/>
          <w:jc w:val="center"/>
        </w:trPr>
        <w:tc>
          <w:tcPr>
            <w:tcW w:w="2760"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Major depressive disorder</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57.1</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77.8</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86.4</w:t>
            </w:r>
          </w:p>
        </w:tc>
        <w:tc>
          <w:tcPr>
            <w:tcW w:w="1589"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77.0</w:t>
            </w:r>
          </w:p>
        </w:tc>
      </w:tr>
      <w:tr w:rsidR="00E30271" w:rsidRPr="00565D18" w:rsidTr="00E30271">
        <w:trPr>
          <w:cantSplit/>
          <w:jc w:val="center"/>
        </w:trPr>
        <w:tc>
          <w:tcPr>
            <w:tcW w:w="2760"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ADHD</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37.0</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72.0</w:t>
            </w:r>
          </w:p>
        </w:tc>
        <w:tc>
          <w:tcPr>
            <w:tcW w:w="1588"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88.1</w:t>
            </w:r>
          </w:p>
        </w:tc>
        <w:tc>
          <w:tcPr>
            <w:tcW w:w="1589"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50.7</w:t>
            </w:r>
          </w:p>
        </w:tc>
      </w:tr>
      <w:tr w:rsidR="00E30271" w:rsidRPr="00565D18" w:rsidTr="00E30271">
        <w:trPr>
          <w:cantSplit/>
          <w:jc w:val="center"/>
        </w:trPr>
        <w:tc>
          <w:tcPr>
            <w:tcW w:w="2760" w:type="dxa"/>
            <w:tcBorders>
              <w:top w:val="nil"/>
              <w:bottom w:val="single" w:sz="4" w:space="0" w:color="auto"/>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Conduct disorder</w:t>
            </w:r>
          </w:p>
        </w:tc>
        <w:tc>
          <w:tcPr>
            <w:tcW w:w="1588"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49.0</w:t>
            </w:r>
          </w:p>
        </w:tc>
        <w:tc>
          <w:tcPr>
            <w:tcW w:w="1588"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80.2</w:t>
            </w:r>
          </w:p>
        </w:tc>
        <w:tc>
          <w:tcPr>
            <w:tcW w:w="1588"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90.1</w:t>
            </w:r>
          </w:p>
        </w:tc>
        <w:tc>
          <w:tcPr>
            <w:tcW w:w="1589"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63.8</w:t>
            </w:r>
          </w:p>
        </w:tc>
      </w:tr>
      <w:tr w:rsidR="00E30271" w:rsidRPr="00565D18" w:rsidTr="00E30271">
        <w:trPr>
          <w:cantSplit/>
          <w:jc w:val="center"/>
        </w:trPr>
        <w:tc>
          <w:tcPr>
            <w:tcW w:w="2760" w:type="dxa"/>
            <w:tcBorders>
              <w:top w:val="single" w:sz="4" w:space="0" w:color="auto"/>
              <w:bottom w:val="single" w:sz="6" w:space="0" w:color="000000"/>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mental disorder</w:t>
            </w:r>
          </w:p>
        </w:tc>
        <w:tc>
          <w:tcPr>
            <w:tcW w:w="158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38.1</w:t>
            </w:r>
          </w:p>
        </w:tc>
        <w:tc>
          <w:tcPr>
            <w:tcW w:w="158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68.5</w:t>
            </w:r>
          </w:p>
        </w:tc>
        <w:tc>
          <w:tcPr>
            <w:tcW w:w="158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86.6</w:t>
            </w:r>
          </w:p>
        </w:tc>
        <w:tc>
          <w:tcPr>
            <w:tcW w:w="1589"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53.0</w:t>
            </w:r>
          </w:p>
        </w:tc>
      </w:tr>
    </w:tbl>
    <w:p w:rsidR="00E30271" w:rsidRDefault="00E30271" w:rsidP="00E30271">
      <w:pPr>
        <w:pStyle w:val="TableFootnote"/>
        <w:ind w:left="0" w:firstLine="0"/>
      </w:pPr>
      <w:r>
        <w:t xml:space="preserve">Where the child or </w:t>
      </w:r>
      <w:r w:rsidRPr="00507035">
        <w:t>adolescent had more than one disorder, service use has b</w:t>
      </w:r>
      <w:r>
        <w:t>een counted under each disorder</w:t>
      </w:r>
      <w:r w:rsidRPr="00507035">
        <w:t>.</w:t>
      </w:r>
      <w:r>
        <w:t xml:space="preserve"> The severity of any mental disorder is based on the most severe disorder if the child or adolescent has more than one disorder</w:t>
      </w:r>
      <w:r w:rsidRPr="00507035">
        <w:t>.</w:t>
      </w:r>
      <w:r>
        <w:t xml:space="preserve"> </w:t>
      </w:r>
    </w:p>
    <w:p w:rsidR="00E30271" w:rsidRPr="004E47B6" w:rsidRDefault="00E30271" w:rsidP="00E30271">
      <w:pPr>
        <w:pStyle w:val="Heading3"/>
      </w:pPr>
      <w:bookmarkStart w:id="150" w:name="_Toc401758764"/>
      <w:r>
        <w:t xml:space="preserve">7.3.2 </w:t>
      </w:r>
      <w:r>
        <w:tab/>
        <w:t>Health service provider</w:t>
      </w:r>
      <w:bookmarkEnd w:id="150"/>
      <w:r>
        <w:t>s</w:t>
      </w:r>
    </w:p>
    <w:p w:rsidR="00E30271" w:rsidRDefault="00E30271" w:rsidP="00E30271">
      <w:pPr>
        <w:pStyle w:val="BodyText"/>
      </w:pPr>
      <w:r>
        <w:t>Just over half (52.6%) of children and adolescents with mental disorders had seen a health service provider in the previous 12 months for emotional or behavioural problems (Table 7-</w:t>
      </w:r>
      <w:r>
        <w:rPr>
          <w:noProof/>
        </w:rPr>
        <w:t>12</w:t>
      </w:r>
      <w:r>
        <w:t xml:space="preserve">). </w:t>
      </w:r>
    </w:p>
    <w:p w:rsidR="00E30271" w:rsidRDefault="00E30271" w:rsidP="00E30271">
      <w:pPr>
        <w:pStyle w:val="BodyText"/>
      </w:pPr>
      <w:r>
        <w:t>Just over one third (35.0%) of children and adolescents with mental disorders had seen a general practitioner for their emotional and behavioural problems. However, only 4.3% had seen only a general practitioner and no other health service provider for their emotional and behavioural problems. Almost one quarter (23.9%) had seen a psychologist and 7.1% had seen a psychiatrist.</w:t>
      </w:r>
    </w:p>
    <w:p w:rsidR="00E30271" w:rsidRDefault="00E30271" w:rsidP="00E30271">
      <w:pPr>
        <w:pStyle w:val="BodyText"/>
      </w:pPr>
      <w:r>
        <w:t xml:space="preserve">General practitioners are the most common source of referrals to other health professionals. More particularly, they are responsible for the development of mental health care plans that allow access to Medicare-funded specialised mental health care, notably psychological services. This is reflected </w:t>
      </w:r>
      <w:r>
        <w:lastRenderedPageBreak/>
        <w:t>in the survey data, which shows that one fifth (20.6%) of young people had seen a general practitioner and either a psychologist or psychiatrist in the previous 12 months for their emotional and behavioural problems. In addition, 15.4% had seen a general practitioner and paediatrician.</w:t>
      </w:r>
    </w:p>
    <w:p w:rsidR="00E30271" w:rsidRDefault="00E30271" w:rsidP="00E30271">
      <w:pPr>
        <w:pStyle w:val="BodyText"/>
      </w:pPr>
      <w:r>
        <w:t>There were some differences between the types of health service providers seen by children and adolescents. A higher proportion of adolescents had seen a psychologist compared with 4-11 year-olds (29.1% compared with 19.8%) and twice as many adolescents had seen a counsellor or family therapist (29.0% compared with 14.1%). They were also more likely to have seen a general practitioner, a psychiatrist or a social worker. While children were more likely to have seen an occupational therapist (10.9% for 4-11 year</w:t>
      </w:r>
      <w:r>
        <w:noBreakHyphen/>
        <w:t>olds compared with 4.2% for 12-17 year-olds) (Table 7</w:t>
      </w:r>
      <w:r>
        <w:noBreakHyphen/>
      </w:r>
      <w:r>
        <w:rPr>
          <w:noProof/>
        </w:rPr>
        <w:t>12</w:t>
      </w:r>
      <w:r>
        <w:t>).</w:t>
      </w:r>
    </w:p>
    <w:p w:rsidR="00E30271" w:rsidRDefault="00E30271" w:rsidP="00E30271">
      <w:pPr>
        <w:pStyle w:val="BodyText"/>
      </w:pPr>
      <w:r>
        <w:t>Similar proportions of children and adolescents with mental disorders had seen a paediatrician in the previous 12 months (22.5% and 19.2% respectively). However, the proportion seeing a paediatrician for emotional or behavioural problems out of those who had seen any health service provider was higher among children (48.6% for 4-11 year-olds compared with 31.6% of 12-17 year-olds).</w:t>
      </w:r>
    </w:p>
    <w:p w:rsidR="00E30271" w:rsidRDefault="00E30271" w:rsidP="00E30271">
      <w:pPr>
        <w:pStyle w:val="Caption"/>
        <w:keepNext/>
      </w:pPr>
      <w:bookmarkStart w:id="151" w:name="_Ref405824804"/>
      <w:r>
        <w:t>Table 7-</w:t>
      </w:r>
      <w:r>
        <w:rPr>
          <w:noProof/>
        </w:rPr>
        <w:t>12</w:t>
      </w:r>
      <w:bookmarkEnd w:id="151"/>
      <w:r>
        <w:t>: Service use in past 12 months among 4-17 year-olds with mental disorders by health service provider and age group</w:t>
      </w:r>
    </w:p>
    <w:tbl>
      <w:tblPr>
        <w:tblW w:w="9130" w:type="dxa"/>
        <w:jc w:val="center"/>
        <w:tblLayout w:type="fixed"/>
        <w:tblCellMar>
          <w:left w:w="0" w:type="dxa"/>
          <w:right w:w="0" w:type="dxa"/>
        </w:tblCellMar>
        <w:tblLook w:val="0020" w:firstRow="1" w:lastRow="0" w:firstColumn="0" w:lastColumn="0" w:noHBand="0" w:noVBand="0"/>
        <w:tblDescription w:val="In Table 7-12 the first column defines the health service provider. Read across the rows for the proportion of 4-11 year-olds, 12-17 year-olds and 4-17 year-olds with mental disorders who had used each service provider in the past 12 months."/>
      </w:tblPr>
      <w:tblGrid>
        <w:gridCol w:w="3520"/>
        <w:gridCol w:w="1870"/>
        <w:gridCol w:w="1870"/>
        <w:gridCol w:w="1870"/>
      </w:tblGrid>
      <w:tr w:rsidR="00E30271" w:rsidRPr="009F2D27" w:rsidTr="00E30271">
        <w:trPr>
          <w:cantSplit/>
          <w:tblHeader/>
          <w:jc w:val="center"/>
        </w:trPr>
        <w:tc>
          <w:tcPr>
            <w:tcW w:w="3520"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D010EC" w:rsidRDefault="00E30271" w:rsidP="00E30271">
            <w:pPr>
              <w:pStyle w:val="TableColumnHeadings"/>
              <w:jc w:val="left"/>
              <w:rPr>
                <w:rStyle w:val="Strong"/>
              </w:rPr>
            </w:pPr>
            <w:r w:rsidRPr="00D010EC">
              <w:rPr>
                <w:rStyle w:val="Strong"/>
              </w:rPr>
              <w:t>Health service provider</w:t>
            </w:r>
          </w:p>
        </w:tc>
        <w:tc>
          <w:tcPr>
            <w:tcW w:w="187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87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87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General practitioner</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29.8</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41.6</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35.0</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Paediatrician</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22.5</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19.2</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21.0</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Psychiatrist</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4.9</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10.0</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7.1</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Psychologist</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19.8</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29.1</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23.9</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Nurse</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0.9</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4.5</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2.5</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Social worker</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6.2</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13.4</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9.3</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Occupational therapist</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10.9</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4.2</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7.9</w:t>
            </w:r>
          </w:p>
        </w:tc>
      </w:tr>
      <w:tr w:rsidR="00E30271" w:rsidRPr="009F2D27"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Counsellor or family therapist</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14.1</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29.0</w:t>
            </w:r>
          </w:p>
        </w:tc>
        <w:tc>
          <w:tcPr>
            <w:tcW w:w="1870" w:type="dxa"/>
            <w:tcBorders>
              <w:top w:val="nil"/>
              <w:left w:val="nil"/>
              <w:bottom w:val="nil"/>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20.7</w:t>
            </w:r>
          </w:p>
        </w:tc>
      </w:tr>
      <w:tr w:rsidR="00E30271" w:rsidRPr="009F2D27" w:rsidTr="00E30271">
        <w:trPr>
          <w:cantSplit/>
          <w:jc w:val="center"/>
        </w:trPr>
        <w:tc>
          <w:tcPr>
            <w:tcW w:w="3520" w:type="dxa"/>
            <w:tcBorders>
              <w:top w:val="nil"/>
              <w:bottom w:val="single" w:sz="4" w:space="0" w:color="auto"/>
              <w:right w:val="nil"/>
            </w:tcBorders>
            <w:shd w:val="clear" w:color="auto" w:fill="EFF3FF"/>
            <w:tcMar>
              <w:left w:w="40" w:type="dxa"/>
              <w:right w:w="40" w:type="dxa"/>
            </w:tcMar>
          </w:tcPr>
          <w:p w:rsidR="00E30271" w:rsidRPr="009F2D27" w:rsidRDefault="00E30271" w:rsidP="00E30271">
            <w:pPr>
              <w:pStyle w:val="TableRowHeadings"/>
              <w:rPr>
                <w:lang w:eastAsia="en-AU"/>
              </w:rPr>
            </w:pPr>
            <w:r w:rsidRPr="009F2D27">
              <w:rPr>
                <w:lang w:eastAsia="en-AU"/>
              </w:rPr>
              <w:t>Other or unsure about profession</w:t>
            </w:r>
          </w:p>
        </w:tc>
        <w:tc>
          <w:tcPr>
            <w:tcW w:w="1870" w:type="dxa"/>
            <w:tcBorders>
              <w:top w:val="nil"/>
              <w:left w:val="nil"/>
              <w:bottom w:val="single" w:sz="4" w:space="0" w:color="auto"/>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8.2</w:t>
            </w:r>
          </w:p>
        </w:tc>
        <w:tc>
          <w:tcPr>
            <w:tcW w:w="1870" w:type="dxa"/>
            <w:tcBorders>
              <w:top w:val="nil"/>
              <w:left w:val="nil"/>
              <w:bottom w:val="single" w:sz="4" w:space="0" w:color="auto"/>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8.1</w:t>
            </w:r>
          </w:p>
        </w:tc>
        <w:tc>
          <w:tcPr>
            <w:tcW w:w="1870" w:type="dxa"/>
            <w:tcBorders>
              <w:top w:val="nil"/>
              <w:left w:val="nil"/>
              <w:bottom w:val="single" w:sz="4" w:space="0" w:color="auto"/>
              <w:right w:val="nil"/>
            </w:tcBorders>
            <w:shd w:val="clear" w:color="auto" w:fill="FFFFFF"/>
            <w:tcMar>
              <w:left w:w="40" w:type="dxa"/>
              <w:right w:w="40" w:type="dxa"/>
            </w:tcMar>
            <w:vAlign w:val="bottom"/>
          </w:tcPr>
          <w:p w:rsidR="00E30271" w:rsidRPr="009F2D27" w:rsidRDefault="00E30271" w:rsidP="00E30271">
            <w:pPr>
              <w:pStyle w:val="TableDataCell"/>
              <w:rPr>
                <w:lang w:eastAsia="en-AU"/>
              </w:rPr>
            </w:pPr>
            <w:r w:rsidRPr="009F2D27">
              <w:rPr>
                <w:lang w:eastAsia="en-AU"/>
              </w:rPr>
              <w:t>8.2</w:t>
            </w:r>
          </w:p>
        </w:tc>
      </w:tr>
      <w:tr w:rsidR="00E30271" w:rsidRPr="00615735" w:rsidTr="00E30271">
        <w:trPr>
          <w:cantSplit/>
          <w:jc w:val="center"/>
        </w:trPr>
        <w:tc>
          <w:tcPr>
            <w:tcW w:w="3520" w:type="dxa"/>
            <w:tcBorders>
              <w:top w:val="single" w:sz="4" w:space="0" w:color="auto"/>
              <w:bottom w:val="single" w:sz="6" w:space="0" w:color="000000"/>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health service provider (a)</w:t>
            </w:r>
          </w:p>
        </w:tc>
        <w:tc>
          <w:tcPr>
            <w:tcW w:w="187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46.3</w:t>
            </w:r>
          </w:p>
        </w:tc>
        <w:tc>
          <w:tcPr>
            <w:tcW w:w="187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60.7</w:t>
            </w:r>
          </w:p>
        </w:tc>
        <w:tc>
          <w:tcPr>
            <w:tcW w:w="187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52.6</w:t>
            </w:r>
          </w:p>
        </w:tc>
      </w:tr>
    </w:tbl>
    <w:p w:rsidR="00E30271" w:rsidRPr="00610DAB" w:rsidRDefault="00E30271" w:rsidP="00E30271">
      <w:pPr>
        <w:pStyle w:val="TableFootnote"/>
        <w:rPr>
          <w:b/>
        </w:rPr>
      </w:pPr>
      <w:bookmarkStart w:id="152" w:name="_Toc401758765"/>
      <w:r>
        <w:t>(a)</w:t>
      </w:r>
      <w:r>
        <w:tab/>
        <w:t>T</w:t>
      </w:r>
      <w:r w:rsidRPr="00610DAB">
        <w:t xml:space="preserve">he total proportion that had seen any health service provider (52.6%) is slighter lower than the proportion reported in Table 7-11 </w:t>
      </w:r>
      <w:r>
        <w:t>as it does not include overnight stays in hospital or visits to headspace where the type of health service provider is unknown.</w:t>
      </w:r>
    </w:p>
    <w:p w:rsidR="00E30271" w:rsidRPr="00A9214B" w:rsidRDefault="00E30271" w:rsidP="00E30271">
      <w:pPr>
        <w:pStyle w:val="Heading3"/>
      </w:pPr>
      <w:r>
        <w:t>7</w:t>
      </w:r>
      <w:r w:rsidRPr="00A9214B">
        <w:t>.</w:t>
      </w:r>
      <w:r>
        <w:t>3</w:t>
      </w:r>
      <w:r w:rsidRPr="00A9214B">
        <w:t>.3</w:t>
      </w:r>
      <w:r w:rsidRPr="00A9214B">
        <w:tab/>
      </w:r>
      <w:r>
        <w:t>V</w:t>
      </w:r>
      <w:r w:rsidRPr="00A9214B">
        <w:t>isits to health service providers</w:t>
      </w:r>
      <w:bookmarkEnd w:id="152"/>
    </w:p>
    <w:p w:rsidR="00E30271" w:rsidRDefault="00E30271" w:rsidP="00E30271">
      <w:pPr>
        <w:pStyle w:val="BodyText"/>
        <w:rPr>
          <w:lang w:eastAsia="en-AU"/>
        </w:rPr>
      </w:pPr>
      <w:r>
        <w:rPr>
          <w:lang w:eastAsia="en-AU"/>
        </w:rPr>
        <w:t>General practitioners and paediatricians were the health service providers most likely to have been seen only once by children and adolescents with mental disorders for emotional and behavioural problems, with 41.7% having seen a general practitioner only once and 31.7% a paediatrician only once in the previous 12 months (</w:t>
      </w:r>
      <w:r>
        <w:t>Table 7-</w:t>
      </w:r>
      <w:r>
        <w:rPr>
          <w:noProof/>
        </w:rPr>
        <w:t>13</w:t>
      </w:r>
      <w:r>
        <w:rPr>
          <w:lang w:eastAsia="en-AU"/>
        </w:rPr>
        <w:t xml:space="preserve">). </w:t>
      </w:r>
    </w:p>
    <w:p w:rsidR="00E30271" w:rsidRDefault="00E30271" w:rsidP="00E30271">
      <w:pPr>
        <w:pStyle w:val="BodyText"/>
        <w:rPr>
          <w:lang w:eastAsia="en-AU"/>
        </w:rPr>
      </w:pPr>
      <w:r>
        <w:rPr>
          <w:lang w:eastAsia="en-AU"/>
        </w:rPr>
        <w:t xml:space="preserve">Occupational therapists, counsellors or family therapists and psychologists were seen the most number of times, with 31.2%, 29.5% and 24.4% respectively of young people with mental disorders having seen these health service providers ten times or more in the previous 12 months. In addition </w:t>
      </w:r>
      <w:r>
        <w:rPr>
          <w:lang w:eastAsia="en-AU"/>
        </w:rPr>
        <w:lastRenderedPageBreak/>
        <w:t>almost one fifth of young people with mental disorders saw psychiatrists (19.1%) and social workers (19.9%) on ten or more occasions.</w:t>
      </w:r>
    </w:p>
    <w:p w:rsidR="00E30271" w:rsidRDefault="00E30271" w:rsidP="00E30271">
      <w:pPr>
        <w:pStyle w:val="Caption"/>
        <w:keepNext/>
      </w:pPr>
      <w:bookmarkStart w:id="153" w:name="_Ref405824838"/>
      <w:r>
        <w:t>Table 7-</w:t>
      </w:r>
      <w:r>
        <w:rPr>
          <w:noProof/>
        </w:rPr>
        <w:t>13</w:t>
      </w:r>
      <w:bookmarkEnd w:id="153"/>
      <w:r>
        <w:t>: Visits to health service providers in past 12 months among 4-17 year-olds with mental disorders by type of provider</w:t>
      </w:r>
    </w:p>
    <w:tbl>
      <w:tblPr>
        <w:tblW w:w="9130" w:type="dxa"/>
        <w:jc w:val="center"/>
        <w:tblLayout w:type="fixed"/>
        <w:tblCellMar>
          <w:left w:w="0" w:type="dxa"/>
          <w:right w:w="0" w:type="dxa"/>
        </w:tblCellMar>
        <w:tblLook w:val="0020" w:firstRow="1" w:lastRow="0" w:firstColumn="0" w:lastColumn="0" w:noHBand="0" w:noVBand="0"/>
        <w:tblDescription w:val="In Table 7-13 the first colum defines health service provider. Read across the rows for the proportion of 4-17 year-olds with mental disorders who had used the services of these providers once, two to four times, five to nine times, or ten or more times in the past 12 months."/>
      </w:tblPr>
      <w:tblGrid>
        <w:gridCol w:w="3727"/>
        <w:gridCol w:w="1350"/>
        <w:gridCol w:w="1351"/>
        <w:gridCol w:w="1351"/>
        <w:gridCol w:w="1351"/>
      </w:tblGrid>
      <w:tr w:rsidR="00E30271" w:rsidRPr="00374851" w:rsidTr="00E30271">
        <w:trPr>
          <w:cantSplit/>
          <w:tblHeader/>
          <w:jc w:val="center"/>
        </w:trPr>
        <w:tc>
          <w:tcPr>
            <w:tcW w:w="3727"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Health service provider</w:t>
            </w:r>
          </w:p>
        </w:tc>
        <w:tc>
          <w:tcPr>
            <w:tcW w:w="135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Once (%)</w:t>
            </w:r>
          </w:p>
        </w:tc>
        <w:tc>
          <w:tcPr>
            <w:tcW w:w="135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Two to four times (%)</w:t>
            </w:r>
          </w:p>
        </w:tc>
        <w:tc>
          <w:tcPr>
            <w:tcW w:w="135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Five to nine times (%)</w:t>
            </w:r>
          </w:p>
        </w:tc>
        <w:tc>
          <w:tcPr>
            <w:tcW w:w="135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Ten or more times (%)</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General practitioner</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41.7</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39.6</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13.7</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5.0</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Paediatrician</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31.7</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55.6</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8.8</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3.9</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Psychiatrist</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21.3</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39.8</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19.8</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19.1</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Psychologist</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17.2</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32.5</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25.9</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24.4</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Social worker</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16.8</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45.4</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18.0</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19.9</w:t>
            </w:r>
          </w:p>
        </w:tc>
      </w:tr>
      <w:tr w:rsidR="00E30271" w:rsidRPr="00374851" w:rsidTr="00E30271">
        <w:trPr>
          <w:cantSplit/>
          <w:jc w:val="center"/>
        </w:trPr>
        <w:tc>
          <w:tcPr>
            <w:tcW w:w="3727" w:type="dxa"/>
            <w:tcBorders>
              <w:top w:val="nil"/>
              <w:bottom w:val="single" w:sz="4" w:space="0" w:color="FFFFFF"/>
              <w:right w:val="nil"/>
            </w:tcBorders>
            <w:shd w:val="clear" w:color="auto" w:fill="EFF3FF"/>
            <w:tcMar>
              <w:left w:w="40" w:type="dxa"/>
              <w:right w:w="40" w:type="dxa"/>
            </w:tcMar>
          </w:tcPr>
          <w:p w:rsidR="00E30271" w:rsidRPr="00E573A6" w:rsidRDefault="00E30271" w:rsidP="00E30271">
            <w:pPr>
              <w:pStyle w:val="TableRowHeadings"/>
            </w:pPr>
            <w:r w:rsidRPr="00E573A6">
              <w:t>Occupational therapist</w:t>
            </w:r>
          </w:p>
        </w:tc>
        <w:tc>
          <w:tcPr>
            <w:tcW w:w="1350"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23.8</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24.3</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20.7</w:t>
            </w:r>
          </w:p>
        </w:tc>
        <w:tc>
          <w:tcPr>
            <w:tcW w:w="1351" w:type="dxa"/>
            <w:tcBorders>
              <w:top w:val="nil"/>
              <w:left w:val="nil"/>
              <w:bottom w:val="nil"/>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31.2</w:t>
            </w:r>
          </w:p>
        </w:tc>
      </w:tr>
      <w:tr w:rsidR="00E30271" w:rsidRPr="00374851" w:rsidTr="00E30271">
        <w:trPr>
          <w:cantSplit/>
          <w:jc w:val="center"/>
        </w:trPr>
        <w:tc>
          <w:tcPr>
            <w:tcW w:w="3727" w:type="dxa"/>
            <w:tcBorders>
              <w:top w:val="nil"/>
              <w:bottom w:val="single" w:sz="6" w:space="0" w:color="000000"/>
              <w:right w:val="nil"/>
            </w:tcBorders>
            <w:shd w:val="clear" w:color="auto" w:fill="EFF3FF"/>
            <w:tcMar>
              <w:left w:w="40" w:type="dxa"/>
              <w:right w:w="40" w:type="dxa"/>
            </w:tcMar>
          </w:tcPr>
          <w:p w:rsidR="00E30271" w:rsidRPr="00E573A6" w:rsidRDefault="00E30271" w:rsidP="00E30271">
            <w:pPr>
              <w:pStyle w:val="TableRowHeadings"/>
            </w:pPr>
            <w:r w:rsidRPr="00E573A6">
              <w:t>Counsellor or family therapist</w:t>
            </w:r>
          </w:p>
        </w:tc>
        <w:tc>
          <w:tcPr>
            <w:tcW w:w="1350" w:type="dxa"/>
            <w:tcBorders>
              <w:top w:val="nil"/>
              <w:left w:val="nil"/>
              <w:bottom w:val="single" w:sz="6" w:space="0" w:color="000000"/>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17.3</w:t>
            </w:r>
          </w:p>
        </w:tc>
        <w:tc>
          <w:tcPr>
            <w:tcW w:w="1351" w:type="dxa"/>
            <w:tcBorders>
              <w:top w:val="nil"/>
              <w:left w:val="nil"/>
              <w:bottom w:val="single" w:sz="6" w:space="0" w:color="000000"/>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35.7</w:t>
            </w:r>
          </w:p>
        </w:tc>
        <w:tc>
          <w:tcPr>
            <w:tcW w:w="1351" w:type="dxa"/>
            <w:tcBorders>
              <w:top w:val="nil"/>
              <w:left w:val="nil"/>
              <w:bottom w:val="single" w:sz="6" w:space="0" w:color="000000"/>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17.6</w:t>
            </w:r>
          </w:p>
        </w:tc>
        <w:tc>
          <w:tcPr>
            <w:tcW w:w="1351" w:type="dxa"/>
            <w:tcBorders>
              <w:top w:val="nil"/>
              <w:left w:val="nil"/>
              <w:bottom w:val="single" w:sz="6" w:space="0" w:color="000000"/>
              <w:right w:val="nil"/>
            </w:tcBorders>
            <w:shd w:val="clear" w:color="auto" w:fill="FFFFFF"/>
            <w:tcMar>
              <w:left w:w="40" w:type="dxa"/>
              <w:right w:w="40" w:type="dxa"/>
            </w:tcMar>
            <w:vAlign w:val="bottom"/>
          </w:tcPr>
          <w:p w:rsidR="00E30271" w:rsidRPr="00374851" w:rsidRDefault="00E30271" w:rsidP="00E30271">
            <w:pPr>
              <w:pStyle w:val="TableDataCell"/>
              <w:rPr>
                <w:lang w:eastAsia="en-AU"/>
              </w:rPr>
            </w:pPr>
            <w:r w:rsidRPr="00374851">
              <w:rPr>
                <w:lang w:eastAsia="en-AU"/>
              </w:rPr>
              <w:t>29.5</w:t>
            </w:r>
          </w:p>
        </w:tc>
      </w:tr>
    </w:tbl>
    <w:p w:rsidR="00E30271" w:rsidRPr="004E47B6" w:rsidRDefault="00E30271" w:rsidP="00E30271">
      <w:pPr>
        <w:pStyle w:val="Heading3"/>
      </w:pPr>
      <w:bookmarkStart w:id="154" w:name="_Toc401758766"/>
      <w:r>
        <w:t>7</w:t>
      </w:r>
      <w:r w:rsidRPr="004D0371">
        <w:t>.</w:t>
      </w:r>
      <w:r>
        <w:t>3</w:t>
      </w:r>
      <w:r w:rsidRPr="004D0371">
        <w:t>.4</w:t>
      </w:r>
      <w:r w:rsidRPr="004D0371">
        <w:tab/>
        <w:t>Hospital</w:t>
      </w:r>
      <w:r>
        <w:t>, drug and alcohol</w:t>
      </w:r>
      <w:r w:rsidRPr="004D0371">
        <w:t xml:space="preserve"> and specialist </w:t>
      </w:r>
      <w:r>
        <w:t xml:space="preserve">mental health </w:t>
      </w:r>
      <w:r w:rsidRPr="004D0371">
        <w:t>services</w:t>
      </w:r>
      <w:bookmarkEnd w:id="154"/>
    </w:p>
    <w:p w:rsidR="00E30271" w:rsidRDefault="00E30271" w:rsidP="00E30271">
      <w:pPr>
        <w:pStyle w:val="BodyText"/>
        <w:rPr>
          <w:lang w:eastAsia="en-AU"/>
        </w:rPr>
      </w:pPr>
      <w:r>
        <w:rPr>
          <w:lang w:eastAsia="en-AU"/>
        </w:rPr>
        <w:t>One in sixteen (6.2%) children and adolescents with mental disorders had attended a hospital emergency or outpatient department or been admitted to hospital due to their emotional or behavioural problems in the previous 12 months (</w:t>
      </w:r>
      <w:r>
        <w:t>Table 7-</w:t>
      </w:r>
      <w:r>
        <w:rPr>
          <w:noProof/>
        </w:rPr>
        <w:t>14</w:t>
      </w:r>
      <w:r>
        <w:rPr>
          <w:lang w:eastAsia="en-AU"/>
        </w:rPr>
        <w:t>).</w:t>
      </w:r>
    </w:p>
    <w:p w:rsidR="00E30271" w:rsidRDefault="00E30271" w:rsidP="00E30271">
      <w:pPr>
        <w:pStyle w:val="BodyText"/>
        <w:rPr>
          <w:lang w:eastAsia="en-AU"/>
        </w:rPr>
      </w:pPr>
      <w:r>
        <w:rPr>
          <w:lang w:eastAsia="en-AU"/>
        </w:rPr>
        <w:t>Specialist child and adolescent mental health services were seen by 3.3% of children and adolescents (5.7% of 12-17 year-olds) with mental disorders for emotional or behavioural problems in the previous 12 months. This was restricted to those seen by a paediatrician, psychiatrist, psychologist or nurse in these specialist services.</w:t>
      </w:r>
    </w:p>
    <w:p w:rsidR="00E30271" w:rsidRDefault="00E30271" w:rsidP="00E30271">
      <w:pPr>
        <w:pStyle w:val="Caption"/>
        <w:keepNext/>
      </w:pPr>
      <w:bookmarkStart w:id="155" w:name="_Ref407112973"/>
      <w:r>
        <w:t>Table 7-</w:t>
      </w:r>
      <w:r>
        <w:rPr>
          <w:noProof/>
        </w:rPr>
        <w:t>14</w:t>
      </w:r>
      <w:bookmarkEnd w:id="155"/>
      <w:r>
        <w:t>: Hospital and specialist mental health service use in past 12 months by age group and type of service</w:t>
      </w:r>
    </w:p>
    <w:tbl>
      <w:tblPr>
        <w:tblW w:w="9130" w:type="dxa"/>
        <w:jc w:val="center"/>
        <w:tblLayout w:type="fixed"/>
        <w:tblCellMar>
          <w:left w:w="0" w:type="dxa"/>
          <w:right w:w="0" w:type="dxa"/>
        </w:tblCellMar>
        <w:tblLook w:val="0020" w:firstRow="1" w:lastRow="0" w:firstColumn="0" w:lastColumn="0" w:noHBand="0" w:noVBand="0"/>
        <w:tblDescription w:val="In Table 7-14 the first column describes the type of service. Read across the rows for the proportion of 4-11, 12-17 and 4-17 year-olds using hospital and specialist mental health services in the past 12 months."/>
      </w:tblPr>
      <w:tblGrid>
        <w:gridCol w:w="4752"/>
        <w:gridCol w:w="1459"/>
        <w:gridCol w:w="1459"/>
        <w:gridCol w:w="1460"/>
      </w:tblGrid>
      <w:tr w:rsidR="00E30271" w:rsidRPr="00AE5998" w:rsidTr="00E30271">
        <w:trPr>
          <w:cantSplit/>
          <w:tblHeader/>
          <w:jc w:val="center"/>
        </w:trPr>
        <w:tc>
          <w:tcPr>
            <w:tcW w:w="4752"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Type of service</w:t>
            </w:r>
          </w:p>
        </w:tc>
        <w:tc>
          <w:tcPr>
            <w:tcW w:w="14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4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46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AE5998" w:rsidTr="00E30271">
        <w:trPr>
          <w:cantSplit/>
          <w:jc w:val="center"/>
        </w:trPr>
        <w:tc>
          <w:tcPr>
            <w:tcW w:w="4752" w:type="dxa"/>
            <w:tcBorders>
              <w:top w:val="nil"/>
              <w:bottom w:val="single" w:sz="4" w:space="0" w:color="FFFFFF"/>
              <w:right w:val="nil"/>
            </w:tcBorders>
            <w:shd w:val="clear" w:color="auto" w:fill="EFF3FF"/>
            <w:tcMar>
              <w:left w:w="40" w:type="dxa"/>
              <w:right w:w="40" w:type="dxa"/>
            </w:tcMar>
          </w:tcPr>
          <w:p w:rsidR="00E30271" w:rsidRPr="00AE5998" w:rsidRDefault="00E30271" w:rsidP="00E30271">
            <w:pPr>
              <w:pStyle w:val="TableRowHeadings"/>
              <w:rPr>
                <w:lang w:eastAsia="en-AU"/>
              </w:rPr>
            </w:pPr>
            <w:r w:rsidRPr="00AE5998">
              <w:rPr>
                <w:lang w:eastAsia="en-AU"/>
              </w:rPr>
              <w:t>Hospital emergency</w:t>
            </w:r>
            <w:r>
              <w:rPr>
                <w:lang w:eastAsia="en-AU"/>
              </w:rPr>
              <w:t>,</w:t>
            </w:r>
            <w:r w:rsidRPr="00AE5998">
              <w:rPr>
                <w:lang w:eastAsia="en-AU"/>
              </w:rPr>
              <w:t xml:space="preserve"> outpatient or inpatient service</w:t>
            </w:r>
          </w:p>
        </w:tc>
        <w:tc>
          <w:tcPr>
            <w:tcW w:w="1459" w:type="dxa"/>
            <w:tcBorders>
              <w:top w:val="nil"/>
              <w:left w:val="nil"/>
              <w:bottom w:val="nil"/>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4.7</w:t>
            </w:r>
          </w:p>
        </w:tc>
        <w:tc>
          <w:tcPr>
            <w:tcW w:w="1459" w:type="dxa"/>
            <w:tcBorders>
              <w:top w:val="nil"/>
              <w:left w:val="nil"/>
              <w:bottom w:val="nil"/>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8.1</w:t>
            </w:r>
          </w:p>
        </w:tc>
        <w:tc>
          <w:tcPr>
            <w:tcW w:w="1460" w:type="dxa"/>
            <w:tcBorders>
              <w:top w:val="nil"/>
              <w:left w:val="nil"/>
              <w:bottom w:val="nil"/>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6.2</w:t>
            </w:r>
          </w:p>
        </w:tc>
      </w:tr>
      <w:tr w:rsidR="00E30271" w:rsidRPr="00AE5998" w:rsidTr="00E30271">
        <w:trPr>
          <w:cantSplit/>
          <w:jc w:val="center"/>
        </w:trPr>
        <w:tc>
          <w:tcPr>
            <w:tcW w:w="4752" w:type="dxa"/>
            <w:tcBorders>
              <w:top w:val="nil"/>
              <w:bottom w:val="single" w:sz="6" w:space="0" w:color="auto"/>
              <w:right w:val="nil"/>
            </w:tcBorders>
            <w:shd w:val="clear" w:color="auto" w:fill="EFF3FF"/>
            <w:tcMar>
              <w:left w:w="40" w:type="dxa"/>
              <w:right w:w="40" w:type="dxa"/>
            </w:tcMar>
          </w:tcPr>
          <w:p w:rsidR="00E30271" w:rsidRPr="00AE5998" w:rsidRDefault="00E30271" w:rsidP="00E30271">
            <w:pPr>
              <w:pStyle w:val="TableRowHeadings"/>
              <w:rPr>
                <w:lang w:eastAsia="en-AU"/>
              </w:rPr>
            </w:pPr>
            <w:r w:rsidRPr="00AE5998">
              <w:rPr>
                <w:lang w:eastAsia="en-AU"/>
              </w:rPr>
              <w:t>Specialist mental health service</w:t>
            </w:r>
          </w:p>
        </w:tc>
        <w:tc>
          <w:tcPr>
            <w:tcW w:w="1459" w:type="dxa"/>
            <w:tcBorders>
              <w:top w:val="nil"/>
              <w:left w:val="nil"/>
              <w:bottom w:val="single" w:sz="6" w:space="0" w:color="auto"/>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1.5</w:t>
            </w:r>
          </w:p>
        </w:tc>
        <w:tc>
          <w:tcPr>
            <w:tcW w:w="1459" w:type="dxa"/>
            <w:tcBorders>
              <w:top w:val="nil"/>
              <w:left w:val="nil"/>
              <w:bottom w:val="single" w:sz="6" w:space="0" w:color="auto"/>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5.7</w:t>
            </w:r>
          </w:p>
        </w:tc>
        <w:tc>
          <w:tcPr>
            <w:tcW w:w="1460" w:type="dxa"/>
            <w:tcBorders>
              <w:top w:val="nil"/>
              <w:left w:val="nil"/>
              <w:bottom w:val="single" w:sz="6" w:space="0" w:color="auto"/>
              <w:right w:val="nil"/>
            </w:tcBorders>
            <w:shd w:val="clear" w:color="auto" w:fill="FFFFFF"/>
            <w:tcMar>
              <w:left w:w="40" w:type="dxa"/>
              <w:right w:w="40" w:type="dxa"/>
            </w:tcMar>
            <w:vAlign w:val="bottom"/>
          </w:tcPr>
          <w:p w:rsidR="00E30271" w:rsidRPr="00AE5998" w:rsidRDefault="00E30271" w:rsidP="00E30271">
            <w:pPr>
              <w:pStyle w:val="TableDataCell"/>
              <w:rPr>
                <w:lang w:eastAsia="en-AU"/>
              </w:rPr>
            </w:pPr>
            <w:r w:rsidRPr="00AE5998">
              <w:rPr>
                <w:lang w:eastAsia="en-AU"/>
              </w:rPr>
              <w:t>3.3</w:t>
            </w:r>
          </w:p>
        </w:tc>
      </w:tr>
    </w:tbl>
    <w:p w:rsidR="00E30271" w:rsidRDefault="00E30271" w:rsidP="00555E74">
      <w:pPr>
        <w:pStyle w:val="BodyText"/>
        <w:spacing w:before="240"/>
        <w:rPr>
          <w:lang w:eastAsia="en-AU"/>
        </w:rPr>
      </w:pPr>
      <w:r>
        <w:rPr>
          <w:lang w:eastAsia="en-AU"/>
        </w:rPr>
        <w:t>Some adolescents with mental disorders had spoken to a counsellor or attended a program at a drug or alcohol treatment unit or clinic, with 2.7% of 13-17 year-olds having done so in the previous 12 months.</w:t>
      </w:r>
    </w:p>
    <w:p w:rsidR="00E30271" w:rsidRPr="004E47B6" w:rsidRDefault="00E30271" w:rsidP="00E30271">
      <w:pPr>
        <w:pStyle w:val="Heading3"/>
      </w:pPr>
      <w:bookmarkStart w:id="156" w:name="_Toc401758767"/>
      <w:r>
        <w:t xml:space="preserve">7.3.5 </w:t>
      </w:r>
      <w:r>
        <w:tab/>
      </w:r>
      <w:proofErr w:type="gramStart"/>
      <w:r>
        <w:t>headspace</w:t>
      </w:r>
      <w:bookmarkEnd w:id="156"/>
      <w:proofErr w:type="gramEnd"/>
    </w:p>
    <w:p w:rsidR="00E30271" w:rsidRDefault="00E30271" w:rsidP="00E30271">
      <w:pPr>
        <w:pStyle w:val="BodyText"/>
        <w:rPr>
          <w:lang w:eastAsia="en-AU"/>
        </w:rPr>
      </w:pPr>
      <w:r>
        <w:rPr>
          <w:lang w:eastAsia="en-AU"/>
        </w:rPr>
        <w:t>Since 2006, the Australian Government has funded headspace — Australia’s National Youth Mental Health Foundation, a national service for young people aged 12</w:t>
      </w:r>
      <w:r>
        <w:t>-</w:t>
      </w:r>
      <w:r>
        <w:rPr>
          <w:lang w:eastAsia="en-AU"/>
        </w:rPr>
        <w:t xml:space="preserve">25 years. </w:t>
      </w:r>
    </w:p>
    <w:p w:rsidR="00E30271" w:rsidRDefault="00E30271" w:rsidP="00E30271">
      <w:pPr>
        <w:pStyle w:val="BodyText"/>
        <w:rPr>
          <w:lang w:eastAsia="en-AU"/>
        </w:rPr>
      </w:pPr>
      <w:r>
        <w:rPr>
          <w:lang w:eastAsia="en-AU"/>
        </w:rPr>
        <w:t>Half (50.7%) of all parents and carers of 12</w:t>
      </w:r>
      <w:r>
        <w:t>-</w:t>
      </w:r>
      <w:r>
        <w:rPr>
          <w:lang w:eastAsia="en-AU"/>
        </w:rPr>
        <w:t>17 year</w:t>
      </w:r>
      <w:r>
        <w:t>-</w:t>
      </w:r>
      <w:r>
        <w:rPr>
          <w:lang w:eastAsia="en-AU"/>
        </w:rPr>
        <w:t>olds had heard about headspace and two thirds (64.6%) of those with an adolescent who had a mental disorder had heard about headspace.</w:t>
      </w:r>
    </w:p>
    <w:p w:rsidR="00E30271" w:rsidRDefault="00E30271" w:rsidP="00E30271">
      <w:pPr>
        <w:pStyle w:val="BodyText"/>
        <w:rPr>
          <w:lang w:eastAsia="en-AU"/>
        </w:rPr>
      </w:pPr>
      <w:r>
        <w:rPr>
          <w:lang w:eastAsia="en-AU"/>
        </w:rPr>
        <w:t>Parents and carers reported that 7.3% of young people with mental disorders had visited a headspace centre in the previous 12 months. Another 3.4% of parents and carers whose 12-17 year-olds had a mental disorder didn’t know if their adolescent had visited a headspace centre.</w:t>
      </w:r>
    </w:p>
    <w:p w:rsidR="00E30271" w:rsidRDefault="00E30271" w:rsidP="00E30271">
      <w:pPr>
        <w:pStyle w:val="BodyText"/>
        <w:rPr>
          <w:lang w:eastAsia="en-AU"/>
        </w:rPr>
      </w:pPr>
      <w:r>
        <w:rPr>
          <w:lang w:eastAsia="en-AU"/>
        </w:rPr>
        <w:lastRenderedPageBreak/>
        <w:t>Data from adolescent reports of the use of headspace services are presented in Chapter 13.</w:t>
      </w:r>
    </w:p>
    <w:p w:rsidR="00E30271" w:rsidRDefault="00E30271" w:rsidP="00E30271">
      <w:pPr>
        <w:pStyle w:val="Heading3"/>
      </w:pPr>
      <w:bookmarkStart w:id="157" w:name="_Toc401758768"/>
      <w:r>
        <w:t xml:space="preserve">7.3.6 </w:t>
      </w:r>
      <w:r>
        <w:tab/>
        <w:t>Medication</w:t>
      </w:r>
      <w:bookmarkEnd w:id="157"/>
    </w:p>
    <w:p w:rsidR="00E30271" w:rsidRDefault="00E30271" w:rsidP="00E30271">
      <w:pPr>
        <w:pStyle w:val="BodyText"/>
      </w:pPr>
      <w:r>
        <w:t>One in eight (12.8%) children and adolescents with mental disorders had taken a medication for emotional or behavioural problem in the previous two weeks. The proportion of adolescents taking medications for emotional or behavioural problems in the previous two weeks was higher than for children (16.7% for 12-17 year-olds compared with 9.8% for 4-11 year-olds) (Table 7-</w:t>
      </w:r>
      <w:r>
        <w:rPr>
          <w:noProof/>
        </w:rPr>
        <w:t>15</w:t>
      </w:r>
      <w:r>
        <w:t>).</w:t>
      </w:r>
    </w:p>
    <w:p w:rsidR="00E30271" w:rsidRPr="00B47F57" w:rsidRDefault="00E30271" w:rsidP="00E30271">
      <w:pPr>
        <w:pStyle w:val="BodyText"/>
      </w:pPr>
      <w:r>
        <w:t>Medication use was marginally higher among those with conduct disorder and major depressive disorder (19.5% and 18.2% respectively for 4-17 year-olds). It was also higher among adolescents than children for any type of mental disorder. The greatest difference between the two age groups was for those with ADHD, with 21.5% of 12-17 year-olds taking medication for emotional and behavioural problems in the previous 12 months compared with 14.3% of 4-11 year-olds.</w:t>
      </w:r>
    </w:p>
    <w:p w:rsidR="00E30271" w:rsidRDefault="00E30271" w:rsidP="00E30271">
      <w:pPr>
        <w:pStyle w:val="Caption"/>
        <w:keepNext/>
      </w:pPr>
      <w:bookmarkStart w:id="158" w:name="_Ref407113480"/>
      <w:r>
        <w:t>Table 7-</w:t>
      </w:r>
      <w:r>
        <w:rPr>
          <w:noProof/>
        </w:rPr>
        <w:t>15</w:t>
      </w:r>
      <w:bookmarkEnd w:id="158"/>
      <w:r>
        <w:t>: Medication use for emotional or behavioural problems in past 12 months among 4-17 year-olds with mental disorders by disorder type and age group</w:t>
      </w:r>
    </w:p>
    <w:tbl>
      <w:tblPr>
        <w:tblW w:w="9147" w:type="dxa"/>
        <w:jc w:val="center"/>
        <w:tblLayout w:type="fixed"/>
        <w:tblCellMar>
          <w:left w:w="0" w:type="dxa"/>
          <w:right w:w="0" w:type="dxa"/>
        </w:tblCellMar>
        <w:tblLook w:val="0020" w:firstRow="1" w:lastRow="0" w:firstColumn="0" w:lastColumn="0" w:noHBand="0" w:noVBand="0"/>
        <w:tblDescription w:val="In Table 7-15 the first column defines mental disorders. Read across the rows for the proportion of 4-11 year-olds, 12-17 year-olds and 4-17 year-olds with mental disorders who had used medication for emotional or behavioural problems in the past 12 months."/>
      </w:tblPr>
      <w:tblGrid>
        <w:gridCol w:w="3463"/>
        <w:gridCol w:w="1894"/>
        <w:gridCol w:w="1895"/>
        <w:gridCol w:w="1895"/>
      </w:tblGrid>
      <w:tr w:rsidR="00E30271" w:rsidRPr="00E95157" w:rsidTr="00E30271">
        <w:trPr>
          <w:cantSplit/>
          <w:tblHeader/>
          <w:jc w:val="center"/>
        </w:trPr>
        <w:tc>
          <w:tcPr>
            <w:tcW w:w="3463"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Disorder</w:t>
            </w:r>
          </w:p>
        </w:tc>
        <w:tc>
          <w:tcPr>
            <w:tcW w:w="189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89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89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E95157" w:rsidTr="00E30271">
        <w:trPr>
          <w:cantSplit/>
          <w:jc w:val="center"/>
        </w:trPr>
        <w:tc>
          <w:tcPr>
            <w:tcW w:w="3463"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Anxiety disorders</w:t>
            </w:r>
          </w:p>
        </w:tc>
        <w:tc>
          <w:tcPr>
            <w:tcW w:w="1894"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10.4</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16.8</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13.1</w:t>
            </w:r>
          </w:p>
        </w:tc>
      </w:tr>
      <w:tr w:rsidR="00E30271" w:rsidRPr="00E95157" w:rsidTr="00E30271">
        <w:trPr>
          <w:cantSplit/>
          <w:jc w:val="center"/>
        </w:trPr>
        <w:tc>
          <w:tcPr>
            <w:tcW w:w="3463"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Major depressive disorder</w:t>
            </w:r>
          </w:p>
        </w:tc>
        <w:tc>
          <w:tcPr>
            <w:tcW w:w="1894"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17.4</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18.4</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18.2</w:t>
            </w:r>
          </w:p>
        </w:tc>
      </w:tr>
      <w:tr w:rsidR="00E30271" w:rsidRPr="00E95157" w:rsidTr="00E30271">
        <w:trPr>
          <w:cantSplit/>
          <w:jc w:val="center"/>
        </w:trPr>
        <w:tc>
          <w:tcPr>
            <w:tcW w:w="3463" w:type="dxa"/>
            <w:tcBorders>
              <w:top w:val="nil"/>
              <w:bottom w:val="single" w:sz="4" w:space="0" w:color="FFFFFF"/>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ADHD</w:t>
            </w:r>
          </w:p>
        </w:tc>
        <w:tc>
          <w:tcPr>
            <w:tcW w:w="1894"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14.3</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21.5</w:t>
            </w:r>
          </w:p>
        </w:tc>
        <w:tc>
          <w:tcPr>
            <w:tcW w:w="1895" w:type="dxa"/>
            <w:tcBorders>
              <w:top w:val="nil"/>
              <w:left w:val="nil"/>
              <w:bottom w:val="nil"/>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16.9</w:t>
            </w:r>
          </w:p>
        </w:tc>
      </w:tr>
      <w:tr w:rsidR="00E30271" w:rsidRPr="00E95157" w:rsidTr="00E30271">
        <w:trPr>
          <w:cantSplit/>
          <w:jc w:val="center"/>
        </w:trPr>
        <w:tc>
          <w:tcPr>
            <w:tcW w:w="3463" w:type="dxa"/>
            <w:tcBorders>
              <w:top w:val="nil"/>
              <w:bottom w:val="single" w:sz="4" w:space="0" w:color="auto"/>
              <w:right w:val="nil"/>
            </w:tcBorders>
            <w:shd w:val="clear" w:color="auto" w:fill="EFF3FF"/>
            <w:tcMar>
              <w:left w:w="40" w:type="dxa"/>
              <w:right w:w="40" w:type="dxa"/>
            </w:tcMar>
          </w:tcPr>
          <w:p w:rsidR="00E30271" w:rsidRPr="00615735" w:rsidRDefault="00E30271" w:rsidP="00E30271">
            <w:pPr>
              <w:pStyle w:val="TableRowHeadings"/>
              <w:rPr>
                <w:lang w:eastAsia="en-AU"/>
              </w:rPr>
            </w:pPr>
            <w:r w:rsidRPr="00615735">
              <w:rPr>
                <w:lang w:eastAsia="en-AU"/>
              </w:rPr>
              <w:t>Conduct disorder</w:t>
            </w:r>
          </w:p>
        </w:tc>
        <w:tc>
          <w:tcPr>
            <w:tcW w:w="1894"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17.4</w:t>
            </w:r>
          </w:p>
        </w:tc>
        <w:tc>
          <w:tcPr>
            <w:tcW w:w="1895"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22.3</w:t>
            </w:r>
          </w:p>
        </w:tc>
        <w:tc>
          <w:tcPr>
            <w:tcW w:w="1895" w:type="dxa"/>
            <w:tcBorders>
              <w:top w:val="nil"/>
              <w:left w:val="nil"/>
              <w:bottom w:val="single" w:sz="4" w:space="0" w:color="auto"/>
              <w:right w:val="nil"/>
            </w:tcBorders>
            <w:shd w:val="clear" w:color="auto" w:fill="FFFFFF"/>
            <w:tcMar>
              <w:left w:w="40" w:type="dxa"/>
              <w:right w:w="40" w:type="dxa"/>
            </w:tcMar>
            <w:vAlign w:val="bottom"/>
          </w:tcPr>
          <w:p w:rsidR="00E30271" w:rsidRPr="00615735" w:rsidRDefault="00E30271" w:rsidP="00E30271">
            <w:pPr>
              <w:pStyle w:val="TableDataCell"/>
              <w:rPr>
                <w:lang w:eastAsia="en-AU"/>
              </w:rPr>
            </w:pPr>
            <w:r w:rsidRPr="00615735">
              <w:rPr>
                <w:lang w:eastAsia="en-AU"/>
              </w:rPr>
              <w:t>19.5</w:t>
            </w:r>
          </w:p>
        </w:tc>
      </w:tr>
      <w:tr w:rsidR="00E30271" w:rsidRPr="00090754" w:rsidTr="00E30271">
        <w:trPr>
          <w:cantSplit/>
          <w:jc w:val="center"/>
        </w:trPr>
        <w:tc>
          <w:tcPr>
            <w:tcW w:w="3463" w:type="dxa"/>
            <w:tcBorders>
              <w:top w:val="single" w:sz="4" w:space="0" w:color="auto"/>
              <w:bottom w:val="single" w:sz="6" w:space="0" w:color="auto"/>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mental disorder</w:t>
            </w:r>
          </w:p>
        </w:tc>
        <w:tc>
          <w:tcPr>
            <w:tcW w:w="1894"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9.8</w:t>
            </w:r>
          </w:p>
        </w:tc>
        <w:tc>
          <w:tcPr>
            <w:tcW w:w="1895"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16.7</w:t>
            </w:r>
          </w:p>
        </w:tc>
        <w:tc>
          <w:tcPr>
            <w:tcW w:w="1895"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12.8</w:t>
            </w:r>
          </w:p>
        </w:tc>
      </w:tr>
    </w:tbl>
    <w:p w:rsidR="00E30271" w:rsidRPr="00507035" w:rsidRDefault="00E30271" w:rsidP="00E30271">
      <w:pPr>
        <w:pStyle w:val="TableFootnote"/>
        <w:ind w:left="0" w:firstLine="0"/>
      </w:pPr>
      <w:bookmarkStart w:id="159" w:name="_Toc401758769"/>
      <w:r w:rsidRPr="00507035">
        <w:t>Where the child</w:t>
      </w:r>
      <w:r>
        <w:t xml:space="preserve"> or </w:t>
      </w:r>
      <w:r w:rsidRPr="00507035">
        <w:t>adolescent had more than one disorder, medication use has been counted under each disorder, because the exact reason for the prescribed medication is unknown.</w:t>
      </w:r>
      <w:r>
        <w:t xml:space="preserve"> </w:t>
      </w:r>
    </w:p>
    <w:p w:rsidR="00E30271" w:rsidRDefault="00E30271" w:rsidP="00E30271">
      <w:pPr>
        <w:pStyle w:val="Heading2"/>
      </w:pPr>
      <w:r>
        <w:t xml:space="preserve">7.4 </w:t>
      </w:r>
      <w:r>
        <w:tab/>
        <w:t>School service use by children and adolescents</w:t>
      </w:r>
      <w:r w:rsidRPr="004E47B6">
        <w:t xml:space="preserve"> </w:t>
      </w:r>
      <w:r>
        <w:t>with mental disorder</w:t>
      </w:r>
      <w:bookmarkEnd w:id="159"/>
      <w:r>
        <w:t>s</w:t>
      </w:r>
    </w:p>
    <w:p w:rsidR="00E30271" w:rsidRDefault="00E30271" w:rsidP="00E30271">
      <w:pPr>
        <w:pStyle w:val="BodyText"/>
        <w:rPr>
          <w:lang w:eastAsia="en-AU"/>
        </w:rPr>
      </w:pPr>
      <w:r w:rsidRPr="003E30CF">
        <w:rPr>
          <w:spacing w:val="2"/>
          <w:lang w:eastAsia="en-AU"/>
        </w:rPr>
        <w:t xml:space="preserve">Two fifths (40.2%) of children and adolescents with mental disorders had used or attended services provided by their school for emotional or behavioural problems in the previous 12 months. </w:t>
      </w:r>
      <w:bookmarkStart w:id="160" w:name="_Ref399772946"/>
      <w:r w:rsidRPr="003E30CF">
        <w:rPr>
          <w:spacing w:val="2"/>
          <w:lang w:eastAsia="en-AU"/>
        </w:rPr>
        <w:t>Almost three in ten (28.4%) young people with mental disorders had used individual counselling services and almost one in ten (9.2%) had participated in group counselling or a support program (</w:t>
      </w:r>
      <w:r w:rsidRPr="003E30CF">
        <w:rPr>
          <w:spacing w:val="2"/>
        </w:rPr>
        <w:t>Table 7-</w:t>
      </w:r>
      <w:r w:rsidRPr="003E30CF">
        <w:rPr>
          <w:noProof/>
          <w:spacing w:val="2"/>
        </w:rPr>
        <w:t>16</w:t>
      </w:r>
      <w:r>
        <w:rPr>
          <w:lang w:eastAsia="en-AU"/>
        </w:rPr>
        <w:t>).</w:t>
      </w:r>
    </w:p>
    <w:p w:rsidR="00E30271" w:rsidRDefault="00E30271" w:rsidP="00E30271">
      <w:pPr>
        <w:pStyle w:val="BodyText"/>
        <w:rPr>
          <w:rFonts w:eastAsiaTheme="minorEastAsia" w:cs="Times New Roman"/>
          <w:color w:val="000000"/>
          <w:lang w:eastAsia="en-AU"/>
        </w:rPr>
      </w:pPr>
      <w:r>
        <w:rPr>
          <w:rFonts w:eastAsiaTheme="minorEastAsia" w:cs="Times New Roman"/>
          <w:color w:val="000000"/>
          <w:lang w:eastAsia="en-AU"/>
        </w:rPr>
        <w:t>Adolescents with mental disorders were more likely to have used or attended a service at school than children (48.7% for 12</w:t>
      </w:r>
      <w:r>
        <w:t>-</w:t>
      </w:r>
      <w:r>
        <w:rPr>
          <w:rFonts w:eastAsiaTheme="minorEastAsia" w:cs="Times New Roman"/>
          <w:color w:val="000000"/>
          <w:lang w:eastAsia="en-AU"/>
        </w:rPr>
        <w:t>17 year</w:t>
      </w:r>
      <w:r>
        <w:t>-</w:t>
      </w:r>
      <w:r>
        <w:rPr>
          <w:rFonts w:eastAsiaTheme="minorEastAsia" w:cs="Times New Roman"/>
          <w:color w:val="000000"/>
          <w:lang w:eastAsia="en-AU"/>
        </w:rPr>
        <w:t>olds compared with 33.5% for 4</w:t>
      </w:r>
      <w:r>
        <w:t>-</w:t>
      </w:r>
      <w:r>
        <w:rPr>
          <w:rFonts w:eastAsiaTheme="minorEastAsia" w:cs="Times New Roman"/>
          <w:color w:val="000000"/>
          <w:lang w:eastAsia="en-AU"/>
        </w:rPr>
        <w:t>11 year</w:t>
      </w:r>
      <w:r>
        <w:t>-</w:t>
      </w:r>
      <w:r>
        <w:rPr>
          <w:rFonts w:eastAsiaTheme="minorEastAsia" w:cs="Times New Roman"/>
          <w:color w:val="000000"/>
          <w:lang w:eastAsia="en-AU"/>
        </w:rPr>
        <w:t>olds). In particular, adolescents were twice as likely to have used individual counselling services at school (38.8% for 12-17 year-olds compared with 20.3% for 4</w:t>
      </w:r>
      <w:r>
        <w:t>-</w:t>
      </w:r>
      <w:r>
        <w:rPr>
          <w:rFonts w:eastAsiaTheme="minorEastAsia" w:cs="Times New Roman"/>
          <w:color w:val="000000"/>
          <w:lang w:eastAsia="en-AU"/>
        </w:rPr>
        <w:t>11 year</w:t>
      </w:r>
      <w:r>
        <w:t>-</w:t>
      </w:r>
      <w:r>
        <w:rPr>
          <w:rFonts w:eastAsiaTheme="minorEastAsia" w:cs="Times New Roman"/>
          <w:color w:val="000000"/>
          <w:lang w:eastAsia="en-AU"/>
        </w:rPr>
        <w:t>olds) and participated in group counselling or a support program (12.6% for 12</w:t>
      </w:r>
      <w:r>
        <w:t>-</w:t>
      </w:r>
      <w:r>
        <w:rPr>
          <w:rFonts w:eastAsiaTheme="minorEastAsia" w:cs="Times New Roman"/>
          <w:color w:val="000000"/>
          <w:lang w:eastAsia="en-AU"/>
        </w:rPr>
        <w:t>17 year</w:t>
      </w:r>
      <w:r>
        <w:t>-</w:t>
      </w:r>
      <w:r>
        <w:rPr>
          <w:rFonts w:eastAsiaTheme="minorEastAsia" w:cs="Times New Roman"/>
          <w:color w:val="000000"/>
          <w:lang w:eastAsia="en-AU"/>
        </w:rPr>
        <w:t>olds compared with 6.5% for 4</w:t>
      </w:r>
      <w:r>
        <w:t>-</w:t>
      </w:r>
      <w:r>
        <w:rPr>
          <w:rFonts w:eastAsiaTheme="minorEastAsia" w:cs="Times New Roman"/>
          <w:color w:val="000000"/>
          <w:lang w:eastAsia="en-AU"/>
        </w:rPr>
        <w:t>11 year</w:t>
      </w:r>
      <w:r>
        <w:t>-</w:t>
      </w:r>
      <w:r>
        <w:rPr>
          <w:rFonts w:eastAsiaTheme="minorEastAsia" w:cs="Times New Roman"/>
          <w:color w:val="000000"/>
          <w:lang w:eastAsia="en-AU"/>
        </w:rPr>
        <w:t>olds).</w:t>
      </w:r>
    </w:p>
    <w:p w:rsidR="00E30271" w:rsidRDefault="00E30271" w:rsidP="00E30271">
      <w:pPr>
        <w:pStyle w:val="Caption"/>
        <w:pageBreakBefore/>
        <w:spacing w:before="0"/>
      </w:pPr>
      <w:bookmarkStart w:id="161" w:name="_Ref407114307"/>
      <w:r>
        <w:lastRenderedPageBreak/>
        <w:t>Table 7-</w:t>
      </w:r>
      <w:r>
        <w:rPr>
          <w:noProof/>
        </w:rPr>
        <w:t>16</w:t>
      </w:r>
      <w:bookmarkEnd w:id="161"/>
      <w:r>
        <w:t>: School service use in past 12 months among 4-17 year-olds with mental disorders by age group and type of service</w:t>
      </w:r>
    </w:p>
    <w:tbl>
      <w:tblPr>
        <w:tblW w:w="9130" w:type="dxa"/>
        <w:jc w:val="center"/>
        <w:tblLayout w:type="fixed"/>
        <w:tblCellMar>
          <w:left w:w="0" w:type="dxa"/>
          <w:right w:w="0" w:type="dxa"/>
        </w:tblCellMar>
        <w:tblLook w:val="0020" w:firstRow="1" w:lastRow="0" w:firstColumn="0" w:lastColumn="0" w:noHBand="0" w:noVBand="0"/>
        <w:tblDescription w:val="In Table 7-16 the first column defines the type of school service used. Read across the rows for the proportion of 4-11, 12-17 and 4-17 year-olds who had used services in the past 12 months."/>
      </w:tblPr>
      <w:tblGrid>
        <w:gridCol w:w="3520"/>
        <w:gridCol w:w="1990"/>
        <w:gridCol w:w="1630"/>
        <w:gridCol w:w="1990"/>
      </w:tblGrid>
      <w:tr w:rsidR="00E30271" w:rsidRPr="008A293B" w:rsidTr="00E30271">
        <w:trPr>
          <w:cantSplit/>
          <w:tblHeader/>
          <w:jc w:val="center"/>
        </w:trPr>
        <w:tc>
          <w:tcPr>
            <w:tcW w:w="352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Type of service</w:t>
            </w:r>
          </w:p>
        </w:tc>
        <w:tc>
          <w:tcPr>
            <w:tcW w:w="19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4-11 years (%)</w:t>
            </w:r>
          </w:p>
        </w:tc>
        <w:tc>
          <w:tcPr>
            <w:tcW w:w="16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12-17 years (%)</w:t>
            </w:r>
          </w:p>
        </w:tc>
        <w:tc>
          <w:tcPr>
            <w:tcW w:w="199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4-17 years (%)</w:t>
            </w:r>
          </w:p>
        </w:tc>
      </w:tr>
      <w:tr w:rsidR="00E30271" w:rsidRPr="008A293B"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8A293B" w:rsidRDefault="00E30271" w:rsidP="00E30271">
            <w:pPr>
              <w:pStyle w:val="TableRowHeadings"/>
              <w:rPr>
                <w:lang w:eastAsia="en-AU"/>
              </w:rPr>
            </w:pPr>
            <w:r w:rsidRPr="008A293B">
              <w:rPr>
                <w:lang w:eastAsia="en-AU"/>
              </w:rPr>
              <w:t>Individual counselling</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20.3</w:t>
            </w:r>
          </w:p>
        </w:tc>
        <w:tc>
          <w:tcPr>
            <w:tcW w:w="163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38.8</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28.4</w:t>
            </w:r>
          </w:p>
        </w:tc>
      </w:tr>
      <w:tr w:rsidR="00E30271" w:rsidRPr="008A293B"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8A293B" w:rsidRDefault="00E30271" w:rsidP="00E30271">
            <w:pPr>
              <w:pStyle w:val="TableRowHeadings"/>
              <w:rPr>
                <w:lang w:eastAsia="en-AU"/>
              </w:rPr>
            </w:pPr>
            <w:r w:rsidRPr="008A293B">
              <w:rPr>
                <w:lang w:eastAsia="en-AU"/>
              </w:rPr>
              <w:t>Group counselling or support program</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6.5</w:t>
            </w:r>
          </w:p>
        </w:tc>
        <w:tc>
          <w:tcPr>
            <w:tcW w:w="163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12.6</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9.2</w:t>
            </w:r>
          </w:p>
        </w:tc>
      </w:tr>
      <w:tr w:rsidR="00E30271" w:rsidRPr="008A293B"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8A293B" w:rsidRDefault="00E30271" w:rsidP="00E30271">
            <w:pPr>
              <w:pStyle w:val="TableRowHeadings"/>
              <w:rPr>
                <w:lang w:eastAsia="en-AU"/>
              </w:rPr>
            </w:pPr>
            <w:r w:rsidRPr="008A293B">
              <w:rPr>
                <w:lang w:eastAsia="en-AU"/>
              </w:rPr>
              <w:t>Special class or school</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13.1</w:t>
            </w:r>
          </w:p>
        </w:tc>
        <w:tc>
          <w:tcPr>
            <w:tcW w:w="163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13.2</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13.1</w:t>
            </w:r>
          </w:p>
        </w:tc>
      </w:tr>
      <w:tr w:rsidR="00E30271" w:rsidRPr="008A293B"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8A293B" w:rsidRDefault="00E30271" w:rsidP="00E30271">
            <w:pPr>
              <w:pStyle w:val="TableRowHeadings"/>
              <w:rPr>
                <w:lang w:eastAsia="en-AU"/>
              </w:rPr>
            </w:pPr>
            <w:r w:rsidRPr="008A293B">
              <w:rPr>
                <w:lang w:eastAsia="en-AU"/>
              </w:rPr>
              <w:t>School nurse</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3.5</w:t>
            </w:r>
          </w:p>
        </w:tc>
        <w:tc>
          <w:tcPr>
            <w:tcW w:w="163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8.3</w:t>
            </w:r>
          </w:p>
        </w:tc>
        <w:tc>
          <w:tcPr>
            <w:tcW w:w="1990" w:type="dxa"/>
            <w:tcBorders>
              <w:top w:val="nil"/>
              <w:left w:val="nil"/>
              <w:bottom w:val="nil"/>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5.6</w:t>
            </w:r>
          </w:p>
        </w:tc>
      </w:tr>
      <w:tr w:rsidR="00E30271" w:rsidRPr="008A293B" w:rsidTr="00E30271">
        <w:trPr>
          <w:cantSplit/>
          <w:jc w:val="center"/>
        </w:trPr>
        <w:tc>
          <w:tcPr>
            <w:tcW w:w="3520" w:type="dxa"/>
            <w:tcBorders>
              <w:top w:val="nil"/>
              <w:bottom w:val="single" w:sz="4" w:space="0" w:color="auto"/>
              <w:right w:val="nil"/>
            </w:tcBorders>
            <w:shd w:val="clear" w:color="auto" w:fill="EFF3FF"/>
            <w:tcMar>
              <w:left w:w="40" w:type="dxa"/>
              <w:right w:w="40" w:type="dxa"/>
            </w:tcMar>
          </w:tcPr>
          <w:p w:rsidR="00E30271" w:rsidRPr="008A293B" w:rsidRDefault="00E30271" w:rsidP="00E30271">
            <w:pPr>
              <w:pStyle w:val="TableRowHeadings"/>
              <w:rPr>
                <w:lang w:eastAsia="en-AU"/>
              </w:rPr>
            </w:pPr>
            <w:r w:rsidRPr="008A293B">
              <w:rPr>
                <w:lang w:eastAsia="en-AU"/>
              </w:rPr>
              <w:t>Other school services</w:t>
            </w:r>
          </w:p>
        </w:tc>
        <w:tc>
          <w:tcPr>
            <w:tcW w:w="1990" w:type="dxa"/>
            <w:tcBorders>
              <w:top w:val="nil"/>
              <w:left w:val="nil"/>
              <w:bottom w:val="single" w:sz="4" w:space="0" w:color="auto"/>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13.9</w:t>
            </w:r>
          </w:p>
        </w:tc>
        <w:tc>
          <w:tcPr>
            <w:tcW w:w="1630" w:type="dxa"/>
            <w:tcBorders>
              <w:top w:val="nil"/>
              <w:left w:val="nil"/>
              <w:bottom w:val="single" w:sz="4" w:space="0" w:color="auto"/>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21.1</w:t>
            </w:r>
          </w:p>
        </w:tc>
        <w:tc>
          <w:tcPr>
            <w:tcW w:w="1990" w:type="dxa"/>
            <w:tcBorders>
              <w:top w:val="nil"/>
              <w:left w:val="nil"/>
              <w:bottom w:val="single" w:sz="4" w:space="0" w:color="auto"/>
              <w:right w:val="nil"/>
            </w:tcBorders>
            <w:shd w:val="clear" w:color="auto" w:fill="FFFFFF"/>
            <w:tcMar>
              <w:left w:w="40" w:type="dxa"/>
              <w:right w:w="40" w:type="dxa"/>
            </w:tcMar>
            <w:vAlign w:val="bottom"/>
          </w:tcPr>
          <w:p w:rsidR="00E30271" w:rsidRPr="008A293B" w:rsidRDefault="00E30271" w:rsidP="00E30271">
            <w:pPr>
              <w:pStyle w:val="TableDataCell"/>
              <w:rPr>
                <w:lang w:eastAsia="en-AU"/>
              </w:rPr>
            </w:pPr>
            <w:r w:rsidRPr="008A293B">
              <w:rPr>
                <w:lang w:eastAsia="en-AU"/>
              </w:rPr>
              <w:t>17.1</w:t>
            </w:r>
          </w:p>
        </w:tc>
      </w:tr>
      <w:tr w:rsidR="00E30271" w:rsidRPr="008A293B" w:rsidTr="00E30271">
        <w:trPr>
          <w:cantSplit/>
          <w:jc w:val="center"/>
        </w:trPr>
        <w:tc>
          <w:tcPr>
            <w:tcW w:w="3520" w:type="dxa"/>
            <w:tcBorders>
              <w:top w:val="single" w:sz="4" w:space="0" w:color="auto"/>
              <w:bottom w:val="single" w:sz="6" w:space="0" w:color="auto"/>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service at school</w:t>
            </w:r>
          </w:p>
        </w:tc>
        <w:tc>
          <w:tcPr>
            <w:tcW w:w="1990"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33.5</w:t>
            </w:r>
          </w:p>
        </w:tc>
        <w:tc>
          <w:tcPr>
            <w:tcW w:w="1630"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48.7</w:t>
            </w:r>
          </w:p>
        </w:tc>
        <w:tc>
          <w:tcPr>
            <w:tcW w:w="1990"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40.2</w:t>
            </w:r>
          </w:p>
        </w:tc>
      </w:tr>
    </w:tbl>
    <w:bookmarkEnd w:id="160"/>
    <w:p w:rsidR="00E30271" w:rsidRDefault="00E30271" w:rsidP="00555E74">
      <w:pPr>
        <w:pStyle w:val="BodyText"/>
        <w:spacing w:before="240"/>
        <w:rPr>
          <w:lang w:eastAsia="en-AU"/>
        </w:rPr>
      </w:pPr>
      <w:r>
        <w:rPr>
          <w:lang w:eastAsia="en-AU"/>
        </w:rPr>
        <w:t>The majority (85.1%)</w:t>
      </w:r>
      <w:r w:rsidRPr="001C477D">
        <w:rPr>
          <w:lang w:eastAsia="en-AU"/>
        </w:rPr>
        <w:t xml:space="preserve"> </w:t>
      </w:r>
      <w:r>
        <w:rPr>
          <w:lang w:eastAsia="en-AU"/>
        </w:rPr>
        <w:t xml:space="preserve">of children and adolescents </w:t>
      </w:r>
      <w:r w:rsidRPr="001C477D">
        <w:rPr>
          <w:lang w:eastAsia="en-AU"/>
        </w:rPr>
        <w:t>with mental disorder</w:t>
      </w:r>
      <w:r>
        <w:rPr>
          <w:lang w:eastAsia="en-AU"/>
        </w:rPr>
        <w:t>s</w:t>
      </w:r>
      <w:r w:rsidRPr="001C477D">
        <w:rPr>
          <w:lang w:eastAsia="en-AU"/>
        </w:rPr>
        <w:t xml:space="preserve"> who had used individual counselling services at school in the </w:t>
      </w:r>
      <w:r>
        <w:rPr>
          <w:lang w:eastAsia="en-AU"/>
        </w:rPr>
        <w:t>previous</w:t>
      </w:r>
      <w:r w:rsidRPr="001C477D">
        <w:rPr>
          <w:lang w:eastAsia="en-AU"/>
        </w:rPr>
        <w:t xml:space="preserve"> </w:t>
      </w:r>
      <w:r>
        <w:rPr>
          <w:lang w:eastAsia="en-AU"/>
        </w:rPr>
        <w:t>12 months</w:t>
      </w:r>
      <w:r w:rsidRPr="001C477D">
        <w:rPr>
          <w:lang w:eastAsia="en-AU"/>
        </w:rPr>
        <w:t xml:space="preserve"> had been more than once, and </w:t>
      </w:r>
      <w:r>
        <w:rPr>
          <w:lang w:eastAsia="en-AU"/>
        </w:rPr>
        <w:t>nearly a third (31.4%)</w:t>
      </w:r>
      <w:r w:rsidRPr="001C477D">
        <w:rPr>
          <w:lang w:eastAsia="en-AU"/>
        </w:rPr>
        <w:t xml:space="preserve"> had been </w:t>
      </w:r>
      <w:r>
        <w:rPr>
          <w:lang w:eastAsia="en-AU"/>
        </w:rPr>
        <w:t>ten</w:t>
      </w:r>
      <w:r w:rsidRPr="001C477D">
        <w:rPr>
          <w:lang w:eastAsia="en-AU"/>
        </w:rPr>
        <w:t xml:space="preserve"> times or more</w:t>
      </w:r>
      <w:r>
        <w:rPr>
          <w:lang w:eastAsia="en-AU"/>
        </w:rPr>
        <w:t xml:space="preserve"> (</w:t>
      </w:r>
      <w:r>
        <w:t>Table 7-</w:t>
      </w:r>
      <w:r>
        <w:rPr>
          <w:noProof/>
        </w:rPr>
        <w:t>17</w:t>
      </w:r>
      <w:r>
        <w:rPr>
          <w:lang w:eastAsia="en-AU"/>
        </w:rPr>
        <w:t>)</w:t>
      </w:r>
      <w:r w:rsidRPr="001C477D">
        <w:rPr>
          <w:lang w:eastAsia="en-AU"/>
        </w:rPr>
        <w:t>.</w:t>
      </w:r>
    </w:p>
    <w:p w:rsidR="00E30271" w:rsidRDefault="00E30271" w:rsidP="00E30271">
      <w:pPr>
        <w:pStyle w:val="Caption"/>
        <w:keepNext/>
      </w:pPr>
      <w:bookmarkStart w:id="162" w:name="_Ref405824936"/>
      <w:r>
        <w:t>Table 7-</w:t>
      </w:r>
      <w:r>
        <w:rPr>
          <w:noProof/>
        </w:rPr>
        <w:t>17</w:t>
      </w:r>
      <w:bookmarkEnd w:id="162"/>
      <w:r>
        <w:t>: School individual counselling services in past 12 months among 4-17 year-olds with mental disorders</w:t>
      </w:r>
    </w:p>
    <w:tbl>
      <w:tblPr>
        <w:tblW w:w="9094" w:type="dxa"/>
        <w:jc w:val="center"/>
        <w:tblLayout w:type="fixed"/>
        <w:tblCellMar>
          <w:left w:w="0" w:type="dxa"/>
          <w:right w:w="0" w:type="dxa"/>
        </w:tblCellMar>
        <w:tblLook w:val="0020" w:firstRow="1" w:lastRow="0" w:firstColumn="0" w:lastColumn="0" w:noHBand="0" w:noVBand="0"/>
        <w:tblDescription w:val="In Table 7-17 the first column defines number of school counselling sessions for those who had received individual counselling. Read across the rows for the proportion of 4-17 year-olds with mental disorders who had the number of counselling sessions in the past 12 months."/>
      </w:tblPr>
      <w:tblGrid>
        <w:gridCol w:w="5605"/>
        <w:gridCol w:w="3489"/>
      </w:tblGrid>
      <w:tr w:rsidR="00E30271" w:rsidRPr="001C477D" w:rsidTr="00E30271">
        <w:trPr>
          <w:cantSplit/>
          <w:tblHeader/>
          <w:jc w:val="center"/>
        </w:trPr>
        <w:tc>
          <w:tcPr>
            <w:tcW w:w="5605"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D010EC" w:rsidRDefault="00E30271" w:rsidP="00E30271">
            <w:pPr>
              <w:pStyle w:val="TableColumnHeadings"/>
              <w:jc w:val="left"/>
              <w:rPr>
                <w:rStyle w:val="Strong"/>
              </w:rPr>
            </w:pPr>
            <w:r w:rsidRPr="00D010EC">
              <w:rPr>
                <w:rStyle w:val="Strong"/>
              </w:rPr>
              <w:t xml:space="preserve">Number of counselling sessions </w:t>
            </w:r>
          </w:p>
        </w:tc>
        <w:tc>
          <w:tcPr>
            <w:tcW w:w="348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1C477D" w:rsidTr="00E30271">
        <w:trPr>
          <w:cantSplit/>
          <w:jc w:val="center"/>
        </w:trPr>
        <w:tc>
          <w:tcPr>
            <w:tcW w:w="5605" w:type="dxa"/>
            <w:tcBorders>
              <w:top w:val="nil"/>
              <w:bottom w:val="single" w:sz="4" w:space="0" w:color="FFFFFF"/>
              <w:right w:val="nil"/>
            </w:tcBorders>
            <w:shd w:val="clear" w:color="auto" w:fill="EFF3FF"/>
            <w:tcMar>
              <w:left w:w="40" w:type="dxa"/>
              <w:right w:w="40" w:type="dxa"/>
            </w:tcMar>
          </w:tcPr>
          <w:p w:rsidR="00E30271" w:rsidRPr="00A56AC1" w:rsidRDefault="00E30271" w:rsidP="00E30271">
            <w:pPr>
              <w:pStyle w:val="TableRowHeadings"/>
              <w:rPr>
                <w:lang w:eastAsia="en-AU"/>
              </w:rPr>
            </w:pPr>
            <w:r w:rsidRPr="00A56AC1">
              <w:rPr>
                <w:lang w:eastAsia="en-AU"/>
              </w:rPr>
              <w:t>Once</w:t>
            </w:r>
          </w:p>
        </w:tc>
        <w:tc>
          <w:tcPr>
            <w:tcW w:w="3489" w:type="dxa"/>
            <w:tcBorders>
              <w:top w:val="nil"/>
              <w:left w:val="nil"/>
              <w:bottom w:val="nil"/>
              <w:right w:val="nil"/>
            </w:tcBorders>
            <w:shd w:val="clear" w:color="auto" w:fill="FFFFFF"/>
            <w:tcMar>
              <w:left w:w="40" w:type="dxa"/>
              <w:right w:w="40" w:type="dxa"/>
            </w:tcMar>
            <w:vAlign w:val="bottom"/>
          </w:tcPr>
          <w:p w:rsidR="00E30271" w:rsidRPr="00A56AC1" w:rsidRDefault="00E30271" w:rsidP="00E30271">
            <w:pPr>
              <w:pStyle w:val="TableDataCell"/>
              <w:rPr>
                <w:lang w:eastAsia="en-AU"/>
              </w:rPr>
            </w:pPr>
            <w:r w:rsidRPr="00A56AC1">
              <w:rPr>
                <w:lang w:eastAsia="en-AU"/>
              </w:rPr>
              <w:t>14.9</w:t>
            </w:r>
          </w:p>
        </w:tc>
      </w:tr>
      <w:tr w:rsidR="00E30271" w:rsidRPr="001C477D" w:rsidTr="00E30271">
        <w:trPr>
          <w:cantSplit/>
          <w:jc w:val="center"/>
        </w:trPr>
        <w:tc>
          <w:tcPr>
            <w:tcW w:w="5605" w:type="dxa"/>
            <w:tcBorders>
              <w:top w:val="nil"/>
              <w:bottom w:val="single" w:sz="4" w:space="0" w:color="FFFFFF"/>
              <w:right w:val="nil"/>
            </w:tcBorders>
            <w:shd w:val="clear" w:color="auto" w:fill="EFF3FF"/>
            <w:tcMar>
              <w:left w:w="40" w:type="dxa"/>
              <w:right w:w="40" w:type="dxa"/>
            </w:tcMar>
          </w:tcPr>
          <w:p w:rsidR="00E30271" w:rsidRPr="00A56AC1" w:rsidRDefault="00E30271" w:rsidP="00E30271">
            <w:pPr>
              <w:pStyle w:val="TableRowHeadings"/>
              <w:rPr>
                <w:lang w:eastAsia="en-AU"/>
              </w:rPr>
            </w:pPr>
            <w:r w:rsidRPr="00A56AC1">
              <w:rPr>
                <w:lang w:eastAsia="en-AU"/>
              </w:rPr>
              <w:t>Two to four times</w:t>
            </w:r>
          </w:p>
        </w:tc>
        <w:tc>
          <w:tcPr>
            <w:tcW w:w="3489" w:type="dxa"/>
            <w:tcBorders>
              <w:top w:val="nil"/>
              <w:left w:val="nil"/>
              <w:bottom w:val="nil"/>
              <w:right w:val="nil"/>
            </w:tcBorders>
            <w:shd w:val="clear" w:color="auto" w:fill="FFFFFF"/>
            <w:tcMar>
              <w:left w:w="40" w:type="dxa"/>
              <w:right w:w="40" w:type="dxa"/>
            </w:tcMar>
            <w:vAlign w:val="bottom"/>
          </w:tcPr>
          <w:p w:rsidR="00E30271" w:rsidRPr="00A56AC1" w:rsidRDefault="00E30271" w:rsidP="00E30271">
            <w:pPr>
              <w:pStyle w:val="TableDataCell"/>
              <w:rPr>
                <w:lang w:eastAsia="en-AU"/>
              </w:rPr>
            </w:pPr>
            <w:r w:rsidRPr="00A56AC1">
              <w:rPr>
                <w:lang w:eastAsia="en-AU"/>
              </w:rPr>
              <w:t>38.0</w:t>
            </w:r>
          </w:p>
        </w:tc>
      </w:tr>
      <w:tr w:rsidR="00E30271" w:rsidRPr="001C477D" w:rsidTr="00E30271">
        <w:trPr>
          <w:cantSplit/>
          <w:jc w:val="center"/>
        </w:trPr>
        <w:tc>
          <w:tcPr>
            <w:tcW w:w="5605" w:type="dxa"/>
            <w:tcBorders>
              <w:top w:val="nil"/>
              <w:bottom w:val="single" w:sz="4" w:space="0" w:color="FFFFFF"/>
              <w:right w:val="nil"/>
            </w:tcBorders>
            <w:shd w:val="clear" w:color="auto" w:fill="EFF3FF"/>
            <w:tcMar>
              <w:left w:w="40" w:type="dxa"/>
              <w:right w:w="40" w:type="dxa"/>
            </w:tcMar>
          </w:tcPr>
          <w:p w:rsidR="00E30271" w:rsidRPr="00A56AC1" w:rsidRDefault="00E30271" w:rsidP="00E30271">
            <w:pPr>
              <w:pStyle w:val="TableRowHeadings"/>
              <w:rPr>
                <w:lang w:eastAsia="en-AU"/>
              </w:rPr>
            </w:pPr>
            <w:r w:rsidRPr="00A56AC1">
              <w:rPr>
                <w:lang w:eastAsia="en-AU"/>
              </w:rPr>
              <w:t>Five to nine times</w:t>
            </w:r>
          </w:p>
        </w:tc>
        <w:tc>
          <w:tcPr>
            <w:tcW w:w="3489" w:type="dxa"/>
            <w:tcBorders>
              <w:top w:val="nil"/>
              <w:left w:val="nil"/>
              <w:bottom w:val="nil"/>
              <w:right w:val="nil"/>
            </w:tcBorders>
            <w:shd w:val="clear" w:color="auto" w:fill="FFFFFF"/>
            <w:tcMar>
              <w:left w:w="40" w:type="dxa"/>
              <w:right w:w="40" w:type="dxa"/>
            </w:tcMar>
            <w:vAlign w:val="bottom"/>
          </w:tcPr>
          <w:p w:rsidR="00E30271" w:rsidRPr="00A56AC1" w:rsidRDefault="00E30271" w:rsidP="00E30271">
            <w:pPr>
              <w:pStyle w:val="TableDataCell"/>
              <w:rPr>
                <w:lang w:eastAsia="en-AU"/>
              </w:rPr>
            </w:pPr>
            <w:r w:rsidRPr="00A56AC1">
              <w:rPr>
                <w:lang w:eastAsia="en-AU"/>
              </w:rPr>
              <w:t>15.7</w:t>
            </w:r>
          </w:p>
        </w:tc>
      </w:tr>
      <w:tr w:rsidR="00E30271" w:rsidRPr="001C477D" w:rsidTr="00E30271">
        <w:trPr>
          <w:cantSplit/>
          <w:jc w:val="center"/>
        </w:trPr>
        <w:tc>
          <w:tcPr>
            <w:tcW w:w="5605" w:type="dxa"/>
            <w:tcBorders>
              <w:top w:val="nil"/>
              <w:bottom w:val="single" w:sz="6" w:space="0" w:color="auto"/>
              <w:right w:val="nil"/>
            </w:tcBorders>
            <w:shd w:val="clear" w:color="auto" w:fill="EFF3FF"/>
            <w:tcMar>
              <w:left w:w="40" w:type="dxa"/>
              <w:right w:w="40" w:type="dxa"/>
            </w:tcMar>
          </w:tcPr>
          <w:p w:rsidR="00E30271" w:rsidRPr="00A56AC1" w:rsidRDefault="00E30271" w:rsidP="00E30271">
            <w:pPr>
              <w:pStyle w:val="TableRowHeadings"/>
              <w:rPr>
                <w:lang w:eastAsia="en-AU"/>
              </w:rPr>
            </w:pPr>
            <w:r w:rsidRPr="00A56AC1">
              <w:rPr>
                <w:lang w:eastAsia="en-AU"/>
              </w:rPr>
              <w:t>Ten or more times</w:t>
            </w:r>
          </w:p>
        </w:tc>
        <w:tc>
          <w:tcPr>
            <w:tcW w:w="3489" w:type="dxa"/>
            <w:tcBorders>
              <w:top w:val="nil"/>
              <w:left w:val="nil"/>
              <w:bottom w:val="single" w:sz="6" w:space="0" w:color="auto"/>
              <w:right w:val="nil"/>
            </w:tcBorders>
            <w:shd w:val="clear" w:color="auto" w:fill="FFFFFF"/>
            <w:tcMar>
              <w:left w:w="40" w:type="dxa"/>
              <w:right w:w="40" w:type="dxa"/>
            </w:tcMar>
            <w:vAlign w:val="bottom"/>
          </w:tcPr>
          <w:p w:rsidR="00E30271" w:rsidRPr="00A56AC1" w:rsidRDefault="00E30271" w:rsidP="00E30271">
            <w:pPr>
              <w:pStyle w:val="TableDataCell"/>
              <w:rPr>
                <w:lang w:eastAsia="en-AU"/>
              </w:rPr>
            </w:pPr>
            <w:r w:rsidRPr="00A56AC1">
              <w:rPr>
                <w:lang w:eastAsia="en-AU"/>
              </w:rPr>
              <w:t>31.4</w:t>
            </w:r>
          </w:p>
        </w:tc>
      </w:tr>
    </w:tbl>
    <w:p w:rsidR="00E30271" w:rsidRPr="004E47B6" w:rsidRDefault="00E30271" w:rsidP="00E30271">
      <w:pPr>
        <w:pStyle w:val="Heading3"/>
      </w:pPr>
      <w:bookmarkStart w:id="163" w:name="_Toc401758770"/>
      <w:r>
        <w:t xml:space="preserve">7.4.1 </w:t>
      </w:r>
      <w:r>
        <w:tab/>
        <w:t>Type and severity</w:t>
      </w:r>
      <w:bookmarkEnd w:id="163"/>
      <w:r>
        <w:t xml:space="preserve"> of mental disorders</w:t>
      </w:r>
    </w:p>
    <w:p w:rsidR="00E30271" w:rsidRDefault="00E30271" w:rsidP="00E30271">
      <w:pPr>
        <w:pStyle w:val="BodyText"/>
      </w:pPr>
      <w:r>
        <w:t>The highest level of school service use was by those with a major depressive disorder, with three fifths (61.9%) of 4-17 year-olds having used these services. This was followed by those with conduct disorder (53.8%), anxiety disorders (44.1%) and then ADHD (37.0%) (Table 7-</w:t>
      </w:r>
      <w:r>
        <w:rPr>
          <w:noProof/>
        </w:rPr>
        <w:t>18</w:t>
      </w:r>
      <w:r>
        <w:t>).</w:t>
      </w:r>
    </w:p>
    <w:p w:rsidR="00E30271" w:rsidRDefault="00E30271" w:rsidP="00E30271">
      <w:pPr>
        <w:pStyle w:val="BodyText"/>
      </w:pPr>
      <w:r>
        <w:t xml:space="preserve">Just over seven out of ten young people (72.6%) with severe disorders had used school services in the previous 12 months. This was one and a half times higher than for those with moderate disorders (52.5%) and about two and a half times higher than for those with mild disorders (27.2%). </w:t>
      </w:r>
    </w:p>
    <w:p w:rsidR="00E30271" w:rsidRDefault="00E30271" w:rsidP="00E30271">
      <w:pPr>
        <w:pStyle w:val="BodyText"/>
      </w:pPr>
      <w:r w:rsidRPr="008C6F95">
        <w:t>Nine out of ten</w:t>
      </w:r>
      <w:r>
        <w:t xml:space="preserve"> (90.1%) children and adolescents with a severe conduct disorder had used school services in the previous 12 months. Comparisons in the use of school services among those with severe disorders by disorder type should be treated with caution as the differences are not statistically significant.</w:t>
      </w:r>
    </w:p>
    <w:p w:rsidR="00E30271" w:rsidRDefault="00E30271" w:rsidP="00E30271">
      <w:pPr>
        <w:pStyle w:val="Caption"/>
        <w:keepNext/>
        <w:pageBreakBefore/>
        <w:spacing w:before="0"/>
      </w:pPr>
      <w:bookmarkStart w:id="164" w:name="_Ref405824953"/>
      <w:r>
        <w:lastRenderedPageBreak/>
        <w:t>Table 7-</w:t>
      </w:r>
      <w:r>
        <w:rPr>
          <w:noProof/>
        </w:rPr>
        <w:t>18</w:t>
      </w:r>
      <w:bookmarkEnd w:id="164"/>
      <w:r>
        <w:t>: School service use in past 12 months among 4-17 year-olds with mental disorders by disorder type and severity of impact</w:t>
      </w:r>
    </w:p>
    <w:tbl>
      <w:tblPr>
        <w:tblW w:w="9113" w:type="dxa"/>
        <w:jc w:val="center"/>
        <w:tblLayout w:type="fixed"/>
        <w:tblCellMar>
          <w:left w:w="0" w:type="dxa"/>
          <w:right w:w="0" w:type="dxa"/>
        </w:tblCellMar>
        <w:tblLook w:val="0020" w:firstRow="1" w:lastRow="0" w:firstColumn="0" w:lastColumn="0" w:noHBand="0" w:noVBand="0"/>
        <w:tblDescription w:val="In Table 7-18 the first column defines mental disorders. Read across the rows for the proportion of 4-17 year-olds with mild disorders, moderate disorders, severe disorders and in total who had used school services in the past 12 months."/>
      </w:tblPr>
      <w:tblGrid>
        <w:gridCol w:w="3021"/>
        <w:gridCol w:w="1523"/>
        <w:gridCol w:w="1523"/>
        <w:gridCol w:w="1523"/>
        <w:gridCol w:w="1523"/>
      </w:tblGrid>
      <w:tr w:rsidR="00E30271" w:rsidRPr="00476EA9" w:rsidTr="00E30271">
        <w:trPr>
          <w:cantSplit/>
          <w:tblHeader/>
          <w:jc w:val="center"/>
        </w:trPr>
        <w:tc>
          <w:tcPr>
            <w:tcW w:w="302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Disorder</w:t>
            </w:r>
          </w:p>
        </w:tc>
        <w:tc>
          <w:tcPr>
            <w:tcW w:w="152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Mild (%)</w:t>
            </w:r>
          </w:p>
        </w:tc>
        <w:tc>
          <w:tcPr>
            <w:tcW w:w="152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Moderate (%)</w:t>
            </w:r>
          </w:p>
        </w:tc>
        <w:tc>
          <w:tcPr>
            <w:tcW w:w="152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Severe (%)</w:t>
            </w:r>
          </w:p>
        </w:tc>
        <w:tc>
          <w:tcPr>
            <w:tcW w:w="152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Total (%)</w:t>
            </w:r>
          </w:p>
        </w:tc>
      </w:tr>
      <w:tr w:rsidR="00E30271" w:rsidRPr="00476EA9" w:rsidTr="00E30271">
        <w:trPr>
          <w:cantSplit/>
          <w:jc w:val="center"/>
        </w:trPr>
        <w:tc>
          <w:tcPr>
            <w:tcW w:w="3021" w:type="dxa"/>
            <w:tcBorders>
              <w:top w:val="nil"/>
              <w:bottom w:val="single" w:sz="4" w:space="0" w:color="FFFFFF"/>
              <w:right w:val="nil"/>
            </w:tcBorders>
            <w:shd w:val="clear" w:color="auto" w:fill="EFF3FF"/>
            <w:tcMar>
              <w:left w:w="40" w:type="dxa"/>
              <w:right w:w="40" w:type="dxa"/>
            </w:tcMar>
          </w:tcPr>
          <w:p w:rsidR="00E30271" w:rsidRPr="006108D5" w:rsidRDefault="00E30271" w:rsidP="00E30271">
            <w:pPr>
              <w:pStyle w:val="TableRowHeadings"/>
              <w:rPr>
                <w:lang w:eastAsia="en-AU"/>
              </w:rPr>
            </w:pPr>
            <w:r w:rsidRPr="006108D5">
              <w:rPr>
                <w:lang w:eastAsia="en-AU"/>
              </w:rPr>
              <w:t>Anxiety disorder</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26.1</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58.4</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75.4</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44.1</w:t>
            </w:r>
          </w:p>
        </w:tc>
      </w:tr>
      <w:tr w:rsidR="00E30271" w:rsidRPr="00476EA9" w:rsidTr="00E30271">
        <w:trPr>
          <w:cantSplit/>
          <w:jc w:val="center"/>
        </w:trPr>
        <w:tc>
          <w:tcPr>
            <w:tcW w:w="3021" w:type="dxa"/>
            <w:tcBorders>
              <w:top w:val="nil"/>
              <w:bottom w:val="single" w:sz="4" w:space="0" w:color="FFFFFF"/>
              <w:right w:val="nil"/>
            </w:tcBorders>
            <w:shd w:val="clear" w:color="auto" w:fill="EFF3FF"/>
            <w:tcMar>
              <w:left w:w="40" w:type="dxa"/>
              <w:right w:w="40" w:type="dxa"/>
            </w:tcMar>
          </w:tcPr>
          <w:p w:rsidR="00E30271" w:rsidRPr="006108D5" w:rsidRDefault="00E30271" w:rsidP="00E30271">
            <w:pPr>
              <w:pStyle w:val="TableRowHeadings"/>
              <w:rPr>
                <w:lang w:eastAsia="en-AU"/>
              </w:rPr>
            </w:pPr>
            <w:r w:rsidRPr="006108D5">
              <w:rPr>
                <w:lang w:eastAsia="en-AU"/>
              </w:rPr>
              <w:t>Major depressive disorder</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40.2</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63.0</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72.1</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61.9</w:t>
            </w:r>
          </w:p>
        </w:tc>
      </w:tr>
      <w:tr w:rsidR="00E30271" w:rsidRPr="00476EA9" w:rsidTr="00E30271">
        <w:trPr>
          <w:cantSplit/>
          <w:jc w:val="center"/>
        </w:trPr>
        <w:tc>
          <w:tcPr>
            <w:tcW w:w="3021" w:type="dxa"/>
            <w:tcBorders>
              <w:top w:val="nil"/>
              <w:bottom w:val="single" w:sz="4" w:space="0" w:color="FFFFFF"/>
              <w:right w:val="nil"/>
            </w:tcBorders>
            <w:shd w:val="clear" w:color="auto" w:fill="EFF3FF"/>
            <w:tcMar>
              <w:left w:w="40" w:type="dxa"/>
              <w:right w:w="40" w:type="dxa"/>
            </w:tcMar>
          </w:tcPr>
          <w:p w:rsidR="00E30271" w:rsidRPr="006108D5" w:rsidRDefault="00E30271" w:rsidP="00E30271">
            <w:pPr>
              <w:pStyle w:val="TableRowHeadings"/>
              <w:rPr>
                <w:lang w:eastAsia="en-AU"/>
              </w:rPr>
            </w:pPr>
            <w:r w:rsidRPr="006108D5">
              <w:rPr>
                <w:lang w:eastAsia="en-AU"/>
              </w:rPr>
              <w:t>ADHD</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24.9</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56.5</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70.6</w:t>
            </w:r>
          </w:p>
        </w:tc>
        <w:tc>
          <w:tcPr>
            <w:tcW w:w="1523" w:type="dxa"/>
            <w:tcBorders>
              <w:top w:val="nil"/>
              <w:left w:val="nil"/>
              <w:bottom w:val="nil"/>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37.0</w:t>
            </w:r>
          </w:p>
        </w:tc>
      </w:tr>
      <w:tr w:rsidR="00E30271" w:rsidRPr="00476EA9" w:rsidTr="00E30271">
        <w:trPr>
          <w:cantSplit/>
          <w:jc w:val="center"/>
        </w:trPr>
        <w:tc>
          <w:tcPr>
            <w:tcW w:w="3021" w:type="dxa"/>
            <w:tcBorders>
              <w:top w:val="nil"/>
              <w:bottom w:val="single" w:sz="4" w:space="0" w:color="auto"/>
              <w:right w:val="nil"/>
            </w:tcBorders>
            <w:shd w:val="clear" w:color="auto" w:fill="EFF3FF"/>
            <w:tcMar>
              <w:left w:w="40" w:type="dxa"/>
              <w:right w:w="40" w:type="dxa"/>
            </w:tcMar>
          </w:tcPr>
          <w:p w:rsidR="00E30271" w:rsidRPr="006108D5" w:rsidRDefault="00E30271" w:rsidP="00E30271">
            <w:pPr>
              <w:pStyle w:val="TableRowHeadings"/>
              <w:rPr>
                <w:lang w:eastAsia="en-AU"/>
              </w:rPr>
            </w:pPr>
            <w:r w:rsidRPr="006108D5">
              <w:rPr>
                <w:lang w:eastAsia="en-AU"/>
              </w:rPr>
              <w:t>Conduct disorder</w:t>
            </w:r>
          </w:p>
        </w:tc>
        <w:tc>
          <w:tcPr>
            <w:tcW w:w="1523" w:type="dxa"/>
            <w:tcBorders>
              <w:top w:val="nil"/>
              <w:left w:val="nil"/>
              <w:bottom w:val="single" w:sz="4" w:space="0" w:color="auto"/>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35.6</w:t>
            </w:r>
          </w:p>
        </w:tc>
        <w:tc>
          <w:tcPr>
            <w:tcW w:w="1523" w:type="dxa"/>
            <w:tcBorders>
              <w:top w:val="nil"/>
              <w:left w:val="nil"/>
              <w:bottom w:val="single" w:sz="4" w:space="0" w:color="auto"/>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70.2</w:t>
            </w:r>
          </w:p>
        </w:tc>
        <w:tc>
          <w:tcPr>
            <w:tcW w:w="1523" w:type="dxa"/>
            <w:tcBorders>
              <w:top w:val="nil"/>
              <w:left w:val="nil"/>
              <w:bottom w:val="single" w:sz="4" w:space="0" w:color="auto"/>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90.1</w:t>
            </w:r>
          </w:p>
        </w:tc>
        <w:tc>
          <w:tcPr>
            <w:tcW w:w="1523" w:type="dxa"/>
            <w:tcBorders>
              <w:top w:val="nil"/>
              <w:left w:val="nil"/>
              <w:bottom w:val="single" w:sz="4" w:space="0" w:color="auto"/>
              <w:right w:val="nil"/>
            </w:tcBorders>
            <w:shd w:val="clear" w:color="auto" w:fill="FFFFFF"/>
            <w:tcMar>
              <w:left w:w="40" w:type="dxa"/>
              <w:right w:w="40" w:type="dxa"/>
            </w:tcMar>
            <w:vAlign w:val="bottom"/>
          </w:tcPr>
          <w:p w:rsidR="00E30271" w:rsidRPr="006108D5" w:rsidRDefault="00E30271" w:rsidP="00E30271">
            <w:pPr>
              <w:pStyle w:val="TableDataCell"/>
              <w:rPr>
                <w:lang w:eastAsia="en-AU"/>
              </w:rPr>
            </w:pPr>
            <w:r w:rsidRPr="006108D5">
              <w:rPr>
                <w:lang w:eastAsia="en-AU"/>
              </w:rPr>
              <w:t>53.8</w:t>
            </w:r>
          </w:p>
        </w:tc>
      </w:tr>
      <w:tr w:rsidR="00E30271" w:rsidRPr="006108D5" w:rsidTr="00E30271">
        <w:trPr>
          <w:cantSplit/>
          <w:jc w:val="center"/>
        </w:trPr>
        <w:tc>
          <w:tcPr>
            <w:tcW w:w="3021" w:type="dxa"/>
            <w:tcBorders>
              <w:top w:val="single" w:sz="4" w:space="0" w:color="auto"/>
              <w:bottom w:val="single" w:sz="6" w:space="0" w:color="000000"/>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mental disorder</w:t>
            </w:r>
          </w:p>
        </w:tc>
        <w:tc>
          <w:tcPr>
            <w:tcW w:w="152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27.2</w:t>
            </w:r>
          </w:p>
        </w:tc>
        <w:tc>
          <w:tcPr>
            <w:tcW w:w="152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52.5</w:t>
            </w:r>
          </w:p>
        </w:tc>
        <w:tc>
          <w:tcPr>
            <w:tcW w:w="152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72.6</w:t>
            </w:r>
          </w:p>
        </w:tc>
        <w:tc>
          <w:tcPr>
            <w:tcW w:w="152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40.2</w:t>
            </w:r>
          </w:p>
        </w:tc>
      </w:tr>
    </w:tbl>
    <w:p w:rsidR="00E30271" w:rsidRDefault="00E30271" w:rsidP="00E30271">
      <w:pPr>
        <w:pStyle w:val="TableFootnote"/>
        <w:ind w:left="0" w:firstLine="0"/>
      </w:pPr>
      <w:bookmarkStart w:id="165" w:name="_Toc401758771"/>
      <w:bookmarkEnd w:id="131"/>
      <w:bookmarkEnd w:id="132"/>
      <w:r>
        <w:t xml:space="preserve">Where the child or </w:t>
      </w:r>
      <w:r w:rsidRPr="00507035">
        <w:t>adolescent had more than one disorder, service use has b</w:t>
      </w:r>
      <w:r>
        <w:t>een counted under each disorder</w:t>
      </w:r>
      <w:r w:rsidRPr="00507035">
        <w:t>.</w:t>
      </w:r>
      <w:r>
        <w:t xml:space="preserve"> The severity of any mental disorder is based on the most severe disorder if the child or adolescent has more than one disorder</w:t>
      </w:r>
      <w:r w:rsidRPr="00507035">
        <w:t>.</w:t>
      </w:r>
      <w:r>
        <w:t xml:space="preserve"> </w:t>
      </w:r>
    </w:p>
    <w:p w:rsidR="00E30271" w:rsidRPr="004E47B6" w:rsidRDefault="00E30271" w:rsidP="00E30271">
      <w:pPr>
        <w:pStyle w:val="Heading2"/>
        <w:ind w:left="709" w:hanging="709"/>
      </w:pPr>
      <w:r>
        <w:t xml:space="preserve">7.5 </w:t>
      </w:r>
      <w:r>
        <w:tab/>
        <w:t>Telephone counselling and online service use</w:t>
      </w:r>
      <w:bookmarkEnd w:id="165"/>
      <w:r>
        <w:t xml:space="preserve"> by children and adolescents with mental disorders </w:t>
      </w:r>
    </w:p>
    <w:p w:rsidR="00E30271" w:rsidRPr="00AA1E11" w:rsidRDefault="00E30271" w:rsidP="00E30271">
      <w:pPr>
        <w:pStyle w:val="BodyText"/>
      </w:pPr>
      <w:r w:rsidRPr="0028238C">
        <w:t>A</w:t>
      </w:r>
      <w:r>
        <w:t xml:space="preserve">n ever increasing </w:t>
      </w:r>
      <w:r w:rsidRPr="00AA1E11">
        <w:t xml:space="preserve">range of </w:t>
      </w:r>
      <w:r w:rsidRPr="00D32202">
        <w:t xml:space="preserve">telephone and </w:t>
      </w:r>
      <w:r>
        <w:t xml:space="preserve">online </w:t>
      </w:r>
      <w:r w:rsidRPr="00AA1E11">
        <w:t xml:space="preserve">information, assessment tools, support and counselling </w:t>
      </w:r>
      <w:r>
        <w:t xml:space="preserve">services </w:t>
      </w:r>
      <w:r w:rsidRPr="00AA1E11">
        <w:t xml:space="preserve">are available </w:t>
      </w:r>
      <w:r w:rsidRPr="00D32202">
        <w:t>to young people to assist them with their emotional and behavioural problems</w:t>
      </w:r>
      <w:r w:rsidRPr="00AA1E11">
        <w:t>. Given that these services can be accessed directly by young people, and without parental or carer permission, it is more difficult for parents or carers to know whether their children have used these services.</w:t>
      </w:r>
      <w:r>
        <w:t xml:space="preserve"> Very few children under the age of 12 years had used telephone or online services and so results are reported for 12-17 year-olds only.</w:t>
      </w:r>
    </w:p>
    <w:p w:rsidR="00E30271" w:rsidRPr="00AA1E11" w:rsidRDefault="00E30271" w:rsidP="00E30271">
      <w:pPr>
        <w:pStyle w:val="BodyText"/>
      </w:pPr>
      <w:r w:rsidRPr="00AA1E11">
        <w:t xml:space="preserve">Just </w:t>
      </w:r>
      <w:r>
        <w:t xml:space="preserve">3.6% </w:t>
      </w:r>
      <w:r w:rsidRPr="00AA1E11">
        <w:t xml:space="preserve">of </w:t>
      </w:r>
      <w:r>
        <w:t>12-17 year-olds</w:t>
      </w:r>
      <w:r w:rsidRPr="00AA1E11">
        <w:t xml:space="preserve"> with mental disorder</w:t>
      </w:r>
      <w:r>
        <w:t>s</w:t>
      </w:r>
      <w:r w:rsidRPr="00AA1E11">
        <w:t xml:space="preserve"> had used a telephone counselling service in the previous 12 months</w:t>
      </w:r>
      <w:r>
        <w:t>. T</w:t>
      </w:r>
      <w:r w:rsidRPr="00AA1E11">
        <w:t xml:space="preserve">he parents and carers of another </w:t>
      </w:r>
      <w:r>
        <w:t xml:space="preserve">12.8% of 12-17 year-olds </w:t>
      </w:r>
      <w:r w:rsidRPr="00AA1E11">
        <w:t xml:space="preserve">said that they didn’t know whether </w:t>
      </w:r>
      <w:r>
        <w:t>their adolescent had used these services or not</w:t>
      </w:r>
      <w:r w:rsidRPr="00AA1E11">
        <w:t>.</w:t>
      </w:r>
    </w:p>
    <w:p w:rsidR="00E30271" w:rsidRPr="00AA1E11" w:rsidRDefault="00E30271" w:rsidP="00E30271">
      <w:pPr>
        <w:pStyle w:val="BodyText"/>
      </w:pPr>
      <w:r w:rsidRPr="00AA1E11">
        <w:t xml:space="preserve">Parents and carers reported that </w:t>
      </w:r>
      <w:r>
        <w:t>10.9</w:t>
      </w:r>
      <w:r w:rsidRPr="00AA1E11">
        <w:t xml:space="preserve">% of </w:t>
      </w:r>
      <w:r>
        <w:t>12-17 year-olds</w:t>
      </w:r>
      <w:r w:rsidRPr="00AA1E11">
        <w:t xml:space="preserve"> with mental disorder</w:t>
      </w:r>
      <w:r>
        <w:t>s</w:t>
      </w:r>
      <w:r w:rsidRPr="00AA1E11">
        <w:t xml:space="preserve"> had used </w:t>
      </w:r>
      <w:r>
        <w:t xml:space="preserve">online services, including </w:t>
      </w:r>
      <w:r w:rsidRPr="009512F0">
        <w:rPr>
          <w:rFonts w:eastAsia="Calibri" w:cs="Calibri"/>
        </w:rPr>
        <w:t xml:space="preserve">services provided by headspace, </w:t>
      </w:r>
      <w:proofErr w:type="spellStart"/>
      <w:r w:rsidRPr="009512F0">
        <w:rPr>
          <w:rFonts w:eastAsia="Calibri" w:cs="Calibri"/>
        </w:rPr>
        <w:t>Reachout</w:t>
      </w:r>
      <w:proofErr w:type="spellEnd"/>
      <w:r w:rsidRPr="009512F0">
        <w:rPr>
          <w:rFonts w:eastAsia="Calibri" w:cs="Calibri"/>
        </w:rPr>
        <w:t xml:space="preserve"> and Youth </w:t>
      </w:r>
      <w:proofErr w:type="spellStart"/>
      <w:r w:rsidRPr="009512F0">
        <w:rPr>
          <w:rFonts w:eastAsia="Calibri" w:cs="Calibri"/>
        </w:rPr>
        <w:t>beyondblue</w:t>
      </w:r>
      <w:proofErr w:type="spellEnd"/>
      <w:r w:rsidRPr="009512F0">
        <w:rPr>
          <w:rFonts w:eastAsia="Calibri" w:cs="Calibri"/>
        </w:rPr>
        <w:t>,</w:t>
      </w:r>
      <w:r w:rsidRPr="00AA1E11">
        <w:t xml:space="preserve"> to get help or information about emotional or behavioural problems in the previous 12 months</w:t>
      </w:r>
      <w:r>
        <w:t>. Another 17.0%</w:t>
      </w:r>
      <w:r w:rsidRPr="00AA1E11">
        <w:t xml:space="preserve"> didn’t know whether the</w:t>
      </w:r>
      <w:r>
        <w:t>ir adolescent</w:t>
      </w:r>
      <w:r w:rsidRPr="00AA1E11">
        <w:t xml:space="preserve"> had used</w:t>
      </w:r>
      <w:r>
        <w:t xml:space="preserve"> these online services</w:t>
      </w:r>
      <w:r w:rsidRPr="00AA1E11">
        <w:t xml:space="preserve">. </w:t>
      </w:r>
    </w:p>
    <w:p w:rsidR="00E30271" w:rsidRDefault="00E30271" w:rsidP="00E30271">
      <w:pPr>
        <w:pStyle w:val="Heading2"/>
      </w:pPr>
      <w:bookmarkStart w:id="166" w:name="_Toc401758772"/>
      <w:r>
        <w:rPr>
          <w:lang w:val="en-US"/>
        </w:rPr>
        <w:t>7.6</w:t>
      </w:r>
      <w:r w:rsidRPr="00DE1330">
        <w:rPr>
          <w:lang w:val="en-US"/>
        </w:rPr>
        <w:t xml:space="preserve"> </w:t>
      </w:r>
      <w:r w:rsidRPr="00DE1330">
        <w:rPr>
          <w:lang w:val="en-US"/>
        </w:rPr>
        <w:tab/>
      </w:r>
      <w:r>
        <w:rPr>
          <w:lang w:val="en-US"/>
        </w:rPr>
        <w:t>Use of services by parents and carers</w:t>
      </w:r>
    </w:p>
    <w:p w:rsidR="00E30271" w:rsidRDefault="00E30271" w:rsidP="00E30271">
      <w:pPr>
        <w:pStyle w:val="BodyText"/>
      </w:pPr>
      <w:r>
        <w:t>Apart from young people directly receiving services for their emotional or behavioural problems, parents and carers (and other family members) may use a variety of services to help them manage their child’s or adolescent’s problems. This section describes use of health service providers and online services by parents and carers for this purpose.</w:t>
      </w:r>
    </w:p>
    <w:p w:rsidR="00E30271" w:rsidRDefault="00E30271" w:rsidP="00E30271">
      <w:pPr>
        <w:pStyle w:val="Heading3"/>
      </w:pPr>
      <w:r>
        <w:t xml:space="preserve">7.6.1 </w:t>
      </w:r>
      <w:r>
        <w:tab/>
        <w:t>Service use</w:t>
      </w:r>
    </w:p>
    <w:p w:rsidR="00E30271" w:rsidRDefault="00E30271" w:rsidP="00E30271">
      <w:pPr>
        <w:pStyle w:val="BodyText"/>
      </w:pPr>
      <w:r>
        <w:t>Other than when they had taken the child to see someone, almost one third of parents and carers (29.5%) of children and adolescents with mental disorders reported that they or other family members had used services in the past 12 months to help manage their child’s or adolescent’s problems.  One fifth or 6.1% of these reported that they had used these services, but that their child or adolescent had not used any services for emotional and behavioural problems in the previous 12 months.</w:t>
      </w:r>
    </w:p>
    <w:p w:rsidR="00E30271" w:rsidRDefault="00E30271" w:rsidP="00E30271">
      <w:pPr>
        <w:pStyle w:val="Heading3"/>
      </w:pPr>
      <w:r>
        <w:lastRenderedPageBreak/>
        <w:t xml:space="preserve">7.6.2 </w:t>
      </w:r>
      <w:r>
        <w:tab/>
        <w:t>Health service use</w:t>
      </w:r>
    </w:p>
    <w:p w:rsidR="00E30271" w:rsidRDefault="00E30271" w:rsidP="00E30271">
      <w:pPr>
        <w:pStyle w:val="BodyText"/>
      </w:pPr>
      <w:r>
        <w:t>Overall 27.3% of parents and carers of children and adolescents with mental disorders had used a health service in the past 12 months to help them with their child’s or adolescent’s problems. Parents and carers most commonly used the services of general practitioners (17.7%), psychologists (12.4%) and counsellors or family therapists (11.0%) to help them with their child’s or adolescent’s problems (Table 7-</w:t>
      </w:r>
      <w:r>
        <w:rPr>
          <w:noProof/>
        </w:rPr>
        <w:t>19</w:t>
      </w:r>
      <w:r>
        <w:t>).</w:t>
      </w:r>
    </w:p>
    <w:p w:rsidR="00E30271" w:rsidRDefault="00E30271" w:rsidP="00E30271">
      <w:pPr>
        <w:pStyle w:val="Caption"/>
        <w:keepNext/>
      </w:pPr>
      <w:bookmarkStart w:id="167" w:name="_Ref405824989"/>
      <w:r>
        <w:t>Table 7-</w:t>
      </w:r>
      <w:r>
        <w:rPr>
          <w:noProof/>
        </w:rPr>
        <w:t>19</w:t>
      </w:r>
      <w:bookmarkEnd w:id="167"/>
      <w:r>
        <w:t>: Service use in past 12 months by parents or carers of 4-17 year-olds with mental disorders for help with managing child’s problems</w:t>
      </w:r>
    </w:p>
    <w:tbl>
      <w:tblPr>
        <w:tblW w:w="0" w:type="auto"/>
        <w:jc w:val="center"/>
        <w:tblLayout w:type="fixed"/>
        <w:tblCellMar>
          <w:left w:w="0" w:type="dxa"/>
          <w:right w:w="0" w:type="dxa"/>
        </w:tblCellMar>
        <w:tblLook w:val="0020" w:firstRow="1" w:lastRow="0" w:firstColumn="0" w:lastColumn="0" w:noHBand="0" w:noVBand="0"/>
        <w:tblDescription w:val="In Table 7-19 the first column defines the type of health service provider. Read across the rows for the proportion of parents or carers of 4-17 year-olds with mental disorders that had used services for help with managing their child's problems."/>
      </w:tblPr>
      <w:tblGrid>
        <w:gridCol w:w="6761"/>
        <w:gridCol w:w="2344"/>
      </w:tblGrid>
      <w:tr w:rsidR="00E30271" w:rsidRPr="007C6DD2" w:rsidTr="00E30271">
        <w:trPr>
          <w:cantSplit/>
          <w:tblHeader/>
          <w:jc w:val="center"/>
        </w:trPr>
        <w:tc>
          <w:tcPr>
            <w:tcW w:w="676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D010EC" w:rsidRDefault="00E30271" w:rsidP="00E30271">
            <w:pPr>
              <w:pStyle w:val="TableColumnHeadings"/>
              <w:jc w:val="left"/>
              <w:rPr>
                <w:rStyle w:val="Strong"/>
              </w:rPr>
            </w:pPr>
            <w:r w:rsidRPr="00D010EC">
              <w:rPr>
                <w:rStyle w:val="Strong"/>
              </w:rPr>
              <w:t>Health service provider</w:t>
            </w:r>
          </w:p>
        </w:tc>
        <w:tc>
          <w:tcPr>
            <w:tcW w:w="234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D010EC" w:rsidRDefault="00E30271" w:rsidP="00E30271">
            <w:pPr>
              <w:pStyle w:val="TableColumnHeadings"/>
              <w:rPr>
                <w:rStyle w:val="Strong"/>
              </w:rPr>
            </w:pPr>
            <w:r w:rsidRPr="00D010EC">
              <w:rPr>
                <w:rStyle w:val="Strong"/>
              </w:rPr>
              <w:t>Proportion (%)</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General practitioner</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17.7</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Paediatrician</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6.9</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Psychiatrist</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4.8</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Psychologist</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12.4</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Nurse</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1.8</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Social worker</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6.7</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Occupational therapist</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3.1</w:t>
            </w:r>
          </w:p>
        </w:tc>
      </w:tr>
      <w:tr w:rsidR="00E30271" w:rsidRPr="007C6DD2" w:rsidTr="00E30271">
        <w:trPr>
          <w:cantSplit/>
          <w:jc w:val="center"/>
        </w:trPr>
        <w:tc>
          <w:tcPr>
            <w:tcW w:w="6761" w:type="dxa"/>
            <w:tcBorders>
              <w:top w:val="nil"/>
              <w:bottom w:val="single" w:sz="4" w:space="0" w:color="FFFFFF"/>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Counsellor or family therapist</w:t>
            </w:r>
          </w:p>
        </w:tc>
        <w:tc>
          <w:tcPr>
            <w:tcW w:w="2344" w:type="dxa"/>
            <w:tcBorders>
              <w:top w:val="nil"/>
              <w:left w:val="nil"/>
              <w:bottom w:val="nil"/>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11.0</w:t>
            </w:r>
          </w:p>
        </w:tc>
      </w:tr>
      <w:tr w:rsidR="00E30271" w:rsidRPr="007C6DD2" w:rsidTr="00E30271">
        <w:trPr>
          <w:cantSplit/>
          <w:jc w:val="center"/>
        </w:trPr>
        <w:tc>
          <w:tcPr>
            <w:tcW w:w="6761" w:type="dxa"/>
            <w:tcBorders>
              <w:top w:val="nil"/>
              <w:bottom w:val="single" w:sz="4" w:space="0" w:color="auto"/>
              <w:right w:val="nil"/>
            </w:tcBorders>
            <w:shd w:val="clear" w:color="auto" w:fill="EFF3FF"/>
            <w:tcMar>
              <w:left w:w="40" w:type="dxa"/>
              <w:right w:w="40" w:type="dxa"/>
            </w:tcMar>
          </w:tcPr>
          <w:p w:rsidR="00E30271" w:rsidRPr="007C6DD2" w:rsidRDefault="00E30271" w:rsidP="00E30271">
            <w:pPr>
              <w:pStyle w:val="TableRowHeadings"/>
              <w:rPr>
                <w:lang w:eastAsia="en-AU"/>
              </w:rPr>
            </w:pPr>
            <w:r w:rsidRPr="007C6DD2">
              <w:rPr>
                <w:lang w:eastAsia="en-AU"/>
              </w:rPr>
              <w:t>Other or unsure about profession</w:t>
            </w:r>
          </w:p>
        </w:tc>
        <w:tc>
          <w:tcPr>
            <w:tcW w:w="2344" w:type="dxa"/>
            <w:tcBorders>
              <w:top w:val="nil"/>
              <w:left w:val="nil"/>
              <w:bottom w:val="single" w:sz="4" w:space="0" w:color="auto"/>
              <w:right w:val="nil"/>
            </w:tcBorders>
            <w:shd w:val="clear" w:color="auto" w:fill="FFFFFF"/>
            <w:tcMar>
              <w:left w:w="40" w:type="dxa"/>
              <w:right w:w="40" w:type="dxa"/>
            </w:tcMar>
            <w:vAlign w:val="bottom"/>
          </w:tcPr>
          <w:p w:rsidR="00E30271" w:rsidRPr="007C6DD2" w:rsidRDefault="00E30271" w:rsidP="00E30271">
            <w:pPr>
              <w:pStyle w:val="TableDataCell"/>
              <w:rPr>
                <w:lang w:eastAsia="en-AU"/>
              </w:rPr>
            </w:pPr>
            <w:r w:rsidRPr="007C6DD2">
              <w:rPr>
                <w:lang w:eastAsia="en-AU"/>
              </w:rPr>
              <w:t>5.3</w:t>
            </w:r>
          </w:p>
        </w:tc>
      </w:tr>
      <w:tr w:rsidR="00E30271" w:rsidRPr="007C6DD2" w:rsidTr="00E30271">
        <w:trPr>
          <w:cantSplit/>
          <w:jc w:val="center"/>
        </w:trPr>
        <w:tc>
          <w:tcPr>
            <w:tcW w:w="6761" w:type="dxa"/>
            <w:tcBorders>
              <w:top w:val="single" w:sz="4" w:space="0" w:color="auto"/>
              <w:bottom w:val="single" w:sz="6" w:space="0" w:color="000000"/>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health service provider</w:t>
            </w:r>
          </w:p>
        </w:tc>
        <w:tc>
          <w:tcPr>
            <w:tcW w:w="234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27.3</w:t>
            </w:r>
          </w:p>
        </w:tc>
      </w:tr>
    </w:tbl>
    <w:p w:rsidR="00E30271" w:rsidRDefault="00E30271" w:rsidP="00555E74">
      <w:pPr>
        <w:pStyle w:val="BodyText"/>
        <w:spacing w:before="240"/>
      </w:pPr>
      <w:r>
        <w:t>Parents and carers may also have spoken to a general practitioner about their child’s or adolescent’s problems in the course of a consultation primarily for some other purpose. Two fifths of parents and carers (42.6%) had spoken to a general practitioner about their child’s problems in the previous 12 months. Of those that had spoken to a general practitioner, nearly three quarters (73.3%) had done this on more than one occasion, and one fifth (20.3%) had done so five or more times.</w:t>
      </w:r>
    </w:p>
    <w:p w:rsidR="00E30271" w:rsidRDefault="00E30271" w:rsidP="00E30271">
      <w:pPr>
        <w:pStyle w:val="Heading3"/>
      </w:pPr>
      <w:r>
        <w:t xml:space="preserve">7.6.2 </w:t>
      </w:r>
      <w:r>
        <w:tab/>
        <w:t>Online service use</w:t>
      </w:r>
    </w:p>
    <w:p w:rsidR="00E30271" w:rsidRDefault="00E30271" w:rsidP="00E30271">
      <w:pPr>
        <w:pStyle w:val="BodyText"/>
      </w:pPr>
      <w:r>
        <w:t>Almost two fifths (37.6%) of parents and carers of children and adolescents with mental disorders had used an online service in the previous 12 months for help or information about their child’s or adolescent’s problems (Table 7-</w:t>
      </w:r>
      <w:r>
        <w:rPr>
          <w:noProof/>
        </w:rPr>
        <w:t>20</w:t>
      </w:r>
      <w:r>
        <w:t>).</w:t>
      </w:r>
    </w:p>
    <w:p w:rsidR="00E30271" w:rsidRDefault="00E30271" w:rsidP="00E30271">
      <w:pPr>
        <w:pStyle w:val="BodyText"/>
      </w:pPr>
      <w:r>
        <w:t>Most of these parents and carers had used online services for information about mental health issues or services in the community and about half had used another type of online service such as an assessment tool, personal support or counselling (32.6% and 18.4% respectively).</w:t>
      </w:r>
    </w:p>
    <w:p w:rsidR="00E30271" w:rsidRDefault="00E30271" w:rsidP="00E30271">
      <w:pPr>
        <w:pStyle w:val="Caption"/>
        <w:keepNext/>
      </w:pPr>
      <w:bookmarkStart w:id="168" w:name="_Ref405825013"/>
      <w:r>
        <w:t>Table 7-</w:t>
      </w:r>
      <w:r>
        <w:rPr>
          <w:noProof/>
        </w:rPr>
        <w:t>20</w:t>
      </w:r>
      <w:bookmarkEnd w:id="168"/>
      <w:r>
        <w:t>: Online service use in past 12 months by parents or carers of 4-17 year-olds with mental disorders</w:t>
      </w:r>
      <w:r>
        <w:rPr>
          <w:noProof/>
        </w:rPr>
        <w:t xml:space="preserve"> by type of service</w:t>
      </w:r>
    </w:p>
    <w:tbl>
      <w:tblPr>
        <w:tblW w:w="0" w:type="auto"/>
        <w:jc w:val="center"/>
        <w:tblLayout w:type="fixed"/>
        <w:tblCellMar>
          <w:left w:w="0" w:type="dxa"/>
          <w:right w:w="0" w:type="dxa"/>
        </w:tblCellMar>
        <w:tblLook w:val="0020" w:firstRow="1" w:lastRow="0" w:firstColumn="0" w:lastColumn="0" w:noHBand="0" w:noVBand="0"/>
        <w:tblDescription w:val="In Table 7-20 the first column defines the type of internet service. Read across the rows for the proportion of parents and carers of 4-17 year-olds with mental disorders who had used services for help with their child's problems."/>
      </w:tblPr>
      <w:tblGrid>
        <w:gridCol w:w="7270"/>
        <w:gridCol w:w="1835"/>
      </w:tblGrid>
      <w:tr w:rsidR="00E30271" w:rsidRPr="00312448" w:rsidTr="00E30271">
        <w:trPr>
          <w:cantSplit/>
          <w:tblHeader/>
          <w:jc w:val="center"/>
        </w:trPr>
        <w:tc>
          <w:tcPr>
            <w:tcW w:w="727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312448" w:rsidRDefault="00E30271" w:rsidP="00E30271">
            <w:pPr>
              <w:pStyle w:val="TableColumnHeadings"/>
              <w:jc w:val="left"/>
              <w:rPr>
                <w:rStyle w:val="Strong"/>
              </w:rPr>
            </w:pPr>
            <w:r w:rsidRPr="00312448">
              <w:rPr>
                <w:rStyle w:val="Strong"/>
              </w:rPr>
              <w:t>Type of online service</w:t>
            </w:r>
          </w:p>
        </w:tc>
        <w:tc>
          <w:tcPr>
            <w:tcW w:w="183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312448" w:rsidRDefault="00E30271" w:rsidP="00E30271">
            <w:pPr>
              <w:pStyle w:val="TableColumnHeadings"/>
              <w:rPr>
                <w:rStyle w:val="Strong"/>
              </w:rPr>
            </w:pPr>
            <w:r w:rsidRPr="00312448">
              <w:rPr>
                <w:rStyle w:val="Strong"/>
              </w:rPr>
              <w:t>Proportion (%)</w:t>
            </w:r>
          </w:p>
        </w:tc>
      </w:tr>
      <w:tr w:rsidR="00E30271" w:rsidRPr="00F44E8B" w:rsidTr="00E30271">
        <w:trPr>
          <w:cantSplit/>
          <w:jc w:val="center"/>
        </w:trPr>
        <w:tc>
          <w:tcPr>
            <w:tcW w:w="7270" w:type="dxa"/>
            <w:tcBorders>
              <w:top w:val="nil"/>
              <w:bottom w:val="single" w:sz="4" w:space="0" w:color="FFFFFF"/>
              <w:right w:val="nil"/>
            </w:tcBorders>
            <w:shd w:val="clear" w:color="auto" w:fill="EFF3FF"/>
            <w:tcMar>
              <w:left w:w="40" w:type="dxa"/>
              <w:right w:w="40" w:type="dxa"/>
            </w:tcMar>
          </w:tcPr>
          <w:p w:rsidR="00E30271" w:rsidRPr="00F44E8B" w:rsidRDefault="00E30271" w:rsidP="00E30271">
            <w:pPr>
              <w:pStyle w:val="TableRowHeadings"/>
              <w:rPr>
                <w:lang w:eastAsia="en-AU"/>
              </w:rPr>
            </w:pPr>
            <w:r w:rsidRPr="00F44E8B">
              <w:rPr>
                <w:lang w:eastAsia="en-AU"/>
              </w:rPr>
              <w:t>Information about mental health issues and services</w:t>
            </w:r>
            <w:r>
              <w:rPr>
                <w:lang w:eastAsia="en-AU"/>
              </w:rPr>
              <w:t xml:space="preserve"> in the community</w:t>
            </w:r>
          </w:p>
        </w:tc>
        <w:tc>
          <w:tcPr>
            <w:tcW w:w="1835" w:type="dxa"/>
            <w:tcBorders>
              <w:top w:val="nil"/>
              <w:left w:val="nil"/>
              <w:bottom w:val="nil"/>
              <w:right w:val="nil"/>
            </w:tcBorders>
            <w:shd w:val="clear" w:color="auto" w:fill="FFFFFF"/>
            <w:tcMar>
              <w:left w:w="40" w:type="dxa"/>
              <w:right w:w="40" w:type="dxa"/>
            </w:tcMar>
            <w:vAlign w:val="bottom"/>
          </w:tcPr>
          <w:p w:rsidR="00E30271" w:rsidRPr="00F44E8B" w:rsidRDefault="00E30271" w:rsidP="00E30271">
            <w:pPr>
              <w:pStyle w:val="TableDataCell"/>
              <w:rPr>
                <w:lang w:eastAsia="en-AU"/>
              </w:rPr>
            </w:pPr>
            <w:r w:rsidRPr="00F44E8B">
              <w:rPr>
                <w:lang w:eastAsia="en-AU"/>
              </w:rPr>
              <w:t>32.6</w:t>
            </w:r>
          </w:p>
        </w:tc>
      </w:tr>
      <w:tr w:rsidR="00E30271" w:rsidRPr="00F44E8B" w:rsidTr="00E30271">
        <w:trPr>
          <w:cantSplit/>
          <w:jc w:val="center"/>
        </w:trPr>
        <w:tc>
          <w:tcPr>
            <w:tcW w:w="7270" w:type="dxa"/>
            <w:tcBorders>
              <w:top w:val="nil"/>
              <w:bottom w:val="single" w:sz="4" w:space="0" w:color="auto"/>
              <w:right w:val="nil"/>
            </w:tcBorders>
            <w:shd w:val="clear" w:color="auto" w:fill="EFF3FF"/>
            <w:tcMar>
              <w:left w:w="40" w:type="dxa"/>
              <w:right w:w="40" w:type="dxa"/>
            </w:tcMar>
          </w:tcPr>
          <w:p w:rsidR="00E30271" w:rsidRPr="00F44E8B" w:rsidRDefault="00E30271" w:rsidP="00E30271">
            <w:pPr>
              <w:pStyle w:val="TableRowHeadings"/>
              <w:rPr>
                <w:lang w:eastAsia="en-AU"/>
              </w:rPr>
            </w:pPr>
            <w:r>
              <w:rPr>
                <w:lang w:eastAsia="en-AU"/>
              </w:rPr>
              <w:t>Assessment tool, self-help, chat room or support group, personal support or counselling</w:t>
            </w:r>
          </w:p>
        </w:tc>
        <w:tc>
          <w:tcPr>
            <w:tcW w:w="1835" w:type="dxa"/>
            <w:tcBorders>
              <w:top w:val="nil"/>
              <w:left w:val="nil"/>
              <w:bottom w:val="single" w:sz="4" w:space="0" w:color="auto"/>
              <w:right w:val="nil"/>
            </w:tcBorders>
            <w:shd w:val="clear" w:color="auto" w:fill="FFFFFF"/>
            <w:tcMar>
              <w:left w:w="40" w:type="dxa"/>
              <w:right w:w="40" w:type="dxa"/>
            </w:tcMar>
            <w:vAlign w:val="bottom"/>
          </w:tcPr>
          <w:p w:rsidR="00E30271" w:rsidRPr="00F44E8B" w:rsidRDefault="00E30271" w:rsidP="00E30271">
            <w:pPr>
              <w:pStyle w:val="TableDataCell"/>
              <w:rPr>
                <w:lang w:eastAsia="en-AU"/>
              </w:rPr>
            </w:pPr>
            <w:r w:rsidRPr="00F44E8B">
              <w:rPr>
                <w:lang w:eastAsia="en-AU"/>
              </w:rPr>
              <w:t>18.4</w:t>
            </w:r>
          </w:p>
        </w:tc>
      </w:tr>
      <w:tr w:rsidR="00E30271" w:rsidRPr="00F44E8B" w:rsidTr="00E30271">
        <w:trPr>
          <w:cantSplit/>
          <w:jc w:val="center"/>
        </w:trPr>
        <w:tc>
          <w:tcPr>
            <w:tcW w:w="7270" w:type="dxa"/>
            <w:tcBorders>
              <w:top w:val="single" w:sz="4" w:space="0" w:color="auto"/>
              <w:bottom w:val="single" w:sz="6" w:space="0" w:color="auto"/>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Any online service</w:t>
            </w:r>
          </w:p>
        </w:tc>
        <w:tc>
          <w:tcPr>
            <w:tcW w:w="1835"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37.6</w:t>
            </w:r>
          </w:p>
        </w:tc>
      </w:tr>
    </w:tbl>
    <w:p w:rsidR="00E30271" w:rsidRPr="00DE1330" w:rsidRDefault="00E30271" w:rsidP="00E30271">
      <w:pPr>
        <w:pStyle w:val="Heading2"/>
        <w:rPr>
          <w:lang w:val="en-US"/>
        </w:rPr>
      </w:pPr>
      <w:r>
        <w:rPr>
          <w:lang w:val="en-US"/>
        </w:rPr>
        <w:lastRenderedPageBreak/>
        <w:t>7.7</w:t>
      </w:r>
      <w:r w:rsidRPr="00DE1330">
        <w:rPr>
          <w:lang w:val="en-US"/>
        </w:rPr>
        <w:t xml:space="preserve"> </w:t>
      </w:r>
      <w:r w:rsidRPr="00DE1330">
        <w:rPr>
          <w:lang w:val="en-US"/>
        </w:rPr>
        <w:tab/>
      </w:r>
      <w:bookmarkEnd w:id="166"/>
      <w:r>
        <w:rPr>
          <w:lang w:val="en-US"/>
        </w:rPr>
        <w:t>Understanding who does and does not use services</w:t>
      </w:r>
    </w:p>
    <w:p w:rsidR="00E30271" w:rsidRDefault="00E30271" w:rsidP="00E30271">
      <w:pPr>
        <w:pStyle w:val="BodyText"/>
      </w:pPr>
      <w:r>
        <w:t>The majority of young people using services were assessed as having one or more of the four types of mental disorders (anxiety disorder, major depressive disorder, ADHD and conduct disorder), however, many did not. Information was collected in the survey on a number of factors that provide further insight into who else was using services for emotional and behavioural problems and what might have contributed to their service use. The other indicators of mental health problems or distress were as follows:</w:t>
      </w:r>
    </w:p>
    <w:p w:rsidR="00E30271" w:rsidRPr="001B7CCC" w:rsidRDefault="00E30271" w:rsidP="00590512">
      <w:pPr>
        <w:pStyle w:val="ListParagraph"/>
        <w:numPr>
          <w:ilvl w:val="0"/>
          <w:numId w:val="10"/>
        </w:numPr>
        <w:jc w:val="both"/>
      </w:pPr>
      <w:r w:rsidRPr="001B7CCC">
        <w:t>A clinically sub-threshold level of mental disorder, in which symptoms are present but not at a level of severity and/or for a sufficient time for diagnosis of the disorder, as indicated on one or more of the DISC-IV diagnostic modules completed by parents and carers and/or the major depressive disorder module completed by 11-17 year-olds;</w:t>
      </w:r>
    </w:p>
    <w:p w:rsidR="00E30271" w:rsidRPr="001B7CCC" w:rsidRDefault="00E30271" w:rsidP="00590512">
      <w:pPr>
        <w:pStyle w:val="ListParagraph"/>
        <w:numPr>
          <w:ilvl w:val="0"/>
          <w:numId w:val="10"/>
        </w:numPr>
        <w:jc w:val="both"/>
      </w:pPr>
      <w:r w:rsidRPr="001B7CCC">
        <w:t xml:space="preserve">A score in the </w:t>
      </w:r>
      <w:r>
        <w:t>‘a</w:t>
      </w:r>
      <w:r w:rsidRPr="001B7CCC">
        <w:t>bnormal’ range on the Strengths and Difficulties Questionnaire (SDQ), indicating a substantial risk of clinically significant problems;</w:t>
      </w:r>
    </w:p>
    <w:p w:rsidR="00E30271" w:rsidRDefault="00E30271" w:rsidP="00590512">
      <w:pPr>
        <w:pStyle w:val="ListParagraph"/>
        <w:numPr>
          <w:ilvl w:val="0"/>
          <w:numId w:val="10"/>
        </w:numPr>
        <w:jc w:val="both"/>
      </w:pPr>
      <w:r w:rsidRPr="001B7CCC">
        <w:t>A ‘very high’ level of psychological distress as indicated by the Kessler 10 Psychological Distress Scale; and</w:t>
      </w:r>
    </w:p>
    <w:p w:rsidR="00E30271" w:rsidRPr="001B7CCC" w:rsidRDefault="00E30271" w:rsidP="00590512">
      <w:pPr>
        <w:pStyle w:val="ListParagraph"/>
        <w:numPr>
          <w:ilvl w:val="0"/>
          <w:numId w:val="10"/>
        </w:numPr>
        <w:jc w:val="both"/>
      </w:pPr>
      <w:r>
        <w:t>S</w:t>
      </w:r>
      <w:r w:rsidRPr="001B7CCC">
        <w:t>uicide attempt or attempts ever in their lifetime as reported by 12-17 year-olds.</w:t>
      </w:r>
    </w:p>
    <w:p w:rsidR="00E30271" w:rsidRDefault="00E30271" w:rsidP="00E30271">
      <w:pPr>
        <w:pStyle w:val="Heading3"/>
      </w:pPr>
      <w:r>
        <w:t xml:space="preserve">7.7.1 </w:t>
      </w:r>
      <w:r>
        <w:tab/>
        <w:t>Any service</w:t>
      </w:r>
    </w:p>
    <w:p w:rsidR="00E30271" w:rsidRDefault="00E30271" w:rsidP="00E30271">
      <w:pPr>
        <w:pStyle w:val="BodyText"/>
      </w:pPr>
      <w:r>
        <w:t>Half (50.4</w:t>
      </w:r>
      <w:r w:rsidRPr="00BF4448">
        <w:t xml:space="preserve">%) of children and adolescents who had used services for emotional or behavioural problems in the previous 12 months were assessed on the basis of information provided by their </w:t>
      </w:r>
      <w:r w:rsidRPr="000C7D2D">
        <w:t>parents and carers, or themselves in the case of adolescents</w:t>
      </w:r>
      <w:r>
        <w:t xml:space="preserve">, </w:t>
      </w:r>
      <w:r w:rsidRPr="00BF4448">
        <w:t xml:space="preserve">as having </w:t>
      </w:r>
      <w:r>
        <w:t xml:space="preserve">a mental disorder according to DSM-IV diagnostic criteria </w:t>
      </w:r>
      <w:r w:rsidRPr="00BF4448">
        <w:t>(</w:t>
      </w:r>
      <w:r>
        <w:t>Table 7-</w:t>
      </w:r>
      <w:r>
        <w:rPr>
          <w:noProof/>
        </w:rPr>
        <w:t>21</w:t>
      </w:r>
      <w:r w:rsidRPr="00BF4448">
        <w:t>).</w:t>
      </w:r>
    </w:p>
    <w:p w:rsidR="00E30271" w:rsidRDefault="00E30271" w:rsidP="00E30271">
      <w:pPr>
        <w:pStyle w:val="BodyText"/>
      </w:pPr>
      <w:r>
        <w:t xml:space="preserve">Another 40.0% of those using services had symptoms of a mental disorder but at a clinically sub-threshold level based on the DISC-IV responses, an abnormal SDQ score, a Kessler 10 score indicating distress at a very high level and/or had ever attempted suicide. A little </w:t>
      </w:r>
      <w:proofErr w:type="gramStart"/>
      <w:r>
        <w:t>under</w:t>
      </w:r>
      <w:proofErr w:type="gramEnd"/>
      <w:r>
        <w:t xml:space="preserve"> one in ten (9.7%) children and adolescents who had used a service did not appear to have significant mental health problems based on any of these indicators. </w:t>
      </w:r>
    </w:p>
    <w:p w:rsidR="00E30271" w:rsidRDefault="00E30271" w:rsidP="00E30271">
      <w:pPr>
        <w:pStyle w:val="Caption"/>
        <w:keepNext/>
      </w:pPr>
      <w:bookmarkStart w:id="169" w:name="_Ref405825041"/>
      <w:r>
        <w:t>Table 7-</w:t>
      </w:r>
      <w:r>
        <w:rPr>
          <w:noProof/>
        </w:rPr>
        <w:t>21</w:t>
      </w:r>
      <w:bookmarkEnd w:id="169"/>
      <w:r>
        <w:t>: Service use in past 12 months among 4-17 year-olds by indicators of significant problems</w:t>
      </w:r>
    </w:p>
    <w:tbl>
      <w:tblPr>
        <w:tblW w:w="8935" w:type="dxa"/>
        <w:tblLayout w:type="fixed"/>
        <w:tblCellMar>
          <w:left w:w="0" w:type="dxa"/>
          <w:right w:w="0" w:type="dxa"/>
        </w:tblCellMar>
        <w:tblLook w:val="0020" w:firstRow="1" w:lastRow="0" w:firstColumn="0" w:lastColumn="0" w:noHBand="0" w:noVBand="0"/>
        <w:tblDescription w:val="In Table 7-21 the first column defines the factors indicating significant mental health problems. Read across the rows for the proportion of 4-17 year-olds with mental disorders that have used services in the past 12 months and the population estimate for this."/>
      </w:tblPr>
      <w:tblGrid>
        <w:gridCol w:w="4786"/>
        <w:gridCol w:w="2074"/>
        <w:gridCol w:w="2075"/>
      </w:tblGrid>
      <w:tr w:rsidR="00E30271" w:rsidRPr="000950F7" w:rsidTr="00E30271">
        <w:trPr>
          <w:cantSplit/>
          <w:tblHeader/>
        </w:trPr>
        <w:tc>
          <w:tcPr>
            <w:tcW w:w="4786"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3E30CF" w:rsidRDefault="00E30271" w:rsidP="00E30271">
            <w:pPr>
              <w:pStyle w:val="TableColumnHeadings"/>
              <w:jc w:val="left"/>
              <w:rPr>
                <w:rStyle w:val="Strong"/>
              </w:rPr>
            </w:pPr>
            <w:r w:rsidRPr="003E30CF">
              <w:rPr>
                <w:rStyle w:val="Strong"/>
              </w:rPr>
              <w:t>Factor indicating significant problems</w:t>
            </w:r>
          </w:p>
        </w:tc>
        <w:tc>
          <w:tcPr>
            <w:tcW w:w="2074"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E30271" w:rsidRPr="003E30CF" w:rsidRDefault="00E30271" w:rsidP="00E30271">
            <w:pPr>
              <w:pStyle w:val="TableColumnHeadings"/>
              <w:rPr>
                <w:rStyle w:val="Strong"/>
              </w:rPr>
            </w:pPr>
            <w:r w:rsidRPr="003E30CF">
              <w:rPr>
                <w:rStyle w:val="Strong"/>
              </w:rPr>
              <w:t>Proportion (%)</w:t>
            </w:r>
          </w:p>
        </w:tc>
        <w:tc>
          <w:tcPr>
            <w:tcW w:w="2075" w:type="dxa"/>
            <w:tcBorders>
              <w:top w:val="single" w:sz="6" w:space="0" w:color="auto"/>
              <w:left w:val="single" w:sz="4" w:space="0" w:color="FFFFFF"/>
              <w:bottom w:val="single" w:sz="4" w:space="0" w:color="000000"/>
            </w:tcBorders>
            <w:shd w:val="clear" w:color="auto" w:fill="EFF3FF"/>
            <w:tcMar>
              <w:left w:w="40" w:type="dxa"/>
              <w:right w:w="40" w:type="dxa"/>
            </w:tcMar>
            <w:vAlign w:val="bottom"/>
          </w:tcPr>
          <w:p w:rsidR="00E30271" w:rsidRPr="003E30CF" w:rsidRDefault="00E30271" w:rsidP="00E30271">
            <w:pPr>
              <w:pStyle w:val="TableColumnHeadings"/>
              <w:rPr>
                <w:rStyle w:val="Strong"/>
              </w:rPr>
            </w:pPr>
            <w:r w:rsidRPr="003E30CF">
              <w:rPr>
                <w:rStyle w:val="Strong"/>
              </w:rPr>
              <w:t>Population estimate</w:t>
            </w:r>
          </w:p>
        </w:tc>
      </w:tr>
      <w:tr w:rsidR="00E30271" w:rsidRPr="000950F7" w:rsidTr="00E30271">
        <w:trPr>
          <w:cantSplit/>
        </w:trPr>
        <w:tc>
          <w:tcPr>
            <w:tcW w:w="4786" w:type="dxa"/>
            <w:tcBorders>
              <w:top w:val="nil"/>
              <w:bottom w:val="single" w:sz="4" w:space="0" w:color="FFFFFF"/>
              <w:right w:val="nil"/>
            </w:tcBorders>
            <w:shd w:val="clear" w:color="auto" w:fill="EFF3FF"/>
            <w:tcMar>
              <w:left w:w="40" w:type="dxa"/>
              <w:right w:w="40" w:type="dxa"/>
            </w:tcMar>
          </w:tcPr>
          <w:p w:rsidR="00E30271" w:rsidRPr="000950F7" w:rsidRDefault="00E30271" w:rsidP="00E30271">
            <w:pPr>
              <w:pStyle w:val="TableRowHeadings"/>
              <w:rPr>
                <w:lang w:eastAsia="en-AU"/>
              </w:rPr>
            </w:pPr>
            <w:r>
              <w:rPr>
                <w:lang w:eastAsia="en-AU"/>
              </w:rPr>
              <w:t>Mental disorder based on DISC-IV</w:t>
            </w:r>
          </w:p>
        </w:tc>
        <w:tc>
          <w:tcPr>
            <w:tcW w:w="2074"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50.4</w:t>
            </w:r>
          </w:p>
        </w:tc>
        <w:tc>
          <w:tcPr>
            <w:tcW w:w="2075"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343,000</w:t>
            </w:r>
          </w:p>
        </w:tc>
      </w:tr>
      <w:tr w:rsidR="00E30271" w:rsidRPr="000950F7" w:rsidTr="00E30271">
        <w:trPr>
          <w:cantSplit/>
        </w:trPr>
        <w:tc>
          <w:tcPr>
            <w:tcW w:w="4786" w:type="dxa"/>
            <w:tcBorders>
              <w:top w:val="nil"/>
              <w:bottom w:val="single" w:sz="4" w:space="0" w:color="FFFFFF"/>
              <w:right w:val="nil"/>
            </w:tcBorders>
            <w:shd w:val="clear" w:color="auto" w:fill="EFF3FF"/>
            <w:tcMar>
              <w:left w:w="40" w:type="dxa"/>
              <w:right w:w="40" w:type="dxa"/>
            </w:tcMar>
          </w:tcPr>
          <w:p w:rsidR="00E30271" w:rsidRPr="000950F7" w:rsidRDefault="00E30271" w:rsidP="00E30271">
            <w:pPr>
              <w:pStyle w:val="TableRowHeadings"/>
              <w:rPr>
                <w:lang w:eastAsia="en-AU"/>
              </w:rPr>
            </w:pPr>
            <w:r w:rsidRPr="000950F7">
              <w:rPr>
                <w:lang w:eastAsia="en-AU"/>
              </w:rPr>
              <w:t xml:space="preserve">Sub-threshold </w:t>
            </w:r>
            <w:r>
              <w:rPr>
                <w:lang w:eastAsia="en-AU"/>
              </w:rPr>
              <w:t xml:space="preserve">level on </w:t>
            </w:r>
            <w:r w:rsidRPr="000950F7">
              <w:rPr>
                <w:lang w:eastAsia="en-AU"/>
              </w:rPr>
              <w:t>DISC</w:t>
            </w:r>
            <w:r>
              <w:rPr>
                <w:lang w:eastAsia="en-AU"/>
              </w:rPr>
              <w:t>-IV or o</w:t>
            </w:r>
            <w:r w:rsidRPr="000950F7">
              <w:rPr>
                <w:lang w:eastAsia="en-AU"/>
              </w:rPr>
              <w:t xml:space="preserve">ther indicators of </w:t>
            </w:r>
            <w:r>
              <w:rPr>
                <w:lang w:eastAsia="en-AU"/>
              </w:rPr>
              <w:t>significant mental ill-health (a)</w:t>
            </w:r>
          </w:p>
        </w:tc>
        <w:tc>
          <w:tcPr>
            <w:tcW w:w="2074"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40.0</w:t>
            </w:r>
          </w:p>
        </w:tc>
        <w:tc>
          <w:tcPr>
            <w:tcW w:w="2075"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272,000</w:t>
            </w:r>
          </w:p>
        </w:tc>
      </w:tr>
      <w:tr w:rsidR="00E30271" w:rsidRPr="000950F7" w:rsidTr="00E30271">
        <w:trPr>
          <w:cantSplit/>
        </w:trPr>
        <w:tc>
          <w:tcPr>
            <w:tcW w:w="4786" w:type="dxa"/>
            <w:tcBorders>
              <w:top w:val="nil"/>
              <w:bottom w:val="single" w:sz="4" w:space="0" w:color="auto"/>
              <w:right w:val="nil"/>
            </w:tcBorders>
            <w:shd w:val="clear" w:color="auto" w:fill="EFF3FF"/>
            <w:tcMar>
              <w:left w:w="40" w:type="dxa"/>
              <w:right w:w="40" w:type="dxa"/>
            </w:tcMar>
          </w:tcPr>
          <w:p w:rsidR="00E30271" w:rsidRPr="000950F7" w:rsidRDefault="00E30271" w:rsidP="00E30271">
            <w:pPr>
              <w:pStyle w:val="TableRowHeadings"/>
              <w:rPr>
                <w:lang w:eastAsia="en-AU"/>
              </w:rPr>
            </w:pPr>
            <w:r w:rsidRPr="000950F7">
              <w:rPr>
                <w:lang w:eastAsia="en-AU"/>
              </w:rPr>
              <w:t>No</w:t>
            </w:r>
            <w:r>
              <w:rPr>
                <w:lang w:eastAsia="en-AU"/>
              </w:rPr>
              <w:t>ne of the above</w:t>
            </w:r>
          </w:p>
        </w:tc>
        <w:tc>
          <w:tcPr>
            <w:tcW w:w="2074" w:type="dxa"/>
            <w:tcBorders>
              <w:top w:val="nil"/>
              <w:left w:val="nil"/>
              <w:bottom w:val="single" w:sz="4" w:space="0" w:color="auto"/>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9.7</w:t>
            </w:r>
          </w:p>
        </w:tc>
        <w:tc>
          <w:tcPr>
            <w:tcW w:w="2075" w:type="dxa"/>
            <w:tcBorders>
              <w:top w:val="nil"/>
              <w:left w:val="nil"/>
              <w:bottom w:val="single" w:sz="4" w:space="0" w:color="auto"/>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66,000</w:t>
            </w:r>
          </w:p>
        </w:tc>
      </w:tr>
      <w:tr w:rsidR="00E30271" w:rsidRPr="008A6C34" w:rsidTr="00E30271">
        <w:trPr>
          <w:cantSplit/>
        </w:trPr>
        <w:tc>
          <w:tcPr>
            <w:tcW w:w="4786" w:type="dxa"/>
            <w:tcBorders>
              <w:top w:val="single" w:sz="4" w:space="0" w:color="auto"/>
              <w:bottom w:val="single" w:sz="6" w:space="0" w:color="000000"/>
              <w:right w:val="nil"/>
            </w:tcBorders>
            <w:shd w:val="clear" w:color="auto" w:fill="EFF3FF"/>
            <w:tcMar>
              <w:left w:w="40" w:type="dxa"/>
              <w:right w:w="40" w:type="dxa"/>
            </w:tcMar>
          </w:tcPr>
          <w:p w:rsidR="00E30271" w:rsidRPr="00D010EC" w:rsidRDefault="00E30271" w:rsidP="00E30271">
            <w:pPr>
              <w:pStyle w:val="TableRowHeadings"/>
              <w:rPr>
                <w:rStyle w:val="Strong"/>
              </w:rPr>
            </w:pPr>
            <w:r w:rsidRPr="00D010EC">
              <w:rPr>
                <w:rStyle w:val="Strong"/>
              </w:rPr>
              <w:t>Total</w:t>
            </w:r>
          </w:p>
        </w:tc>
        <w:tc>
          <w:tcPr>
            <w:tcW w:w="207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100.0</w:t>
            </w:r>
          </w:p>
        </w:tc>
        <w:tc>
          <w:tcPr>
            <w:tcW w:w="2075"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D010EC" w:rsidRDefault="00E30271" w:rsidP="00E30271">
            <w:pPr>
              <w:pStyle w:val="TableDataCell"/>
              <w:rPr>
                <w:rStyle w:val="Strong"/>
              </w:rPr>
            </w:pPr>
            <w:r w:rsidRPr="00D010EC">
              <w:rPr>
                <w:rStyle w:val="Strong"/>
              </w:rPr>
              <w:t>681,000</w:t>
            </w:r>
          </w:p>
        </w:tc>
      </w:tr>
    </w:tbl>
    <w:p w:rsidR="00E30271" w:rsidRPr="00B542B6" w:rsidRDefault="00E30271" w:rsidP="00E30271">
      <w:pPr>
        <w:pStyle w:val="TableFootnote"/>
      </w:pPr>
      <w:bookmarkStart w:id="170" w:name="_Toc401758773"/>
      <w:r>
        <w:t>(a)</w:t>
      </w:r>
      <w:r>
        <w:tab/>
      </w:r>
      <w:r w:rsidRPr="00B542B6">
        <w:t>Other indicators are SDQ in ‘abnormal’ range, Kessler 10 in ‘very high’ distress range and/or suicide attempt.</w:t>
      </w:r>
    </w:p>
    <w:p w:rsidR="00E30271" w:rsidRDefault="00E30271" w:rsidP="00E30271">
      <w:pPr>
        <w:pStyle w:val="Heading3"/>
      </w:pPr>
      <w:r>
        <w:t xml:space="preserve">7.7.2 </w:t>
      </w:r>
      <w:r>
        <w:tab/>
        <w:t>Health services</w:t>
      </w:r>
    </w:p>
    <w:p w:rsidR="00E30271" w:rsidRDefault="00E30271" w:rsidP="00E30271">
      <w:pPr>
        <w:pStyle w:val="BodyText"/>
      </w:pPr>
      <w:r>
        <w:t>Just over half (54.3</w:t>
      </w:r>
      <w:r w:rsidRPr="00BF4448">
        <w:t xml:space="preserve">%) of </w:t>
      </w:r>
      <w:r>
        <w:t>4-17 year-olds</w:t>
      </w:r>
      <w:r w:rsidRPr="00BF4448">
        <w:t xml:space="preserve"> who had used </w:t>
      </w:r>
      <w:r>
        <w:t xml:space="preserve">health </w:t>
      </w:r>
      <w:r w:rsidRPr="00BF4448">
        <w:t xml:space="preserve">services for emotional or behavioural problems in the previous 12 months </w:t>
      </w:r>
      <w:r>
        <w:t xml:space="preserve">had mental disorders based upon DISC-IV. Another 37.1% had a sub-threshold level of mental disorder or other indicators of significant mental ill-health. The </w:t>
      </w:r>
      <w:r>
        <w:lastRenderedPageBreak/>
        <w:t>remaining 8.6% of those using health services for emotional or behavioural problems did not appear to have significant mental health problems based on these indicators (Table 7-</w:t>
      </w:r>
      <w:r>
        <w:rPr>
          <w:noProof/>
        </w:rPr>
        <w:t>22</w:t>
      </w:r>
      <w:r>
        <w:t>).</w:t>
      </w:r>
    </w:p>
    <w:p w:rsidR="00E30271" w:rsidRDefault="00E30271" w:rsidP="00E30271">
      <w:pPr>
        <w:pStyle w:val="Caption"/>
        <w:keepNext/>
      </w:pPr>
      <w:bookmarkStart w:id="171" w:name="_Ref405825055"/>
      <w:r>
        <w:t>Table 7-</w:t>
      </w:r>
      <w:r>
        <w:rPr>
          <w:noProof/>
        </w:rPr>
        <w:t>22</w:t>
      </w:r>
      <w:bookmarkEnd w:id="171"/>
      <w:r>
        <w:t>: Health service use in past 12 months among 4-17 year-olds by indicators of significant problems</w:t>
      </w:r>
    </w:p>
    <w:tbl>
      <w:tblPr>
        <w:tblW w:w="8935" w:type="dxa"/>
        <w:tblLayout w:type="fixed"/>
        <w:tblCellMar>
          <w:left w:w="0" w:type="dxa"/>
          <w:right w:w="0" w:type="dxa"/>
        </w:tblCellMar>
        <w:tblLook w:val="0020" w:firstRow="1" w:lastRow="0" w:firstColumn="0" w:lastColumn="0" w:noHBand="0" w:noVBand="0"/>
        <w:tblDescription w:val="In Table 7-22 the first column defines the factors indicating significant mental health problems. Read across the rows for the proportion of 4-17 year-olds with mental disorders that have used health services in the past 12 months and the population estimate for this."/>
      </w:tblPr>
      <w:tblGrid>
        <w:gridCol w:w="4786"/>
        <w:gridCol w:w="2074"/>
        <w:gridCol w:w="2075"/>
      </w:tblGrid>
      <w:tr w:rsidR="00E30271" w:rsidRPr="000950F7" w:rsidTr="00E30271">
        <w:trPr>
          <w:cantSplit/>
          <w:tblHeader/>
        </w:trPr>
        <w:tc>
          <w:tcPr>
            <w:tcW w:w="4786"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3E30CF" w:rsidRDefault="00E30271" w:rsidP="00E30271">
            <w:pPr>
              <w:pStyle w:val="TableColumnHeadings"/>
              <w:jc w:val="left"/>
              <w:rPr>
                <w:rStyle w:val="Strong"/>
              </w:rPr>
            </w:pPr>
            <w:r w:rsidRPr="003E30CF">
              <w:rPr>
                <w:rStyle w:val="Strong"/>
              </w:rPr>
              <w:t>Factor indicating significant problems</w:t>
            </w:r>
          </w:p>
        </w:tc>
        <w:tc>
          <w:tcPr>
            <w:tcW w:w="2074"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E30271" w:rsidRPr="003E30CF" w:rsidRDefault="00E30271" w:rsidP="00E30271">
            <w:pPr>
              <w:pStyle w:val="TableColumnHeadings"/>
              <w:rPr>
                <w:rStyle w:val="Strong"/>
              </w:rPr>
            </w:pPr>
            <w:r w:rsidRPr="003E30CF">
              <w:rPr>
                <w:rStyle w:val="Strong"/>
              </w:rPr>
              <w:t>Proportion (%)</w:t>
            </w:r>
          </w:p>
        </w:tc>
        <w:tc>
          <w:tcPr>
            <w:tcW w:w="2075" w:type="dxa"/>
            <w:tcBorders>
              <w:top w:val="single" w:sz="6" w:space="0" w:color="auto"/>
              <w:left w:val="single" w:sz="4" w:space="0" w:color="FFFFFF"/>
              <w:bottom w:val="single" w:sz="4" w:space="0" w:color="000000"/>
            </w:tcBorders>
            <w:shd w:val="clear" w:color="auto" w:fill="EFF3FF"/>
            <w:tcMar>
              <w:left w:w="40" w:type="dxa"/>
              <w:right w:w="40" w:type="dxa"/>
            </w:tcMar>
            <w:vAlign w:val="bottom"/>
          </w:tcPr>
          <w:p w:rsidR="00E30271" w:rsidRPr="003E30CF" w:rsidRDefault="00E30271" w:rsidP="00E30271">
            <w:pPr>
              <w:pStyle w:val="TableColumnHeadings"/>
              <w:rPr>
                <w:rStyle w:val="Strong"/>
              </w:rPr>
            </w:pPr>
            <w:r w:rsidRPr="003E30CF">
              <w:rPr>
                <w:rStyle w:val="Strong"/>
              </w:rPr>
              <w:t>Population estimate</w:t>
            </w:r>
          </w:p>
        </w:tc>
      </w:tr>
      <w:tr w:rsidR="00E30271" w:rsidRPr="000950F7" w:rsidTr="00E30271">
        <w:trPr>
          <w:cantSplit/>
        </w:trPr>
        <w:tc>
          <w:tcPr>
            <w:tcW w:w="4786" w:type="dxa"/>
            <w:tcBorders>
              <w:top w:val="nil"/>
              <w:bottom w:val="single" w:sz="4" w:space="0" w:color="FFFFFF"/>
              <w:right w:val="nil"/>
            </w:tcBorders>
            <w:shd w:val="clear" w:color="auto" w:fill="EFF3FF"/>
            <w:tcMar>
              <w:left w:w="40" w:type="dxa"/>
              <w:right w:w="40" w:type="dxa"/>
            </w:tcMar>
          </w:tcPr>
          <w:p w:rsidR="00E30271" w:rsidRPr="000950F7" w:rsidRDefault="00E30271" w:rsidP="00E30271">
            <w:pPr>
              <w:pStyle w:val="TableRowHeadings"/>
              <w:rPr>
                <w:lang w:eastAsia="en-AU"/>
              </w:rPr>
            </w:pPr>
            <w:r>
              <w:rPr>
                <w:lang w:eastAsia="en-AU"/>
              </w:rPr>
              <w:t>Mental disorder based on DISC-IV diagnosis</w:t>
            </w:r>
          </w:p>
        </w:tc>
        <w:tc>
          <w:tcPr>
            <w:tcW w:w="2074"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54.3</w:t>
            </w:r>
          </w:p>
        </w:tc>
        <w:tc>
          <w:tcPr>
            <w:tcW w:w="2075"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323,000</w:t>
            </w:r>
          </w:p>
        </w:tc>
      </w:tr>
      <w:tr w:rsidR="00E30271" w:rsidRPr="000950F7" w:rsidTr="00E30271">
        <w:trPr>
          <w:cantSplit/>
        </w:trPr>
        <w:tc>
          <w:tcPr>
            <w:tcW w:w="4786" w:type="dxa"/>
            <w:tcBorders>
              <w:top w:val="nil"/>
              <w:bottom w:val="single" w:sz="4" w:space="0" w:color="FFFFFF"/>
              <w:right w:val="nil"/>
            </w:tcBorders>
            <w:shd w:val="clear" w:color="auto" w:fill="EFF3FF"/>
            <w:tcMar>
              <w:left w:w="40" w:type="dxa"/>
              <w:right w:w="40" w:type="dxa"/>
            </w:tcMar>
          </w:tcPr>
          <w:p w:rsidR="00E30271" w:rsidRPr="000950F7" w:rsidRDefault="00E30271" w:rsidP="00E30271">
            <w:pPr>
              <w:pStyle w:val="TableRowHeadings"/>
              <w:rPr>
                <w:lang w:eastAsia="en-AU"/>
              </w:rPr>
            </w:pPr>
            <w:r w:rsidRPr="000950F7">
              <w:rPr>
                <w:lang w:eastAsia="en-AU"/>
              </w:rPr>
              <w:t xml:space="preserve">Sub-threshold </w:t>
            </w:r>
            <w:r>
              <w:rPr>
                <w:lang w:eastAsia="en-AU"/>
              </w:rPr>
              <w:t xml:space="preserve">level on </w:t>
            </w:r>
            <w:r w:rsidRPr="000950F7">
              <w:rPr>
                <w:lang w:eastAsia="en-AU"/>
              </w:rPr>
              <w:t>DISC</w:t>
            </w:r>
            <w:r>
              <w:rPr>
                <w:lang w:eastAsia="en-AU"/>
              </w:rPr>
              <w:t>-IV or o</w:t>
            </w:r>
            <w:r w:rsidRPr="000950F7">
              <w:rPr>
                <w:lang w:eastAsia="en-AU"/>
              </w:rPr>
              <w:t xml:space="preserve">ther indicators of </w:t>
            </w:r>
            <w:r>
              <w:rPr>
                <w:lang w:eastAsia="en-AU"/>
              </w:rPr>
              <w:t>significant mental ill-health (a)</w:t>
            </w:r>
          </w:p>
        </w:tc>
        <w:tc>
          <w:tcPr>
            <w:tcW w:w="2074"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37.1</w:t>
            </w:r>
          </w:p>
        </w:tc>
        <w:tc>
          <w:tcPr>
            <w:tcW w:w="2075" w:type="dxa"/>
            <w:tcBorders>
              <w:top w:val="nil"/>
              <w:left w:val="nil"/>
              <w:bottom w:val="nil"/>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221,000</w:t>
            </w:r>
          </w:p>
        </w:tc>
      </w:tr>
      <w:tr w:rsidR="00E30271" w:rsidRPr="000950F7" w:rsidTr="00E30271">
        <w:trPr>
          <w:cantSplit/>
        </w:trPr>
        <w:tc>
          <w:tcPr>
            <w:tcW w:w="4786" w:type="dxa"/>
            <w:tcBorders>
              <w:top w:val="nil"/>
              <w:bottom w:val="single" w:sz="4" w:space="0" w:color="auto"/>
              <w:right w:val="nil"/>
            </w:tcBorders>
            <w:shd w:val="clear" w:color="auto" w:fill="EFF3FF"/>
            <w:tcMar>
              <w:left w:w="40" w:type="dxa"/>
              <w:right w:w="40" w:type="dxa"/>
            </w:tcMar>
          </w:tcPr>
          <w:p w:rsidR="00E30271" w:rsidRPr="000950F7" w:rsidRDefault="00E30271" w:rsidP="00E30271">
            <w:pPr>
              <w:pStyle w:val="TableRowHeadings"/>
              <w:rPr>
                <w:lang w:eastAsia="en-AU"/>
              </w:rPr>
            </w:pPr>
            <w:r w:rsidRPr="000950F7">
              <w:rPr>
                <w:lang w:eastAsia="en-AU"/>
              </w:rPr>
              <w:t>No</w:t>
            </w:r>
            <w:r>
              <w:rPr>
                <w:lang w:eastAsia="en-AU"/>
              </w:rPr>
              <w:t>ne of above</w:t>
            </w:r>
          </w:p>
        </w:tc>
        <w:tc>
          <w:tcPr>
            <w:tcW w:w="2074" w:type="dxa"/>
            <w:tcBorders>
              <w:top w:val="nil"/>
              <w:left w:val="nil"/>
              <w:bottom w:val="single" w:sz="4" w:space="0" w:color="auto"/>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8.6</w:t>
            </w:r>
          </w:p>
        </w:tc>
        <w:tc>
          <w:tcPr>
            <w:tcW w:w="2075" w:type="dxa"/>
            <w:tcBorders>
              <w:top w:val="nil"/>
              <w:left w:val="nil"/>
              <w:bottom w:val="single" w:sz="4" w:space="0" w:color="auto"/>
              <w:right w:val="nil"/>
            </w:tcBorders>
            <w:shd w:val="clear" w:color="auto" w:fill="FFFFFF"/>
            <w:tcMar>
              <w:left w:w="40" w:type="dxa"/>
              <w:right w:w="40" w:type="dxa"/>
            </w:tcMar>
            <w:vAlign w:val="bottom"/>
          </w:tcPr>
          <w:p w:rsidR="00E30271" w:rsidRPr="000950F7" w:rsidRDefault="00E30271" w:rsidP="00E30271">
            <w:pPr>
              <w:pStyle w:val="TableDataCell"/>
              <w:rPr>
                <w:lang w:eastAsia="en-AU"/>
              </w:rPr>
            </w:pPr>
            <w:r>
              <w:rPr>
                <w:lang w:eastAsia="en-AU"/>
              </w:rPr>
              <w:t>51,000</w:t>
            </w:r>
          </w:p>
        </w:tc>
      </w:tr>
      <w:tr w:rsidR="00E30271" w:rsidRPr="008A6C34" w:rsidTr="00E30271">
        <w:trPr>
          <w:cantSplit/>
        </w:trPr>
        <w:tc>
          <w:tcPr>
            <w:tcW w:w="4786" w:type="dxa"/>
            <w:tcBorders>
              <w:top w:val="single" w:sz="4" w:space="0" w:color="auto"/>
              <w:bottom w:val="single" w:sz="6" w:space="0" w:color="auto"/>
              <w:right w:val="nil"/>
            </w:tcBorders>
            <w:shd w:val="clear" w:color="auto" w:fill="EFF3FF"/>
            <w:tcMar>
              <w:left w:w="40" w:type="dxa"/>
              <w:right w:w="40" w:type="dxa"/>
            </w:tcMar>
          </w:tcPr>
          <w:p w:rsidR="00E30271" w:rsidRPr="007718DE" w:rsidRDefault="00E30271" w:rsidP="00E30271">
            <w:pPr>
              <w:pStyle w:val="TableRowHeadings"/>
              <w:rPr>
                <w:rStyle w:val="Strong"/>
              </w:rPr>
            </w:pPr>
            <w:r w:rsidRPr="007718DE">
              <w:rPr>
                <w:rStyle w:val="Strong"/>
              </w:rPr>
              <w:t>Total</w:t>
            </w:r>
          </w:p>
        </w:tc>
        <w:tc>
          <w:tcPr>
            <w:tcW w:w="2074"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7718DE" w:rsidRDefault="00E30271" w:rsidP="00E30271">
            <w:pPr>
              <w:pStyle w:val="TableDataCell"/>
              <w:rPr>
                <w:rStyle w:val="Strong"/>
              </w:rPr>
            </w:pPr>
            <w:r w:rsidRPr="007718DE">
              <w:rPr>
                <w:rStyle w:val="Strong"/>
              </w:rPr>
              <w:t>100.0</w:t>
            </w:r>
          </w:p>
        </w:tc>
        <w:tc>
          <w:tcPr>
            <w:tcW w:w="2075" w:type="dxa"/>
            <w:tcBorders>
              <w:top w:val="single" w:sz="4" w:space="0" w:color="auto"/>
              <w:left w:val="nil"/>
              <w:bottom w:val="single" w:sz="6" w:space="0" w:color="auto"/>
              <w:right w:val="nil"/>
            </w:tcBorders>
            <w:shd w:val="clear" w:color="auto" w:fill="FFFFFF"/>
            <w:tcMar>
              <w:left w:w="40" w:type="dxa"/>
              <w:right w:w="40" w:type="dxa"/>
            </w:tcMar>
            <w:vAlign w:val="bottom"/>
          </w:tcPr>
          <w:p w:rsidR="00E30271" w:rsidRPr="007718DE" w:rsidRDefault="00E30271" w:rsidP="00E30271">
            <w:pPr>
              <w:pStyle w:val="TableDataCell"/>
              <w:rPr>
                <w:rStyle w:val="Strong"/>
              </w:rPr>
            </w:pPr>
            <w:r w:rsidRPr="007718DE">
              <w:rPr>
                <w:rStyle w:val="Strong"/>
              </w:rPr>
              <w:t>595,000</w:t>
            </w:r>
          </w:p>
        </w:tc>
      </w:tr>
    </w:tbl>
    <w:p w:rsidR="00E30271" w:rsidRDefault="00E30271" w:rsidP="00E30271">
      <w:pPr>
        <w:pStyle w:val="TableFootnote"/>
      </w:pPr>
      <w:r>
        <w:t>(a)</w:t>
      </w:r>
      <w:r>
        <w:tab/>
      </w:r>
      <w:r w:rsidRPr="008A6C34">
        <w:t>Other indicators are SDQ in ‘abnormal’ range, Kessler 10 in ‘very high’ distress range and/or suicide attempt.</w:t>
      </w:r>
    </w:p>
    <w:p w:rsidR="00E30271" w:rsidRDefault="00E30271" w:rsidP="00E30271">
      <w:pPr>
        <w:pStyle w:val="Heading2"/>
      </w:pPr>
      <w:bookmarkStart w:id="172" w:name="_Toc401758775"/>
      <w:bookmarkEnd w:id="170"/>
      <w:r>
        <w:t>7.8</w:t>
      </w:r>
      <w:r>
        <w:tab/>
        <w:t>Young people with mental disorders who did not use services</w:t>
      </w:r>
      <w:bookmarkEnd w:id="172"/>
      <w:r>
        <w:t xml:space="preserve"> </w:t>
      </w:r>
    </w:p>
    <w:p w:rsidR="00E30271" w:rsidRDefault="00E30271" w:rsidP="00E30271">
      <w:pPr>
        <w:pStyle w:val="BodyText"/>
        <w:rPr>
          <w:lang w:eastAsia="en-AU"/>
        </w:rPr>
      </w:pPr>
      <w:r>
        <w:rPr>
          <w:lang w:eastAsia="en-AU"/>
        </w:rPr>
        <w:t>Overall, 44.0% or an estimated 246,000 children and adolescents who were assessed as having a mental disorder had not used services in the previous 12 months. This is the equivalent of 5.9% of all 4-17 year-olds.</w:t>
      </w:r>
    </w:p>
    <w:p w:rsidR="00E30271" w:rsidRDefault="00E30271" w:rsidP="00E30271">
      <w:pPr>
        <w:pStyle w:val="BodyText"/>
        <w:rPr>
          <w:lang w:eastAsia="en-AU"/>
        </w:rPr>
      </w:pPr>
      <w:r>
        <w:rPr>
          <w:lang w:eastAsia="en-AU"/>
        </w:rPr>
        <w:t>Four fifths (79.9%) of children and adolescents aged 4-17 years with a mental disorder who did not use services had mild disorders, however, 15.9% had moderate disorders and 4.2% had severe disorders. Four fifths (81.9</w:t>
      </w:r>
      <w:r w:rsidRPr="00B05E99">
        <w:rPr>
          <w:lang w:eastAsia="en-AU"/>
        </w:rPr>
        <w:t>%</w:t>
      </w:r>
      <w:r>
        <w:rPr>
          <w:lang w:eastAsia="en-AU"/>
        </w:rPr>
        <w:t>)</w:t>
      </w:r>
      <w:r w:rsidRPr="00B05E99">
        <w:rPr>
          <w:lang w:eastAsia="en-AU"/>
        </w:rPr>
        <w:t xml:space="preserve"> </w:t>
      </w:r>
      <w:r>
        <w:rPr>
          <w:lang w:eastAsia="en-AU"/>
        </w:rPr>
        <w:t xml:space="preserve">of 4-17 year-olds with a mental disorder who did not use services </w:t>
      </w:r>
      <w:r w:rsidRPr="00B05E99">
        <w:rPr>
          <w:lang w:eastAsia="en-AU"/>
        </w:rPr>
        <w:t xml:space="preserve">had </w:t>
      </w:r>
      <w:r>
        <w:rPr>
          <w:lang w:eastAsia="en-AU"/>
        </w:rPr>
        <w:t>one</w:t>
      </w:r>
      <w:r w:rsidRPr="00B05E99">
        <w:rPr>
          <w:lang w:eastAsia="en-AU"/>
        </w:rPr>
        <w:t xml:space="preserve"> </w:t>
      </w:r>
      <w:r>
        <w:rPr>
          <w:lang w:eastAsia="en-AU"/>
        </w:rPr>
        <w:t xml:space="preserve">type of </w:t>
      </w:r>
      <w:r w:rsidRPr="00B05E99">
        <w:rPr>
          <w:lang w:eastAsia="en-AU"/>
        </w:rPr>
        <w:t>mental disorder</w:t>
      </w:r>
      <w:r>
        <w:rPr>
          <w:lang w:eastAsia="en-AU"/>
        </w:rPr>
        <w:t xml:space="preserve">, 15.4% had two disorders and 2.7% had three disorders. </w:t>
      </w:r>
    </w:p>
    <w:p w:rsidR="00E30271" w:rsidRDefault="00E30271" w:rsidP="00E30271">
      <w:pPr>
        <w:pStyle w:val="BodyText"/>
        <w:rPr>
          <w:lang w:eastAsia="en-AU"/>
        </w:rPr>
      </w:pPr>
      <w:r>
        <w:rPr>
          <w:lang w:eastAsia="en-AU"/>
        </w:rPr>
        <w:t>Children with mental disorders were less likely to have used services than adolescents. Two thirds (65.2%) of those with mental disorders who had not used services were aged 4-11 years and one third (34.8%) were aged 12-17 years.</w:t>
      </w:r>
    </w:p>
    <w:p w:rsidR="00E30271" w:rsidRDefault="00E30271" w:rsidP="00E30271">
      <w:pPr>
        <w:pStyle w:val="BodyText"/>
        <w:rPr>
          <w:lang w:eastAsia="en-AU"/>
        </w:rPr>
      </w:pPr>
      <w:r w:rsidRPr="00D1164F">
        <w:rPr>
          <w:lang w:eastAsia="en-AU"/>
        </w:rPr>
        <w:t xml:space="preserve">Of those 4-17 year-olds who had a mental disorder in the past 12 months and who did not use services in that period, almost three in ten (28.5%) had used a service for emotional or behavioural problems at some point prior to the 12-month period covered by the survey. However, the remaining </w:t>
      </w:r>
      <w:r>
        <w:rPr>
          <w:lang w:eastAsia="en-AU"/>
        </w:rPr>
        <w:t>71.5</w:t>
      </w:r>
      <w:r w:rsidRPr="00D1164F">
        <w:rPr>
          <w:lang w:eastAsia="en-AU"/>
        </w:rPr>
        <w:t>% had never used any service for emotional or behavioural problems.</w:t>
      </w:r>
      <w:r>
        <w:rPr>
          <w:lang w:eastAsia="en-AU"/>
        </w:rPr>
        <w:t xml:space="preserve"> This corresponds to 30.2</w:t>
      </w:r>
      <w:r w:rsidRPr="00AC01DC">
        <w:rPr>
          <w:lang w:eastAsia="en-AU"/>
        </w:rPr>
        <w:t xml:space="preserve">% of </w:t>
      </w:r>
      <w:r>
        <w:rPr>
          <w:lang w:eastAsia="en-AU"/>
        </w:rPr>
        <w:t xml:space="preserve">all </w:t>
      </w:r>
      <w:r w:rsidRPr="00AC01DC">
        <w:rPr>
          <w:lang w:eastAsia="en-AU"/>
        </w:rPr>
        <w:t>4-17 year-olds with a mental disorder.</w:t>
      </w:r>
    </w:p>
    <w:p w:rsidR="00E30271" w:rsidRDefault="00E30271" w:rsidP="00E30271">
      <w:pPr>
        <w:pStyle w:val="BodyText"/>
        <w:rPr>
          <w:lang w:eastAsia="en-AU"/>
        </w:rPr>
      </w:pPr>
      <w:r>
        <w:rPr>
          <w:lang w:eastAsia="en-AU"/>
        </w:rPr>
        <w:t xml:space="preserve">Chapter 8 reports on parents and </w:t>
      </w:r>
      <w:proofErr w:type="gramStart"/>
      <w:r>
        <w:rPr>
          <w:lang w:eastAsia="en-AU"/>
        </w:rPr>
        <w:t>carers</w:t>
      </w:r>
      <w:proofErr w:type="gramEnd"/>
      <w:r>
        <w:rPr>
          <w:lang w:eastAsia="en-AU"/>
        </w:rPr>
        <w:t xml:space="preserve"> perception of their children’s and adolescents’ needs for services and provides important insights as to why many of these young people did not use services.</w:t>
      </w:r>
    </w:p>
    <w:p w:rsidR="00E30271" w:rsidRDefault="00E30271" w:rsidP="00E30271">
      <w:pPr>
        <w:pStyle w:val="BodyText"/>
        <w:rPr>
          <w:lang w:eastAsia="en-AU"/>
        </w:rPr>
      </w:pPr>
    </w:p>
    <w:p w:rsidR="00E30271" w:rsidRDefault="00E30271" w:rsidP="00DB066C">
      <w:pPr>
        <w:jc w:val="center"/>
        <w:sectPr w:rsidR="00E30271" w:rsidSect="003330E0">
          <w:headerReference w:type="even" r:id="rId91"/>
          <w:headerReference w:type="default" r:id="rId92"/>
          <w:footerReference w:type="even" r:id="rId93"/>
          <w:footerReference w:type="default" r:id="rId94"/>
          <w:headerReference w:type="first" r:id="rId95"/>
          <w:footerReference w:type="first" r:id="rId96"/>
          <w:pgSz w:w="11906" w:h="16838" w:code="9"/>
          <w:pgMar w:top="1440" w:right="1440" w:bottom="1440" w:left="1440" w:header="567" w:footer="567" w:gutter="0"/>
          <w:pgNumType w:start="75"/>
          <w:cols w:space="720"/>
          <w:docGrid w:linePitch="360"/>
        </w:sectPr>
      </w:pPr>
    </w:p>
    <w:p w:rsidR="00E30271" w:rsidRDefault="00E30271" w:rsidP="00E30271">
      <w:pPr>
        <w:pStyle w:val="Heading1"/>
        <w:ind w:left="709" w:hanging="709"/>
      </w:pPr>
      <w:bookmarkStart w:id="173" w:name="_Toc401758776"/>
      <w:r>
        <w:lastRenderedPageBreak/>
        <w:t>8</w:t>
      </w:r>
      <w:r>
        <w:tab/>
        <w:t xml:space="preserve">Perceived need and barriers to receiving </w:t>
      </w:r>
      <w:bookmarkEnd w:id="173"/>
      <w:r>
        <w:t>mental health care</w:t>
      </w:r>
    </w:p>
    <w:p w:rsidR="00E30271" w:rsidRDefault="00E30271" w:rsidP="00E30271">
      <w:pPr>
        <w:pStyle w:val="BodyText"/>
      </w:pPr>
      <w:bookmarkStart w:id="174" w:name="_Toc401758777"/>
      <w:r>
        <w:t xml:space="preserve">There are several factors that determine whether young people receive services for their emotional and behavioural problems. Firstly, the young person or their parents and carers or another significant person in their lives must recognise that there is a problem and that the problem requires assistance. Secondly, they or people close to them need to know that there are effective services to deal with these problems and these must be accessible. Lastly, parents and carers, and young people themselves particularly when they are older, must feel able to receive care and be willing to use services. </w:t>
      </w:r>
    </w:p>
    <w:p w:rsidR="00E30271" w:rsidRDefault="00E30271" w:rsidP="00E30271">
      <w:pPr>
        <w:pStyle w:val="BodyText"/>
      </w:pPr>
      <w:r>
        <w:t>This chapter reports on the need for services and barriers to care for young people as perceived by their parents and carers.</w:t>
      </w:r>
    </w:p>
    <w:p w:rsidR="00E30271" w:rsidRDefault="00E30271" w:rsidP="00E30271">
      <w:pPr>
        <w:pStyle w:val="Heading2"/>
        <w:rPr>
          <w:lang w:val="en-US"/>
        </w:rPr>
      </w:pPr>
      <w:r>
        <w:rPr>
          <w:lang w:val="en-US"/>
        </w:rPr>
        <w:t>8</w:t>
      </w:r>
      <w:r w:rsidRPr="00DE1330">
        <w:rPr>
          <w:lang w:val="en-US"/>
        </w:rPr>
        <w:t xml:space="preserve">.1 </w:t>
      </w:r>
      <w:r w:rsidRPr="00DE1330">
        <w:rPr>
          <w:lang w:val="en-US"/>
        </w:rPr>
        <w:tab/>
      </w:r>
      <w:r>
        <w:rPr>
          <w:lang w:val="en-US"/>
        </w:rPr>
        <w:t>Perceived need for mental health care</w:t>
      </w:r>
      <w:bookmarkEnd w:id="174"/>
    </w:p>
    <w:p w:rsidR="00E30271" w:rsidRDefault="00E30271" w:rsidP="00E30271">
      <w:pPr>
        <w:pStyle w:val="BodyText"/>
      </w:pPr>
      <w:r>
        <w:t xml:space="preserve">Parents and carers were asked about the help their child or adolescent needed with their emotional or behavioural problems and whether their needs for these had been met. The help was categorised into four types: </w:t>
      </w:r>
    </w:p>
    <w:p w:rsidR="00E30271" w:rsidRDefault="00E30271" w:rsidP="00590512">
      <w:pPr>
        <w:pStyle w:val="ListParagraph"/>
        <w:numPr>
          <w:ilvl w:val="0"/>
          <w:numId w:val="9"/>
        </w:numPr>
      </w:pPr>
      <w:r>
        <w:t>Information about emotional or behavioural problems, treatment and available services;</w:t>
      </w:r>
    </w:p>
    <w:p w:rsidR="00E30271" w:rsidRDefault="00E30271" w:rsidP="00590512">
      <w:pPr>
        <w:pStyle w:val="ListParagraph"/>
        <w:numPr>
          <w:ilvl w:val="0"/>
          <w:numId w:val="9"/>
        </w:numPr>
      </w:pPr>
      <w:r>
        <w:t xml:space="preserve">Prescribed medication for emotional or behavioural problems; </w:t>
      </w:r>
    </w:p>
    <w:p w:rsidR="00E30271" w:rsidRDefault="00E30271" w:rsidP="00590512">
      <w:pPr>
        <w:pStyle w:val="ListParagraph"/>
        <w:numPr>
          <w:ilvl w:val="0"/>
          <w:numId w:val="9"/>
        </w:numPr>
      </w:pPr>
      <w:r>
        <w:t>Counselling or a talking therapy about problems or difficulties (either one-on-one, as a family or in a group); and</w:t>
      </w:r>
    </w:p>
    <w:p w:rsidR="00E30271" w:rsidRDefault="00E30271" w:rsidP="00590512">
      <w:pPr>
        <w:pStyle w:val="ListParagraph"/>
        <w:numPr>
          <w:ilvl w:val="0"/>
          <w:numId w:val="9"/>
        </w:numPr>
      </w:pPr>
      <w:r>
        <w:t>Courses or other counselling for life skills, self-esteem or motivation.</w:t>
      </w:r>
    </w:p>
    <w:p w:rsidR="00E30271" w:rsidRDefault="00E30271" w:rsidP="00E30271">
      <w:pPr>
        <w:pStyle w:val="Heading3"/>
      </w:pPr>
      <w:bookmarkStart w:id="175" w:name="_Toc401758778"/>
      <w:r>
        <w:t>8</w:t>
      </w:r>
      <w:r w:rsidRPr="004544E9">
        <w:t>.</w:t>
      </w:r>
      <w:r>
        <w:t>1</w:t>
      </w:r>
      <w:r w:rsidRPr="004544E9">
        <w:t>.1</w:t>
      </w:r>
      <w:r w:rsidRPr="004544E9">
        <w:tab/>
      </w:r>
      <w:r>
        <w:t>Perceived need for help for all children and adolescents</w:t>
      </w:r>
      <w:bookmarkEnd w:id="175"/>
    </w:p>
    <w:p w:rsidR="00E30271" w:rsidRDefault="00E30271" w:rsidP="00E30271">
      <w:pPr>
        <w:pStyle w:val="BodyText"/>
        <w:rPr>
          <w:lang w:val="en-US"/>
        </w:rPr>
      </w:pPr>
      <w:r>
        <w:rPr>
          <w:lang w:val="en-US"/>
        </w:rPr>
        <w:t>Just over a quarter (26.8%) of all parents and carers reported that in the previous 12 months their child or adolescent had some need for help for emotional or behavioural problems. Seven out of ten parents and carers (70.2%) who indicated a need for help reported their child’s or adolescent’s needs were met either fully (42.9%) or partially (27.3%). The remainder (29.8%) indicated their needs were not met at all (</w:t>
      </w:r>
      <w:r>
        <w:t>Table 8-</w:t>
      </w:r>
      <w:r>
        <w:rPr>
          <w:noProof/>
        </w:rPr>
        <w:t>1</w:t>
      </w:r>
      <w:r>
        <w:rPr>
          <w:lang w:val="en-US"/>
        </w:rPr>
        <w:t xml:space="preserve">). </w:t>
      </w:r>
    </w:p>
    <w:p w:rsidR="00E30271" w:rsidRDefault="00E30271" w:rsidP="00E30271">
      <w:pPr>
        <w:pStyle w:val="BodyText"/>
        <w:rPr>
          <w:lang w:val="en-US"/>
        </w:rPr>
      </w:pPr>
      <w:r w:rsidRPr="00F56DB5">
        <w:rPr>
          <w:lang w:val="en-US"/>
        </w:rPr>
        <w:t>The m</w:t>
      </w:r>
      <w:r>
        <w:rPr>
          <w:lang w:val="en-US"/>
        </w:rPr>
        <w:t xml:space="preserve">ost common type of help parents and carers felt their children needed was counselling or a talking therapy, with one fifth of all parents (21.6%) reporting a need for such services in the previous 12 months. Of the 4-17 year-olds whose parents indicated a need for counselling or talking therapy, two thirds (66.8%) reported that their needs were met either fully (42.7%) or partially (24.1%). </w:t>
      </w:r>
    </w:p>
    <w:p w:rsidR="00E30271" w:rsidRDefault="00E30271" w:rsidP="00E30271">
      <w:pPr>
        <w:pStyle w:val="BodyText"/>
        <w:rPr>
          <w:lang w:val="en-US"/>
        </w:rPr>
      </w:pPr>
      <w:r>
        <w:rPr>
          <w:lang w:val="en-US"/>
        </w:rPr>
        <w:t>One in ten parents and carers of 4-17 year-olds (10.3%) indicated a need for courses or other counselling for life skills, self-esteem or motivation in the previous 12 months, of which less than half (43.1%) indicated the need was met either fully (29.0%) or partially (14.1%). Similarly, about one in ten (12.1%) parents and carers</w:t>
      </w:r>
      <w:r w:rsidRPr="008027B6">
        <w:rPr>
          <w:lang w:val="en-US"/>
        </w:rPr>
        <w:t xml:space="preserve"> </w:t>
      </w:r>
      <w:r>
        <w:rPr>
          <w:lang w:val="en-US"/>
        </w:rPr>
        <w:t xml:space="preserve">identified a need for information, </w:t>
      </w:r>
      <w:r w:rsidRPr="008027B6">
        <w:rPr>
          <w:lang w:val="en-US"/>
        </w:rPr>
        <w:t>of</w:t>
      </w:r>
      <w:r>
        <w:rPr>
          <w:lang w:val="en-US"/>
        </w:rPr>
        <w:t xml:space="preserve"> which 62.4% reported that the need was met either fully (44.3%) or partially (18.1%). Relatively few (4.2%) parents and carers identified a need for medication. </w:t>
      </w:r>
    </w:p>
    <w:p w:rsidR="00E30271" w:rsidRDefault="00E30271" w:rsidP="00E30271">
      <w:pPr>
        <w:pStyle w:val="Caption"/>
        <w:keepNext/>
      </w:pPr>
      <w:bookmarkStart w:id="176" w:name="_Ref409009715"/>
      <w:r>
        <w:lastRenderedPageBreak/>
        <w:t>Table 8-</w:t>
      </w:r>
      <w:r>
        <w:rPr>
          <w:noProof/>
        </w:rPr>
        <w:t>1</w:t>
      </w:r>
      <w:bookmarkEnd w:id="176"/>
      <w:r>
        <w:t xml:space="preserve">: </w:t>
      </w:r>
      <w:r w:rsidRPr="001A026E">
        <w:t>Perceived need for help in past 12 months for 4-17 year-olds</w:t>
      </w:r>
    </w:p>
    <w:tbl>
      <w:tblPr>
        <w:tblW w:w="9134" w:type="dxa"/>
        <w:jc w:val="center"/>
        <w:tblLayout w:type="fixed"/>
        <w:tblCellMar>
          <w:left w:w="0" w:type="dxa"/>
          <w:right w:w="0" w:type="dxa"/>
        </w:tblCellMar>
        <w:tblLook w:val="0020" w:firstRow="1" w:lastRow="0" w:firstColumn="0" w:lastColumn="0" w:noHBand="0" w:noVBand="0"/>
        <w:tblDescription w:val="In Table 8-1 the first column defines level of perceived need. Read across the rows for the proportion of 4-17 year-olds with this level of perceived need for firstly information, then medication, counselling, life skills and finally any type of help."/>
      </w:tblPr>
      <w:tblGrid>
        <w:gridCol w:w="2322"/>
        <w:gridCol w:w="1362"/>
        <w:gridCol w:w="1362"/>
        <w:gridCol w:w="1363"/>
        <w:gridCol w:w="1362"/>
        <w:gridCol w:w="1363"/>
      </w:tblGrid>
      <w:tr w:rsidR="00E30271" w:rsidRPr="00E34E18" w:rsidTr="00E30271">
        <w:trPr>
          <w:cantSplit/>
          <w:tblHeader/>
          <w:jc w:val="center"/>
        </w:trPr>
        <w:tc>
          <w:tcPr>
            <w:tcW w:w="2322"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Level of perceived need</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Information (%)</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Medication </w:t>
            </w:r>
            <w:r w:rsidRPr="00402981">
              <w:rPr>
                <w:rStyle w:val="Strong"/>
              </w:rPr>
              <w:br/>
              <w:t>(%)</w:t>
            </w:r>
          </w:p>
        </w:tc>
        <w:tc>
          <w:tcPr>
            <w:tcW w:w="136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Counselling (%)</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Life skills </w:t>
            </w:r>
            <w:r w:rsidRPr="00402981">
              <w:rPr>
                <w:rStyle w:val="Strong"/>
              </w:rPr>
              <w:br/>
              <w:t>(%)</w:t>
            </w:r>
          </w:p>
        </w:tc>
        <w:tc>
          <w:tcPr>
            <w:tcW w:w="136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Any type of help (%) (b)</w:t>
            </w:r>
          </w:p>
        </w:tc>
      </w:tr>
      <w:tr w:rsidR="00E30271" w:rsidRPr="00E34E18"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E34E18" w:rsidRDefault="00E30271" w:rsidP="00E30271">
            <w:pPr>
              <w:pStyle w:val="TableRowHeadings"/>
              <w:rPr>
                <w:lang w:eastAsia="en-AU"/>
              </w:rPr>
            </w:pPr>
            <w:r w:rsidRPr="00E34E18">
              <w:rPr>
                <w:lang w:eastAsia="en-AU"/>
              </w:rPr>
              <w:t>No need</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87.9</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95.8</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78.4</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89.7</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73.2</w:t>
            </w:r>
          </w:p>
        </w:tc>
      </w:tr>
      <w:tr w:rsidR="00E30271" w:rsidRPr="008A1EEF"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8A1EEF" w:rsidRDefault="00E30271" w:rsidP="00E30271">
            <w:pPr>
              <w:pStyle w:val="TableRowHeadings"/>
              <w:rPr>
                <w:lang w:eastAsia="en-AU"/>
              </w:rPr>
            </w:pPr>
            <w:r w:rsidRPr="008A1EEF">
              <w:rPr>
                <w:lang w:eastAsia="en-AU"/>
              </w:rPr>
              <w:t>Any need—</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12.1</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4.2</w:t>
            </w:r>
          </w:p>
        </w:tc>
        <w:tc>
          <w:tcPr>
            <w:tcW w:w="136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21.6</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10.3</w:t>
            </w:r>
          </w:p>
        </w:tc>
        <w:tc>
          <w:tcPr>
            <w:tcW w:w="136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26.8</w:t>
            </w:r>
          </w:p>
        </w:tc>
      </w:tr>
      <w:tr w:rsidR="00E30271" w:rsidRPr="00E34E18"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E34E18" w:rsidRDefault="00E30271" w:rsidP="00E30271">
            <w:pPr>
              <w:pStyle w:val="TableRowHeadings"/>
              <w:tabs>
                <w:tab w:val="left" w:pos="285"/>
              </w:tabs>
              <w:rPr>
                <w:lang w:eastAsia="en-AU"/>
              </w:rPr>
            </w:pPr>
            <w:r>
              <w:rPr>
                <w:lang w:eastAsia="en-AU"/>
              </w:rPr>
              <w:tab/>
            </w:r>
            <w:r w:rsidRPr="00E34E18">
              <w:rPr>
                <w:lang w:eastAsia="en-AU"/>
              </w:rPr>
              <w:t>Needs fully met</w:t>
            </w:r>
            <w:r>
              <w:rPr>
                <w:lang w:eastAsia="en-AU"/>
              </w:rPr>
              <w:t xml:space="preserve"> (a)</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44.3</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54.4</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42.7</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29.0</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42.9</w:t>
            </w:r>
          </w:p>
        </w:tc>
      </w:tr>
      <w:tr w:rsidR="00E30271" w:rsidRPr="00E34E18"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E34E18" w:rsidRDefault="00E30271" w:rsidP="00E30271">
            <w:pPr>
              <w:pStyle w:val="TableRowHeadings"/>
              <w:tabs>
                <w:tab w:val="left" w:pos="285"/>
              </w:tabs>
              <w:rPr>
                <w:lang w:eastAsia="en-AU"/>
              </w:rPr>
            </w:pPr>
            <w:r>
              <w:rPr>
                <w:lang w:eastAsia="en-AU"/>
              </w:rPr>
              <w:tab/>
            </w:r>
            <w:r w:rsidRPr="00E34E18">
              <w:rPr>
                <w:lang w:eastAsia="en-AU"/>
              </w:rPr>
              <w:t>Needs partially met</w:t>
            </w:r>
            <w:r>
              <w:rPr>
                <w:lang w:eastAsia="en-AU"/>
              </w:rPr>
              <w:t xml:space="preserve"> (a)</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18.1</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18.7</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24.1</w:t>
            </w:r>
          </w:p>
        </w:tc>
        <w:tc>
          <w:tcPr>
            <w:tcW w:w="1362"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14.1</w:t>
            </w:r>
          </w:p>
        </w:tc>
        <w:tc>
          <w:tcPr>
            <w:tcW w:w="1363" w:type="dxa"/>
            <w:tcBorders>
              <w:top w:val="nil"/>
              <w:left w:val="nil"/>
              <w:bottom w:val="nil"/>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27.3</w:t>
            </w:r>
          </w:p>
        </w:tc>
      </w:tr>
      <w:tr w:rsidR="00E30271" w:rsidRPr="00E34E18" w:rsidTr="00E30271">
        <w:trPr>
          <w:cantSplit/>
          <w:jc w:val="center"/>
        </w:trPr>
        <w:tc>
          <w:tcPr>
            <w:tcW w:w="2322" w:type="dxa"/>
            <w:tcBorders>
              <w:top w:val="nil"/>
              <w:bottom w:val="single" w:sz="6" w:space="0" w:color="000000"/>
              <w:right w:val="nil"/>
            </w:tcBorders>
            <w:shd w:val="clear" w:color="auto" w:fill="EFF3FF"/>
            <w:tcMar>
              <w:left w:w="40" w:type="dxa"/>
              <w:right w:w="40" w:type="dxa"/>
            </w:tcMar>
          </w:tcPr>
          <w:p w:rsidR="00E30271" w:rsidRPr="00E34E18" w:rsidRDefault="00E30271" w:rsidP="00E30271">
            <w:pPr>
              <w:pStyle w:val="TableRowHeadings"/>
              <w:tabs>
                <w:tab w:val="left" w:pos="285"/>
              </w:tabs>
              <w:rPr>
                <w:lang w:eastAsia="en-AU"/>
              </w:rPr>
            </w:pPr>
            <w:r>
              <w:rPr>
                <w:lang w:eastAsia="en-AU"/>
              </w:rPr>
              <w:tab/>
            </w:r>
            <w:r w:rsidRPr="00E34E18">
              <w:rPr>
                <w:lang w:eastAsia="en-AU"/>
              </w:rPr>
              <w:t>Needs unmet</w:t>
            </w:r>
            <w:r>
              <w:rPr>
                <w:lang w:eastAsia="en-AU"/>
              </w:rPr>
              <w:t xml:space="preserve"> (a)</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37.7</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27.0</w:t>
            </w:r>
          </w:p>
        </w:tc>
        <w:tc>
          <w:tcPr>
            <w:tcW w:w="1363" w:type="dxa"/>
            <w:tcBorders>
              <w:top w:val="nil"/>
              <w:left w:val="nil"/>
              <w:bottom w:val="single" w:sz="6" w:space="0" w:color="000000"/>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33.2</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56.9</w:t>
            </w:r>
          </w:p>
        </w:tc>
        <w:tc>
          <w:tcPr>
            <w:tcW w:w="1363" w:type="dxa"/>
            <w:tcBorders>
              <w:top w:val="nil"/>
              <w:left w:val="nil"/>
              <w:bottom w:val="single" w:sz="6" w:space="0" w:color="000000"/>
              <w:right w:val="nil"/>
            </w:tcBorders>
            <w:shd w:val="clear" w:color="auto" w:fill="FFFFFF"/>
            <w:tcMar>
              <w:left w:w="40" w:type="dxa"/>
              <w:right w:w="40" w:type="dxa"/>
            </w:tcMar>
            <w:vAlign w:val="bottom"/>
          </w:tcPr>
          <w:p w:rsidR="00E30271" w:rsidRPr="00E34E18" w:rsidRDefault="00E30271" w:rsidP="00E30271">
            <w:pPr>
              <w:pStyle w:val="TableDataCell"/>
              <w:rPr>
                <w:lang w:eastAsia="en-AU"/>
              </w:rPr>
            </w:pPr>
            <w:r w:rsidRPr="00E34E18">
              <w:rPr>
                <w:lang w:eastAsia="en-AU"/>
              </w:rPr>
              <w:t>29.8</w:t>
            </w:r>
          </w:p>
        </w:tc>
      </w:tr>
    </w:tbl>
    <w:p w:rsidR="00E30271" w:rsidRDefault="00E30271" w:rsidP="00E30271">
      <w:pPr>
        <w:pStyle w:val="TableFootnote"/>
        <w:spacing w:after="0"/>
      </w:pPr>
      <w:r w:rsidRPr="00D05B63">
        <w:t>(a)</w:t>
      </w:r>
      <w:r>
        <w:tab/>
      </w:r>
      <w:r w:rsidRPr="00D05B63">
        <w:t>The proportion of those reporting any need whose needs were fully met, partially met or unmet</w:t>
      </w:r>
      <w:r>
        <w:t>.</w:t>
      </w:r>
    </w:p>
    <w:p w:rsidR="00E30271" w:rsidRPr="00E34E18" w:rsidRDefault="00E30271" w:rsidP="00E30271">
      <w:pPr>
        <w:pStyle w:val="TableFootnote"/>
        <w:rPr>
          <w:rFonts w:cs="Source Sans Pro Light"/>
          <w:sz w:val="20"/>
          <w:szCs w:val="20"/>
        </w:rPr>
      </w:pPr>
      <w:bookmarkStart w:id="177" w:name="_Toc401758779"/>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E30271" w:rsidRDefault="00E30271" w:rsidP="00E30271">
      <w:pPr>
        <w:pStyle w:val="Heading3"/>
      </w:pPr>
      <w:r>
        <w:t>8</w:t>
      </w:r>
      <w:r w:rsidRPr="004544E9">
        <w:t>.</w:t>
      </w:r>
      <w:r>
        <w:t>1</w:t>
      </w:r>
      <w:r w:rsidRPr="004544E9">
        <w:t>.</w:t>
      </w:r>
      <w:r>
        <w:t>2</w:t>
      </w:r>
      <w:r w:rsidRPr="004544E9">
        <w:tab/>
      </w:r>
      <w:r>
        <w:t>Perceived need for help for young people with mental disorder</w:t>
      </w:r>
      <w:bookmarkEnd w:id="177"/>
      <w:r>
        <w:t>s</w:t>
      </w:r>
    </w:p>
    <w:p w:rsidR="00E30271" w:rsidRDefault="00E30271" w:rsidP="00E30271">
      <w:pPr>
        <w:pStyle w:val="BodyText"/>
      </w:pPr>
      <w:r w:rsidRPr="00B61C1F">
        <w:t xml:space="preserve">Almost four fifths </w:t>
      </w:r>
      <w:r>
        <w:t xml:space="preserve">(78.6%) </w:t>
      </w:r>
      <w:r w:rsidRPr="00B61C1F">
        <w:t xml:space="preserve">of parents and carers of children and adolescents with mental disorders identified that their children had a need for </w:t>
      </w:r>
      <w:r>
        <w:t xml:space="preserve">some type of </w:t>
      </w:r>
      <w:r w:rsidRPr="00B61C1F">
        <w:t>help with their emotional and behavioural problems in the previous 12 months.</w:t>
      </w:r>
      <w:r>
        <w:t xml:space="preserve">  Almost three quarters (73.8%) of these parents and carers reported that their children’s need for help in the previous 12 months had been either fully (34.9%) or partially met (38.9%).  However, one quarter (26.2%) reported that they had unmet need (Table 8-</w:t>
      </w:r>
      <w:r>
        <w:rPr>
          <w:noProof/>
        </w:rPr>
        <w:t>2</w:t>
      </w:r>
      <w:r>
        <w:t xml:space="preserve">). </w:t>
      </w:r>
    </w:p>
    <w:p w:rsidR="00E30271" w:rsidRDefault="00E30271" w:rsidP="00E30271">
      <w:pPr>
        <w:pStyle w:val="BodyText"/>
      </w:pPr>
      <w:r>
        <w:t>Almost double the proportion of parents and carers of 4-11 year-olds with mental disorders than of 12-17 year-olds with mental disorders felt that their children had no need for help (26.8% compared to 14.6%).</w:t>
      </w:r>
    </w:p>
    <w:p w:rsidR="00E30271" w:rsidRDefault="00E30271" w:rsidP="00E30271">
      <w:pPr>
        <w:pStyle w:val="Caption"/>
        <w:keepNext/>
      </w:pPr>
      <w:bookmarkStart w:id="178" w:name="_Ref409009735"/>
      <w:r>
        <w:t>Table 8-</w:t>
      </w:r>
      <w:r>
        <w:rPr>
          <w:noProof/>
        </w:rPr>
        <w:t>2</w:t>
      </w:r>
      <w:bookmarkEnd w:id="178"/>
      <w:r>
        <w:t xml:space="preserve">: </w:t>
      </w:r>
      <w:r w:rsidRPr="00E04650">
        <w:t>Perceived need for any type of help in past 12 months for 4-17 year-olds with mental disorders by age group</w:t>
      </w:r>
    </w:p>
    <w:tbl>
      <w:tblPr>
        <w:tblW w:w="9116" w:type="dxa"/>
        <w:jc w:val="center"/>
        <w:tblLayout w:type="fixed"/>
        <w:tblCellMar>
          <w:left w:w="0" w:type="dxa"/>
          <w:right w:w="0" w:type="dxa"/>
        </w:tblCellMar>
        <w:tblLook w:val="0020" w:firstRow="1" w:lastRow="0" w:firstColumn="0" w:lastColumn="0" w:noHBand="0" w:noVBand="0"/>
        <w:tblDescription w:val="In Table 8-2 the first column defines level of perceived need. Read across the rows for the proportion of 4-11 year-olds with this level of perceived need then the proportion of 12-17 year-olds and finally the proportion of 4-17 year-olds."/>
      </w:tblPr>
      <w:tblGrid>
        <w:gridCol w:w="3701"/>
        <w:gridCol w:w="1743"/>
        <w:gridCol w:w="1929"/>
        <w:gridCol w:w="1743"/>
      </w:tblGrid>
      <w:tr w:rsidR="00E30271" w:rsidRPr="00F51D66" w:rsidTr="00E30271">
        <w:trPr>
          <w:cantSplit/>
          <w:tblHeader/>
          <w:jc w:val="center"/>
        </w:trPr>
        <w:tc>
          <w:tcPr>
            <w:tcW w:w="370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Level of perceived need</w:t>
            </w:r>
          </w:p>
        </w:tc>
        <w:tc>
          <w:tcPr>
            <w:tcW w:w="174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4-11 years</w:t>
            </w:r>
            <w:r w:rsidR="00B508D4">
              <w:rPr>
                <w:rStyle w:val="Strong"/>
              </w:rPr>
              <w:t xml:space="preserve"> (%)</w:t>
            </w:r>
          </w:p>
        </w:tc>
        <w:tc>
          <w:tcPr>
            <w:tcW w:w="19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12-17 years</w:t>
            </w:r>
            <w:r w:rsidR="00B508D4">
              <w:rPr>
                <w:rStyle w:val="Strong"/>
              </w:rPr>
              <w:t xml:space="preserve"> (%)</w:t>
            </w:r>
          </w:p>
        </w:tc>
        <w:tc>
          <w:tcPr>
            <w:tcW w:w="174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4-17 years</w:t>
            </w:r>
            <w:r w:rsidR="00B508D4">
              <w:rPr>
                <w:rStyle w:val="Strong"/>
              </w:rPr>
              <w:t xml:space="preserve"> (%)</w:t>
            </w:r>
          </w:p>
        </w:tc>
      </w:tr>
      <w:tr w:rsidR="00E30271" w:rsidRPr="00F51D66" w:rsidTr="00E30271">
        <w:trPr>
          <w:cantSplit/>
          <w:jc w:val="center"/>
        </w:trPr>
        <w:tc>
          <w:tcPr>
            <w:tcW w:w="3701" w:type="dxa"/>
            <w:tcBorders>
              <w:top w:val="nil"/>
              <w:bottom w:val="single" w:sz="4" w:space="0" w:color="FFFFFF"/>
              <w:right w:val="nil"/>
            </w:tcBorders>
            <w:shd w:val="clear" w:color="auto" w:fill="EFF3FF"/>
            <w:tcMar>
              <w:left w:w="40" w:type="dxa"/>
              <w:right w:w="40" w:type="dxa"/>
            </w:tcMar>
          </w:tcPr>
          <w:p w:rsidR="00E30271" w:rsidRPr="00F51D66" w:rsidRDefault="00E30271" w:rsidP="00E30271">
            <w:pPr>
              <w:pStyle w:val="TableRowHeadings"/>
              <w:rPr>
                <w:lang w:eastAsia="en-AU"/>
              </w:rPr>
            </w:pPr>
            <w:r w:rsidRPr="00E34E18">
              <w:rPr>
                <w:lang w:eastAsia="en-AU"/>
              </w:rPr>
              <w:t>No need</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26.8</w:t>
            </w:r>
          </w:p>
        </w:tc>
        <w:tc>
          <w:tcPr>
            <w:tcW w:w="1929"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14.6</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21.4</w:t>
            </w:r>
          </w:p>
        </w:tc>
      </w:tr>
      <w:tr w:rsidR="00E30271" w:rsidRPr="008A1EEF" w:rsidTr="00E30271">
        <w:trPr>
          <w:cantSplit/>
          <w:jc w:val="center"/>
        </w:trPr>
        <w:tc>
          <w:tcPr>
            <w:tcW w:w="3701" w:type="dxa"/>
            <w:tcBorders>
              <w:top w:val="nil"/>
              <w:bottom w:val="single" w:sz="4" w:space="0" w:color="FFFFFF"/>
              <w:right w:val="nil"/>
            </w:tcBorders>
            <w:shd w:val="clear" w:color="auto" w:fill="EFF3FF"/>
            <w:tcMar>
              <w:left w:w="40" w:type="dxa"/>
              <w:right w:w="40" w:type="dxa"/>
            </w:tcMar>
          </w:tcPr>
          <w:p w:rsidR="00E30271" w:rsidRPr="008A1EEF" w:rsidRDefault="00E30271" w:rsidP="00E30271">
            <w:pPr>
              <w:pStyle w:val="TableRowHeadings"/>
              <w:rPr>
                <w:lang w:eastAsia="en-AU"/>
              </w:rPr>
            </w:pPr>
            <w:r w:rsidRPr="008A1EEF">
              <w:rPr>
                <w:lang w:eastAsia="en-AU"/>
              </w:rPr>
              <w:t>Any need—</w:t>
            </w:r>
          </w:p>
        </w:tc>
        <w:tc>
          <w:tcPr>
            <w:tcW w:w="174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73.2</w:t>
            </w:r>
          </w:p>
        </w:tc>
        <w:tc>
          <w:tcPr>
            <w:tcW w:w="1929"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85.4</w:t>
            </w:r>
          </w:p>
        </w:tc>
        <w:tc>
          <w:tcPr>
            <w:tcW w:w="174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78.6</w:t>
            </w:r>
          </w:p>
        </w:tc>
      </w:tr>
      <w:tr w:rsidR="00E30271" w:rsidRPr="00F51D66" w:rsidTr="00E30271">
        <w:trPr>
          <w:cantSplit/>
          <w:jc w:val="center"/>
        </w:trPr>
        <w:tc>
          <w:tcPr>
            <w:tcW w:w="3701" w:type="dxa"/>
            <w:tcBorders>
              <w:top w:val="nil"/>
              <w:bottom w:val="single" w:sz="4" w:space="0" w:color="FFFFFF"/>
              <w:right w:val="nil"/>
            </w:tcBorders>
            <w:shd w:val="clear" w:color="auto" w:fill="EFF3FF"/>
            <w:tcMar>
              <w:left w:w="40" w:type="dxa"/>
              <w:right w:w="40" w:type="dxa"/>
            </w:tcMar>
          </w:tcPr>
          <w:p w:rsidR="00E30271" w:rsidRPr="00F51D66" w:rsidRDefault="00E30271" w:rsidP="00E30271">
            <w:pPr>
              <w:pStyle w:val="TableRowHeadings"/>
              <w:tabs>
                <w:tab w:val="left" w:pos="276"/>
              </w:tabs>
              <w:rPr>
                <w:lang w:eastAsia="en-AU"/>
              </w:rPr>
            </w:pPr>
            <w:r>
              <w:rPr>
                <w:lang w:eastAsia="en-AU"/>
              </w:rPr>
              <w:tab/>
            </w:r>
            <w:r w:rsidRPr="00E34E18">
              <w:rPr>
                <w:lang w:eastAsia="en-AU"/>
              </w:rPr>
              <w:t>Needs fully met</w:t>
            </w:r>
            <w:r>
              <w:rPr>
                <w:lang w:eastAsia="en-AU"/>
              </w:rPr>
              <w:t xml:space="preserve"> (a)</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35.2</w:t>
            </w:r>
          </w:p>
        </w:tc>
        <w:tc>
          <w:tcPr>
            <w:tcW w:w="1929"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34.6</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Pr>
                <w:lang w:eastAsia="en-AU"/>
              </w:rPr>
              <w:t>34.9</w:t>
            </w:r>
          </w:p>
        </w:tc>
      </w:tr>
      <w:tr w:rsidR="00E30271" w:rsidRPr="00F51D66" w:rsidTr="00E30271">
        <w:trPr>
          <w:cantSplit/>
          <w:jc w:val="center"/>
        </w:trPr>
        <w:tc>
          <w:tcPr>
            <w:tcW w:w="3701" w:type="dxa"/>
            <w:tcBorders>
              <w:top w:val="nil"/>
              <w:bottom w:val="single" w:sz="4" w:space="0" w:color="FFFFFF"/>
              <w:right w:val="nil"/>
            </w:tcBorders>
            <w:shd w:val="clear" w:color="auto" w:fill="EFF3FF"/>
            <w:tcMar>
              <w:left w:w="40" w:type="dxa"/>
              <w:right w:w="40" w:type="dxa"/>
            </w:tcMar>
          </w:tcPr>
          <w:p w:rsidR="00E30271" w:rsidRPr="00F51D66" w:rsidRDefault="00E30271" w:rsidP="00E30271">
            <w:pPr>
              <w:pStyle w:val="TableRowHeadings"/>
              <w:tabs>
                <w:tab w:val="left" w:pos="276"/>
              </w:tabs>
              <w:rPr>
                <w:lang w:eastAsia="en-AU"/>
              </w:rPr>
            </w:pPr>
            <w:r>
              <w:rPr>
                <w:lang w:eastAsia="en-AU"/>
              </w:rPr>
              <w:tab/>
            </w:r>
            <w:r w:rsidRPr="00E34E18">
              <w:rPr>
                <w:lang w:eastAsia="en-AU"/>
              </w:rPr>
              <w:t>Needs partially met</w:t>
            </w:r>
            <w:r>
              <w:rPr>
                <w:lang w:eastAsia="en-AU"/>
              </w:rPr>
              <w:t xml:space="preserve"> (a)</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33.7</w:t>
            </w:r>
          </w:p>
        </w:tc>
        <w:tc>
          <w:tcPr>
            <w:tcW w:w="1929"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44.7</w:t>
            </w:r>
          </w:p>
        </w:tc>
        <w:tc>
          <w:tcPr>
            <w:tcW w:w="1743" w:type="dxa"/>
            <w:tcBorders>
              <w:top w:val="nil"/>
              <w:left w:val="nil"/>
              <w:bottom w:val="nil"/>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Pr>
                <w:lang w:eastAsia="en-AU"/>
              </w:rPr>
              <w:t>38.9</w:t>
            </w:r>
          </w:p>
        </w:tc>
      </w:tr>
      <w:tr w:rsidR="00E30271" w:rsidRPr="00F51D66" w:rsidTr="00E30271">
        <w:trPr>
          <w:cantSplit/>
          <w:jc w:val="center"/>
        </w:trPr>
        <w:tc>
          <w:tcPr>
            <w:tcW w:w="3701" w:type="dxa"/>
            <w:tcBorders>
              <w:top w:val="nil"/>
              <w:bottom w:val="single" w:sz="6" w:space="0" w:color="000000"/>
              <w:right w:val="nil"/>
            </w:tcBorders>
            <w:shd w:val="clear" w:color="auto" w:fill="EFF3FF"/>
            <w:tcMar>
              <w:left w:w="40" w:type="dxa"/>
              <w:right w:w="40" w:type="dxa"/>
            </w:tcMar>
          </w:tcPr>
          <w:p w:rsidR="00E30271" w:rsidRPr="00F51D66" w:rsidRDefault="00E30271" w:rsidP="00E30271">
            <w:pPr>
              <w:pStyle w:val="TableRowHeadings"/>
              <w:tabs>
                <w:tab w:val="left" w:pos="276"/>
              </w:tabs>
              <w:rPr>
                <w:lang w:eastAsia="en-AU"/>
              </w:rPr>
            </w:pPr>
            <w:r>
              <w:rPr>
                <w:lang w:eastAsia="en-AU"/>
              </w:rPr>
              <w:tab/>
            </w:r>
            <w:r w:rsidRPr="00E34E18">
              <w:rPr>
                <w:lang w:eastAsia="en-AU"/>
              </w:rPr>
              <w:t>Needs unmet</w:t>
            </w:r>
            <w:r>
              <w:rPr>
                <w:lang w:eastAsia="en-AU"/>
              </w:rPr>
              <w:t xml:space="preserve"> (a)</w:t>
            </w:r>
          </w:p>
        </w:tc>
        <w:tc>
          <w:tcPr>
            <w:tcW w:w="1743" w:type="dxa"/>
            <w:tcBorders>
              <w:top w:val="nil"/>
              <w:left w:val="nil"/>
              <w:bottom w:val="single" w:sz="6" w:space="0" w:color="000000"/>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31.2</w:t>
            </w:r>
          </w:p>
        </w:tc>
        <w:tc>
          <w:tcPr>
            <w:tcW w:w="1929" w:type="dxa"/>
            <w:tcBorders>
              <w:top w:val="nil"/>
              <w:left w:val="nil"/>
              <w:bottom w:val="single" w:sz="6" w:space="0" w:color="000000"/>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sidRPr="00F51D66">
              <w:rPr>
                <w:lang w:eastAsia="en-AU"/>
              </w:rPr>
              <w:t>20.7</w:t>
            </w:r>
          </w:p>
        </w:tc>
        <w:tc>
          <w:tcPr>
            <w:tcW w:w="1743" w:type="dxa"/>
            <w:tcBorders>
              <w:top w:val="nil"/>
              <w:left w:val="nil"/>
              <w:bottom w:val="single" w:sz="6" w:space="0" w:color="000000"/>
              <w:right w:val="nil"/>
            </w:tcBorders>
            <w:shd w:val="clear" w:color="auto" w:fill="FFFFFF"/>
            <w:tcMar>
              <w:left w:w="40" w:type="dxa"/>
              <w:right w:w="40" w:type="dxa"/>
            </w:tcMar>
            <w:vAlign w:val="bottom"/>
          </w:tcPr>
          <w:p w:rsidR="00E30271" w:rsidRPr="00F51D66" w:rsidRDefault="00E30271" w:rsidP="00E30271">
            <w:pPr>
              <w:pStyle w:val="TableDataCell"/>
              <w:rPr>
                <w:lang w:eastAsia="en-AU"/>
              </w:rPr>
            </w:pPr>
            <w:r>
              <w:rPr>
                <w:lang w:eastAsia="en-AU"/>
              </w:rPr>
              <w:t>26.2</w:t>
            </w:r>
          </w:p>
        </w:tc>
      </w:tr>
    </w:tbl>
    <w:p w:rsidR="00E30271" w:rsidRDefault="00E30271" w:rsidP="00E30271">
      <w:pPr>
        <w:pStyle w:val="TableFootnote"/>
      </w:pPr>
      <w:r w:rsidRPr="00D05B63">
        <w:t>(a)</w:t>
      </w:r>
      <w:r>
        <w:tab/>
      </w:r>
      <w:r w:rsidRPr="00D05B63">
        <w:t>The proportion of those reporting any need whose needs were fully met, partially met or unmet</w:t>
      </w:r>
      <w:r>
        <w:t>.</w:t>
      </w:r>
    </w:p>
    <w:p w:rsidR="00E30271" w:rsidRDefault="00E30271" w:rsidP="00E30271">
      <w:pPr>
        <w:pStyle w:val="BodyText"/>
      </w:pPr>
      <w:r w:rsidRPr="001B0EA5">
        <w:t xml:space="preserve">Counselling was the type of help most often reported as needed. Two thirds (68.1%) of </w:t>
      </w:r>
      <w:r>
        <w:t xml:space="preserve">parents and carers of children and adolescents with mental disorders reported that their child or adolescent needed counselling. Of these, just over two thirds (67.7%) indicated that their needs were met either fully (36.8%) or partially (30.9%) </w:t>
      </w:r>
      <w:proofErr w:type="gramStart"/>
      <w:r>
        <w:t>(Table 8-</w:t>
      </w:r>
      <w:r>
        <w:rPr>
          <w:noProof/>
        </w:rPr>
        <w:t>3</w:t>
      </w:r>
      <w:r>
        <w:t>).</w:t>
      </w:r>
      <w:proofErr w:type="gramEnd"/>
    </w:p>
    <w:p w:rsidR="00E30271" w:rsidRDefault="00E30271" w:rsidP="00E30271">
      <w:pPr>
        <w:pStyle w:val="BodyText"/>
      </w:pPr>
      <w:r>
        <w:t xml:space="preserve">Two fifths of parents and carers (41.7%) of children and adolescents with mental disorders reported a need for information, and this need was met fully (39.4%) or partially (25.0%) in about two thirds of cases. Just over one fifth (22.3%) of parents and carers reported  a need for medication for their </w:t>
      </w:r>
      <w:r>
        <w:lastRenderedPageBreak/>
        <w:t xml:space="preserve">child or adolescent in the previous 12 months and this need was met in 76.5% of cases, either fully (54.5%) or partially (22.0%).  </w:t>
      </w:r>
    </w:p>
    <w:p w:rsidR="00E30271" w:rsidRDefault="00E30271" w:rsidP="00E30271">
      <w:pPr>
        <w:pStyle w:val="BodyText"/>
      </w:pPr>
      <w:r>
        <w:t>One third (36.0%) of parents and carers of children and adolescents with mental disorders reported that the young person needed life skills training.  A relatively low proportion (39.1%) reported that this need was met either fully (20.6%) or partially (18.5%).  The majority (60.9%) of parents reporting a need for life skills training indicated the need was not met.</w:t>
      </w:r>
    </w:p>
    <w:p w:rsidR="00E30271" w:rsidRDefault="00E30271" w:rsidP="00E30271">
      <w:pPr>
        <w:pStyle w:val="Caption"/>
        <w:keepNext/>
      </w:pPr>
      <w:bookmarkStart w:id="179" w:name="_Ref409009744"/>
      <w:r>
        <w:t>Table 8-</w:t>
      </w:r>
      <w:r>
        <w:rPr>
          <w:noProof/>
        </w:rPr>
        <w:t>3</w:t>
      </w:r>
      <w:bookmarkEnd w:id="179"/>
      <w:r>
        <w:t xml:space="preserve">: </w:t>
      </w:r>
      <w:r w:rsidRPr="00522840">
        <w:t>Perceived need for help in past 12 months for 4-17 year-olds with mental disorders by type of help</w:t>
      </w:r>
    </w:p>
    <w:tbl>
      <w:tblPr>
        <w:tblW w:w="9134" w:type="dxa"/>
        <w:jc w:val="center"/>
        <w:tblLayout w:type="fixed"/>
        <w:tblCellMar>
          <w:left w:w="0" w:type="dxa"/>
          <w:right w:w="0" w:type="dxa"/>
        </w:tblCellMar>
        <w:tblLook w:val="0020" w:firstRow="1" w:lastRow="0" w:firstColumn="0" w:lastColumn="0" w:noHBand="0" w:noVBand="0"/>
        <w:tblDescription w:val="In Table 8-3 the first column defines level of perceived need. Read across the rows for the proportion of 4-17 year-olds with different severity of disorder with each level of perceived need for firstly information, then medication, counselling, life skills and finally any type of help."/>
      </w:tblPr>
      <w:tblGrid>
        <w:gridCol w:w="2322"/>
        <w:gridCol w:w="1362"/>
        <w:gridCol w:w="1362"/>
        <w:gridCol w:w="1363"/>
        <w:gridCol w:w="1362"/>
        <w:gridCol w:w="1363"/>
      </w:tblGrid>
      <w:tr w:rsidR="00E30271" w:rsidRPr="00D61940" w:rsidTr="00E30271">
        <w:trPr>
          <w:cantSplit/>
          <w:tblHeader/>
          <w:jc w:val="center"/>
        </w:trPr>
        <w:tc>
          <w:tcPr>
            <w:tcW w:w="2322"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Level of perceived need</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Information (%)</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Medication </w:t>
            </w:r>
            <w:r w:rsidRPr="00402981">
              <w:rPr>
                <w:rStyle w:val="Strong"/>
              </w:rPr>
              <w:br/>
              <w:t>(%)</w:t>
            </w:r>
          </w:p>
        </w:tc>
        <w:tc>
          <w:tcPr>
            <w:tcW w:w="136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Counselling (%)</w:t>
            </w:r>
          </w:p>
        </w:tc>
        <w:tc>
          <w:tcPr>
            <w:tcW w:w="13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Life skills </w:t>
            </w:r>
            <w:r w:rsidRPr="00402981">
              <w:rPr>
                <w:rStyle w:val="Strong"/>
              </w:rPr>
              <w:br/>
              <w:t>(%)</w:t>
            </w:r>
          </w:p>
        </w:tc>
        <w:tc>
          <w:tcPr>
            <w:tcW w:w="136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Any type of help (%) (b)</w:t>
            </w:r>
          </w:p>
        </w:tc>
      </w:tr>
      <w:tr w:rsidR="00E30271" w:rsidRPr="00D61940"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D61940" w:rsidRDefault="00E30271" w:rsidP="00E30271">
            <w:pPr>
              <w:pStyle w:val="TableRowHeadings"/>
              <w:rPr>
                <w:lang w:eastAsia="en-AU"/>
              </w:rPr>
            </w:pPr>
            <w:r w:rsidRPr="00E34E18">
              <w:rPr>
                <w:lang w:eastAsia="en-AU"/>
              </w:rPr>
              <w:t>No need</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58.3</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77.7</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31.9</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64.0</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21.4</w:t>
            </w:r>
          </w:p>
        </w:tc>
      </w:tr>
      <w:tr w:rsidR="00E30271" w:rsidRPr="008A1EEF"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8A1EEF" w:rsidRDefault="00E30271" w:rsidP="00E30271">
            <w:pPr>
              <w:pStyle w:val="TableRowHeadings"/>
              <w:rPr>
                <w:lang w:eastAsia="en-AU"/>
              </w:rPr>
            </w:pPr>
            <w:r w:rsidRPr="008A1EEF">
              <w:rPr>
                <w:lang w:eastAsia="en-AU"/>
              </w:rPr>
              <w:t>Any need—</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41.7</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22.3</w:t>
            </w:r>
          </w:p>
        </w:tc>
        <w:tc>
          <w:tcPr>
            <w:tcW w:w="136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68.1</w:t>
            </w:r>
          </w:p>
        </w:tc>
        <w:tc>
          <w:tcPr>
            <w:tcW w:w="1362"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36.0</w:t>
            </w:r>
          </w:p>
        </w:tc>
        <w:tc>
          <w:tcPr>
            <w:tcW w:w="1363"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78.6</w:t>
            </w:r>
          </w:p>
        </w:tc>
      </w:tr>
      <w:tr w:rsidR="00E30271" w:rsidRPr="00D61940"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D61940" w:rsidRDefault="00E30271" w:rsidP="00E30271">
            <w:pPr>
              <w:pStyle w:val="TableRowHeadings"/>
              <w:tabs>
                <w:tab w:val="left" w:pos="295"/>
              </w:tabs>
              <w:rPr>
                <w:lang w:eastAsia="en-AU"/>
              </w:rPr>
            </w:pPr>
            <w:r>
              <w:rPr>
                <w:lang w:eastAsia="en-AU"/>
              </w:rPr>
              <w:tab/>
            </w:r>
            <w:r w:rsidRPr="00E34E18">
              <w:rPr>
                <w:lang w:eastAsia="en-AU"/>
              </w:rPr>
              <w:t>Needs fully met</w:t>
            </w:r>
            <w:r>
              <w:rPr>
                <w:lang w:eastAsia="en-AU"/>
              </w:rPr>
              <w:t xml:space="preserve"> (a)</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39.4</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54.5</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36.8</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20.6</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34.9</w:t>
            </w:r>
          </w:p>
        </w:tc>
      </w:tr>
      <w:tr w:rsidR="00E30271" w:rsidRPr="00D61940" w:rsidTr="00E30271">
        <w:trPr>
          <w:cantSplit/>
          <w:jc w:val="center"/>
        </w:trPr>
        <w:tc>
          <w:tcPr>
            <w:tcW w:w="2322" w:type="dxa"/>
            <w:tcBorders>
              <w:top w:val="nil"/>
              <w:bottom w:val="single" w:sz="4" w:space="0" w:color="FFFFFF"/>
              <w:right w:val="nil"/>
            </w:tcBorders>
            <w:shd w:val="clear" w:color="auto" w:fill="EFF3FF"/>
            <w:tcMar>
              <w:left w:w="40" w:type="dxa"/>
              <w:right w:w="40" w:type="dxa"/>
            </w:tcMar>
          </w:tcPr>
          <w:p w:rsidR="00E30271" w:rsidRPr="00D61940" w:rsidRDefault="00E30271" w:rsidP="00E30271">
            <w:pPr>
              <w:pStyle w:val="TableRowHeadings"/>
              <w:tabs>
                <w:tab w:val="left" w:pos="295"/>
              </w:tabs>
              <w:rPr>
                <w:lang w:eastAsia="en-AU"/>
              </w:rPr>
            </w:pPr>
            <w:r>
              <w:rPr>
                <w:lang w:eastAsia="en-AU"/>
              </w:rPr>
              <w:tab/>
            </w:r>
            <w:r w:rsidRPr="00E34E18">
              <w:rPr>
                <w:lang w:eastAsia="en-AU"/>
              </w:rPr>
              <w:t>Needs partially met</w:t>
            </w:r>
            <w:r>
              <w:rPr>
                <w:lang w:eastAsia="en-AU"/>
              </w:rPr>
              <w:t xml:space="preserve"> (a)</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25.0</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22.0</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30.9</w:t>
            </w:r>
          </w:p>
        </w:tc>
        <w:tc>
          <w:tcPr>
            <w:tcW w:w="1362"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18.5</w:t>
            </w:r>
          </w:p>
        </w:tc>
        <w:tc>
          <w:tcPr>
            <w:tcW w:w="1363" w:type="dxa"/>
            <w:tcBorders>
              <w:top w:val="nil"/>
              <w:left w:val="nil"/>
              <w:bottom w:val="nil"/>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38.9</w:t>
            </w:r>
          </w:p>
        </w:tc>
      </w:tr>
      <w:tr w:rsidR="00E30271" w:rsidRPr="00D61940" w:rsidTr="00E30271">
        <w:trPr>
          <w:cantSplit/>
          <w:jc w:val="center"/>
        </w:trPr>
        <w:tc>
          <w:tcPr>
            <w:tcW w:w="2322" w:type="dxa"/>
            <w:tcBorders>
              <w:top w:val="nil"/>
              <w:bottom w:val="single" w:sz="6" w:space="0" w:color="000000"/>
              <w:right w:val="nil"/>
            </w:tcBorders>
            <w:shd w:val="clear" w:color="auto" w:fill="EFF3FF"/>
            <w:tcMar>
              <w:left w:w="40" w:type="dxa"/>
              <w:right w:w="40" w:type="dxa"/>
            </w:tcMar>
          </w:tcPr>
          <w:p w:rsidR="00E30271" w:rsidRPr="00D61940" w:rsidRDefault="00E30271" w:rsidP="00E30271">
            <w:pPr>
              <w:pStyle w:val="TableRowHeadings"/>
              <w:tabs>
                <w:tab w:val="left" w:pos="295"/>
              </w:tabs>
              <w:rPr>
                <w:lang w:eastAsia="en-AU"/>
              </w:rPr>
            </w:pPr>
            <w:r>
              <w:rPr>
                <w:lang w:eastAsia="en-AU"/>
              </w:rPr>
              <w:tab/>
            </w:r>
            <w:r w:rsidRPr="00E34E18">
              <w:rPr>
                <w:lang w:eastAsia="en-AU"/>
              </w:rPr>
              <w:t>Needs unmet</w:t>
            </w:r>
            <w:r>
              <w:rPr>
                <w:lang w:eastAsia="en-AU"/>
              </w:rPr>
              <w:t xml:space="preserve"> (a)</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35.5</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23.5</w:t>
            </w:r>
          </w:p>
        </w:tc>
        <w:tc>
          <w:tcPr>
            <w:tcW w:w="1363" w:type="dxa"/>
            <w:tcBorders>
              <w:top w:val="nil"/>
              <w:left w:val="nil"/>
              <w:bottom w:val="single" w:sz="6" w:space="0" w:color="000000"/>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32.3</w:t>
            </w:r>
          </w:p>
        </w:tc>
        <w:tc>
          <w:tcPr>
            <w:tcW w:w="1362" w:type="dxa"/>
            <w:tcBorders>
              <w:top w:val="nil"/>
              <w:left w:val="nil"/>
              <w:bottom w:val="single" w:sz="6" w:space="0" w:color="000000"/>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60.9</w:t>
            </w:r>
          </w:p>
        </w:tc>
        <w:tc>
          <w:tcPr>
            <w:tcW w:w="1363" w:type="dxa"/>
            <w:tcBorders>
              <w:top w:val="nil"/>
              <w:left w:val="nil"/>
              <w:bottom w:val="single" w:sz="6" w:space="0" w:color="000000"/>
              <w:right w:val="nil"/>
            </w:tcBorders>
            <w:shd w:val="clear" w:color="auto" w:fill="FFFFFF"/>
            <w:tcMar>
              <w:left w:w="40" w:type="dxa"/>
              <w:right w:w="40" w:type="dxa"/>
            </w:tcMar>
            <w:vAlign w:val="bottom"/>
          </w:tcPr>
          <w:p w:rsidR="00E30271" w:rsidRPr="00D61940" w:rsidRDefault="00E30271" w:rsidP="00E30271">
            <w:pPr>
              <w:pStyle w:val="TableDataCell"/>
              <w:rPr>
                <w:lang w:eastAsia="en-AU"/>
              </w:rPr>
            </w:pPr>
            <w:r w:rsidRPr="00D61940">
              <w:rPr>
                <w:lang w:eastAsia="en-AU"/>
              </w:rPr>
              <w:t>26.2</w:t>
            </w:r>
          </w:p>
        </w:tc>
      </w:tr>
    </w:tbl>
    <w:p w:rsidR="00E30271" w:rsidRPr="00CF7EA5" w:rsidRDefault="00E30271" w:rsidP="00E30271">
      <w:pPr>
        <w:pStyle w:val="TableFootnote"/>
      </w:pPr>
      <w:r w:rsidRPr="00CF7EA5">
        <w:t>(a)</w:t>
      </w:r>
      <w:r w:rsidRPr="00CF7EA5">
        <w:tab/>
        <w:t>The proportion of those reporting any need whose needs were fully met, partially met or unmet.</w:t>
      </w:r>
    </w:p>
    <w:p w:rsidR="00E30271" w:rsidRPr="00E34E18" w:rsidRDefault="00E30271" w:rsidP="00E30271">
      <w:pPr>
        <w:pStyle w:val="TableFootnote"/>
        <w:rPr>
          <w:rFonts w:cs="Source Sans Pro Light"/>
          <w:sz w:val="20"/>
          <w:szCs w:val="20"/>
        </w:rPr>
      </w:pPr>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E30271" w:rsidRDefault="00E30271" w:rsidP="00E30271">
      <w:pPr>
        <w:pStyle w:val="BodyText"/>
        <w:rPr>
          <w:lang w:eastAsia="en-AU"/>
        </w:rPr>
      </w:pPr>
      <w:r>
        <w:rPr>
          <w:lang w:eastAsia="en-AU"/>
        </w:rPr>
        <w:t>The extent to which parents perceived a need for help varied with the severity of the young person’s disorder (</w:t>
      </w:r>
      <w:r>
        <w:t>Table 8-</w:t>
      </w:r>
      <w:r>
        <w:rPr>
          <w:noProof/>
        </w:rPr>
        <w:t>4</w:t>
      </w:r>
      <w:r>
        <w:rPr>
          <w:lang w:eastAsia="en-AU"/>
        </w:rPr>
        <w:t>).  Two thirds (68.3%) of parents and carers of 4-17 year-olds with mild mental disorders felt that their child or adolescent needed help, and in 65.6% of cases these needs were met either fully (40.2%) or partially (25.4%). By contrast, all or nearly all parents of children or adolescents with a moderate or severe mental disorder (91.8% and 100.0% respectively) reported that they needed some form of help.  A higher proportion of parents of children and adolescents with moderate and severe disorders (81.8% and 84.2% respectively) reported that their needs were met fully or partially than did those parents of 4-17 year-olds with mild mental disorders (65.6%).</w:t>
      </w:r>
    </w:p>
    <w:p w:rsidR="00E30271" w:rsidRDefault="00E30271" w:rsidP="00E30271">
      <w:pPr>
        <w:pStyle w:val="BodyText"/>
        <w:rPr>
          <w:lang w:eastAsia="en-AU"/>
        </w:rPr>
      </w:pPr>
      <w:r>
        <w:rPr>
          <w:lang w:eastAsia="en-AU"/>
        </w:rPr>
        <w:t>Parents and carers of three quarters (73.6%) of those with severe disorders, one half (51.6%) of those with moderate disorders and less than one third (29.6%) of those with mild disorders identified a need for information. The need for information was unmet in about one third of cases (34.6% in those with severe disorders, 31.5% for moderate disorders, and 39.1% for mild disorders).</w:t>
      </w:r>
    </w:p>
    <w:p w:rsidR="00E30271" w:rsidRDefault="00E30271" w:rsidP="00E30271">
      <w:pPr>
        <w:pStyle w:val="BodyText"/>
        <w:rPr>
          <w:lang w:eastAsia="en-AU"/>
        </w:rPr>
      </w:pPr>
      <w:r>
        <w:rPr>
          <w:lang w:eastAsia="en-AU"/>
        </w:rPr>
        <w:t>Parents and carers reported that half (52.4%) of children and adolescents with severe disorders, one third (36.7%) of those with moderate disorders and less than one in ten (8.7%) of those with mild disorders had a need for prescribed medication. This need was unmet for around one quarter of those with severe disorders (23.3%) and moderate disorders (28.4%).</w:t>
      </w:r>
    </w:p>
    <w:p w:rsidR="00E30271" w:rsidRDefault="00E30271" w:rsidP="00E30271">
      <w:pPr>
        <w:pStyle w:val="BodyText"/>
        <w:rPr>
          <w:lang w:eastAsia="en-AU"/>
        </w:rPr>
      </w:pPr>
      <w:r>
        <w:rPr>
          <w:lang w:eastAsia="en-AU"/>
        </w:rPr>
        <w:t xml:space="preserve">Counselling or talking therapies were the type of help most often reported by parents and carers as being needed, with 87.0% of those with severe disorders, 85.8% of those with moderate disorders and 55.9% of those with mild disorders identifying a need for this type of help. According to parents and carers, four fifths (84.9%) of children and adolescents with severe disorders needing counselling had their needs met either fully (30.9%) or partially (54.0%) with the remainder (15.1%) reporting their needs were unmet.  </w:t>
      </w:r>
      <w:r w:rsidRPr="000D7A06">
        <w:rPr>
          <w:lang w:eastAsia="en-AU"/>
        </w:rPr>
        <w:t xml:space="preserve">Unlike other types of help, unmet need for counselling was strongly </w:t>
      </w:r>
      <w:r w:rsidRPr="000D7A06">
        <w:rPr>
          <w:lang w:eastAsia="en-AU"/>
        </w:rPr>
        <w:lastRenderedPageBreak/>
        <w:t>associated with severity, increasing for those with moderate disorders and again for those with mild disorders (28.7% and 41.3% respectively)</w:t>
      </w:r>
      <w:r>
        <w:rPr>
          <w:lang w:eastAsia="en-AU"/>
        </w:rPr>
        <w:t>.</w:t>
      </w:r>
    </w:p>
    <w:p w:rsidR="00E30271" w:rsidRDefault="00E30271" w:rsidP="00E30271">
      <w:pPr>
        <w:pStyle w:val="BodyText"/>
        <w:rPr>
          <w:lang w:eastAsia="en-AU"/>
        </w:rPr>
      </w:pPr>
      <w:r>
        <w:rPr>
          <w:lang w:eastAsia="en-AU"/>
        </w:rPr>
        <w:t>Two thirds (66.0%) of parents and carers of children and adolescents with severe disorders identified a need for courses or other counselling for life skills, self-esteem or motivation as did 38.3% of those with moderate disorders and 27.6% of those with mild disorders. Need for c</w:t>
      </w:r>
      <w:r>
        <w:t>ourses or other counselling for life skills, self-esteem or motivation was unmet in three fifths of cases with 58.5% of those with severe disorders, 64.9% of those with moderate disorders and 60.0% of those with mild disorders having unmet need.</w:t>
      </w:r>
    </w:p>
    <w:p w:rsidR="00E30271" w:rsidRDefault="00E30271" w:rsidP="00E30271">
      <w:pPr>
        <w:pStyle w:val="Caption"/>
        <w:keepNext/>
      </w:pPr>
      <w:bookmarkStart w:id="180" w:name="_Ref409009753"/>
      <w:bookmarkStart w:id="181" w:name="_Toc401758780"/>
      <w:r>
        <w:t>Table 8-</w:t>
      </w:r>
      <w:r>
        <w:rPr>
          <w:noProof/>
        </w:rPr>
        <w:t>4</w:t>
      </w:r>
      <w:bookmarkEnd w:id="180"/>
      <w:r>
        <w:t xml:space="preserve">: </w:t>
      </w:r>
      <w:r w:rsidRPr="00392A2C">
        <w:t>Perceived need for help in past 12 months for 4-17 year-olds with mental disorders by severity of disorder and type of help</w:t>
      </w:r>
    </w:p>
    <w:tbl>
      <w:tblPr>
        <w:tblW w:w="9140" w:type="dxa"/>
        <w:jc w:val="center"/>
        <w:tblLayout w:type="fixed"/>
        <w:tblCellMar>
          <w:left w:w="0" w:type="dxa"/>
          <w:right w:w="0" w:type="dxa"/>
        </w:tblCellMar>
        <w:tblLook w:val="0020" w:firstRow="1" w:lastRow="0" w:firstColumn="0" w:lastColumn="0" w:noHBand="0" w:noVBand="0"/>
        <w:tblDescription w:val="In Table 8-4 the first column defines severity of disorder and the second column defines level of perceived need. Read across the rows for the proportion of 4-17 year-olds with mental disorders with this level of perceived need for firstly information, then medication, counselling, life skills and finally any type of help."/>
      </w:tblPr>
      <w:tblGrid>
        <w:gridCol w:w="908"/>
        <w:gridCol w:w="2201"/>
        <w:gridCol w:w="1206"/>
        <w:gridCol w:w="1206"/>
        <w:gridCol w:w="1206"/>
        <w:gridCol w:w="1206"/>
        <w:gridCol w:w="1207"/>
      </w:tblGrid>
      <w:tr w:rsidR="00E30271" w:rsidRPr="008F16AB" w:rsidTr="00E30271">
        <w:trPr>
          <w:cantSplit/>
          <w:tblHeader/>
          <w:jc w:val="center"/>
        </w:trPr>
        <w:tc>
          <w:tcPr>
            <w:tcW w:w="908"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Severity</w:t>
            </w:r>
          </w:p>
        </w:tc>
        <w:tc>
          <w:tcPr>
            <w:tcW w:w="2201" w:type="dxa"/>
            <w:tcBorders>
              <w:top w:val="single" w:sz="6" w:space="0" w:color="000000"/>
              <w:left w:val="single" w:sz="4" w:space="0" w:color="FFFFFF"/>
              <w:bottom w:val="single" w:sz="4" w:space="0" w:color="000000"/>
              <w:right w:val="nil"/>
            </w:tcBorders>
            <w:shd w:val="clear" w:color="auto" w:fill="EFF3FF"/>
            <w:vAlign w:val="bottom"/>
          </w:tcPr>
          <w:p w:rsidR="00E30271" w:rsidRPr="00402981" w:rsidRDefault="00E30271" w:rsidP="00E30271">
            <w:pPr>
              <w:pStyle w:val="TableColumnHeadings"/>
              <w:jc w:val="left"/>
              <w:rPr>
                <w:rStyle w:val="Strong"/>
              </w:rPr>
            </w:pPr>
            <w:r w:rsidRPr="00402981">
              <w:rPr>
                <w:rStyle w:val="Strong"/>
              </w:rPr>
              <w:t>Level of perceived need</w:t>
            </w:r>
          </w:p>
        </w:tc>
        <w:tc>
          <w:tcPr>
            <w:tcW w:w="120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Information (%)</w:t>
            </w:r>
          </w:p>
        </w:tc>
        <w:tc>
          <w:tcPr>
            <w:tcW w:w="120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Medication </w:t>
            </w:r>
            <w:r w:rsidRPr="00402981">
              <w:rPr>
                <w:rStyle w:val="Strong"/>
              </w:rPr>
              <w:br/>
              <w:t>(%)</w:t>
            </w:r>
          </w:p>
        </w:tc>
        <w:tc>
          <w:tcPr>
            <w:tcW w:w="120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Counselling (%)</w:t>
            </w:r>
          </w:p>
        </w:tc>
        <w:tc>
          <w:tcPr>
            <w:tcW w:w="120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Life skills </w:t>
            </w:r>
            <w:r w:rsidRPr="00402981">
              <w:rPr>
                <w:rStyle w:val="Strong"/>
              </w:rPr>
              <w:br/>
              <w:t>(%)</w:t>
            </w:r>
          </w:p>
        </w:tc>
        <w:tc>
          <w:tcPr>
            <w:tcW w:w="120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Any type of help (%) (b)</w:t>
            </w:r>
          </w:p>
        </w:tc>
      </w:tr>
      <w:tr w:rsidR="00E30271" w:rsidRPr="008F16AB" w:rsidTr="00E30271">
        <w:trPr>
          <w:cantSplit/>
          <w:jc w:val="center"/>
        </w:trPr>
        <w:tc>
          <w:tcPr>
            <w:tcW w:w="908" w:type="dxa"/>
            <w:vMerge w:val="restart"/>
            <w:tcBorders>
              <w:top w:val="single" w:sz="4"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lang w:eastAsia="en-AU"/>
              </w:rPr>
            </w:pPr>
            <w:r w:rsidRPr="008F16AB">
              <w:rPr>
                <w:lang w:eastAsia="en-AU"/>
              </w:rPr>
              <w:t>Mild</w:t>
            </w: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rPr>
                <w:lang w:eastAsia="en-AU"/>
              </w:rPr>
            </w:pPr>
            <w:r w:rsidRPr="00E34E18">
              <w:rPr>
                <w:lang w:eastAsia="en-AU"/>
              </w:rPr>
              <w:t>No need</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70.4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91.3</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44.1</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72.4</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31.7</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A1EEF" w:rsidRDefault="00E30271" w:rsidP="00E30271">
            <w:pPr>
              <w:pStyle w:val="TableRowHeadings"/>
              <w:rPr>
                <w:lang w:eastAsia="en-AU"/>
              </w:rPr>
            </w:pPr>
            <w:r w:rsidRPr="008A1EEF">
              <w:rPr>
                <w:lang w:eastAsia="en-AU"/>
              </w:rPr>
              <w:t>Any need—</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29.6</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8.7</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55.9</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27.6</w:t>
            </w:r>
          </w:p>
        </w:tc>
        <w:tc>
          <w:tcPr>
            <w:tcW w:w="120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68.3</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fully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41.8</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71.2</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39.7</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23.3</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40.2</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partially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19.1</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Pr>
                <w:lang w:eastAsia="en-AU"/>
              </w:rPr>
              <w:t>np</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19.0</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16.6</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25.4</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unmet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39.1</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Pr>
                <w:lang w:eastAsia="en-AU"/>
              </w:rPr>
              <w:t>np</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41.3</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60.0</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34.4</w:t>
            </w:r>
          </w:p>
        </w:tc>
      </w:tr>
      <w:tr w:rsidR="00E30271" w:rsidRPr="008F16AB" w:rsidTr="00E30271">
        <w:trPr>
          <w:cantSplit/>
          <w:jc w:val="center"/>
        </w:trPr>
        <w:tc>
          <w:tcPr>
            <w:tcW w:w="908" w:type="dxa"/>
            <w:vMerge w:val="restart"/>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lang w:eastAsia="en-AU"/>
              </w:rPr>
            </w:pPr>
            <w:r w:rsidRPr="008F16AB">
              <w:rPr>
                <w:lang w:eastAsia="en-AU"/>
              </w:rPr>
              <w:t>Moderate</w:t>
            </w: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sidRPr="00E34E18">
              <w:rPr>
                <w:lang w:eastAsia="en-AU"/>
              </w:rPr>
              <w:t>No need</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48.4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63.3</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14.2</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61.7</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8.2</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A1EEF" w:rsidRDefault="00E30271" w:rsidP="00E30271">
            <w:pPr>
              <w:pStyle w:val="TableRowHeadings"/>
              <w:tabs>
                <w:tab w:val="left" w:pos="222"/>
              </w:tabs>
              <w:rPr>
                <w:lang w:eastAsia="en-AU"/>
              </w:rPr>
            </w:pPr>
            <w:r w:rsidRPr="008A1EEF">
              <w:rPr>
                <w:lang w:eastAsia="en-AU"/>
              </w:rPr>
              <w:t>Any need—</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51.6</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36.7</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85.8</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38.3</w:t>
            </w:r>
          </w:p>
        </w:tc>
        <w:tc>
          <w:tcPr>
            <w:tcW w:w="120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91.8</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fully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44.8</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51.3</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35.9</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17.2</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31.3</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partially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23.7</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20.4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35.4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17.9</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50.5</w:t>
            </w:r>
          </w:p>
        </w:tc>
      </w:tr>
      <w:tr w:rsidR="00E30271" w:rsidRPr="008F16AB" w:rsidTr="00E30271">
        <w:trPr>
          <w:cantSplit/>
          <w:jc w:val="center"/>
        </w:trPr>
        <w:tc>
          <w:tcPr>
            <w:tcW w:w="90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unmet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31.5</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28.4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28.7</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64.9</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18.2</w:t>
            </w:r>
          </w:p>
        </w:tc>
      </w:tr>
      <w:tr w:rsidR="00E30271" w:rsidRPr="008F16AB" w:rsidTr="00E30271">
        <w:trPr>
          <w:cantSplit/>
          <w:jc w:val="center"/>
        </w:trPr>
        <w:tc>
          <w:tcPr>
            <w:tcW w:w="908"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8F16AB" w:rsidRDefault="00E30271" w:rsidP="00E30271">
            <w:pPr>
              <w:pStyle w:val="TableRowHeadings"/>
              <w:rPr>
                <w:lang w:eastAsia="en-AU"/>
              </w:rPr>
            </w:pPr>
            <w:r w:rsidRPr="008F16AB">
              <w:rPr>
                <w:lang w:eastAsia="en-AU"/>
              </w:rPr>
              <w:t>Severe</w:t>
            </w: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sidRPr="00E34E18">
              <w:rPr>
                <w:lang w:eastAsia="en-AU"/>
              </w:rPr>
              <w:t>No need</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26.4</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47.6</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13.0</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34.0</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Pr>
                <w:lang w:eastAsia="en-AU"/>
              </w:rPr>
              <w:t>0.0</w:t>
            </w:r>
          </w:p>
        </w:tc>
      </w:tr>
      <w:tr w:rsidR="00E30271" w:rsidRPr="008F16AB" w:rsidTr="00E30271">
        <w:trPr>
          <w:cantSplit/>
          <w:jc w:val="center"/>
        </w:trPr>
        <w:tc>
          <w:tcPr>
            <w:tcW w:w="908" w:type="dxa"/>
            <w:vMerge/>
            <w:tcBorders>
              <w:top w:val="single" w:sz="6" w:space="0" w:color="000000"/>
              <w:bottom w:val="single" w:sz="6" w:space="0" w:color="000000"/>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A1EEF" w:rsidRDefault="00E30271" w:rsidP="00E30271">
            <w:pPr>
              <w:pStyle w:val="TableRowHeadings"/>
              <w:tabs>
                <w:tab w:val="left" w:pos="222"/>
              </w:tabs>
              <w:rPr>
                <w:lang w:eastAsia="en-AU"/>
              </w:rPr>
            </w:pPr>
            <w:r w:rsidRPr="008A1EEF">
              <w:rPr>
                <w:lang w:eastAsia="en-AU"/>
              </w:rPr>
              <w:t>Any need—</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73.6</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52.4</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87.0</w:t>
            </w:r>
          </w:p>
        </w:tc>
        <w:tc>
          <w:tcPr>
            <w:tcW w:w="1206"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66.0</w:t>
            </w:r>
          </w:p>
        </w:tc>
        <w:tc>
          <w:tcPr>
            <w:tcW w:w="120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100.0</w:t>
            </w:r>
          </w:p>
        </w:tc>
      </w:tr>
      <w:tr w:rsidR="00E30271" w:rsidRPr="008F16AB" w:rsidTr="00E30271">
        <w:trPr>
          <w:cantSplit/>
          <w:jc w:val="center"/>
        </w:trPr>
        <w:tc>
          <w:tcPr>
            <w:tcW w:w="908" w:type="dxa"/>
            <w:vMerge/>
            <w:tcBorders>
              <w:top w:val="single" w:sz="6" w:space="0" w:color="000000"/>
              <w:bottom w:val="single" w:sz="6" w:space="0" w:color="000000"/>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fully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29.2</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47.1</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30.9</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19.3</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25.6</w:t>
            </w:r>
          </w:p>
        </w:tc>
      </w:tr>
      <w:tr w:rsidR="00E30271" w:rsidRPr="008F16AB" w:rsidTr="00E30271">
        <w:trPr>
          <w:cantSplit/>
          <w:jc w:val="center"/>
        </w:trPr>
        <w:tc>
          <w:tcPr>
            <w:tcW w:w="908" w:type="dxa"/>
            <w:vMerge/>
            <w:tcBorders>
              <w:top w:val="single" w:sz="6" w:space="0" w:color="000000"/>
              <w:bottom w:val="single" w:sz="6" w:space="0" w:color="000000"/>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4" w:space="0" w:color="FFFFFF"/>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partially met</w:t>
            </w:r>
            <w:r>
              <w:rPr>
                <w:lang w:eastAsia="en-AU"/>
              </w:rPr>
              <w:t xml:space="preserve"> (a)</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36.2</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29.6</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54.0</w:t>
            </w:r>
          </w:p>
        </w:tc>
        <w:tc>
          <w:tcPr>
            <w:tcW w:w="1206"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22.2</w:t>
            </w:r>
          </w:p>
        </w:tc>
        <w:tc>
          <w:tcPr>
            <w:tcW w:w="1207" w:type="dxa"/>
            <w:tcBorders>
              <w:top w:val="nil"/>
              <w:left w:val="nil"/>
              <w:bottom w:val="nil"/>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58.6</w:t>
            </w:r>
          </w:p>
        </w:tc>
      </w:tr>
      <w:tr w:rsidR="00E30271" w:rsidRPr="008F16AB" w:rsidTr="00E30271">
        <w:trPr>
          <w:cantSplit/>
          <w:jc w:val="center"/>
        </w:trPr>
        <w:tc>
          <w:tcPr>
            <w:tcW w:w="908" w:type="dxa"/>
            <w:vMerge/>
            <w:tcBorders>
              <w:top w:val="single" w:sz="6" w:space="0" w:color="000000"/>
              <w:bottom w:val="single" w:sz="6" w:space="0" w:color="000000"/>
              <w:right w:val="nil"/>
            </w:tcBorders>
            <w:shd w:val="clear" w:color="auto" w:fill="EFF3FF"/>
            <w:tcMar>
              <w:left w:w="40" w:type="dxa"/>
              <w:right w:w="40" w:type="dxa"/>
            </w:tcMar>
          </w:tcPr>
          <w:p w:rsidR="00E30271" w:rsidRPr="008F16AB" w:rsidRDefault="00E30271" w:rsidP="00E30271">
            <w:pPr>
              <w:pStyle w:val="TableRowHeadings"/>
              <w:rPr>
                <w:rFonts w:ascii="Times New Roman" w:hAnsi="Times New Roman" w:cs="Times New Roman"/>
                <w:sz w:val="24"/>
                <w:szCs w:val="24"/>
                <w:lang w:eastAsia="en-AU"/>
              </w:rPr>
            </w:pPr>
          </w:p>
        </w:tc>
        <w:tc>
          <w:tcPr>
            <w:tcW w:w="2201" w:type="dxa"/>
            <w:tcBorders>
              <w:top w:val="nil"/>
              <w:left w:val="single" w:sz="4" w:space="0" w:color="FFFFFF"/>
              <w:bottom w:val="single" w:sz="6" w:space="0" w:color="000000"/>
              <w:right w:val="nil"/>
            </w:tcBorders>
            <w:shd w:val="clear" w:color="auto" w:fill="EFF3FF"/>
            <w:tcMar>
              <w:left w:w="40" w:type="dxa"/>
              <w:right w:w="40" w:type="dxa"/>
            </w:tcMar>
          </w:tcPr>
          <w:p w:rsidR="00E30271" w:rsidRPr="008F16AB" w:rsidRDefault="00E30271" w:rsidP="00E30271">
            <w:pPr>
              <w:pStyle w:val="TableRowHeadings"/>
              <w:tabs>
                <w:tab w:val="left" w:pos="222"/>
              </w:tabs>
              <w:rPr>
                <w:lang w:eastAsia="en-AU"/>
              </w:rPr>
            </w:pPr>
            <w:r>
              <w:rPr>
                <w:lang w:eastAsia="en-AU"/>
              </w:rPr>
              <w:tab/>
            </w:r>
            <w:r w:rsidRPr="00E34E18">
              <w:rPr>
                <w:lang w:eastAsia="en-AU"/>
              </w:rPr>
              <w:t>Needs unmet</w:t>
            </w:r>
            <w:r>
              <w:rPr>
                <w:lang w:eastAsia="en-AU"/>
              </w:rPr>
              <w:t xml:space="preserve"> (a)</w:t>
            </w:r>
          </w:p>
        </w:tc>
        <w:tc>
          <w:tcPr>
            <w:tcW w:w="1206" w:type="dxa"/>
            <w:tcBorders>
              <w:top w:val="nil"/>
              <w:left w:val="nil"/>
              <w:bottom w:val="single" w:sz="6" w:space="0" w:color="000000"/>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34.6</w:t>
            </w:r>
          </w:p>
        </w:tc>
        <w:tc>
          <w:tcPr>
            <w:tcW w:w="1206" w:type="dxa"/>
            <w:tcBorders>
              <w:top w:val="nil"/>
              <w:left w:val="nil"/>
              <w:bottom w:val="single" w:sz="6" w:space="0" w:color="000000"/>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23.3</w:t>
            </w:r>
          </w:p>
        </w:tc>
        <w:tc>
          <w:tcPr>
            <w:tcW w:w="1206" w:type="dxa"/>
            <w:tcBorders>
              <w:top w:val="nil"/>
              <w:left w:val="nil"/>
              <w:bottom w:val="single" w:sz="6" w:space="0" w:color="000000"/>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15.1</w:t>
            </w:r>
          </w:p>
        </w:tc>
        <w:tc>
          <w:tcPr>
            <w:tcW w:w="1206" w:type="dxa"/>
            <w:tcBorders>
              <w:top w:val="nil"/>
              <w:left w:val="nil"/>
              <w:bottom w:val="single" w:sz="6" w:space="0" w:color="000000"/>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58.5</w:t>
            </w:r>
          </w:p>
        </w:tc>
        <w:tc>
          <w:tcPr>
            <w:tcW w:w="1207" w:type="dxa"/>
            <w:tcBorders>
              <w:top w:val="nil"/>
              <w:left w:val="nil"/>
              <w:bottom w:val="single" w:sz="6" w:space="0" w:color="000000"/>
              <w:right w:val="nil"/>
            </w:tcBorders>
            <w:shd w:val="clear" w:color="auto" w:fill="FFFFFF"/>
            <w:tcMar>
              <w:left w:w="40" w:type="dxa"/>
              <w:right w:w="40" w:type="dxa"/>
            </w:tcMar>
            <w:vAlign w:val="bottom"/>
          </w:tcPr>
          <w:p w:rsidR="00E30271" w:rsidRPr="008F16AB" w:rsidRDefault="00E30271" w:rsidP="00E30271">
            <w:pPr>
              <w:pStyle w:val="TableDataCell"/>
              <w:rPr>
                <w:lang w:eastAsia="en-AU"/>
              </w:rPr>
            </w:pPr>
            <w:r w:rsidRPr="008F16AB">
              <w:rPr>
                <w:lang w:eastAsia="en-AU"/>
              </w:rPr>
              <w:t>15.8</w:t>
            </w:r>
          </w:p>
        </w:tc>
      </w:tr>
    </w:tbl>
    <w:p w:rsidR="00E30271" w:rsidRPr="00CF7EA5" w:rsidRDefault="00E30271" w:rsidP="00E30271">
      <w:pPr>
        <w:pStyle w:val="TableFootnote"/>
      </w:pPr>
      <w:r w:rsidRPr="00CF7EA5">
        <w:t>(a)</w:t>
      </w:r>
      <w:r w:rsidRPr="00CF7EA5">
        <w:tab/>
        <w:t>The proportion of those reporting any need whose needs were fully met, partially met or unmet.</w:t>
      </w:r>
    </w:p>
    <w:p w:rsidR="00E30271" w:rsidRPr="00E34E18" w:rsidRDefault="00E30271" w:rsidP="00E30271">
      <w:pPr>
        <w:pStyle w:val="TableFootnote"/>
        <w:rPr>
          <w:rFonts w:cs="Source Sans Pro Light"/>
          <w:sz w:val="20"/>
          <w:szCs w:val="20"/>
        </w:rPr>
      </w:pPr>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E30271" w:rsidRPr="00CF7EA5" w:rsidRDefault="00E30271" w:rsidP="00E30271">
      <w:pPr>
        <w:pStyle w:val="TableFootnote"/>
      </w:pPr>
      <w:proofErr w:type="gramStart"/>
      <w:r w:rsidRPr="00CF7EA5">
        <w:t>np</w:t>
      </w:r>
      <w:proofErr w:type="gramEnd"/>
      <w:r w:rsidRPr="00CF7EA5">
        <w:tab/>
        <w:t>Not available for publication because of small cell size, but included in totals where applicable.</w:t>
      </w:r>
    </w:p>
    <w:p w:rsidR="00E30271" w:rsidRDefault="00E30271" w:rsidP="00E30271">
      <w:pPr>
        <w:pStyle w:val="Heading3"/>
      </w:pPr>
      <w:r>
        <w:t>8</w:t>
      </w:r>
      <w:r w:rsidRPr="00FE1EB4">
        <w:t>.1.3</w:t>
      </w:r>
      <w:r w:rsidRPr="00FE1EB4">
        <w:tab/>
      </w:r>
      <w:bookmarkEnd w:id="181"/>
      <w:r>
        <w:t>Differences in perceived need between those using and not using services</w:t>
      </w:r>
    </w:p>
    <w:p w:rsidR="00E30271" w:rsidRDefault="00E30271" w:rsidP="00E30271">
      <w:pPr>
        <w:pStyle w:val="BodyText"/>
        <w:rPr>
          <w:lang w:eastAsia="en-AU"/>
        </w:rPr>
      </w:pPr>
      <w:r>
        <w:rPr>
          <w:lang w:eastAsia="en-AU"/>
        </w:rPr>
        <w:t>As reported in Chapter 7, just over</w:t>
      </w:r>
      <w:r>
        <w:t xml:space="preserve"> half (56.0%) </w:t>
      </w:r>
      <w:r>
        <w:rPr>
          <w:lang w:eastAsia="en-AU"/>
        </w:rPr>
        <w:t>of children and adolescents with mental disorders had used services for emotional and behavioural problems in the previous 12 months. Conversely, 44.0% had not used any services.</w:t>
      </w:r>
    </w:p>
    <w:p w:rsidR="00E30271" w:rsidRDefault="00E30271" w:rsidP="00E30271">
      <w:pPr>
        <w:pStyle w:val="BodyText"/>
        <w:rPr>
          <w:lang w:eastAsia="en-AU"/>
        </w:rPr>
      </w:pPr>
      <w:r>
        <w:rPr>
          <w:lang w:eastAsia="en-AU"/>
        </w:rPr>
        <w:t xml:space="preserve">Virtually all (97.1%) parents and carers of children and adolescents with mental disorders who had used services in the previous 12 months reported that their child or adolescent </w:t>
      </w:r>
      <w:r w:rsidRPr="005D6D20">
        <w:rPr>
          <w:lang w:eastAsia="en-AU"/>
        </w:rPr>
        <w:t xml:space="preserve">had </w:t>
      </w:r>
      <w:r>
        <w:rPr>
          <w:lang w:eastAsia="en-AU"/>
        </w:rPr>
        <w:t xml:space="preserve">a </w:t>
      </w:r>
      <w:r w:rsidRPr="005D6D20">
        <w:rPr>
          <w:lang w:eastAsia="en-AU"/>
        </w:rPr>
        <w:t>need for</w:t>
      </w:r>
      <w:r>
        <w:rPr>
          <w:lang w:eastAsia="en-AU"/>
        </w:rPr>
        <w:t xml:space="preserve"> some type of help</w:t>
      </w:r>
      <w:r w:rsidRPr="005D6D20">
        <w:t xml:space="preserve"> </w:t>
      </w:r>
      <w:r>
        <w:t>(Table 8-</w:t>
      </w:r>
      <w:r>
        <w:rPr>
          <w:noProof/>
        </w:rPr>
        <w:t>5</w:t>
      </w:r>
      <w:r>
        <w:t>)</w:t>
      </w:r>
      <w:r>
        <w:rPr>
          <w:lang w:eastAsia="en-AU"/>
        </w:rPr>
        <w:t xml:space="preserve">. Of these, only a small proportion (6.2%) reported that these needs were </w:t>
      </w:r>
      <w:r>
        <w:rPr>
          <w:lang w:eastAsia="en-AU"/>
        </w:rPr>
        <w:lastRenderedPageBreak/>
        <w:t>unmet.  In terms of the particular types of help needed by those who had used services in the previous 12 months</w:t>
      </w:r>
      <w:r w:rsidRPr="004D2ABE">
        <w:rPr>
          <w:lang w:eastAsia="en-AU"/>
        </w:rPr>
        <w:t xml:space="preserve">, </w:t>
      </w:r>
      <w:r>
        <w:rPr>
          <w:lang w:eastAsia="en-AU"/>
        </w:rPr>
        <w:t xml:space="preserve">the greatest area of need reported by parents was for counselling (87.0%). </w:t>
      </w:r>
    </w:p>
    <w:p w:rsidR="00E30271" w:rsidRDefault="00E30271" w:rsidP="00E30271">
      <w:pPr>
        <w:pStyle w:val="BodyText"/>
        <w:rPr>
          <w:lang w:eastAsia="en-AU"/>
        </w:rPr>
      </w:pPr>
      <w:r>
        <w:t>By contrast</w:t>
      </w:r>
      <w:r>
        <w:rPr>
          <w:lang w:eastAsia="en-AU"/>
        </w:rPr>
        <w:t>, just over half (54.9%) of parents and carers of children and adolescents with mental disorders who had not used services in the previous 12 months reported that their child or adolescent had a need for some type of help (</w:t>
      </w:r>
      <w:r>
        <w:t>Table 8-</w:t>
      </w:r>
      <w:r>
        <w:rPr>
          <w:noProof/>
        </w:rPr>
        <w:t>5</w:t>
      </w:r>
      <w:r>
        <w:rPr>
          <w:lang w:eastAsia="en-AU"/>
        </w:rPr>
        <w:t>). Almost three quarters (71.1%) of those with needs reported that their child’s or adolescent’s needs were not met. In terms of the particular types of help needed by those who had not used services in the previous 12 months, the greatest area of need reported by parents and carers was for counselling (44.1%).</w:t>
      </w:r>
    </w:p>
    <w:p w:rsidR="00E30271" w:rsidRDefault="00E30271" w:rsidP="00E30271">
      <w:pPr>
        <w:pStyle w:val="Caption"/>
        <w:keepNext/>
      </w:pPr>
      <w:bookmarkStart w:id="182" w:name="_Ref409009778"/>
      <w:r>
        <w:t>Table 8-</w:t>
      </w:r>
      <w:r>
        <w:rPr>
          <w:noProof/>
        </w:rPr>
        <w:t>5</w:t>
      </w:r>
      <w:bookmarkEnd w:id="182"/>
      <w:r>
        <w:t xml:space="preserve">: </w:t>
      </w:r>
      <w:r w:rsidRPr="00114EB1">
        <w:t>Perceived need for help in past 12 months for 4-17 year-olds with mental disorders by service use and type of help</w:t>
      </w:r>
    </w:p>
    <w:tbl>
      <w:tblPr>
        <w:tblW w:w="9150" w:type="dxa"/>
        <w:jc w:val="center"/>
        <w:tblLayout w:type="fixed"/>
        <w:tblCellMar>
          <w:left w:w="0" w:type="dxa"/>
          <w:right w:w="0" w:type="dxa"/>
        </w:tblCellMar>
        <w:tblLook w:val="0020" w:firstRow="1" w:lastRow="0" w:firstColumn="0" w:lastColumn="0" w:noHBand="0" w:noVBand="0"/>
        <w:tblDescription w:val="In Table 8-5 the first column defines whether or not the child or adolescent has used services and the second column defines level of perceived need. Read across the rows for the proportion of 4-17 year-olds with mental disorders with this level of perceived need for firstly information, then medication, counselling, life skills and finally any type of help."/>
      </w:tblPr>
      <w:tblGrid>
        <w:gridCol w:w="1168"/>
        <w:gridCol w:w="2296"/>
        <w:gridCol w:w="1137"/>
        <w:gridCol w:w="1137"/>
        <w:gridCol w:w="1137"/>
        <w:gridCol w:w="1137"/>
        <w:gridCol w:w="1138"/>
      </w:tblGrid>
      <w:tr w:rsidR="00E30271" w:rsidRPr="008A693F" w:rsidTr="00E30271">
        <w:trPr>
          <w:cantSplit/>
          <w:tblHeader/>
          <w:jc w:val="center"/>
        </w:trPr>
        <w:tc>
          <w:tcPr>
            <w:tcW w:w="116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Service use</w:t>
            </w:r>
          </w:p>
        </w:tc>
        <w:tc>
          <w:tcPr>
            <w:tcW w:w="2296" w:type="dxa"/>
            <w:tcBorders>
              <w:top w:val="single" w:sz="6" w:space="0" w:color="000000"/>
              <w:left w:val="single" w:sz="4" w:space="0" w:color="FFFFFF"/>
              <w:bottom w:val="single" w:sz="4" w:space="0" w:color="000000"/>
              <w:right w:val="nil"/>
            </w:tcBorders>
            <w:shd w:val="clear" w:color="auto" w:fill="EFF3FF"/>
            <w:vAlign w:val="bottom"/>
          </w:tcPr>
          <w:p w:rsidR="00E30271" w:rsidRPr="00402981" w:rsidRDefault="00E30271" w:rsidP="00E30271">
            <w:pPr>
              <w:pStyle w:val="TableColumnHeadings"/>
              <w:jc w:val="left"/>
              <w:rPr>
                <w:rStyle w:val="Strong"/>
              </w:rPr>
            </w:pPr>
            <w:r w:rsidRPr="00402981">
              <w:rPr>
                <w:rStyle w:val="Strong"/>
              </w:rPr>
              <w:t>Level of perceived need</w:t>
            </w:r>
          </w:p>
        </w:tc>
        <w:tc>
          <w:tcPr>
            <w:tcW w:w="11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Information (%)</w:t>
            </w:r>
          </w:p>
        </w:tc>
        <w:tc>
          <w:tcPr>
            <w:tcW w:w="11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Medication </w:t>
            </w:r>
            <w:r w:rsidRPr="00402981">
              <w:rPr>
                <w:rStyle w:val="Strong"/>
              </w:rPr>
              <w:br/>
              <w:t>(%)</w:t>
            </w:r>
          </w:p>
        </w:tc>
        <w:tc>
          <w:tcPr>
            <w:tcW w:w="11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Counselling (%)</w:t>
            </w:r>
          </w:p>
        </w:tc>
        <w:tc>
          <w:tcPr>
            <w:tcW w:w="11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 xml:space="preserve">Life skills </w:t>
            </w:r>
            <w:r w:rsidRPr="00402981">
              <w:rPr>
                <w:rStyle w:val="Strong"/>
              </w:rPr>
              <w:br/>
              <w:t>(%)</w:t>
            </w:r>
          </w:p>
        </w:tc>
        <w:tc>
          <w:tcPr>
            <w:tcW w:w="113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Any type of help (%) (b)</w:t>
            </w:r>
          </w:p>
        </w:tc>
      </w:tr>
      <w:tr w:rsidR="00E30271" w:rsidRPr="008A693F" w:rsidTr="00E30271">
        <w:trPr>
          <w:cantSplit/>
          <w:jc w:val="center"/>
        </w:trPr>
        <w:tc>
          <w:tcPr>
            <w:tcW w:w="1168" w:type="dxa"/>
            <w:vMerge w:val="restart"/>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lang w:eastAsia="en-AU"/>
              </w:rPr>
            </w:pPr>
            <w:r w:rsidRPr="008A693F">
              <w:rPr>
                <w:lang w:eastAsia="en-AU"/>
              </w:rPr>
              <w:t>Used services</w:t>
            </w: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lang w:eastAsia="en-AU"/>
              </w:rPr>
            </w:pPr>
            <w:r w:rsidRPr="00E34E18">
              <w:rPr>
                <w:lang w:eastAsia="en-AU"/>
              </w:rPr>
              <w:t>No need</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43.7</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63.7</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13.0</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53.9</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2.9</w:t>
            </w:r>
          </w:p>
        </w:tc>
      </w:tr>
      <w:tr w:rsidR="00E30271" w:rsidRPr="008A693F" w:rsidTr="00E30271">
        <w:trPr>
          <w:cantSplit/>
          <w:jc w:val="center"/>
        </w:trPr>
        <w:tc>
          <w:tcPr>
            <w:tcW w:w="1168" w:type="dxa"/>
            <w:vMerge/>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1EEF" w:rsidRDefault="00E30271" w:rsidP="00E30271">
            <w:pPr>
              <w:pStyle w:val="TableRowHeadings"/>
              <w:rPr>
                <w:lang w:eastAsia="en-AU"/>
              </w:rPr>
            </w:pPr>
            <w:r w:rsidRPr="008A1EEF">
              <w:rPr>
                <w:lang w:eastAsia="en-AU"/>
              </w:rPr>
              <w:t>Any need—</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56.3</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36.3</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87.0</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46.1</w:t>
            </w:r>
          </w:p>
        </w:tc>
        <w:tc>
          <w:tcPr>
            <w:tcW w:w="1138"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97.1</w:t>
            </w:r>
          </w:p>
        </w:tc>
      </w:tr>
      <w:tr w:rsidR="00E30271" w:rsidRPr="008A693F" w:rsidTr="00E30271">
        <w:trPr>
          <w:cantSplit/>
          <w:jc w:val="center"/>
        </w:trPr>
        <w:tc>
          <w:tcPr>
            <w:tcW w:w="1168" w:type="dxa"/>
            <w:vMerge/>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fully met</w:t>
            </w:r>
            <w:r>
              <w:rPr>
                <w:lang w:eastAsia="en-AU"/>
              </w:rPr>
              <w:t xml:space="preserve"> (a)</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46.4</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59.7</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47.2</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24.9</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44.5</w:t>
            </w:r>
          </w:p>
        </w:tc>
      </w:tr>
      <w:tr w:rsidR="00E30271" w:rsidRPr="008A693F" w:rsidTr="00E30271">
        <w:trPr>
          <w:cantSplit/>
          <w:jc w:val="center"/>
        </w:trPr>
        <w:tc>
          <w:tcPr>
            <w:tcW w:w="1168" w:type="dxa"/>
            <w:vMerge/>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partially met</w:t>
            </w:r>
            <w:r>
              <w:rPr>
                <w:lang w:eastAsia="en-AU"/>
              </w:rPr>
              <w:t xml:space="preserve"> (a)</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29.7</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24.1</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39.2</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21.2</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49.3</w:t>
            </w:r>
          </w:p>
        </w:tc>
      </w:tr>
      <w:tr w:rsidR="00E30271" w:rsidRPr="008A693F" w:rsidTr="00E30271">
        <w:trPr>
          <w:cantSplit/>
          <w:jc w:val="center"/>
        </w:trPr>
        <w:tc>
          <w:tcPr>
            <w:tcW w:w="1168" w:type="dxa"/>
            <w:vMerge/>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unmet</w:t>
            </w:r>
            <w:r>
              <w:rPr>
                <w:lang w:eastAsia="en-AU"/>
              </w:rPr>
              <w:t xml:space="preserve"> (a)</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23.9</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16.2</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13.6</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53.8</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6.2</w:t>
            </w:r>
          </w:p>
        </w:tc>
      </w:tr>
      <w:tr w:rsidR="00E30271" w:rsidRPr="008A693F" w:rsidTr="00E30271">
        <w:trPr>
          <w:cantSplit/>
          <w:jc w:val="center"/>
        </w:trPr>
        <w:tc>
          <w:tcPr>
            <w:tcW w:w="1168" w:type="dxa"/>
            <w:vMerge w:val="restart"/>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rPr>
                <w:lang w:eastAsia="en-AU"/>
              </w:rPr>
            </w:pPr>
            <w:r w:rsidRPr="008A693F">
              <w:rPr>
                <w:lang w:eastAsia="en-AU"/>
              </w:rPr>
              <w:t>No service use</w:t>
            </w: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sidRPr="00E34E18">
              <w:rPr>
                <w:lang w:eastAsia="en-AU"/>
              </w:rPr>
              <w:t>No need</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76.9</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95.6</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55.9</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76.9</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45.1</w:t>
            </w:r>
          </w:p>
        </w:tc>
      </w:tr>
      <w:tr w:rsidR="00E30271" w:rsidRPr="008A693F" w:rsidTr="00E30271">
        <w:trPr>
          <w:cantSplit/>
          <w:jc w:val="center"/>
        </w:trPr>
        <w:tc>
          <w:tcPr>
            <w:tcW w:w="1168" w:type="dxa"/>
            <w:vMerge/>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1EEF" w:rsidRDefault="00E30271" w:rsidP="00E30271">
            <w:pPr>
              <w:pStyle w:val="TableRowHeadings"/>
              <w:tabs>
                <w:tab w:val="left" w:pos="266"/>
              </w:tabs>
              <w:rPr>
                <w:lang w:eastAsia="en-AU"/>
              </w:rPr>
            </w:pPr>
            <w:r w:rsidRPr="008A1EEF">
              <w:rPr>
                <w:lang w:eastAsia="en-AU"/>
              </w:rPr>
              <w:t>Any need—</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23.1</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4.4</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44.1</w:t>
            </w:r>
          </w:p>
        </w:tc>
        <w:tc>
          <w:tcPr>
            <w:tcW w:w="1137"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23.1</w:t>
            </w:r>
          </w:p>
        </w:tc>
        <w:tc>
          <w:tcPr>
            <w:tcW w:w="1138" w:type="dxa"/>
            <w:tcBorders>
              <w:top w:val="nil"/>
              <w:left w:val="nil"/>
              <w:bottom w:val="nil"/>
              <w:right w:val="nil"/>
            </w:tcBorders>
            <w:shd w:val="clear" w:color="auto" w:fill="FFFFFF"/>
            <w:tcMar>
              <w:left w:w="40" w:type="dxa"/>
              <w:right w:w="40" w:type="dxa"/>
            </w:tcMar>
            <w:vAlign w:val="bottom"/>
          </w:tcPr>
          <w:p w:rsidR="00E30271" w:rsidRPr="008A1EEF" w:rsidRDefault="00E30271" w:rsidP="00E30271">
            <w:pPr>
              <w:pStyle w:val="TableDataCell"/>
              <w:rPr>
                <w:lang w:eastAsia="en-AU"/>
              </w:rPr>
            </w:pPr>
            <w:r w:rsidRPr="008A1EEF">
              <w:rPr>
                <w:lang w:eastAsia="en-AU"/>
              </w:rPr>
              <w:t>54.9</w:t>
            </w:r>
          </w:p>
        </w:tc>
      </w:tr>
      <w:tr w:rsidR="00E30271" w:rsidRPr="008A693F" w:rsidTr="00E30271">
        <w:trPr>
          <w:cantSplit/>
          <w:jc w:val="center"/>
        </w:trPr>
        <w:tc>
          <w:tcPr>
            <w:tcW w:w="1168" w:type="dxa"/>
            <w:vMerge/>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fully met</w:t>
            </w:r>
            <w:r>
              <w:rPr>
                <w:lang w:eastAsia="en-AU"/>
              </w:rPr>
              <w:t xml:space="preserve"> (a)</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17.8</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Pr>
                <w:lang w:eastAsia="en-AU"/>
              </w:rPr>
              <w:t>0.0</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10.6</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9.5</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13.2</w:t>
            </w:r>
          </w:p>
        </w:tc>
      </w:tr>
      <w:tr w:rsidR="00E30271" w:rsidRPr="008A693F" w:rsidTr="00E30271">
        <w:trPr>
          <w:cantSplit/>
          <w:jc w:val="center"/>
        </w:trPr>
        <w:tc>
          <w:tcPr>
            <w:tcW w:w="1168" w:type="dxa"/>
            <w:vMerge/>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partially met</w:t>
            </w:r>
            <w:r>
              <w:rPr>
                <w:lang w:eastAsia="en-AU"/>
              </w:rPr>
              <w:t xml:space="preserve"> (a)</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10.7</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Pr>
                <w:lang w:eastAsia="en-AU"/>
              </w:rPr>
              <w:t>0.0</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10.0</w:t>
            </w:r>
          </w:p>
        </w:tc>
        <w:tc>
          <w:tcPr>
            <w:tcW w:w="1137"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11.5</w:t>
            </w:r>
          </w:p>
        </w:tc>
        <w:tc>
          <w:tcPr>
            <w:tcW w:w="1138" w:type="dxa"/>
            <w:tcBorders>
              <w:top w:val="nil"/>
              <w:left w:val="nil"/>
              <w:bottom w:val="nil"/>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15.7</w:t>
            </w:r>
          </w:p>
        </w:tc>
      </w:tr>
      <w:tr w:rsidR="00E30271" w:rsidRPr="008A693F" w:rsidTr="00E30271">
        <w:trPr>
          <w:cantSplit/>
          <w:jc w:val="center"/>
        </w:trPr>
        <w:tc>
          <w:tcPr>
            <w:tcW w:w="1168" w:type="dxa"/>
            <w:vMerge/>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6" w:space="0" w:color="000000"/>
              <w:right w:val="nil"/>
            </w:tcBorders>
            <w:shd w:val="clear" w:color="auto" w:fill="EFF3FF"/>
            <w:tcMar>
              <w:left w:w="40" w:type="dxa"/>
              <w:right w:w="40" w:type="dxa"/>
            </w:tcMar>
          </w:tcPr>
          <w:p w:rsidR="00E30271" w:rsidRPr="008A693F" w:rsidRDefault="00E30271" w:rsidP="00E30271">
            <w:pPr>
              <w:pStyle w:val="TableRowHeadings"/>
              <w:tabs>
                <w:tab w:val="left" w:pos="266"/>
              </w:tabs>
              <w:rPr>
                <w:lang w:eastAsia="en-AU"/>
              </w:rPr>
            </w:pPr>
            <w:r>
              <w:rPr>
                <w:lang w:eastAsia="en-AU"/>
              </w:rPr>
              <w:tab/>
            </w:r>
            <w:r w:rsidRPr="00E34E18">
              <w:rPr>
                <w:lang w:eastAsia="en-AU"/>
              </w:rPr>
              <w:t>Needs unmet</w:t>
            </w:r>
            <w:r>
              <w:rPr>
                <w:lang w:eastAsia="en-AU"/>
              </w:rPr>
              <w:t xml:space="preserve"> (a)</w:t>
            </w:r>
          </w:p>
        </w:tc>
        <w:tc>
          <w:tcPr>
            <w:tcW w:w="1137" w:type="dxa"/>
            <w:tcBorders>
              <w:top w:val="nil"/>
              <w:left w:val="nil"/>
              <w:bottom w:val="single" w:sz="6" w:space="0" w:color="000000"/>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71.6</w:t>
            </w:r>
          </w:p>
        </w:tc>
        <w:tc>
          <w:tcPr>
            <w:tcW w:w="1137" w:type="dxa"/>
            <w:tcBorders>
              <w:top w:val="nil"/>
              <w:left w:val="nil"/>
              <w:bottom w:val="single" w:sz="6" w:space="0" w:color="000000"/>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100.0</w:t>
            </w:r>
          </w:p>
        </w:tc>
        <w:tc>
          <w:tcPr>
            <w:tcW w:w="1137" w:type="dxa"/>
            <w:tcBorders>
              <w:top w:val="nil"/>
              <w:left w:val="nil"/>
              <w:bottom w:val="single" w:sz="6" w:space="0" w:color="000000"/>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79.4</w:t>
            </w:r>
          </w:p>
        </w:tc>
        <w:tc>
          <w:tcPr>
            <w:tcW w:w="1137" w:type="dxa"/>
            <w:tcBorders>
              <w:top w:val="nil"/>
              <w:left w:val="nil"/>
              <w:bottom w:val="single" w:sz="6" w:space="0" w:color="000000"/>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79.1</w:t>
            </w:r>
          </w:p>
        </w:tc>
        <w:tc>
          <w:tcPr>
            <w:tcW w:w="1138" w:type="dxa"/>
            <w:tcBorders>
              <w:top w:val="nil"/>
              <w:left w:val="nil"/>
              <w:bottom w:val="single" w:sz="6" w:space="0" w:color="000000"/>
              <w:right w:val="nil"/>
            </w:tcBorders>
            <w:shd w:val="clear" w:color="auto" w:fill="FFFFFF"/>
            <w:tcMar>
              <w:left w:w="40" w:type="dxa"/>
              <w:right w:w="40" w:type="dxa"/>
            </w:tcMar>
            <w:vAlign w:val="bottom"/>
          </w:tcPr>
          <w:p w:rsidR="00E30271" w:rsidRPr="008A693F" w:rsidRDefault="00E30271" w:rsidP="00E30271">
            <w:pPr>
              <w:pStyle w:val="TableDataCell"/>
              <w:rPr>
                <w:lang w:eastAsia="en-AU"/>
              </w:rPr>
            </w:pPr>
            <w:r w:rsidRPr="008A693F">
              <w:rPr>
                <w:lang w:eastAsia="en-AU"/>
              </w:rPr>
              <w:t>71.1</w:t>
            </w:r>
          </w:p>
        </w:tc>
      </w:tr>
    </w:tbl>
    <w:p w:rsidR="00E30271" w:rsidRPr="00CF7EA5" w:rsidRDefault="00E30271" w:rsidP="00E30271">
      <w:pPr>
        <w:pStyle w:val="TableFootnote"/>
      </w:pPr>
      <w:r w:rsidRPr="00CF7EA5">
        <w:t>(a)</w:t>
      </w:r>
      <w:r w:rsidRPr="00CF7EA5">
        <w:tab/>
        <w:t>The proportion of those reporting any need whose needs were fully met, partially met or unmet.</w:t>
      </w:r>
    </w:p>
    <w:p w:rsidR="00E30271" w:rsidRPr="00E34E18" w:rsidRDefault="00E30271" w:rsidP="00E30271">
      <w:pPr>
        <w:pStyle w:val="TableFootnote"/>
        <w:rPr>
          <w:rFonts w:cs="Source Sans Pro Light"/>
          <w:sz w:val="20"/>
          <w:szCs w:val="20"/>
        </w:rPr>
      </w:pPr>
      <w:bookmarkStart w:id="183" w:name="_Toc401758781"/>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E30271" w:rsidRDefault="00E30271" w:rsidP="00E30271">
      <w:pPr>
        <w:pStyle w:val="Heading2"/>
        <w:rPr>
          <w:lang w:val="en-US"/>
        </w:rPr>
      </w:pPr>
      <w:r>
        <w:rPr>
          <w:lang w:val="en-US"/>
        </w:rPr>
        <w:t>8</w:t>
      </w:r>
      <w:r w:rsidRPr="00DE1330">
        <w:rPr>
          <w:lang w:val="en-US"/>
        </w:rPr>
        <w:t>.</w:t>
      </w:r>
      <w:r>
        <w:rPr>
          <w:lang w:val="en-US"/>
        </w:rPr>
        <w:t>2</w:t>
      </w:r>
      <w:r w:rsidRPr="00DE1330">
        <w:rPr>
          <w:lang w:val="en-US"/>
        </w:rPr>
        <w:t xml:space="preserve"> </w:t>
      </w:r>
      <w:r w:rsidRPr="00DE1330">
        <w:rPr>
          <w:lang w:val="en-US"/>
        </w:rPr>
        <w:tab/>
      </w:r>
      <w:r>
        <w:rPr>
          <w:lang w:val="en-US"/>
        </w:rPr>
        <w:t xml:space="preserve">Barriers to seeking and receiving help </w:t>
      </w:r>
      <w:bookmarkEnd w:id="183"/>
    </w:p>
    <w:p w:rsidR="00E30271" w:rsidRDefault="00E30271" w:rsidP="00E30271">
      <w:pPr>
        <w:pStyle w:val="BodyText"/>
        <w:rPr>
          <w:lang w:eastAsia="en-AU"/>
        </w:rPr>
      </w:pPr>
      <w:r>
        <w:t>Table 8-</w:t>
      </w:r>
      <w:r>
        <w:rPr>
          <w:noProof/>
        </w:rPr>
        <w:t>6</w:t>
      </w:r>
      <w:r>
        <w:rPr>
          <w:lang w:eastAsia="en-AU"/>
        </w:rPr>
        <w:t xml:space="preserve"> shows all the reasons given by parents and carers of children and adolescents with mental disorders for not seeking help or receiving more help when needs were not fully met. The most commonly identified reasons were not being sure where to get help (39.6%), not being able to afford help (37.0%) and preferring to handle the problem by themselves or with help from family or friends (31.1%). Being concerned with what other people might think was identified as a barrier by only 5.3% of parents and carers.</w:t>
      </w:r>
    </w:p>
    <w:p w:rsidR="00E30271" w:rsidRDefault="00E30271" w:rsidP="00E30271">
      <w:pPr>
        <w:pStyle w:val="Caption"/>
        <w:keepNext/>
        <w:pageBreakBefore/>
        <w:spacing w:before="0"/>
      </w:pPr>
      <w:bookmarkStart w:id="184" w:name="_Ref403385466"/>
      <w:r>
        <w:lastRenderedPageBreak/>
        <w:t>Table 8-</w:t>
      </w:r>
      <w:r>
        <w:rPr>
          <w:noProof/>
        </w:rPr>
        <w:t>6</w:t>
      </w:r>
      <w:bookmarkEnd w:id="184"/>
      <w:r>
        <w:t>: Barriers to seeking help or receiving more help in past 12 months for 4-17 year-olds with mental disorders by age group</w:t>
      </w:r>
    </w:p>
    <w:tbl>
      <w:tblPr>
        <w:tblW w:w="9122" w:type="dxa"/>
        <w:jc w:val="center"/>
        <w:tblLayout w:type="fixed"/>
        <w:tblCellMar>
          <w:left w:w="0" w:type="dxa"/>
          <w:right w:w="0" w:type="dxa"/>
        </w:tblCellMar>
        <w:tblLook w:val="0020" w:firstRow="1" w:lastRow="0" w:firstColumn="0" w:lastColumn="0" w:noHBand="0" w:noVBand="0"/>
        <w:tblDescription w:val="In Table 8-6 the first column defines barriers to seeking help. Read across the rows for the proportion of 4-11 year-olds,12-17 year olds and then 4-17 year olds with mental disorders who reported each barrier."/>
      </w:tblPr>
      <w:tblGrid>
        <w:gridCol w:w="4531"/>
        <w:gridCol w:w="1530"/>
        <w:gridCol w:w="1530"/>
        <w:gridCol w:w="1531"/>
      </w:tblGrid>
      <w:tr w:rsidR="00E30271" w:rsidRPr="00A476FF" w:rsidTr="00E30271">
        <w:trPr>
          <w:cantSplit/>
          <w:tblHeader/>
          <w:jc w:val="center"/>
        </w:trPr>
        <w:tc>
          <w:tcPr>
            <w:tcW w:w="4531"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402981" w:rsidRDefault="00E30271" w:rsidP="00E30271">
            <w:pPr>
              <w:pStyle w:val="TableColumnHeadings"/>
              <w:jc w:val="left"/>
              <w:rPr>
                <w:rStyle w:val="Strong"/>
              </w:rPr>
            </w:pPr>
            <w:r w:rsidRPr="00402981">
              <w:rPr>
                <w:rStyle w:val="Strong"/>
              </w:rPr>
              <w:t>Barrier</w:t>
            </w:r>
          </w:p>
        </w:tc>
        <w:tc>
          <w:tcPr>
            <w:tcW w:w="15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4-11 years (%)</w:t>
            </w:r>
          </w:p>
        </w:tc>
        <w:tc>
          <w:tcPr>
            <w:tcW w:w="15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12-17 years (%)</w:t>
            </w:r>
          </w:p>
        </w:tc>
        <w:tc>
          <w:tcPr>
            <w:tcW w:w="153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4-17 years (%)</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Preferred to handle by self or with family/friends</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36.5</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24.5</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31.1</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Concerned about what people might think</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5.2</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5.4</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5.3</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Not sure if child or adolescent needed help</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33.5</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19.8</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27.3</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Not sure where to get help</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39.9</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39.3</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39.6</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Thought problem would get better by itself</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30.1</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21.9</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26.4</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Problem getting to a service that could help</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31.8</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25.3</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28.9</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Couldn’t afford it</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40.5</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32.9</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37.0</w:t>
            </w:r>
          </w:p>
        </w:tc>
      </w:tr>
      <w:tr w:rsidR="00E30271" w:rsidRPr="00A476FF" w:rsidTr="00E30271">
        <w:trPr>
          <w:cantSplit/>
          <w:jc w:val="center"/>
        </w:trPr>
        <w:tc>
          <w:tcPr>
            <w:tcW w:w="4531" w:type="dxa"/>
            <w:tcBorders>
              <w:top w:val="nil"/>
              <w:bottom w:val="single" w:sz="4" w:space="0" w:color="FFFFFF"/>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Couldn’t get an appointment</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29.5</w:t>
            </w:r>
          </w:p>
        </w:tc>
        <w:tc>
          <w:tcPr>
            <w:tcW w:w="1530"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28.8</w:t>
            </w:r>
          </w:p>
        </w:tc>
        <w:tc>
          <w:tcPr>
            <w:tcW w:w="1531" w:type="dxa"/>
            <w:tcBorders>
              <w:top w:val="nil"/>
              <w:left w:val="nil"/>
              <w:bottom w:val="nil"/>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29.2</w:t>
            </w:r>
          </w:p>
        </w:tc>
      </w:tr>
      <w:tr w:rsidR="00E30271" w:rsidRPr="00A476FF" w:rsidTr="00E30271">
        <w:trPr>
          <w:cantSplit/>
          <w:jc w:val="center"/>
        </w:trPr>
        <w:tc>
          <w:tcPr>
            <w:tcW w:w="4531" w:type="dxa"/>
            <w:tcBorders>
              <w:top w:val="nil"/>
              <w:bottom w:val="single" w:sz="6" w:space="0" w:color="auto"/>
              <w:right w:val="nil"/>
            </w:tcBorders>
            <w:shd w:val="clear" w:color="auto" w:fill="EFF3FF"/>
            <w:tcMar>
              <w:left w:w="40" w:type="dxa"/>
              <w:right w:w="40" w:type="dxa"/>
            </w:tcMar>
          </w:tcPr>
          <w:p w:rsidR="00E30271" w:rsidRPr="00A476FF" w:rsidRDefault="00E30271" w:rsidP="00E30271">
            <w:pPr>
              <w:pStyle w:val="TableRowHeadings"/>
              <w:rPr>
                <w:lang w:eastAsia="en-AU"/>
              </w:rPr>
            </w:pPr>
            <w:r>
              <w:rPr>
                <w:lang w:eastAsia="en-AU"/>
              </w:rPr>
              <w:t>Child or adolescent refused help, didn’t turn up for appointment or didn’t think they had a problem</w:t>
            </w:r>
          </w:p>
        </w:tc>
        <w:tc>
          <w:tcPr>
            <w:tcW w:w="1530" w:type="dxa"/>
            <w:tcBorders>
              <w:top w:val="nil"/>
              <w:left w:val="nil"/>
              <w:bottom w:val="single" w:sz="6" w:space="0" w:color="auto"/>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6.2</w:t>
            </w:r>
          </w:p>
        </w:tc>
        <w:tc>
          <w:tcPr>
            <w:tcW w:w="1530" w:type="dxa"/>
            <w:tcBorders>
              <w:top w:val="nil"/>
              <w:left w:val="nil"/>
              <w:bottom w:val="single" w:sz="6" w:space="0" w:color="auto"/>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48.4</w:t>
            </w:r>
          </w:p>
        </w:tc>
        <w:tc>
          <w:tcPr>
            <w:tcW w:w="1531" w:type="dxa"/>
            <w:tcBorders>
              <w:top w:val="nil"/>
              <w:left w:val="nil"/>
              <w:bottom w:val="single" w:sz="6" w:space="0" w:color="auto"/>
              <w:right w:val="nil"/>
            </w:tcBorders>
            <w:shd w:val="clear" w:color="auto" w:fill="FFFFFF"/>
            <w:tcMar>
              <w:left w:w="40" w:type="dxa"/>
              <w:right w:w="40" w:type="dxa"/>
            </w:tcMar>
            <w:vAlign w:val="bottom"/>
          </w:tcPr>
          <w:p w:rsidR="00E30271" w:rsidRPr="00A476FF" w:rsidRDefault="00E30271" w:rsidP="00E30271">
            <w:pPr>
              <w:pStyle w:val="TableDataCell"/>
              <w:rPr>
                <w:lang w:eastAsia="en-AU"/>
              </w:rPr>
            </w:pPr>
            <w:r>
              <w:rPr>
                <w:lang w:eastAsia="en-AU"/>
              </w:rPr>
              <w:t>25.4</w:t>
            </w:r>
          </w:p>
        </w:tc>
      </w:tr>
    </w:tbl>
    <w:p w:rsidR="00E30271" w:rsidRDefault="00E30271" w:rsidP="00555E74">
      <w:pPr>
        <w:pStyle w:val="BodyText"/>
        <w:spacing w:before="240"/>
        <w:rPr>
          <w:lang w:eastAsia="en-AU"/>
        </w:rPr>
      </w:pPr>
      <w:r>
        <w:rPr>
          <w:lang w:eastAsia="en-AU"/>
        </w:rPr>
        <w:t>Some reasons for not seeking help or receiving more help were more common among children than adolescents with mental disorders (</w:t>
      </w:r>
      <w:r>
        <w:t>Table 8-</w:t>
      </w:r>
      <w:r>
        <w:rPr>
          <w:noProof/>
        </w:rPr>
        <w:t>6</w:t>
      </w:r>
      <w:r>
        <w:rPr>
          <w:lang w:eastAsia="en-AU"/>
        </w:rPr>
        <w:t>). These included parents and carers preferring to handle the problem by themselves or with the help of family or friends (36.5% for 4-11 year-olds compared with 24.5% for 12-17 year-olds), and not being sure if help was needed (33.5% for 4-11 year-olds compared with 19.8% for 12-17 year-olds). In comparison, the most commonly identified reasons for not seeking help or receiving more help for 12-17 year-olds were related to the adolescent themselves, including the young person refusing help, not turning up for an appointment or thinking that they did not have a problem (48.4% compared with 6.2% of 4-11 year-olds).</w:t>
      </w:r>
    </w:p>
    <w:p w:rsidR="006F45C1" w:rsidRDefault="006F45C1" w:rsidP="00B77B74">
      <w:pPr>
        <w:pStyle w:val="BodyText"/>
        <w:ind w:right="116"/>
        <w:rPr>
          <w:lang w:eastAsia="en-AU"/>
        </w:rPr>
      </w:pPr>
      <w:bookmarkStart w:id="185" w:name="_Ref409616501"/>
      <w:bookmarkStart w:id="186" w:name="_Ref409616495"/>
      <w:bookmarkStart w:id="187" w:name="_Ref408839345"/>
      <w:bookmarkStart w:id="188" w:name="_Toc401758782"/>
      <w:r>
        <w:rPr>
          <w:lang w:eastAsia="en-AU"/>
        </w:rPr>
        <w:t>If parents and carers reported more than one reason, they were also asked about the main reason for not seeking help or receiving more help. About one third (30.9%) of parents and carers identified issues to do with the accessibility of services, specifically problems in getting to a service, not being able to afford it, or not being able to get an appointment. For about another third of parents and carers (36.4%), the</w:t>
      </w:r>
      <w:r w:rsidRPr="006618EB">
        <w:rPr>
          <w:lang w:eastAsia="en-AU"/>
        </w:rPr>
        <w:t xml:space="preserve"> most common main reasons</w:t>
      </w:r>
      <w:r>
        <w:rPr>
          <w:lang w:eastAsia="en-AU"/>
        </w:rPr>
        <w:t xml:space="preserve"> for not seeking help or not receiving more help were being unsure if their child or adolescent needed help, where to get help, or thinking the problem would get better by itself, issues that could be broadly considered as mental health literacy (</w:t>
      </w:r>
      <w:r>
        <w:t>Table 8-</w:t>
      </w:r>
      <w:r>
        <w:rPr>
          <w:noProof/>
        </w:rPr>
        <w:t>7</w:t>
      </w:r>
      <w:r>
        <w:rPr>
          <w:lang w:eastAsia="en-AU"/>
        </w:rPr>
        <w:t>).</w:t>
      </w:r>
    </w:p>
    <w:p w:rsidR="006F45C1" w:rsidRDefault="006F45C1" w:rsidP="006F45C1">
      <w:pPr>
        <w:pStyle w:val="BodyText"/>
        <w:rPr>
          <w:lang w:eastAsia="en-AU"/>
        </w:rPr>
      </w:pPr>
      <w:r>
        <w:rPr>
          <w:lang w:eastAsia="en-AU"/>
        </w:rPr>
        <w:t xml:space="preserve">Just under one fifth (17.3%) reported that the main reason was related to the child or adolescent not wanting to seek help, and 15.4% of parents and carers reported that the main reason was related to them wanting to manage the problems themselves. </w:t>
      </w:r>
    </w:p>
    <w:p w:rsidR="006F45C1" w:rsidRDefault="006F45C1" w:rsidP="006F45C1">
      <w:pPr>
        <w:pStyle w:val="BodyText"/>
        <w:rPr>
          <w:lang w:eastAsia="en-AU"/>
        </w:rPr>
      </w:pPr>
      <w:r>
        <w:rPr>
          <w:lang w:eastAsia="en-AU"/>
        </w:rPr>
        <w:t>The main barriers to seeking help or receiving more help differed between the age groups. The reasons most commonly identified as the main barriers for 4-11 year-olds</w:t>
      </w:r>
      <w:r w:rsidRPr="006F1D31">
        <w:t xml:space="preserve"> </w:t>
      </w:r>
      <w:r w:rsidRPr="006F1D31">
        <w:rPr>
          <w:lang w:eastAsia="en-AU"/>
        </w:rPr>
        <w:t>were issues primarily related to mental health literacy</w:t>
      </w:r>
      <w:r>
        <w:rPr>
          <w:lang w:eastAsia="en-AU"/>
        </w:rPr>
        <w:t xml:space="preserve"> (43.6%)</w:t>
      </w:r>
      <w:r w:rsidRPr="006F1D31">
        <w:rPr>
          <w:lang w:eastAsia="en-AU"/>
        </w:rPr>
        <w:t xml:space="preserve"> or accessibility</w:t>
      </w:r>
      <w:r>
        <w:rPr>
          <w:lang w:eastAsia="en-AU"/>
        </w:rPr>
        <w:t xml:space="preserve"> (36.2%).  In contrast, the main barrier to adolescents seeking help or receiving more help was identified by about one third (34.8%) of parents as the young person refusing help,</w:t>
      </w:r>
      <w:r w:rsidRPr="00773CF7">
        <w:t xml:space="preserve"> </w:t>
      </w:r>
      <w:r w:rsidRPr="00773CF7">
        <w:rPr>
          <w:lang w:eastAsia="en-AU"/>
        </w:rPr>
        <w:t>not turning up</w:t>
      </w:r>
      <w:r>
        <w:rPr>
          <w:lang w:eastAsia="en-AU"/>
        </w:rPr>
        <w:t xml:space="preserve"> for appointments or because </w:t>
      </w:r>
      <w:r w:rsidRPr="00773CF7">
        <w:rPr>
          <w:lang w:eastAsia="en-AU"/>
        </w:rPr>
        <w:t>they d</w:t>
      </w:r>
      <w:r>
        <w:rPr>
          <w:lang w:eastAsia="en-AU"/>
        </w:rPr>
        <w:t xml:space="preserve">id not think they had a problem. </w:t>
      </w:r>
    </w:p>
    <w:p w:rsidR="00E30271" w:rsidRDefault="00E30271" w:rsidP="00DE592E">
      <w:pPr>
        <w:pStyle w:val="Caption"/>
        <w:keepNext/>
        <w:pageBreakBefore/>
      </w:pPr>
      <w:r>
        <w:lastRenderedPageBreak/>
        <w:t>Table 8-</w:t>
      </w:r>
      <w:r>
        <w:rPr>
          <w:noProof/>
        </w:rPr>
        <w:t>7</w:t>
      </w:r>
      <w:bookmarkEnd w:id="185"/>
      <w:r>
        <w:t>: Main barrier to seeking help or receiving more help in past 12 months for 4-17 year-olds with mental disorders by age group</w:t>
      </w:r>
      <w:bookmarkEnd w:id="186"/>
    </w:p>
    <w:tbl>
      <w:tblPr>
        <w:tblW w:w="9122" w:type="dxa"/>
        <w:jc w:val="center"/>
        <w:tblLayout w:type="fixed"/>
        <w:tblCellMar>
          <w:left w:w="0" w:type="dxa"/>
          <w:right w:w="0" w:type="dxa"/>
        </w:tblCellMar>
        <w:tblLook w:val="0020" w:firstRow="1" w:lastRow="0" w:firstColumn="0" w:lastColumn="0" w:noHBand="0" w:noVBand="0"/>
        <w:tblDescription w:val="In Table 8-7 the first row defines the main barrier to seeking help or receiving more help. Read across the rows for the proportion of 4-11 year-olds, 12-17 year-olds and 4-17 year-olds who identified these main barriers"/>
      </w:tblPr>
      <w:tblGrid>
        <w:gridCol w:w="3981"/>
        <w:gridCol w:w="1655"/>
        <w:gridCol w:w="1831"/>
        <w:gridCol w:w="1655"/>
      </w:tblGrid>
      <w:tr w:rsidR="006F45C1" w:rsidRPr="00062958" w:rsidTr="00E30271">
        <w:trPr>
          <w:cantSplit/>
          <w:tblHeader/>
          <w:jc w:val="center"/>
        </w:trPr>
        <w:tc>
          <w:tcPr>
            <w:tcW w:w="3981" w:type="dxa"/>
            <w:tcBorders>
              <w:top w:val="single" w:sz="6" w:space="0" w:color="000000"/>
              <w:bottom w:val="single" w:sz="4" w:space="0" w:color="000000"/>
              <w:right w:val="nil"/>
            </w:tcBorders>
            <w:shd w:val="clear" w:color="auto" w:fill="EFF3FF"/>
            <w:tcMar>
              <w:left w:w="40" w:type="dxa"/>
              <w:right w:w="40" w:type="dxa"/>
            </w:tcMar>
            <w:vAlign w:val="bottom"/>
          </w:tcPr>
          <w:p w:rsidR="006F45C1" w:rsidRPr="00402981" w:rsidRDefault="006F45C1" w:rsidP="009A486D">
            <w:pPr>
              <w:pStyle w:val="TableColumnHeadings"/>
              <w:jc w:val="left"/>
              <w:rPr>
                <w:rStyle w:val="Strong"/>
              </w:rPr>
            </w:pPr>
            <w:r w:rsidRPr="00402981">
              <w:rPr>
                <w:rStyle w:val="Strong"/>
              </w:rPr>
              <w:t>Main barrier</w:t>
            </w:r>
          </w:p>
        </w:tc>
        <w:tc>
          <w:tcPr>
            <w:tcW w:w="165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6F45C1" w:rsidRPr="00402981" w:rsidRDefault="006F45C1" w:rsidP="009A486D">
            <w:pPr>
              <w:pStyle w:val="TableColumnHeadings"/>
              <w:rPr>
                <w:rStyle w:val="Strong"/>
              </w:rPr>
            </w:pPr>
            <w:r w:rsidRPr="00402981">
              <w:rPr>
                <w:rStyle w:val="Strong"/>
              </w:rPr>
              <w:t>4-11 years</w:t>
            </w:r>
            <w:r w:rsidR="007B79FE">
              <w:rPr>
                <w:rStyle w:val="Strong"/>
              </w:rPr>
              <w:t xml:space="preserve"> (%)</w:t>
            </w:r>
          </w:p>
        </w:tc>
        <w:tc>
          <w:tcPr>
            <w:tcW w:w="183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6F45C1" w:rsidRPr="00402981" w:rsidRDefault="006F45C1" w:rsidP="009A486D">
            <w:pPr>
              <w:pStyle w:val="TableColumnHeadings"/>
              <w:rPr>
                <w:rStyle w:val="Strong"/>
              </w:rPr>
            </w:pPr>
            <w:r w:rsidRPr="00402981">
              <w:rPr>
                <w:rStyle w:val="Strong"/>
              </w:rPr>
              <w:t>12-17 years</w:t>
            </w:r>
            <w:r w:rsidR="007B79FE">
              <w:rPr>
                <w:rStyle w:val="Strong"/>
              </w:rPr>
              <w:t xml:space="preserve"> (%)</w:t>
            </w:r>
          </w:p>
        </w:tc>
        <w:tc>
          <w:tcPr>
            <w:tcW w:w="165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6F45C1" w:rsidRPr="00402981" w:rsidRDefault="006F45C1" w:rsidP="009A486D">
            <w:pPr>
              <w:pStyle w:val="TableColumnHeadings"/>
              <w:rPr>
                <w:rStyle w:val="Strong"/>
              </w:rPr>
            </w:pPr>
            <w:r w:rsidRPr="00402981">
              <w:rPr>
                <w:rStyle w:val="Strong"/>
              </w:rPr>
              <w:t>4-17 years</w:t>
            </w:r>
            <w:r w:rsidR="007B79FE">
              <w:rPr>
                <w:rStyle w:val="Strong"/>
              </w:rPr>
              <w:t xml:space="preserve"> (%)</w:t>
            </w:r>
          </w:p>
        </w:tc>
      </w:tr>
      <w:tr w:rsidR="006F45C1" w:rsidRPr="00062958" w:rsidTr="00E30271">
        <w:trPr>
          <w:cantSplit/>
          <w:jc w:val="center"/>
        </w:trPr>
        <w:tc>
          <w:tcPr>
            <w:tcW w:w="3981" w:type="dxa"/>
            <w:tcBorders>
              <w:top w:val="nil"/>
              <w:bottom w:val="single" w:sz="4" w:space="0" w:color="FFFFFF"/>
              <w:right w:val="nil"/>
            </w:tcBorders>
            <w:shd w:val="clear" w:color="auto" w:fill="EFF3FF"/>
            <w:tcMar>
              <w:left w:w="40" w:type="dxa"/>
              <w:right w:w="40" w:type="dxa"/>
            </w:tcMar>
          </w:tcPr>
          <w:p w:rsidR="006F45C1" w:rsidRPr="00062958" w:rsidRDefault="006F45C1" w:rsidP="009A486D">
            <w:pPr>
              <w:pStyle w:val="TableRowHeadings"/>
              <w:rPr>
                <w:lang w:eastAsia="en-AU"/>
              </w:rPr>
            </w:pPr>
            <w:r>
              <w:rPr>
                <w:lang w:eastAsia="en-AU"/>
              </w:rPr>
              <w:t>Self-management/s</w:t>
            </w:r>
            <w:r w:rsidRPr="00062958">
              <w:rPr>
                <w:lang w:eastAsia="en-AU"/>
              </w:rPr>
              <w:t>tigma</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18.3</w:t>
            </w:r>
          </w:p>
        </w:tc>
        <w:tc>
          <w:tcPr>
            <w:tcW w:w="1831"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12.1</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15.4</w:t>
            </w:r>
          </w:p>
        </w:tc>
      </w:tr>
      <w:tr w:rsidR="006F45C1" w:rsidRPr="00062958" w:rsidTr="00E30271">
        <w:trPr>
          <w:cantSplit/>
          <w:jc w:val="center"/>
        </w:trPr>
        <w:tc>
          <w:tcPr>
            <w:tcW w:w="3981" w:type="dxa"/>
            <w:tcBorders>
              <w:top w:val="nil"/>
              <w:bottom w:val="single" w:sz="4" w:space="0" w:color="FFFFFF"/>
              <w:right w:val="nil"/>
            </w:tcBorders>
            <w:shd w:val="clear" w:color="auto" w:fill="EFF3FF"/>
            <w:tcMar>
              <w:left w:w="40" w:type="dxa"/>
              <w:right w:w="40" w:type="dxa"/>
            </w:tcMar>
          </w:tcPr>
          <w:p w:rsidR="006F45C1" w:rsidRPr="00062958" w:rsidRDefault="006F45C1" w:rsidP="009A486D">
            <w:pPr>
              <w:pStyle w:val="TableRowHeadings"/>
              <w:rPr>
                <w:lang w:eastAsia="en-AU"/>
              </w:rPr>
            </w:pPr>
            <w:r w:rsidRPr="00062958">
              <w:rPr>
                <w:lang w:eastAsia="en-AU"/>
              </w:rPr>
              <w:t>Mental health literacy</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43.6</w:t>
            </w:r>
          </w:p>
        </w:tc>
        <w:tc>
          <w:tcPr>
            <w:tcW w:w="1831"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28.2</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36.4</w:t>
            </w:r>
          </w:p>
        </w:tc>
      </w:tr>
      <w:tr w:rsidR="006F45C1" w:rsidRPr="00062958" w:rsidTr="00E30271">
        <w:trPr>
          <w:cantSplit/>
          <w:jc w:val="center"/>
        </w:trPr>
        <w:tc>
          <w:tcPr>
            <w:tcW w:w="3981" w:type="dxa"/>
            <w:tcBorders>
              <w:top w:val="nil"/>
              <w:bottom w:val="single" w:sz="4" w:space="0" w:color="FFFFFF"/>
              <w:right w:val="nil"/>
            </w:tcBorders>
            <w:shd w:val="clear" w:color="auto" w:fill="EFF3FF"/>
            <w:tcMar>
              <w:left w:w="40" w:type="dxa"/>
              <w:right w:w="40" w:type="dxa"/>
            </w:tcMar>
          </w:tcPr>
          <w:p w:rsidR="006F45C1" w:rsidRPr="00062958" w:rsidRDefault="006F45C1" w:rsidP="009A486D">
            <w:pPr>
              <w:pStyle w:val="TableRowHeadings"/>
              <w:rPr>
                <w:lang w:eastAsia="en-AU"/>
              </w:rPr>
            </w:pPr>
            <w:r w:rsidRPr="00062958">
              <w:rPr>
                <w:lang w:eastAsia="en-AU"/>
              </w:rPr>
              <w:t>Accessibility</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36.2</w:t>
            </w:r>
          </w:p>
        </w:tc>
        <w:tc>
          <w:tcPr>
            <w:tcW w:w="1831"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24.9</w:t>
            </w:r>
          </w:p>
        </w:tc>
        <w:tc>
          <w:tcPr>
            <w:tcW w:w="1655" w:type="dxa"/>
            <w:tcBorders>
              <w:top w:val="nil"/>
              <w:left w:val="nil"/>
              <w:bottom w:val="nil"/>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30.9</w:t>
            </w:r>
          </w:p>
        </w:tc>
      </w:tr>
      <w:tr w:rsidR="006F45C1" w:rsidRPr="00062958" w:rsidTr="00E30271">
        <w:trPr>
          <w:cantSplit/>
          <w:jc w:val="center"/>
        </w:trPr>
        <w:tc>
          <w:tcPr>
            <w:tcW w:w="3981" w:type="dxa"/>
            <w:tcBorders>
              <w:top w:val="nil"/>
              <w:bottom w:val="single" w:sz="6" w:space="0" w:color="000000"/>
              <w:right w:val="nil"/>
            </w:tcBorders>
            <w:shd w:val="clear" w:color="auto" w:fill="EFF3FF"/>
            <w:tcMar>
              <w:left w:w="40" w:type="dxa"/>
              <w:right w:w="40" w:type="dxa"/>
            </w:tcMar>
          </w:tcPr>
          <w:p w:rsidR="006F45C1" w:rsidRPr="00062958" w:rsidRDefault="006F45C1" w:rsidP="009A486D">
            <w:pPr>
              <w:pStyle w:val="TableRowHeadings"/>
              <w:rPr>
                <w:lang w:eastAsia="en-AU"/>
              </w:rPr>
            </w:pPr>
            <w:r w:rsidRPr="00062958">
              <w:rPr>
                <w:lang w:eastAsia="en-AU"/>
              </w:rPr>
              <w:t>Child-related</w:t>
            </w:r>
          </w:p>
        </w:tc>
        <w:tc>
          <w:tcPr>
            <w:tcW w:w="1655" w:type="dxa"/>
            <w:tcBorders>
              <w:top w:val="nil"/>
              <w:left w:val="nil"/>
              <w:bottom w:val="single" w:sz="6" w:space="0" w:color="000000"/>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np</w:t>
            </w:r>
          </w:p>
        </w:tc>
        <w:tc>
          <w:tcPr>
            <w:tcW w:w="1831" w:type="dxa"/>
            <w:tcBorders>
              <w:top w:val="nil"/>
              <w:left w:val="nil"/>
              <w:bottom w:val="single" w:sz="6" w:space="0" w:color="000000"/>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34.8</w:t>
            </w:r>
          </w:p>
        </w:tc>
        <w:tc>
          <w:tcPr>
            <w:tcW w:w="1655" w:type="dxa"/>
            <w:tcBorders>
              <w:top w:val="nil"/>
              <w:left w:val="nil"/>
              <w:bottom w:val="single" w:sz="6" w:space="0" w:color="000000"/>
              <w:right w:val="nil"/>
            </w:tcBorders>
            <w:shd w:val="clear" w:color="auto" w:fill="FFFFFF"/>
            <w:tcMar>
              <w:left w:w="40" w:type="dxa"/>
              <w:right w:w="40" w:type="dxa"/>
            </w:tcMar>
            <w:vAlign w:val="bottom"/>
          </w:tcPr>
          <w:p w:rsidR="006F45C1" w:rsidRPr="00062958" w:rsidRDefault="006F45C1" w:rsidP="009A486D">
            <w:pPr>
              <w:pStyle w:val="TableDataCell"/>
              <w:rPr>
                <w:lang w:eastAsia="en-AU"/>
              </w:rPr>
            </w:pPr>
            <w:r>
              <w:rPr>
                <w:lang w:eastAsia="en-AU"/>
              </w:rPr>
              <w:t>17.3</w:t>
            </w:r>
          </w:p>
        </w:tc>
      </w:tr>
    </w:tbl>
    <w:p w:rsidR="00E30271" w:rsidRDefault="00E30271" w:rsidP="00E30271">
      <w:pPr>
        <w:pStyle w:val="TableFootnote"/>
      </w:pPr>
      <w:proofErr w:type="gramStart"/>
      <w:r>
        <w:t>np</w:t>
      </w:r>
      <w:proofErr w:type="gramEnd"/>
      <w:r>
        <w:tab/>
        <w:t>Not available for publication because of small cell size, but included in totals where applicable.</w:t>
      </w:r>
    </w:p>
    <w:bookmarkEnd w:id="187"/>
    <w:p w:rsidR="00E30271" w:rsidRDefault="00E30271" w:rsidP="00E30271">
      <w:pPr>
        <w:pStyle w:val="Heading2"/>
        <w:ind w:left="720" w:hanging="720"/>
      </w:pPr>
      <w:r>
        <w:t xml:space="preserve">8.3 </w:t>
      </w:r>
      <w:r>
        <w:tab/>
        <w:t>Perceived need for help for parents and carers</w:t>
      </w:r>
      <w:bookmarkEnd w:id="188"/>
      <w:r>
        <w:t xml:space="preserve"> of children and adolescents with mental disorders</w:t>
      </w:r>
    </w:p>
    <w:p w:rsidR="00E30271" w:rsidRDefault="00E30271" w:rsidP="00E30271">
      <w:pPr>
        <w:pStyle w:val="BodyText"/>
      </w:pPr>
      <w:r>
        <w:t xml:space="preserve">Parents and carers of children and adolescents with emotional and behavioural problems were also asked about whether they themselves or another family member had received any help to deal with their children’s problems, whether their own needs had been met and, if not, what types of help they felt that they needed. </w:t>
      </w:r>
      <w:r w:rsidRPr="007544B7">
        <w:t>Two fifths (39.0%) of parents and carers reported that they had no need for any type of help (</w:t>
      </w:r>
      <w:r>
        <w:t>Table 8-</w:t>
      </w:r>
      <w:r>
        <w:rPr>
          <w:noProof/>
        </w:rPr>
        <w:t>8</w:t>
      </w:r>
      <w:r w:rsidRPr="007544B7">
        <w:t>).</w:t>
      </w:r>
    </w:p>
    <w:p w:rsidR="00E30271" w:rsidRPr="007544B7" w:rsidRDefault="00E30271" w:rsidP="00E30271">
      <w:pPr>
        <w:pStyle w:val="BodyText"/>
      </w:pPr>
      <w:r w:rsidRPr="007544B7">
        <w:t xml:space="preserve">Of those </w:t>
      </w:r>
      <w:r>
        <w:t>who reported a need for any type of help</w:t>
      </w:r>
      <w:r w:rsidRPr="007544B7">
        <w:t xml:space="preserve"> (61.0%), </w:t>
      </w:r>
      <w:r>
        <w:t>four fifths</w:t>
      </w:r>
      <w:r w:rsidRPr="007544B7">
        <w:t xml:space="preserve"> (</w:t>
      </w:r>
      <w:r>
        <w:t>78.1</w:t>
      </w:r>
      <w:r w:rsidRPr="007544B7">
        <w:t>%) indicated their needs were met either fully (</w:t>
      </w:r>
      <w:r>
        <w:t>37.3</w:t>
      </w:r>
      <w:r w:rsidRPr="007544B7">
        <w:t>%) or in part (</w:t>
      </w:r>
      <w:r>
        <w:t>40.8</w:t>
      </w:r>
      <w:r w:rsidRPr="007544B7">
        <w:t>%)</w:t>
      </w:r>
      <w:r>
        <w:t xml:space="preserve"> (Table 8-</w:t>
      </w:r>
      <w:r>
        <w:rPr>
          <w:noProof/>
        </w:rPr>
        <w:t>9</w:t>
      </w:r>
      <w:r>
        <w:t>)</w:t>
      </w:r>
      <w:r w:rsidRPr="007544B7">
        <w:t xml:space="preserve">. </w:t>
      </w:r>
      <w:r>
        <w:t>Conversely, around one fifth</w:t>
      </w:r>
      <w:r w:rsidRPr="007544B7">
        <w:t xml:space="preserve"> (</w:t>
      </w:r>
      <w:r>
        <w:t>21.9</w:t>
      </w:r>
      <w:r w:rsidRPr="007544B7">
        <w:t>%) reported unmet need.</w:t>
      </w:r>
    </w:p>
    <w:p w:rsidR="00E30271" w:rsidRDefault="00E30271" w:rsidP="00E30271">
      <w:pPr>
        <w:pStyle w:val="BodyText"/>
      </w:pPr>
      <w:r>
        <w:t xml:space="preserve">The type of help for which there was greatest need was counselling, not only </w:t>
      </w:r>
      <w:r w:rsidRPr="00B7586A">
        <w:rPr>
          <w:lang w:eastAsia="en-AU"/>
        </w:rPr>
        <w:t>on how to manage</w:t>
      </w:r>
      <w:r>
        <w:rPr>
          <w:lang w:eastAsia="en-AU"/>
        </w:rPr>
        <w:t xml:space="preserve"> the</w:t>
      </w:r>
      <w:r w:rsidRPr="00B7586A">
        <w:rPr>
          <w:lang w:eastAsia="en-AU"/>
        </w:rPr>
        <w:t xml:space="preserve"> child's problems</w:t>
      </w:r>
      <w:r>
        <w:rPr>
          <w:lang w:eastAsia="en-AU"/>
        </w:rPr>
        <w:t xml:space="preserve">, but also to help family relationships and to deal with parents’ and carers’ own </w:t>
      </w:r>
      <w:r w:rsidRPr="00B7586A">
        <w:rPr>
          <w:lang w:eastAsia="en-AU"/>
        </w:rPr>
        <w:t>problems, worries or stresses</w:t>
      </w:r>
      <w:r>
        <w:rPr>
          <w:lang w:eastAsia="en-AU"/>
        </w:rPr>
        <w:t xml:space="preserve"> as a result of their child’s problems. Counselling was </w:t>
      </w:r>
      <w:r>
        <w:t xml:space="preserve">identified </w:t>
      </w:r>
      <w:r w:rsidRPr="00D43E8A">
        <w:t>by 86.5%</w:t>
      </w:r>
      <w:r>
        <w:t xml:space="preserve"> of parents and carer’s who indicated some need for help.  While </w:t>
      </w:r>
      <w:r w:rsidRPr="00FB2068">
        <w:t xml:space="preserve">this need was either fully or partially met for </w:t>
      </w:r>
      <w:r>
        <w:t>nearly two thirds</w:t>
      </w:r>
      <w:r w:rsidRPr="00FB2068">
        <w:t xml:space="preserve"> of parents and carers</w:t>
      </w:r>
      <w:r>
        <w:t xml:space="preserve"> </w:t>
      </w:r>
      <w:r w:rsidRPr="00D43E8A">
        <w:t>(64.4%),</w:t>
      </w:r>
      <w:r>
        <w:t xml:space="preserve"> 45.6% of parents and carers reported their needs for counselling on how to manage their children’s problems were not being met at all, 44.8% had unmet need for counselling to help family relationships, and 38.7% had unmet need for counselling for their own problems, worries or stresses as a result of their child’s problems. </w:t>
      </w:r>
    </w:p>
    <w:p w:rsidR="00E30271" w:rsidRDefault="00E30271" w:rsidP="00E30271">
      <w:pPr>
        <w:pStyle w:val="BodyText"/>
      </w:pPr>
      <w:r>
        <w:t>In terms of information about their child’s problems, treatments and services, 41.0% had any need of which one third (32.6%) had unmet need. About one fifth (18.4%) of parents and carers reported some need for a parenting skills course of which over half (52.4%) did not have these needs met.</w:t>
      </w:r>
    </w:p>
    <w:p w:rsidR="00E30271" w:rsidRDefault="00E30271" w:rsidP="00E30271">
      <w:pPr>
        <w:pStyle w:val="Caption"/>
        <w:keepNext/>
        <w:pageBreakBefore/>
        <w:spacing w:before="0"/>
      </w:pPr>
      <w:bookmarkStart w:id="189" w:name="_Ref409616562"/>
      <w:r>
        <w:lastRenderedPageBreak/>
        <w:t>Table 8-</w:t>
      </w:r>
      <w:r>
        <w:rPr>
          <w:noProof/>
        </w:rPr>
        <w:t>8</w:t>
      </w:r>
      <w:bookmarkEnd w:id="189"/>
      <w:r>
        <w:t>: Perceived need for help in past 12 months for parents and carers to deal with problems of 4-17 year-olds with mental disorders</w:t>
      </w:r>
    </w:p>
    <w:tbl>
      <w:tblPr>
        <w:tblW w:w="9114" w:type="dxa"/>
        <w:jc w:val="center"/>
        <w:tblLayout w:type="fixed"/>
        <w:tblCellMar>
          <w:left w:w="0" w:type="dxa"/>
          <w:right w:w="0" w:type="dxa"/>
        </w:tblCellMar>
        <w:tblLook w:val="0020" w:firstRow="1" w:lastRow="0" w:firstColumn="0" w:lastColumn="0" w:noHBand="0" w:noVBand="0"/>
        <w:tblDescription w:val="In Table 8-8 the first column defines type of help. Read across the rows for the proportion of 4-17 year-olds with mental disorders whose parent or carer reported a need for that type of help to deal with their child's problems."/>
      </w:tblPr>
      <w:tblGrid>
        <w:gridCol w:w="6378"/>
        <w:gridCol w:w="2736"/>
      </w:tblGrid>
      <w:tr w:rsidR="00E30271" w:rsidRPr="007B4591" w:rsidTr="00E30271">
        <w:trPr>
          <w:cantSplit/>
          <w:tblHeader/>
          <w:jc w:val="center"/>
        </w:trPr>
        <w:tc>
          <w:tcPr>
            <w:tcW w:w="6378"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Type of help</w:t>
            </w:r>
          </w:p>
        </w:tc>
        <w:tc>
          <w:tcPr>
            <w:tcW w:w="27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Any need (%)</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Information about child's problems, treatments and services</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41.0</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Counselling on how to manage child's problems</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44.4</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Pr>
                <w:lang w:eastAsia="en-AU"/>
              </w:rPr>
              <w:t>C</w:t>
            </w:r>
            <w:r w:rsidRPr="007B4591">
              <w:rPr>
                <w:lang w:eastAsia="en-AU"/>
              </w:rPr>
              <w:t>ounselling to help family relationships</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30.0</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Counselling for own problems, worries or stresses</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36.1</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Parenting skills course</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18.4</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Respite care</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11.3</w:t>
            </w:r>
          </w:p>
        </w:tc>
      </w:tr>
      <w:tr w:rsidR="00E30271" w:rsidRPr="007B4591" w:rsidTr="00E30271">
        <w:trPr>
          <w:cantSplit/>
          <w:jc w:val="center"/>
        </w:trPr>
        <w:tc>
          <w:tcPr>
            <w:tcW w:w="6378" w:type="dxa"/>
            <w:tcBorders>
              <w:top w:val="nil"/>
              <w:bottom w:val="single" w:sz="4" w:space="0" w:color="FFFFFF"/>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Support group</w:t>
            </w:r>
          </w:p>
        </w:tc>
        <w:tc>
          <w:tcPr>
            <w:tcW w:w="2736" w:type="dxa"/>
            <w:tcBorders>
              <w:top w:val="nil"/>
              <w:left w:val="nil"/>
              <w:bottom w:val="nil"/>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13.6</w:t>
            </w:r>
          </w:p>
        </w:tc>
      </w:tr>
      <w:tr w:rsidR="00E30271" w:rsidRPr="007B4591" w:rsidTr="00E30271">
        <w:trPr>
          <w:cantSplit/>
          <w:jc w:val="center"/>
        </w:trPr>
        <w:tc>
          <w:tcPr>
            <w:tcW w:w="6378" w:type="dxa"/>
            <w:tcBorders>
              <w:top w:val="nil"/>
              <w:bottom w:val="single" w:sz="4" w:space="0" w:color="auto"/>
              <w:right w:val="nil"/>
            </w:tcBorders>
            <w:shd w:val="clear" w:color="auto" w:fill="EFF3FF"/>
            <w:tcMar>
              <w:left w:w="40" w:type="dxa"/>
              <w:right w:w="40" w:type="dxa"/>
            </w:tcMar>
          </w:tcPr>
          <w:p w:rsidR="00E30271" w:rsidRPr="007B4591" w:rsidRDefault="00E30271" w:rsidP="00E30271">
            <w:pPr>
              <w:pStyle w:val="TableRowHeadings"/>
              <w:rPr>
                <w:lang w:eastAsia="en-AU"/>
              </w:rPr>
            </w:pPr>
            <w:r w:rsidRPr="007B4591">
              <w:rPr>
                <w:lang w:eastAsia="en-AU"/>
              </w:rPr>
              <w:t>Help to meet people for support or company</w:t>
            </w:r>
          </w:p>
        </w:tc>
        <w:tc>
          <w:tcPr>
            <w:tcW w:w="2736" w:type="dxa"/>
            <w:tcBorders>
              <w:top w:val="nil"/>
              <w:left w:val="nil"/>
              <w:bottom w:val="single" w:sz="4" w:space="0" w:color="auto"/>
              <w:right w:val="nil"/>
            </w:tcBorders>
            <w:shd w:val="clear" w:color="auto" w:fill="FFFFFF"/>
            <w:tcMar>
              <w:left w:w="40" w:type="dxa"/>
              <w:right w:w="40" w:type="dxa"/>
            </w:tcMar>
            <w:vAlign w:val="bottom"/>
          </w:tcPr>
          <w:p w:rsidR="00E30271" w:rsidRPr="007B4591" w:rsidRDefault="00E30271" w:rsidP="00E30271">
            <w:pPr>
              <w:pStyle w:val="TableDataCell"/>
              <w:rPr>
                <w:lang w:eastAsia="en-AU"/>
              </w:rPr>
            </w:pPr>
            <w:r w:rsidRPr="007B4591">
              <w:rPr>
                <w:lang w:eastAsia="en-AU"/>
              </w:rPr>
              <w:t>10.3</w:t>
            </w:r>
          </w:p>
        </w:tc>
      </w:tr>
      <w:tr w:rsidR="00E30271" w:rsidRPr="007B4591" w:rsidTr="00E30271">
        <w:trPr>
          <w:cantSplit/>
          <w:jc w:val="center"/>
        </w:trPr>
        <w:tc>
          <w:tcPr>
            <w:tcW w:w="6378" w:type="dxa"/>
            <w:tcBorders>
              <w:top w:val="single" w:sz="4" w:space="0" w:color="auto"/>
              <w:bottom w:val="single" w:sz="6" w:space="0" w:color="000000"/>
              <w:right w:val="nil"/>
            </w:tcBorders>
            <w:shd w:val="clear" w:color="auto" w:fill="EFF3FF"/>
            <w:tcMar>
              <w:left w:w="40" w:type="dxa"/>
              <w:right w:w="40" w:type="dxa"/>
            </w:tcMar>
          </w:tcPr>
          <w:p w:rsidR="00E30271" w:rsidRPr="008F35D5" w:rsidRDefault="00E30271" w:rsidP="00E30271">
            <w:pPr>
              <w:pStyle w:val="TableRowHeadings"/>
              <w:rPr>
                <w:rStyle w:val="Strong"/>
              </w:rPr>
            </w:pPr>
            <w:r w:rsidRPr="008F35D5">
              <w:rPr>
                <w:rStyle w:val="Strong"/>
              </w:rPr>
              <w:t>Any type of help</w:t>
            </w:r>
          </w:p>
        </w:tc>
        <w:tc>
          <w:tcPr>
            <w:tcW w:w="2736"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8F35D5" w:rsidRDefault="00E30271" w:rsidP="00E30271">
            <w:pPr>
              <w:pStyle w:val="TableDataCell"/>
              <w:rPr>
                <w:rStyle w:val="Strong"/>
              </w:rPr>
            </w:pPr>
            <w:r w:rsidRPr="008F35D5">
              <w:rPr>
                <w:rStyle w:val="Strong"/>
              </w:rPr>
              <w:t>61.0</w:t>
            </w:r>
          </w:p>
        </w:tc>
      </w:tr>
    </w:tbl>
    <w:p w:rsidR="00E30271" w:rsidRDefault="00E30271" w:rsidP="00E30271">
      <w:pPr>
        <w:pStyle w:val="Caption"/>
        <w:keepNext/>
      </w:pPr>
      <w:bookmarkStart w:id="190" w:name="_Ref409509655"/>
      <w:r>
        <w:t>Table 8-</w:t>
      </w:r>
      <w:r>
        <w:rPr>
          <w:noProof/>
        </w:rPr>
        <w:t>9</w:t>
      </w:r>
      <w:bookmarkEnd w:id="190"/>
      <w:r>
        <w:t xml:space="preserve">: </w:t>
      </w:r>
      <w:r w:rsidRPr="00356837">
        <w:t xml:space="preserve">Level of perceived need for help </w:t>
      </w:r>
      <w:r>
        <w:t xml:space="preserve">in past 12 months </w:t>
      </w:r>
      <w:r w:rsidRPr="00356837">
        <w:t xml:space="preserve">among parents and carers reporting </w:t>
      </w:r>
      <w:r>
        <w:t xml:space="preserve">any </w:t>
      </w:r>
      <w:r w:rsidRPr="00356837">
        <w:t xml:space="preserve">need for help to deal with problems </w:t>
      </w:r>
      <w:r>
        <w:t>of</w:t>
      </w:r>
      <w:r w:rsidRPr="00356837">
        <w:t xml:space="preserve"> 4-17 year-olds with mental disorders</w:t>
      </w:r>
    </w:p>
    <w:tbl>
      <w:tblPr>
        <w:tblW w:w="9138" w:type="dxa"/>
        <w:jc w:val="center"/>
        <w:tblLayout w:type="fixed"/>
        <w:tblCellMar>
          <w:left w:w="0" w:type="dxa"/>
          <w:right w:w="0" w:type="dxa"/>
        </w:tblCellMar>
        <w:tblLook w:val="0020" w:firstRow="1" w:lastRow="0" w:firstColumn="0" w:lastColumn="0" w:noHBand="0" w:noVBand="0"/>
        <w:tblDescription w:val="In Table 8-9 the first column defines type of help. Read across the rows for the proportion of 4-17 year-olds with mental disorders whose parent or carer reported a need for that type of help whose needs were fully met, then partially met, and finally the proportion whose needs were unmet."/>
      </w:tblPr>
      <w:tblGrid>
        <w:gridCol w:w="5114"/>
        <w:gridCol w:w="1341"/>
        <w:gridCol w:w="1341"/>
        <w:gridCol w:w="1342"/>
      </w:tblGrid>
      <w:tr w:rsidR="00E30271" w:rsidRPr="00C803D9" w:rsidTr="00E30271">
        <w:trPr>
          <w:cantSplit/>
          <w:tblHeader/>
          <w:jc w:val="center"/>
        </w:trPr>
        <w:tc>
          <w:tcPr>
            <w:tcW w:w="5114"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jc w:val="left"/>
              <w:rPr>
                <w:rStyle w:val="Strong"/>
              </w:rPr>
            </w:pPr>
            <w:r w:rsidRPr="00402981">
              <w:rPr>
                <w:rStyle w:val="Strong"/>
              </w:rPr>
              <w:t>Type of help</w:t>
            </w:r>
          </w:p>
        </w:tc>
        <w:tc>
          <w:tcPr>
            <w:tcW w:w="134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Fully met need (%)</w:t>
            </w:r>
          </w:p>
        </w:tc>
        <w:tc>
          <w:tcPr>
            <w:tcW w:w="134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Partially met need (%)</w:t>
            </w:r>
          </w:p>
        </w:tc>
        <w:tc>
          <w:tcPr>
            <w:tcW w:w="134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402981" w:rsidRDefault="00E30271" w:rsidP="00E30271">
            <w:pPr>
              <w:pStyle w:val="TableColumnHeadings"/>
              <w:rPr>
                <w:rStyle w:val="Strong"/>
              </w:rPr>
            </w:pPr>
            <w:r w:rsidRPr="00402981">
              <w:rPr>
                <w:rStyle w:val="Strong"/>
              </w:rPr>
              <w:t>Unmet need (%)</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Information about child's problems, treatments and services</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40.6</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26.8</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32.6</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Counselling on how to manage child's problems</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30.3</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24.2</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45.6</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Pr>
                <w:lang w:eastAsia="en-AU"/>
              </w:rPr>
              <w:t>C</w:t>
            </w:r>
            <w:r w:rsidRPr="00C803D9">
              <w:rPr>
                <w:lang w:eastAsia="en-AU"/>
              </w:rPr>
              <w:t>ounselling to help family relationships</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27.9</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27.3</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44.8</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Counselling for own problems, worries or stresses</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37.2</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24.1</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38.7</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Parenting skills course</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35.0</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12.6</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52.4</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Respite care</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18.2</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18.2</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63.6</w:t>
            </w:r>
          </w:p>
        </w:tc>
      </w:tr>
      <w:tr w:rsidR="00E30271" w:rsidRPr="00C803D9" w:rsidTr="00E30271">
        <w:trPr>
          <w:cantSplit/>
          <w:jc w:val="center"/>
        </w:trPr>
        <w:tc>
          <w:tcPr>
            <w:tcW w:w="5114" w:type="dxa"/>
            <w:tcBorders>
              <w:top w:val="nil"/>
              <w:bottom w:val="single" w:sz="4" w:space="0" w:color="FFFFFF"/>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Support group</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25.3</w:t>
            </w:r>
          </w:p>
        </w:tc>
        <w:tc>
          <w:tcPr>
            <w:tcW w:w="1341"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16.7</w:t>
            </w:r>
          </w:p>
        </w:tc>
        <w:tc>
          <w:tcPr>
            <w:tcW w:w="1342" w:type="dxa"/>
            <w:tcBorders>
              <w:top w:val="nil"/>
              <w:left w:val="nil"/>
              <w:bottom w:val="nil"/>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58.0</w:t>
            </w:r>
          </w:p>
        </w:tc>
      </w:tr>
      <w:tr w:rsidR="00E30271" w:rsidRPr="00C803D9" w:rsidTr="00E30271">
        <w:trPr>
          <w:cantSplit/>
          <w:jc w:val="center"/>
        </w:trPr>
        <w:tc>
          <w:tcPr>
            <w:tcW w:w="5114" w:type="dxa"/>
            <w:tcBorders>
              <w:top w:val="nil"/>
              <w:bottom w:val="single" w:sz="4" w:space="0" w:color="auto"/>
              <w:right w:val="nil"/>
            </w:tcBorders>
            <w:shd w:val="clear" w:color="auto" w:fill="EFF3FF"/>
            <w:tcMar>
              <w:left w:w="40" w:type="dxa"/>
              <w:right w:w="40" w:type="dxa"/>
            </w:tcMar>
          </w:tcPr>
          <w:p w:rsidR="00E30271" w:rsidRPr="00C803D9" w:rsidRDefault="00E30271" w:rsidP="00E30271">
            <w:pPr>
              <w:pStyle w:val="TableRowHeadings"/>
              <w:rPr>
                <w:lang w:eastAsia="en-AU"/>
              </w:rPr>
            </w:pPr>
            <w:r w:rsidRPr="00C803D9">
              <w:rPr>
                <w:lang w:eastAsia="en-AU"/>
              </w:rPr>
              <w:t>Help to meet people for support or company</w:t>
            </w:r>
          </w:p>
        </w:tc>
        <w:tc>
          <w:tcPr>
            <w:tcW w:w="1341" w:type="dxa"/>
            <w:tcBorders>
              <w:top w:val="nil"/>
              <w:left w:val="nil"/>
              <w:bottom w:val="single" w:sz="4" w:space="0" w:color="auto"/>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15.9</w:t>
            </w:r>
          </w:p>
        </w:tc>
        <w:tc>
          <w:tcPr>
            <w:tcW w:w="1341" w:type="dxa"/>
            <w:tcBorders>
              <w:top w:val="nil"/>
              <w:left w:val="nil"/>
              <w:bottom w:val="single" w:sz="4" w:space="0" w:color="auto"/>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11.8</w:t>
            </w:r>
          </w:p>
        </w:tc>
        <w:tc>
          <w:tcPr>
            <w:tcW w:w="1342" w:type="dxa"/>
            <w:tcBorders>
              <w:top w:val="nil"/>
              <w:left w:val="nil"/>
              <w:bottom w:val="single" w:sz="4" w:space="0" w:color="auto"/>
              <w:right w:val="nil"/>
            </w:tcBorders>
            <w:shd w:val="clear" w:color="auto" w:fill="FFFFFF"/>
            <w:tcMar>
              <w:left w:w="40" w:type="dxa"/>
              <w:right w:w="40" w:type="dxa"/>
            </w:tcMar>
            <w:vAlign w:val="bottom"/>
          </w:tcPr>
          <w:p w:rsidR="00E30271" w:rsidRPr="00C803D9" w:rsidRDefault="00E30271" w:rsidP="00E30271">
            <w:pPr>
              <w:pStyle w:val="TableDataCell"/>
              <w:rPr>
                <w:lang w:eastAsia="en-AU"/>
              </w:rPr>
            </w:pPr>
            <w:r w:rsidRPr="00C803D9">
              <w:rPr>
                <w:lang w:eastAsia="en-AU"/>
              </w:rPr>
              <w:t>72.3</w:t>
            </w:r>
          </w:p>
        </w:tc>
      </w:tr>
      <w:tr w:rsidR="00E30271" w:rsidRPr="00C803D9" w:rsidTr="00E30271">
        <w:trPr>
          <w:cantSplit/>
          <w:jc w:val="center"/>
        </w:trPr>
        <w:tc>
          <w:tcPr>
            <w:tcW w:w="5114" w:type="dxa"/>
            <w:tcBorders>
              <w:top w:val="single" w:sz="4" w:space="0" w:color="auto"/>
              <w:bottom w:val="single" w:sz="6" w:space="0" w:color="000000"/>
              <w:right w:val="nil"/>
            </w:tcBorders>
            <w:shd w:val="clear" w:color="auto" w:fill="EFF3FF"/>
            <w:tcMar>
              <w:left w:w="40" w:type="dxa"/>
              <w:right w:w="40" w:type="dxa"/>
            </w:tcMar>
          </w:tcPr>
          <w:p w:rsidR="00E30271" w:rsidRPr="008F35D5" w:rsidRDefault="00E30271" w:rsidP="00E30271">
            <w:pPr>
              <w:pStyle w:val="TableRowHeadings"/>
              <w:rPr>
                <w:rStyle w:val="Strong"/>
              </w:rPr>
            </w:pPr>
            <w:r w:rsidRPr="008F35D5">
              <w:rPr>
                <w:rStyle w:val="Strong"/>
              </w:rPr>
              <w:t>Any type of help</w:t>
            </w:r>
          </w:p>
        </w:tc>
        <w:tc>
          <w:tcPr>
            <w:tcW w:w="134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8F35D5" w:rsidRDefault="00E30271" w:rsidP="00E30271">
            <w:pPr>
              <w:pStyle w:val="TableDataCell"/>
              <w:rPr>
                <w:rStyle w:val="Strong"/>
              </w:rPr>
            </w:pPr>
            <w:r w:rsidRPr="008F35D5">
              <w:rPr>
                <w:rStyle w:val="Strong"/>
              </w:rPr>
              <w:t>37.3</w:t>
            </w:r>
          </w:p>
        </w:tc>
        <w:tc>
          <w:tcPr>
            <w:tcW w:w="1341"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8F35D5" w:rsidRDefault="00E30271" w:rsidP="00E30271">
            <w:pPr>
              <w:pStyle w:val="TableDataCell"/>
              <w:rPr>
                <w:rStyle w:val="Strong"/>
              </w:rPr>
            </w:pPr>
            <w:r w:rsidRPr="008F35D5">
              <w:rPr>
                <w:rStyle w:val="Strong"/>
              </w:rPr>
              <w:t>40.8</w:t>
            </w:r>
          </w:p>
        </w:tc>
        <w:tc>
          <w:tcPr>
            <w:tcW w:w="1342"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8F35D5" w:rsidRDefault="00E30271" w:rsidP="00E30271">
            <w:pPr>
              <w:pStyle w:val="TableDataCell"/>
              <w:rPr>
                <w:rStyle w:val="Strong"/>
              </w:rPr>
            </w:pPr>
            <w:r w:rsidRPr="008F35D5">
              <w:rPr>
                <w:rStyle w:val="Strong"/>
              </w:rPr>
              <w:t>21.9</w:t>
            </w:r>
          </w:p>
        </w:tc>
      </w:tr>
    </w:tbl>
    <w:p w:rsidR="00E30271" w:rsidRPr="00555E74" w:rsidRDefault="00E30271" w:rsidP="00555E74"/>
    <w:p w:rsidR="00E30271" w:rsidRDefault="00E30271" w:rsidP="00DB066C">
      <w:pPr>
        <w:jc w:val="center"/>
        <w:sectPr w:rsidR="00E30271" w:rsidSect="003330E0">
          <w:headerReference w:type="even" r:id="rId97"/>
          <w:headerReference w:type="default" r:id="rId98"/>
          <w:footerReference w:type="even" r:id="rId99"/>
          <w:footerReference w:type="default" r:id="rId100"/>
          <w:headerReference w:type="first" r:id="rId101"/>
          <w:footerReference w:type="first" r:id="rId102"/>
          <w:pgSz w:w="11906" w:h="16838" w:code="9"/>
          <w:pgMar w:top="1440" w:right="1440" w:bottom="1440" w:left="1440" w:header="567" w:footer="567" w:gutter="0"/>
          <w:pgNumType w:start="89"/>
          <w:cols w:space="720"/>
          <w:docGrid w:linePitch="360"/>
        </w:sectPr>
      </w:pPr>
    </w:p>
    <w:p w:rsidR="00E30271" w:rsidRDefault="00E30271" w:rsidP="00E30271">
      <w:pPr>
        <w:pStyle w:val="Heading1"/>
        <w:ind w:left="709" w:hanging="709"/>
      </w:pPr>
      <w:bookmarkStart w:id="191" w:name="_Toc401758812"/>
      <w:r>
        <w:lastRenderedPageBreak/>
        <w:t>9</w:t>
      </w:r>
      <w:r>
        <w:tab/>
        <w:t>The role of school</w:t>
      </w:r>
      <w:bookmarkEnd w:id="191"/>
      <w:r>
        <w:t xml:space="preserve">s and impact on education </w:t>
      </w:r>
    </w:p>
    <w:p w:rsidR="00E30271" w:rsidRDefault="00E30271" w:rsidP="00E30271">
      <w:pPr>
        <w:pStyle w:val="BodyText"/>
      </w:pPr>
      <w:r>
        <w:t xml:space="preserve">Schools and other educational institutions play a significant role in providing services to young people with mental disorders and are sometimes where emotional and behavioural problems are first identified. </w:t>
      </w:r>
    </w:p>
    <w:p w:rsidR="00E30271" w:rsidRDefault="00E30271" w:rsidP="00E30271">
      <w:pPr>
        <w:pStyle w:val="BodyText"/>
      </w:pPr>
      <w:r>
        <w:t xml:space="preserve">This chapter provides an overview of the role played by teachers and other school staff in providing support and other services, and referring young people with emotional and behavioural problems to health service providers. The relationship between mental disorders and school attendance, functioning at school and academic performance is also reported. </w:t>
      </w:r>
    </w:p>
    <w:p w:rsidR="00E30271" w:rsidRDefault="00E30271" w:rsidP="00E30271">
      <w:pPr>
        <w:pStyle w:val="BodyText"/>
      </w:pPr>
      <w:r>
        <w:t>Data are presented for the 95.9% of young people participating in the survey who were either attending school or another educational institution or had attended in the past 12 months and are based on parent and carer reports. This includes children who were attending part-time or full-time schooling prior to Year 1.</w:t>
      </w:r>
    </w:p>
    <w:p w:rsidR="00E30271" w:rsidRDefault="00E30271" w:rsidP="00E30271">
      <w:pPr>
        <w:pStyle w:val="Heading2"/>
        <w:ind w:left="720" w:hanging="720"/>
        <w:rPr>
          <w:lang w:val="en-US"/>
        </w:rPr>
      </w:pPr>
      <w:bookmarkStart w:id="192" w:name="_Toc401758813"/>
      <w:r>
        <w:rPr>
          <w:lang w:val="en-US"/>
        </w:rPr>
        <w:t>9</w:t>
      </w:r>
      <w:r w:rsidRPr="00DE1330">
        <w:rPr>
          <w:lang w:val="en-US"/>
        </w:rPr>
        <w:t>.</w:t>
      </w:r>
      <w:r>
        <w:rPr>
          <w:lang w:val="en-US"/>
        </w:rPr>
        <w:t>1</w:t>
      </w:r>
      <w:r w:rsidRPr="00DE1330">
        <w:rPr>
          <w:lang w:val="en-US"/>
        </w:rPr>
        <w:t xml:space="preserve"> </w:t>
      </w:r>
      <w:r w:rsidRPr="00DE1330">
        <w:rPr>
          <w:lang w:val="en-US"/>
        </w:rPr>
        <w:tab/>
      </w:r>
      <w:r>
        <w:rPr>
          <w:lang w:val="en-US"/>
        </w:rPr>
        <w:t>Identification of young people with emotional or behavioural problems by school staff</w:t>
      </w:r>
      <w:bookmarkEnd w:id="192"/>
    </w:p>
    <w:p w:rsidR="00E30271" w:rsidRDefault="00E30271" w:rsidP="00E30271">
      <w:pPr>
        <w:pStyle w:val="BodyText"/>
        <w:rPr>
          <w:lang w:val="en-US"/>
        </w:rPr>
      </w:pPr>
      <w:r>
        <w:rPr>
          <w:lang w:val="en-US"/>
        </w:rPr>
        <w:t>Where parents had acknowledged that their child or adolescent had ever experienced emotional or behavioural problems that were significant enough to need help, they were asked who it was that thought that their child needed help including school staff.</w:t>
      </w:r>
    </w:p>
    <w:p w:rsidR="00E30271" w:rsidRDefault="00E30271" w:rsidP="00E30271">
      <w:pPr>
        <w:pStyle w:val="BodyText"/>
        <w:rPr>
          <w:lang w:val="en-US"/>
        </w:rPr>
      </w:pPr>
      <w:r>
        <w:rPr>
          <w:lang w:val="en-US"/>
        </w:rPr>
        <w:t>Two fifths (40.5%) of parents and carers reported that a school staff member was among those to suggest that their child may need help for emotional or behavioural problems. Just over a third (35.6%) of parents and carers reported that a school teacher or principal was among those to suggest that their child needed some help for emotional or behavioural problems and 12.0% said that either the school counsellor, psychologist or nurse were among those to identify emotional or behavioural problems in their child or adolescent (</w:t>
      </w:r>
      <w:r>
        <w:t>Table 9-</w:t>
      </w:r>
      <w:r>
        <w:rPr>
          <w:noProof/>
        </w:rPr>
        <w:t>1</w:t>
      </w:r>
      <w:r>
        <w:rPr>
          <w:lang w:val="en-US"/>
        </w:rPr>
        <w:t>).</w:t>
      </w:r>
    </w:p>
    <w:p w:rsidR="00E30271" w:rsidRDefault="00E30271" w:rsidP="00E30271">
      <w:pPr>
        <w:pStyle w:val="Caption"/>
        <w:keepNext/>
      </w:pPr>
      <w:bookmarkStart w:id="193" w:name="_Ref403380265"/>
      <w:r>
        <w:t>Table 9-</w:t>
      </w:r>
      <w:r>
        <w:rPr>
          <w:noProof/>
        </w:rPr>
        <w:t>1</w:t>
      </w:r>
      <w:bookmarkEnd w:id="193"/>
      <w:r>
        <w:t>: Proportion of parents or carers who reported that their child’s emotional or behavioural problems were identified by school staff</w:t>
      </w:r>
    </w:p>
    <w:tbl>
      <w:tblPr>
        <w:tblW w:w="9122" w:type="dxa"/>
        <w:jc w:val="center"/>
        <w:tblLayout w:type="fixed"/>
        <w:tblCellMar>
          <w:left w:w="0" w:type="dxa"/>
          <w:right w:w="0" w:type="dxa"/>
        </w:tblCellMar>
        <w:tblLook w:val="0020" w:firstRow="1" w:lastRow="0" w:firstColumn="0" w:lastColumn="0" w:noHBand="0" w:noVBand="0"/>
        <w:tblDescription w:val="In Table 9-1 the first column defines staff member identifying the problem. Read across the row for the proportion of students in each category."/>
      </w:tblPr>
      <w:tblGrid>
        <w:gridCol w:w="5435"/>
        <w:gridCol w:w="3687"/>
      </w:tblGrid>
      <w:tr w:rsidR="00E30271" w:rsidRPr="004F5667" w:rsidTr="00E30271">
        <w:trPr>
          <w:cantSplit/>
          <w:tblHeader/>
          <w:jc w:val="center"/>
        </w:trPr>
        <w:tc>
          <w:tcPr>
            <w:tcW w:w="5435"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jc w:val="left"/>
              <w:rPr>
                <w:rStyle w:val="Strong"/>
              </w:rPr>
            </w:pPr>
            <w:r w:rsidRPr="00EB0BA7">
              <w:rPr>
                <w:rStyle w:val="Strong"/>
              </w:rPr>
              <w:t>Staff member identifying problem</w:t>
            </w:r>
          </w:p>
        </w:tc>
        <w:tc>
          <w:tcPr>
            <w:tcW w:w="368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Students who have ever had emotional or behavioural problems (%)</w:t>
            </w:r>
          </w:p>
        </w:tc>
      </w:tr>
      <w:tr w:rsidR="00E30271" w:rsidRPr="004F5667" w:rsidTr="00E30271">
        <w:trPr>
          <w:cantSplit/>
          <w:jc w:val="center"/>
        </w:trPr>
        <w:tc>
          <w:tcPr>
            <w:tcW w:w="5435" w:type="dxa"/>
            <w:tcBorders>
              <w:top w:val="nil"/>
              <w:bottom w:val="single" w:sz="4" w:space="0" w:color="FFFFFF"/>
              <w:right w:val="nil"/>
            </w:tcBorders>
            <w:shd w:val="clear" w:color="auto" w:fill="EFF3FF"/>
            <w:tcMar>
              <w:left w:w="40" w:type="dxa"/>
              <w:right w:w="40" w:type="dxa"/>
            </w:tcMar>
          </w:tcPr>
          <w:p w:rsidR="00E30271" w:rsidRPr="00305E08" w:rsidRDefault="00E30271" w:rsidP="00E30271">
            <w:pPr>
              <w:pStyle w:val="TableRowHeadings"/>
            </w:pPr>
            <w:r w:rsidRPr="00305E08">
              <w:t>School teacher or principal</w:t>
            </w:r>
          </w:p>
        </w:tc>
        <w:tc>
          <w:tcPr>
            <w:tcW w:w="3687" w:type="dxa"/>
            <w:tcBorders>
              <w:top w:val="nil"/>
              <w:left w:val="nil"/>
              <w:bottom w:val="nil"/>
              <w:right w:val="nil"/>
            </w:tcBorders>
            <w:shd w:val="clear" w:color="auto" w:fill="FFFFFF"/>
            <w:tcMar>
              <w:left w:w="40" w:type="dxa"/>
              <w:right w:w="40" w:type="dxa"/>
            </w:tcMar>
            <w:vAlign w:val="bottom"/>
          </w:tcPr>
          <w:p w:rsidR="00E30271" w:rsidRPr="004F5667" w:rsidRDefault="00E30271" w:rsidP="00E30271">
            <w:pPr>
              <w:pStyle w:val="TableDataCell"/>
              <w:rPr>
                <w:lang w:eastAsia="en-AU"/>
              </w:rPr>
            </w:pPr>
            <w:r w:rsidRPr="004F5667">
              <w:rPr>
                <w:lang w:eastAsia="en-AU"/>
              </w:rPr>
              <w:t>35.6</w:t>
            </w:r>
          </w:p>
        </w:tc>
      </w:tr>
      <w:tr w:rsidR="00E30271" w:rsidRPr="004F5667" w:rsidTr="00E30271">
        <w:trPr>
          <w:cantSplit/>
          <w:jc w:val="center"/>
        </w:trPr>
        <w:tc>
          <w:tcPr>
            <w:tcW w:w="5435" w:type="dxa"/>
            <w:tcBorders>
              <w:top w:val="nil"/>
              <w:bottom w:val="single" w:sz="4" w:space="0" w:color="auto"/>
              <w:right w:val="nil"/>
            </w:tcBorders>
            <w:shd w:val="clear" w:color="auto" w:fill="EFF3FF"/>
            <w:tcMar>
              <w:left w:w="40" w:type="dxa"/>
              <w:right w:w="40" w:type="dxa"/>
            </w:tcMar>
          </w:tcPr>
          <w:p w:rsidR="00E30271" w:rsidRPr="00305E08" w:rsidRDefault="00E30271" w:rsidP="00E30271">
            <w:pPr>
              <w:pStyle w:val="TableRowHeadings"/>
            </w:pPr>
            <w:r w:rsidRPr="00305E08">
              <w:t>School counsellor, psychologist or nurse</w:t>
            </w:r>
          </w:p>
        </w:tc>
        <w:tc>
          <w:tcPr>
            <w:tcW w:w="3687" w:type="dxa"/>
            <w:tcBorders>
              <w:top w:val="nil"/>
              <w:left w:val="nil"/>
              <w:bottom w:val="single" w:sz="4" w:space="0" w:color="auto"/>
              <w:right w:val="nil"/>
            </w:tcBorders>
            <w:shd w:val="clear" w:color="auto" w:fill="FFFFFF"/>
            <w:tcMar>
              <w:left w:w="40" w:type="dxa"/>
              <w:right w:w="40" w:type="dxa"/>
            </w:tcMar>
            <w:vAlign w:val="bottom"/>
          </w:tcPr>
          <w:p w:rsidR="00E30271" w:rsidRPr="004F5667" w:rsidRDefault="00E30271" w:rsidP="00E30271">
            <w:pPr>
              <w:pStyle w:val="TableDataCell"/>
              <w:rPr>
                <w:lang w:eastAsia="en-AU"/>
              </w:rPr>
            </w:pPr>
            <w:r w:rsidRPr="004F5667">
              <w:rPr>
                <w:lang w:eastAsia="en-AU"/>
              </w:rPr>
              <w:t>12.0</w:t>
            </w:r>
          </w:p>
        </w:tc>
      </w:tr>
      <w:tr w:rsidR="00E30271" w:rsidRPr="006A377D" w:rsidTr="00E30271">
        <w:trPr>
          <w:cantSplit/>
          <w:jc w:val="center"/>
        </w:trPr>
        <w:tc>
          <w:tcPr>
            <w:tcW w:w="5435" w:type="dxa"/>
            <w:tcBorders>
              <w:top w:val="single" w:sz="4" w:space="0" w:color="auto"/>
              <w:bottom w:val="single" w:sz="6" w:space="0" w:color="000000"/>
              <w:right w:val="nil"/>
            </w:tcBorders>
            <w:shd w:val="clear" w:color="auto" w:fill="EFF3FF"/>
            <w:tcMar>
              <w:left w:w="40" w:type="dxa"/>
              <w:right w:w="40" w:type="dxa"/>
            </w:tcMar>
          </w:tcPr>
          <w:p w:rsidR="00E30271" w:rsidRPr="00EB0BA7" w:rsidRDefault="00E30271" w:rsidP="00E30271">
            <w:pPr>
              <w:pStyle w:val="TableRowHeadings"/>
              <w:rPr>
                <w:rStyle w:val="Strong"/>
              </w:rPr>
            </w:pPr>
            <w:r w:rsidRPr="00EB0BA7">
              <w:rPr>
                <w:rStyle w:val="Strong"/>
              </w:rPr>
              <w:t>Any school staff</w:t>
            </w:r>
          </w:p>
        </w:tc>
        <w:tc>
          <w:tcPr>
            <w:tcW w:w="3687"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EB0BA7" w:rsidRDefault="00E30271" w:rsidP="00E30271">
            <w:pPr>
              <w:pStyle w:val="TableDataCell"/>
              <w:rPr>
                <w:rStyle w:val="Strong"/>
              </w:rPr>
            </w:pPr>
            <w:r w:rsidRPr="00EB0BA7">
              <w:rPr>
                <w:rStyle w:val="Strong"/>
              </w:rPr>
              <w:t>40.5</w:t>
            </w:r>
          </w:p>
        </w:tc>
      </w:tr>
    </w:tbl>
    <w:p w:rsidR="00E30271" w:rsidRDefault="00E30271" w:rsidP="00E30271">
      <w:pPr>
        <w:pStyle w:val="Heading2"/>
        <w:ind w:left="709" w:hanging="709"/>
        <w:rPr>
          <w:lang w:val="en-US"/>
        </w:rPr>
      </w:pPr>
      <w:bookmarkStart w:id="194" w:name="_Toc401758814"/>
      <w:r>
        <w:rPr>
          <w:lang w:val="en-US"/>
        </w:rPr>
        <w:t>9</w:t>
      </w:r>
      <w:r w:rsidRPr="00DE1330">
        <w:rPr>
          <w:lang w:val="en-US"/>
        </w:rPr>
        <w:t>.</w:t>
      </w:r>
      <w:r>
        <w:rPr>
          <w:lang w:val="en-US"/>
        </w:rPr>
        <w:t>2</w:t>
      </w:r>
      <w:r w:rsidRPr="00DE1330">
        <w:rPr>
          <w:lang w:val="en-US"/>
        </w:rPr>
        <w:tab/>
      </w:r>
      <w:r>
        <w:rPr>
          <w:lang w:val="en-US"/>
        </w:rPr>
        <w:t xml:space="preserve"> School contact</w:t>
      </w:r>
      <w:bookmarkEnd w:id="194"/>
      <w:r>
        <w:rPr>
          <w:lang w:val="en-US"/>
        </w:rPr>
        <w:t xml:space="preserve"> with families</w:t>
      </w:r>
    </w:p>
    <w:p w:rsidR="00E30271" w:rsidRDefault="00E30271" w:rsidP="00E30271">
      <w:pPr>
        <w:pStyle w:val="BodyText"/>
        <w:rPr>
          <w:lang w:eastAsia="en-AU"/>
        </w:rPr>
      </w:pPr>
      <w:r>
        <w:rPr>
          <w:lang w:eastAsia="en-AU"/>
        </w:rPr>
        <w:t>One eighth (12.8%) of parents and carers had been contacted in the previous 12 months by the school about a range of emotional or behavioural issues, including bullying (both as perpetrator or victim), aggressive behaviour and conduct issues (</w:t>
      </w:r>
      <w:r>
        <w:t>Table 9-</w:t>
      </w:r>
      <w:r>
        <w:rPr>
          <w:noProof/>
        </w:rPr>
        <w:t>2</w:t>
      </w:r>
      <w:r>
        <w:rPr>
          <w:lang w:eastAsia="en-AU"/>
        </w:rPr>
        <w:t xml:space="preserve">). </w:t>
      </w:r>
    </w:p>
    <w:p w:rsidR="00E30271" w:rsidRDefault="00E30271" w:rsidP="00E30271">
      <w:pPr>
        <w:pStyle w:val="BodyText"/>
        <w:rPr>
          <w:lang w:eastAsia="en-AU"/>
        </w:rPr>
      </w:pPr>
      <w:r>
        <w:rPr>
          <w:lang w:eastAsia="en-AU"/>
        </w:rPr>
        <w:t xml:space="preserve">It was more common that schools contacted families about emotional or behavioural issues when the student was male </w:t>
      </w:r>
      <w:r w:rsidRPr="004E763D">
        <w:rPr>
          <w:lang w:eastAsia="en-AU"/>
        </w:rPr>
        <w:t>(</w:t>
      </w:r>
      <w:r>
        <w:rPr>
          <w:lang w:eastAsia="en-AU"/>
        </w:rPr>
        <w:t>16.2</w:t>
      </w:r>
      <w:r w:rsidRPr="004E763D">
        <w:rPr>
          <w:lang w:eastAsia="en-AU"/>
        </w:rPr>
        <w:t>%</w:t>
      </w:r>
      <w:r>
        <w:rPr>
          <w:lang w:eastAsia="en-AU"/>
        </w:rPr>
        <w:t>) rather than female (9.3</w:t>
      </w:r>
      <w:r w:rsidRPr="004E763D">
        <w:rPr>
          <w:lang w:eastAsia="en-AU"/>
        </w:rPr>
        <w:t>%).</w:t>
      </w:r>
      <w:r>
        <w:rPr>
          <w:lang w:eastAsia="en-AU"/>
        </w:rPr>
        <w:t xml:space="preserve"> It was also more common that families </w:t>
      </w:r>
      <w:r>
        <w:rPr>
          <w:lang w:eastAsia="en-AU"/>
        </w:rPr>
        <w:lastRenderedPageBreak/>
        <w:t>were contacted by the school about emotional or behavioural issues when students were older (15.4% of 12-17 year-olds compared with 10.8% of 4-11 year-olds).</w:t>
      </w:r>
    </w:p>
    <w:p w:rsidR="00E30271" w:rsidRDefault="00E30271" w:rsidP="00E30271">
      <w:pPr>
        <w:pStyle w:val="BodyText"/>
        <w:rPr>
          <w:lang w:eastAsia="en-AU"/>
        </w:rPr>
      </w:pPr>
      <w:r>
        <w:rPr>
          <w:lang w:eastAsia="en-AU"/>
        </w:rPr>
        <w:t xml:space="preserve">Contact by the school in respect of emotional or behavioural issues was over four times more common for those students who were identified in the survey as having mental disorders (39.7% compared to 8.3% of students without a disorder). The proportion contacted was higher for older students (45.3%) with a mental disorder than younger students with mental disorders (35.4%). The proportion was also higher for males with mental disorders (43.4%), than for females with mental disorders (34.3%) especially in the 4-11 year-olds age group (40.2% of males compared with 27.6% of females). </w:t>
      </w:r>
    </w:p>
    <w:p w:rsidR="00E30271" w:rsidRDefault="00E30271" w:rsidP="00E30271">
      <w:pPr>
        <w:pStyle w:val="Caption"/>
        <w:keepNext/>
      </w:pPr>
      <w:bookmarkStart w:id="195" w:name="_Ref403380320"/>
      <w:r>
        <w:t>Table 9-</w:t>
      </w:r>
      <w:r>
        <w:rPr>
          <w:noProof/>
        </w:rPr>
        <w:t>2</w:t>
      </w:r>
      <w:bookmarkEnd w:id="195"/>
      <w:r>
        <w:t>: School contact in past 12 months by sex, age group and mental disorder status</w:t>
      </w:r>
    </w:p>
    <w:tbl>
      <w:tblPr>
        <w:tblW w:w="9043" w:type="dxa"/>
        <w:jc w:val="center"/>
        <w:tblLayout w:type="fixed"/>
        <w:tblCellMar>
          <w:left w:w="0" w:type="dxa"/>
          <w:right w:w="0" w:type="dxa"/>
        </w:tblCellMar>
        <w:tblLook w:val="0020" w:firstRow="1" w:lastRow="0" w:firstColumn="0" w:lastColumn="0" w:noHBand="0" w:noVBand="0"/>
        <w:tblDescription w:val="In Table 9-2 the first column defines sex and the second column defines age group. Read across the rows to obtain the proportion of children and adolescents with a mental disorder, with no disorder and all studetns who had contact from the school in the past 12 months due to emotional or behavioural issues."/>
      </w:tblPr>
      <w:tblGrid>
        <w:gridCol w:w="1689"/>
        <w:gridCol w:w="3587"/>
        <w:gridCol w:w="1255"/>
        <w:gridCol w:w="1256"/>
        <w:gridCol w:w="1256"/>
      </w:tblGrid>
      <w:tr w:rsidR="00E30271" w:rsidRPr="001A1CD5" w:rsidTr="00E30271">
        <w:trPr>
          <w:cantSplit/>
          <w:tblHeader/>
          <w:jc w:val="center"/>
        </w:trPr>
        <w:tc>
          <w:tcPr>
            <w:tcW w:w="1689" w:type="dxa"/>
            <w:tcBorders>
              <w:top w:val="single" w:sz="6" w:space="0" w:color="000000"/>
              <w:right w:val="nil"/>
            </w:tcBorders>
            <w:shd w:val="clear" w:color="auto" w:fill="EFF3FF"/>
            <w:tcMar>
              <w:left w:w="40" w:type="dxa"/>
              <w:right w:w="40" w:type="dxa"/>
            </w:tcMar>
            <w:vAlign w:val="center"/>
          </w:tcPr>
          <w:p w:rsidR="00E30271" w:rsidRPr="00EB0BA7" w:rsidRDefault="00E30271" w:rsidP="00E30271">
            <w:pPr>
              <w:pStyle w:val="TableColumnHeadings"/>
              <w:rPr>
                <w:rStyle w:val="Strong"/>
              </w:rPr>
            </w:pPr>
          </w:p>
          <w:p w:rsidR="00E30271" w:rsidRPr="00EB0BA7" w:rsidRDefault="00E30271" w:rsidP="00E30271">
            <w:pPr>
              <w:pStyle w:val="TableColumnHeadings"/>
              <w:jc w:val="left"/>
              <w:rPr>
                <w:rStyle w:val="Strong"/>
              </w:rPr>
            </w:pPr>
            <w:r w:rsidRPr="00EB0BA7">
              <w:rPr>
                <w:rStyle w:val="Strong"/>
              </w:rPr>
              <w:t>Sex</w:t>
            </w:r>
          </w:p>
        </w:tc>
        <w:tc>
          <w:tcPr>
            <w:tcW w:w="3587" w:type="dxa"/>
            <w:tcBorders>
              <w:top w:val="single" w:sz="6" w:space="0" w:color="000000"/>
              <w:left w:val="single" w:sz="4" w:space="0" w:color="FFFFFF"/>
              <w:bottom w:val="single" w:sz="4" w:space="0" w:color="000000"/>
              <w:right w:val="nil"/>
            </w:tcBorders>
            <w:shd w:val="clear" w:color="auto" w:fill="EFF3FF"/>
            <w:vAlign w:val="center"/>
          </w:tcPr>
          <w:p w:rsidR="00E30271" w:rsidRPr="00EB0BA7" w:rsidRDefault="00E30271" w:rsidP="00E30271">
            <w:pPr>
              <w:pStyle w:val="TableColumnHeadings"/>
              <w:rPr>
                <w:rStyle w:val="Strong"/>
              </w:rPr>
            </w:pPr>
          </w:p>
          <w:p w:rsidR="00E30271" w:rsidRPr="00EB0BA7" w:rsidRDefault="00E30271" w:rsidP="00E30271">
            <w:pPr>
              <w:pStyle w:val="TableColumnHeadings"/>
              <w:jc w:val="left"/>
              <w:rPr>
                <w:rStyle w:val="Strong"/>
              </w:rPr>
            </w:pPr>
            <w:r w:rsidRPr="00EB0BA7">
              <w:rPr>
                <w:rStyle w:val="Strong"/>
              </w:rPr>
              <w:t>Age group</w:t>
            </w:r>
          </w:p>
        </w:tc>
        <w:tc>
          <w:tcPr>
            <w:tcW w:w="1255"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Mental disorder (%)</w:t>
            </w:r>
          </w:p>
        </w:tc>
        <w:tc>
          <w:tcPr>
            <w:tcW w:w="12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No disorder (%)</w:t>
            </w:r>
          </w:p>
        </w:tc>
        <w:tc>
          <w:tcPr>
            <w:tcW w:w="125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All students (%)</w:t>
            </w:r>
          </w:p>
        </w:tc>
      </w:tr>
      <w:tr w:rsidR="00E30271" w:rsidRPr="001A1CD5" w:rsidTr="00E30271">
        <w:trPr>
          <w:cantSplit/>
          <w:jc w:val="center"/>
        </w:trPr>
        <w:tc>
          <w:tcPr>
            <w:tcW w:w="1689" w:type="dxa"/>
            <w:vMerge w:val="restart"/>
            <w:tcBorders>
              <w:top w:val="single" w:sz="4" w:space="0" w:color="000000"/>
              <w:right w:val="nil"/>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Male</w:t>
            </w:r>
            <w:r>
              <w:rPr>
                <w:lang w:eastAsia="en-AU"/>
              </w:rPr>
              <w:t>s</w:t>
            </w:r>
          </w:p>
        </w:tc>
        <w:tc>
          <w:tcPr>
            <w:tcW w:w="3587" w:type="dxa"/>
            <w:tcBorders>
              <w:top w:val="single" w:sz="4" w:space="0" w:color="000000"/>
              <w:left w:val="single" w:sz="4" w:space="0" w:color="FFFFFF"/>
              <w:bottom w:val="single" w:sz="4" w:space="0" w:color="FFFFFF" w:themeColor="background1"/>
              <w:right w:val="nil"/>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4-11 years</w:t>
            </w:r>
          </w:p>
        </w:tc>
        <w:tc>
          <w:tcPr>
            <w:tcW w:w="1255" w:type="dxa"/>
            <w:tcBorders>
              <w:top w:val="single" w:sz="4" w:space="0" w:color="000000"/>
              <w:left w:val="nil"/>
              <w:bottom w:val="single" w:sz="4" w:space="0" w:color="FFFFFF" w:themeColor="background1"/>
              <w:right w:val="nil"/>
            </w:tcBorders>
            <w:shd w:val="clear" w:color="auto" w:fill="FFFFFF"/>
            <w:vAlign w:val="bottom"/>
          </w:tcPr>
          <w:p w:rsidR="00E30271" w:rsidRPr="001A1CD5" w:rsidRDefault="00E30271" w:rsidP="00E30271">
            <w:pPr>
              <w:pStyle w:val="TableDataCell"/>
              <w:rPr>
                <w:lang w:eastAsia="en-AU"/>
              </w:rPr>
            </w:pPr>
            <w:r w:rsidRPr="001A1CD5">
              <w:rPr>
                <w:lang w:eastAsia="en-AU"/>
              </w:rPr>
              <w:t>40.2</w:t>
            </w:r>
          </w:p>
        </w:tc>
        <w:tc>
          <w:tcPr>
            <w:tcW w:w="1256"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9.4</w:t>
            </w:r>
          </w:p>
        </w:tc>
        <w:tc>
          <w:tcPr>
            <w:tcW w:w="1256"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14.6</w:t>
            </w:r>
          </w:p>
        </w:tc>
      </w:tr>
      <w:tr w:rsidR="00E30271" w:rsidRPr="001A1CD5" w:rsidTr="00E30271">
        <w:trPr>
          <w:cantSplit/>
          <w:jc w:val="center"/>
        </w:trPr>
        <w:tc>
          <w:tcPr>
            <w:tcW w:w="1689" w:type="dxa"/>
            <w:vMerge/>
            <w:tcBorders>
              <w:right w:val="nil"/>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bottom w:val="single" w:sz="4" w:space="0" w:color="FFFFFF" w:themeColor="background1"/>
              <w:right w:val="nil"/>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12-17 years</w:t>
            </w:r>
          </w:p>
        </w:tc>
        <w:tc>
          <w:tcPr>
            <w:tcW w:w="1255"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1A1CD5" w:rsidRDefault="00E30271" w:rsidP="00E30271">
            <w:pPr>
              <w:pStyle w:val="TableDataCell"/>
              <w:rPr>
                <w:lang w:eastAsia="en-AU"/>
              </w:rPr>
            </w:pPr>
            <w:r w:rsidRPr="001A1CD5">
              <w:rPr>
                <w:lang w:eastAsia="en-AU"/>
              </w:rPr>
              <w:t>47.8</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12.5</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18.1</w:t>
            </w:r>
          </w:p>
        </w:tc>
      </w:tr>
      <w:tr w:rsidR="00E30271" w:rsidRPr="001A1CD5" w:rsidTr="00E30271">
        <w:trPr>
          <w:cantSplit/>
          <w:jc w:val="center"/>
        </w:trPr>
        <w:tc>
          <w:tcPr>
            <w:tcW w:w="1689" w:type="dxa"/>
            <w:vMerge/>
            <w:tcBorders>
              <w:bottom w:val="single" w:sz="4" w:space="0" w:color="FFFFFF" w:themeColor="background1"/>
              <w:right w:val="nil"/>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bottom w:val="single" w:sz="4" w:space="0" w:color="FFFFFF" w:themeColor="background1"/>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4-17 years</w:t>
            </w:r>
          </w:p>
        </w:tc>
        <w:tc>
          <w:tcPr>
            <w:tcW w:w="1255"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C94EB2" w:rsidRDefault="00E30271" w:rsidP="00E30271">
            <w:pPr>
              <w:pStyle w:val="TableDataCell"/>
              <w:rPr>
                <w:rStyle w:val="Strong"/>
              </w:rPr>
            </w:pPr>
            <w:r w:rsidRPr="00C94EB2">
              <w:rPr>
                <w:rStyle w:val="Strong"/>
              </w:rPr>
              <w:t>43.4</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10.8</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16.2</w:t>
            </w:r>
          </w:p>
        </w:tc>
      </w:tr>
      <w:tr w:rsidR="00E30271" w:rsidRPr="001A1CD5" w:rsidTr="00E30271">
        <w:trPr>
          <w:cantSplit/>
          <w:jc w:val="center"/>
        </w:trPr>
        <w:tc>
          <w:tcPr>
            <w:tcW w:w="1689" w:type="dxa"/>
            <w:vMerge w:val="restart"/>
            <w:tcBorders>
              <w:top w:val="single" w:sz="4" w:space="0" w:color="FFFFFF" w:themeColor="background1"/>
              <w:right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Female</w:t>
            </w:r>
            <w:r>
              <w:rPr>
                <w:lang w:eastAsia="en-AU"/>
              </w:rPr>
              <w:t>s</w:t>
            </w:r>
          </w:p>
        </w:tc>
        <w:tc>
          <w:tcPr>
            <w:tcW w:w="3587" w:type="dxa"/>
            <w:tcBorders>
              <w:top w:val="single" w:sz="4" w:space="0" w:color="FFFFFF" w:themeColor="background1"/>
              <w:left w:val="single" w:sz="4" w:space="0" w:color="FFFFFF" w:themeColor="background1"/>
              <w:bottom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4-11 years</w:t>
            </w:r>
          </w:p>
        </w:tc>
        <w:tc>
          <w:tcPr>
            <w:tcW w:w="1255" w:type="dxa"/>
            <w:tcBorders>
              <w:top w:val="single" w:sz="4" w:space="0" w:color="FFFFFF" w:themeColor="background1"/>
              <w:bottom w:val="single" w:sz="4" w:space="0" w:color="FFFFFF" w:themeColor="background1"/>
            </w:tcBorders>
            <w:shd w:val="clear" w:color="auto" w:fill="FFFFFF"/>
            <w:vAlign w:val="bottom"/>
          </w:tcPr>
          <w:p w:rsidR="00E30271" w:rsidRPr="001A1CD5" w:rsidRDefault="00E30271" w:rsidP="00E30271">
            <w:pPr>
              <w:pStyle w:val="TableDataCell"/>
              <w:rPr>
                <w:lang w:eastAsia="en-AU"/>
              </w:rPr>
            </w:pPr>
            <w:r w:rsidRPr="001A1CD5">
              <w:rPr>
                <w:lang w:eastAsia="en-AU"/>
              </w:rPr>
              <w:t>27.6</w:t>
            </w:r>
          </w:p>
        </w:tc>
        <w:tc>
          <w:tcPr>
            <w:tcW w:w="1256"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4.2</w:t>
            </w:r>
          </w:p>
        </w:tc>
        <w:tc>
          <w:tcPr>
            <w:tcW w:w="1256" w:type="dxa"/>
            <w:tcBorders>
              <w:top w:val="single" w:sz="4" w:space="0" w:color="FFFFFF" w:themeColor="background1"/>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6.8</w:t>
            </w:r>
          </w:p>
        </w:tc>
      </w:tr>
      <w:tr w:rsidR="00E30271" w:rsidRPr="001A1CD5" w:rsidTr="00E30271">
        <w:trPr>
          <w:cantSplit/>
          <w:jc w:val="center"/>
        </w:trPr>
        <w:tc>
          <w:tcPr>
            <w:tcW w:w="1689" w:type="dxa"/>
            <w:vMerge/>
            <w:tcBorders>
              <w:right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1A1CD5" w:rsidRDefault="00E30271" w:rsidP="00E30271">
            <w:pPr>
              <w:pStyle w:val="TableRowHeadings"/>
              <w:rPr>
                <w:lang w:eastAsia="en-AU"/>
              </w:rPr>
            </w:pPr>
            <w:r w:rsidRPr="001A1CD5">
              <w:rPr>
                <w:lang w:eastAsia="en-AU"/>
              </w:rPr>
              <w:t>12-17 years</w:t>
            </w:r>
          </w:p>
        </w:tc>
        <w:tc>
          <w:tcPr>
            <w:tcW w:w="1255"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1A1CD5" w:rsidRDefault="00E30271" w:rsidP="00E30271">
            <w:pPr>
              <w:pStyle w:val="TableDataCell"/>
              <w:rPr>
                <w:lang w:eastAsia="en-AU"/>
              </w:rPr>
            </w:pPr>
            <w:r w:rsidRPr="001A1CD5">
              <w:rPr>
                <w:lang w:eastAsia="en-AU"/>
              </w:rPr>
              <w:t>41.9</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8.3</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1A1CD5" w:rsidRDefault="00E30271" w:rsidP="00E30271">
            <w:pPr>
              <w:pStyle w:val="TableDataCell"/>
              <w:rPr>
                <w:lang w:eastAsia="en-AU"/>
              </w:rPr>
            </w:pPr>
            <w:r w:rsidRPr="001A1CD5">
              <w:rPr>
                <w:lang w:eastAsia="en-AU"/>
              </w:rPr>
              <w:t>12.5</w:t>
            </w:r>
          </w:p>
        </w:tc>
      </w:tr>
      <w:tr w:rsidR="00E30271" w:rsidRPr="001A1CD5" w:rsidTr="00E30271">
        <w:trPr>
          <w:cantSplit/>
          <w:jc w:val="center"/>
        </w:trPr>
        <w:tc>
          <w:tcPr>
            <w:tcW w:w="1689" w:type="dxa"/>
            <w:vMerge/>
            <w:tcBorders>
              <w:bottom w:val="single" w:sz="4" w:space="0" w:color="FFFFFF" w:themeColor="background1"/>
              <w:right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EB0BA7" w:rsidRDefault="009E2950" w:rsidP="00E30271">
            <w:pPr>
              <w:pStyle w:val="TableRowHeadings"/>
              <w:tabs>
                <w:tab w:val="left" w:pos="1244"/>
              </w:tabs>
              <w:rPr>
                <w:rStyle w:val="Strong"/>
              </w:rPr>
            </w:pPr>
            <w:r>
              <w:rPr>
                <w:rStyle w:val="Strong"/>
              </w:rPr>
              <w:t>4-17 years</w:t>
            </w:r>
          </w:p>
        </w:tc>
        <w:tc>
          <w:tcPr>
            <w:tcW w:w="1255"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EB0BA7" w:rsidRDefault="00E30271" w:rsidP="00E30271">
            <w:pPr>
              <w:pStyle w:val="TableDataCell"/>
              <w:rPr>
                <w:rStyle w:val="Strong"/>
              </w:rPr>
            </w:pPr>
            <w:r w:rsidRPr="00EB0BA7">
              <w:rPr>
                <w:rStyle w:val="Strong"/>
              </w:rPr>
              <w:t>34.3</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EB0BA7" w:rsidRDefault="00E30271" w:rsidP="00E30271">
            <w:pPr>
              <w:pStyle w:val="TableDataCell"/>
              <w:rPr>
                <w:rStyle w:val="Strong"/>
              </w:rPr>
            </w:pPr>
            <w:r w:rsidRPr="00EB0BA7">
              <w:rPr>
                <w:rStyle w:val="Strong"/>
              </w:rPr>
              <w:t>6.0</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EB0BA7" w:rsidRDefault="00E30271" w:rsidP="00E30271">
            <w:pPr>
              <w:pStyle w:val="TableDataCell"/>
              <w:rPr>
                <w:rStyle w:val="Strong"/>
              </w:rPr>
            </w:pPr>
            <w:r w:rsidRPr="00EB0BA7">
              <w:rPr>
                <w:rStyle w:val="Strong"/>
              </w:rPr>
              <w:t>9.3</w:t>
            </w:r>
          </w:p>
        </w:tc>
      </w:tr>
      <w:tr w:rsidR="00E30271" w:rsidRPr="001A1CD5" w:rsidTr="00E30271">
        <w:trPr>
          <w:cantSplit/>
          <w:jc w:val="center"/>
        </w:trPr>
        <w:tc>
          <w:tcPr>
            <w:tcW w:w="1689" w:type="dxa"/>
            <w:vMerge w:val="restart"/>
            <w:tcBorders>
              <w:top w:val="single" w:sz="4" w:space="0" w:color="FFFFFF" w:themeColor="background1"/>
              <w:bottom w:val="single" w:sz="6" w:space="0" w:color="auto"/>
              <w:right w:val="single" w:sz="4" w:space="0" w:color="FFFFFF" w:themeColor="background1"/>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Persons</w:t>
            </w:r>
          </w:p>
        </w:tc>
        <w:tc>
          <w:tcPr>
            <w:tcW w:w="3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Default="00E30271" w:rsidP="00E30271">
            <w:pPr>
              <w:pStyle w:val="TableRowHeadings"/>
              <w:rPr>
                <w:lang w:eastAsia="en-AU"/>
              </w:rPr>
            </w:pPr>
            <w:r w:rsidRPr="001A1CD5">
              <w:rPr>
                <w:lang w:eastAsia="en-AU"/>
              </w:rPr>
              <w:t>4-11 years</w:t>
            </w:r>
          </w:p>
        </w:tc>
        <w:tc>
          <w:tcPr>
            <w:tcW w:w="1255"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557E36" w:rsidRDefault="00E30271" w:rsidP="00E30271">
            <w:pPr>
              <w:pStyle w:val="TableDataCell"/>
            </w:pPr>
            <w:r w:rsidRPr="00557E36">
              <w:t>35.4</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557E36" w:rsidRDefault="00E30271" w:rsidP="00E30271">
            <w:pPr>
              <w:pStyle w:val="TableDataCell"/>
            </w:pPr>
            <w:r w:rsidRPr="00557E36">
              <w:t>6.7</w:t>
            </w:r>
          </w:p>
        </w:tc>
        <w:tc>
          <w:tcPr>
            <w:tcW w:w="1256"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557E36" w:rsidRDefault="00E30271" w:rsidP="00E30271">
            <w:pPr>
              <w:pStyle w:val="TableDataCell"/>
            </w:pPr>
            <w:r w:rsidRPr="00557E36">
              <w:t>10.8</w:t>
            </w:r>
          </w:p>
        </w:tc>
      </w:tr>
      <w:tr w:rsidR="00E30271" w:rsidRPr="001A1CD5" w:rsidTr="00E30271">
        <w:trPr>
          <w:cantSplit/>
          <w:jc w:val="center"/>
        </w:trPr>
        <w:tc>
          <w:tcPr>
            <w:tcW w:w="1689" w:type="dxa"/>
            <w:vMerge/>
            <w:tcBorders>
              <w:bottom w:val="single" w:sz="6" w:space="0" w:color="auto"/>
              <w:right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themeColor="background1"/>
              <w:bottom w:val="single" w:sz="4" w:space="0" w:color="FFFFFF" w:themeColor="background1"/>
            </w:tcBorders>
            <w:shd w:val="clear" w:color="auto" w:fill="EFF3FF"/>
            <w:tcMar>
              <w:left w:w="40" w:type="dxa"/>
              <w:right w:w="40" w:type="dxa"/>
            </w:tcMar>
          </w:tcPr>
          <w:p w:rsidR="00E30271" w:rsidRDefault="00E30271" w:rsidP="00E30271">
            <w:pPr>
              <w:pStyle w:val="TableRowHeadings"/>
              <w:rPr>
                <w:lang w:eastAsia="en-AU"/>
              </w:rPr>
            </w:pPr>
            <w:r w:rsidRPr="001A1CD5">
              <w:rPr>
                <w:lang w:eastAsia="en-AU"/>
              </w:rPr>
              <w:t>12-17 years</w:t>
            </w:r>
          </w:p>
        </w:tc>
        <w:tc>
          <w:tcPr>
            <w:tcW w:w="1255" w:type="dxa"/>
            <w:tcBorders>
              <w:top w:val="single" w:sz="4" w:space="0" w:color="FFFFFF" w:themeColor="background1"/>
              <w:bottom w:val="single" w:sz="4" w:space="0" w:color="FFFFFF" w:themeColor="background1"/>
            </w:tcBorders>
            <w:shd w:val="clear" w:color="auto" w:fill="FFFFFF"/>
            <w:vAlign w:val="bottom"/>
          </w:tcPr>
          <w:p w:rsidR="00E30271" w:rsidRPr="00557E36" w:rsidRDefault="00E30271" w:rsidP="00E30271">
            <w:pPr>
              <w:pStyle w:val="TableDataCell"/>
            </w:pPr>
            <w:r w:rsidRPr="00557E36">
              <w:t>45.3</w:t>
            </w:r>
          </w:p>
        </w:tc>
        <w:tc>
          <w:tcPr>
            <w:tcW w:w="1256"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557E36" w:rsidRDefault="00E30271" w:rsidP="00E30271">
            <w:pPr>
              <w:pStyle w:val="TableDataCell"/>
            </w:pPr>
            <w:r w:rsidRPr="00557E36">
              <w:t>10.4</w:t>
            </w:r>
          </w:p>
        </w:tc>
        <w:tc>
          <w:tcPr>
            <w:tcW w:w="1256" w:type="dxa"/>
            <w:tcBorders>
              <w:top w:val="single" w:sz="4" w:space="0" w:color="FFFFFF" w:themeColor="background1"/>
              <w:bottom w:val="single" w:sz="4" w:space="0" w:color="FFFFFF" w:themeColor="background1"/>
              <w:right w:val="nil"/>
            </w:tcBorders>
            <w:shd w:val="clear" w:color="auto" w:fill="FFFFFF"/>
            <w:tcMar>
              <w:left w:w="40" w:type="dxa"/>
              <w:right w:w="40" w:type="dxa"/>
            </w:tcMar>
            <w:vAlign w:val="bottom"/>
          </w:tcPr>
          <w:p w:rsidR="00E30271" w:rsidRPr="00557E36" w:rsidRDefault="00E30271" w:rsidP="00E30271">
            <w:pPr>
              <w:pStyle w:val="TableDataCell"/>
            </w:pPr>
            <w:r w:rsidRPr="00557E36">
              <w:t>15.4</w:t>
            </w:r>
          </w:p>
        </w:tc>
      </w:tr>
      <w:tr w:rsidR="00E30271" w:rsidRPr="001A1CD5" w:rsidTr="00E30271">
        <w:trPr>
          <w:cantSplit/>
          <w:jc w:val="center"/>
        </w:trPr>
        <w:tc>
          <w:tcPr>
            <w:tcW w:w="1689" w:type="dxa"/>
            <w:vMerge/>
            <w:tcBorders>
              <w:bottom w:val="single" w:sz="6" w:space="0" w:color="auto"/>
              <w:right w:val="single" w:sz="4" w:space="0" w:color="FFFFFF" w:themeColor="background1"/>
            </w:tcBorders>
            <w:shd w:val="clear" w:color="auto" w:fill="EFF3FF"/>
            <w:tcMar>
              <w:left w:w="40" w:type="dxa"/>
              <w:right w:w="40" w:type="dxa"/>
            </w:tcMar>
          </w:tcPr>
          <w:p w:rsidR="00E30271" w:rsidRPr="001A1CD5" w:rsidRDefault="00E30271" w:rsidP="00E30271">
            <w:pPr>
              <w:pStyle w:val="TableRowHeadings"/>
              <w:rPr>
                <w:rFonts w:ascii="Times New Roman" w:hAnsi="Times New Roman" w:cs="Times New Roman"/>
                <w:sz w:val="24"/>
                <w:szCs w:val="24"/>
                <w:lang w:eastAsia="en-AU"/>
              </w:rPr>
            </w:pPr>
          </w:p>
        </w:tc>
        <w:tc>
          <w:tcPr>
            <w:tcW w:w="3587" w:type="dxa"/>
            <w:tcBorders>
              <w:top w:val="single" w:sz="4" w:space="0" w:color="FFFFFF" w:themeColor="background1"/>
              <w:left w:val="single" w:sz="4" w:space="0" w:color="FFFFFF" w:themeColor="background1"/>
              <w:bottom w:val="single" w:sz="6" w:space="0" w:color="000000"/>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4-17 years</w:t>
            </w:r>
          </w:p>
        </w:tc>
        <w:tc>
          <w:tcPr>
            <w:tcW w:w="1255" w:type="dxa"/>
            <w:tcBorders>
              <w:top w:val="single" w:sz="4" w:space="0" w:color="FFFFFF" w:themeColor="background1"/>
              <w:left w:val="nil"/>
              <w:bottom w:val="single" w:sz="6" w:space="0" w:color="000000"/>
              <w:right w:val="nil"/>
            </w:tcBorders>
            <w:shd w:val="clear" w:color="auto" w:fill="FFFFFF"/>
            <w:vAlign w:val="bottom"/>
          </w:tcPr>
          <w:p w:rsidR="00E30271" w:rsidRPr="00C94EB2" w:rsidRDefault="00E30271" w:rsidP="00E30271">
            <w:pPr>
              <w:pStyle w:val="TableDataCell"/>
              <w:rPr>
                <w:rStyle w:val="Strong"/>
              </w:rPr>
            </w:pPr>
            <w:r w:rsidRPr="00C94EB2">
              <w:rPr>
                <w:rStyle w:val="Strong"/>
              </w:rPr>
              <w:t>39.7</w:t>
            </w:r>
          </w:p>
        </w:tc>
        <w:tc>
          <w:tcPr>
            <w:tcW w:w="1256"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8.3</w:t>
            </w:r>
          </w:p>
        </w:tc>
        <w:tc>
          <w:tcPr>
            <w:tcW w:w="1256"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12.8</w:t>
            </w:r>
          </w:p>
        </w:tc>
      </w:tr>
    </w:tbl>
    <w:p w:rsidR="00E30271" w:rsidRDefault="00E30271" w:rsidP="00E30271">
      <w:pPr>
        <w:pStyle w:val="Heading2"/>
        <w:ind w:left="709" w:hanging="709"/>
        <w:rPr>
          <w:lang w:val="en-US"/>
        </w:rPr>
      </w:pPr>
      <w:bookmarkStart w:id="196" w:name="_Toc401758815"/>
      <w:r>
        <w:rPr>
          <w:lang w:val="en-US"/>
        </w:rPr>
        <w:t>9.3</w:t>
      </w:r>
      <w:r w:rsidRPr="00194E4E">
        <w:rPr>
          <w:lang w:val="en-US"/>
        </w:rPr>
        <w:t xml:space="preserve"> </w:t>
      </w:r>
      <w:r>
        <w:rPr>
          <w:lang w:val="en-US"/>
        </w:rPr>
        <w:tab/>
        <w:t>Services used at school</w:t>
      </w:r>
      <w:bookmarkEnd w:id="196"/>
    </w:p>
    <w:p w:rsidR="00E30271" w:rsidRDefault="00E30271" w:rsidP="00E30271">
      <w:pPr>
        <w:pStyle w:val="BodyText"/>
        <w:rPr>
          <w:lang w:val="en-US"/>
        </w:rPr>
      </w:pPr>
      <w:r>
        <w:rPr>
          <w:lang w:val="en-US"/>
        </w:rPr>
        <w:t>Just over one in ten (11.5%) students had used a school service for emotional or behavioural problems in the previous 12 months, with a higher proportion of older students (14.2%</w:t>
      </w:r>
      <w:r w:rsidRPr="00DC6924">
        <w:rPr>
          <w:lang w:val="en-US"/>
        </w:rPr>
        <w:t xml:space="preserve"> </w:t>
      </w:r>
      <w:r>
        <w:rPr>
          <w:lang w:val="en-US"/>
        </w:rPr>
        <w:t>of 12-17 year-olds) than younger students (9.4% of 4-11 year-olds) using services (</w:t>
      </w:r>
      <w:r>
        <w:t>Table 9-</w:t>
      </w:r>
      <w:r>
        <w:rPr>
          <w:noProof/>
        </w:rPr>
        <w:t>3</w:t>
      </w:r>
      <w:r>
        <w:rPr>
          <w:lang w:val="en-US"/>
        </w:rPr>
        <w:t>).</w:t>
      </w:r>
    </w:p>
    <w:p w:rsidR="00E30271" w:rsidRDefault="00E30271" w:rsidP="00E30271">
      <w:pPr>
        <w:pStyle w:val="BodyText"/>
        <w:rPr>
          <w:lang w:val="en-US"/>
        </w:rPr>
      </w:pPr>
      <w:r>
        <w:rPr>
          <w:lang w:val="en-US"/>
        </w:rPr>
        <w:t>Individual counselling was the most commonly used type of school service in the previous 12 months (8.0% of students). Twice as many older students (11.0%) as younger students (5.6%) used individual counselling services at school.</w:t>
      </w:r>
    </w:p>
    <w:p w:rsidR="00E30271" w:rsidRDefault="00E30271" w:rsidP="00E30271">
      <w:pPr>
        <w:pStyle w:val="Caption"/>
        <w:keepNext/>
        <w:pageBreakBefore/>
        <w:spacing w:before="0"/>
      </w:pPr>
      <w:bookmarkStart w:id="197" w:name="_Ref403380452"/>
      <w:r>
        <w:lastRenderedPageBreak/>
        <w:t>Table 9-</w:t>
      </w:r>
      <w:r>
        <w:rPr>
          <w:noProof/>
        </w:rPr>
        <w:t>3</w:t>
      </w:r>
      <w:bookmarkEnd w:id="197"/>
      <w:r>
        <w:t>: School service use for emotional or behavioural problems in past 12 months among 4-17 year-olds by type of service and age group</w:t>
      </w:r>
    </w:p>
    <w:tbl>
      <w:tblPr>
        <w:tblW w:w="9130" w:type="dxa"/>
        <w:jc w:val="center"/>
        <w:tblLayout w:type="fixed"/>
        <w:tblCellMar>
          <w:left w:w="0" w:type="dxa"/>
          <w:right w:w="0" w:type="dxa"/>
        </w:tblCellMar>
        <w:tblLook w:val="0020" w:firstRow="1" w:lastRow="0" w:firstColumn="0" w:lastColumn="0" w:noHBand="0" w:noVBand="0"/>
        <w:tblDescription w:val="In Table 9-3 the first column defines type of school service. Read across the rows for the proportion of 4-11 year olds, 12-17 years and 4-17 year olds who have recieved each type of service in the past 12 months."/>
      </w:tblPr>
      <w:tblGrid>
        <w:gridCol w:w="3520"/>
        <w:gridCol w:w="1990"/>
        <w:gridCol w:w="1630"/>
        <w:gridCol w:w="1990"/>
      </w:tblGrid>
      <w:tr w:rsidR="00E30271" w:rsidRPr="00AB752E" w:rsidTr="00E30271">
        <w:trPr>
          <w:cantSplit/>
          <w:tblHeader/>
          <w:jc w:val="center"/>
        </w:trPr>
        <w:tc>
          <w:tcPr>
            <w:tcW w:w="3520"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EB0BA7" w:rsidRDefault="00E30271" w:rsidP="00E30271">
            <w:pPr>
              <w:pStyle w:val="TableColumnHeadings"/>
              <w:jc w:val="left"/>
              <w:rPr>
                <w:rStyle w:val="Strong"/>
              </w:rPr>
            </w:pPr>
            <w:r w:rsidRPr="00EB0BA7">
              <w:rPr>
                <w:rStyle w:val="Strong"/>
              </w:rPr>
              <w:t>Type of school service</w:t>
            </w:r>
          </w:p>
        </w:tc>
        <w:tc>
          <w:tcPr>
            <w:tcW w:w="199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4-11 years (%)</w:t>
            </w:r>
          </w:p>
        </w:tc>
        <w:tc>
          <w:tcPr>
            <w:tcW w:w="16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12-17 years (%)</w:t>
            </w:r>
          </w:p>
        </w:tc>
        <w:tc>
          <w:tcPr>
            <w:tcW w:w="199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4-17 years (%)</w:t>
            </w:r>
          </w:p>
        </w:tc>
      </w:tr>
      <w:tr w:rsidR="00E30271" w:rsidRPr="00AB752E"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AB752E" w:rsidRDefault="00E30271" w:rsidP="00E30271">
            <w:pPr>
              <w:pStyle w:val="TableRowHeadings"/>
              <w:rPr>
                <w:lang w:eastAsia="en-AU"/>
              </w:rPr>
            </w:pPr>
            <w:r w:rsidRPr="00AB752E">
              <w:rPr>
                <w:lang w:eastAsia="en-AU"/>
              </w:rPr>
              <w:t>Individual counselling</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5.6</w:t>
            </w:r>
          </w:p>
        </w:tc>
        <w:tc>
          <w:tcPr>
            <w:tcW w:w="163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11.</w:t>
            </w:r>
            <w:r>
              <w:rPr>
                <w:lang w:eastAsia="en-AU"/>
              </w:rPr>
              <w:t>0</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8.0</w:t>
            </w:r>
          </w:p>
        </w:tc>
      </w:tr>
      <w:tr w:rsidR="00E30271" w:rsidRPr="00AB752E"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AB752E" w:rsidRDefault="00E30271" w:rsidP="00E30271">
            <w:pPr>
              <w:pStyle w:val="TableRowHeadings"/>
              <w:rPr>
                <w:lang w:eastAsia="en-AU"/>
              </w:rPr>
            </w:pPr>
            <w:r w:rsidRPr="00AB752E">
              <w:rPr>
                <w:lang w:eastAsia="en-AU"/>
              </w:rPr>
              <w:t>Group counselling or support program</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2.2</w:t>
            </w:r>
          </w:p>
        </w:tc>
        <w:tc>
          <w:tcPr>
            <w:tcW w:w="163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3.2</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2.7</w:t>
            </w:r>
          </w:p>
        </w:tc>
      </w:tr>
      <w:tr w:rsidR="00E30271" w:rsidRPr="00AB752E"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AB752E" w:rsidRDefault="00E30271" w:rsidP="00E30271">
            <w:pPr>
              <w:pStyle w:val="TableRowHeadings"/>
              <w:rPr>
                <w:lang w:eastAsia="en-AU"/>
              </w:rPr>
            </w:pPr>
            <w:r w:rsidRPr="00AB752E">
              <w:rPr>
                <w:lang w:eastAsia="en-AU"/>
              </w:rPr>
              <w:t>Special class or school</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2.7</w:t>
            </w:r>
          </w:p>
        </w:tc>
        <w:tc>
          <w:tcPr>
            <w:tcW w:w="163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2.8</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2.7</w:t>
            </w:r>
          </w:p>
        </w:tc>
      </w:tr>
      <w:tr w:rsidR="00E30271" w:rsidRPr="00AB752E" w:rsidTr="00E30271">
        <w:trPr>
          <w:cantSplit/>
          <w:jc w:val="center"/>
        </w:trPr>
        <w:tc>
          <w:tcPr>
            <w:tcW w:w="3520" w:type="dxa"/>
            <w:tcBorders>
              <w:top w:val="nil"/>
              <w:bottom w:val="single" w:sz="4" w:space="0" w:color="FFFFFF"/>
              <w:right w:val="nil"/>
            </w:tcBorders>
            <w:shd w:val="clear" w:color="auto" w:fill="EFF3FF"/>
            <w:tcMar>
              <w:left w:w="40" w:type="dxa"/>
              <w:right w:w="40" w:type="dxa"/>
            </w:tcMar>
          </w:tcPr>
          <w:p w:rsidR="00E30271" w:rsidRPr="00AB752E" w:rsidRDefault="00E30271" w:rsidP="00E30271">
            <w:pPr>
              <w:pStyle w:val="TableRowHeadings"/>
              <w:rPr>
                <w:lang w:eastAsia="en-AU"/>
              </w:rPr>
            </w:pPr>
            <w:r w:rsidRPr="00AB752E">
              <w:rPr>
                <w:lang w:eastAsia="en-AU"/>
              </w:rPr>
              <w:t>School nurse</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0.8</w:t>
            </w:r>
          </w:p>
        </w:tc>
        <w:tc>
          <w:tcPr>
            <w:tcW w:w="163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2.0</w:t>
            </w:r>
          </w:p>
        </w:tc>
        <w:tc>
          <w:tcPr>
            <w:tcW w:w="1990" w:type="dxa"/>
            <w:tcBorders>
              <w:top w:val="nil"/>
              <w:left w:val="nil"/>
              <w:bottom w:val="nil"/>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1.4</w:t>
            </w:r>
          </w:p>
        </w:tc>
      </w:tr>
      <w:tr w:rsidR="00E30271" w:rsidRPr="00AB752E" w:rsidTr="00E30271">
        <w:trPr>
          <w:cantSplit/>
          <w:jc w:val="center"/>
        </w:trPr>
        <w:tc>
          <w:tcPr>
            <w:tcW w:w="3520" w:type="dxa"/>
            <w:tcBorders>
              <w:top w:val="nil"/>
              <w:bottom w:val="single" w:sz="4" w:space="0" w:color="auto"/>
              <w:right w:val="nil"/>
            </w:tcBorders>
            <w:shd w:val="clear" w:color="auto" w:fill="EFF3FF"/>
            <w:tcMar>
              <w:left w:w="40" w:type="dxa"/>
              <w:right w:w="40" w:type="dxa"/>
            </w:tcMar>
          </w:tcPr>
          <w:p w:rsidR="00E30271" w:rsidRPr="00AB752E" w:rsidRDefault="00E30271" w:rsidP="00E30271">
            <w:pPr>
              <w:pStyle w:val="TableRowHeadings"/>
              <w:rPr>
                <w:lang w:eastAsia="en-AU"/>
              </w:rPr>
            </w:pPr>
            <w:r w:rsidRPr="00AB752E">
              <w:rPr>
                <w:lang w:eastAsia="en-AU"/>
              </w:rPr>
              <w:t>Other school services</w:t>
            </w:r>
          </w:p>
        </w:tc>
        <w:tc>
          <w:tcPr>
            <w:tcW w:w="1990" w:type="dxa"/>
            <w:tcBorders>
              <w:top w:val="nil"/>
              <w:left w:val="nil"/>
              <w:bottom w:val="single" w:sz="4" w:space="0" w:color="auto"/>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3.3</w:t>
            </w:r>
          </w:p>
        </w:tc>
        <w:tc>
          <w:tcPr>
            <w:tcW w:w="1630" w:type="dxa"/>
            <w:tcBorders>
              <w:top w:val="nil"/>
              <w:left w:val="nil"/>
              <w:bottom w:val="single" w:sz="4" w:space="0" w:color="auto"/>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5.2</w:t>
            </w:r>
          </w:p>
        </w:tc>
        <w:tc>
          <w:tcPr>
            <w:tcW w:w="1990" w:type="dxa"/>
            <w:tcBorders>
              <w:top w:val="nil"/>
              <w:left w:val="nil"/>
              <w:bottom w:val="single" w:sz="4" w:space="0" w:color="auto"/>
              <w:right w:val="nil"/>
            </w:tcBorders>
            <w:shd w:val="clear" w:color="auto" w:fill="FFFFFF"/>
            <w:tcMar>
              <w:left w:w="40" w:type="dxa"/>
              <w:right w:w="40" w:type="dxa"/>
            </w:tcMar>
            <w:vAlign w:val="bottom"/>
          </w:tcPr>
          <w:p w:rsidR="00E30271" w:rsidRPr="00AB752E" w:rsidRDefault="00E30271" w:rsidP="00E30271">
            <w:pPr>
              <w:pStyle w:val="TableDataCell"/>
              <w:rPr>
                <w:lang w:eastAsia="en-AU"/>
              </w:rPr>
            </w:pPr>
            <w:r w:rsidRPr="00AB752E">
              <w:rPr>
                <w:lang w:eastAsia="en-AU"/>
              </w:rPr>
              <w:t>4.1</w:t>
            </w:r>
          </w:p>
        </w:tc>
      </w:tr>
      <w:tr w:rsidR="00E30271" w:rsidRPr="00AB752E" w:rsidTr="00E30271">
        <w:trPr>
          <w:cantSplit/>
          <w:jc w:val="center"/>
        </w:trPr>
        <w:tc>
          <w:tcPr>
            <w:tcW w:w="3520" w:type="dxa"/>
            <w:tcBorders>
              <w:top w:val="single" w:sz="4" w:space="0" w:color="auto"/>
              <w:bottom w:val="single" w:sz="6" w:space="0" w:color="000000"/>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Any service at school</w:t>
            </w:r>
          </w:p>
        </w:tc>
        <w:tc>
          <w:tcPr>
            <w:tcW w:w="199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9.4</w:t>
            </w:r>
          </w:p>
        </w:tc>
        <w:tc>
          <w:tcPr>
            <w:tcW w:w="163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14.2</w:t>
            </w:r>
          </w:p>
        </w:tc>
        <w:tc>
          <w:tcPr>
            <w:tcW w:w="1990"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11.5</w:t>
            </w:r>
          </w:p>
        </w:tc>
      </w:tr>
    </w:tbl>
    <w:p w:rsidR="00E30271" w:rsidRDefault="00E30271" w:rsidP="00E30271">
      <w:pPr>
        <w:pStyle w:val="Heading3"/>
        <w:rPr>
          <w:lang w:val="en-US"/>
        </w:rPr>
      </w:pPr>
      <w:r>
        <w:rPr>
          <w:lang w:val="en-US"/>
        </w:rPr>
        <w:t>9</w:t>
      </w:r>
      <w:r w:rsidRPr="00B038A0">
        <w:rPr>
          <w:lang w:val="en-US"/>
        </w:rPr>
        <w:t>.</w:t>
      </w:r>
      <w:r>
        <w:rPr>
          <w:lang w:val="en-US"/>
        </w:rPr>
        <w:t>3.1</w:t>
      </w:r>
      <w:r w:rsidRPr="00B038A0">
        <w:rPr>
          <w:lang w:val="en-US"/>
        </w:rPr>
        <w:t xml:space="preserve"> </w:t>
      </w:r>
      <w:r w:rsidRPr="00B038A0">
        <w:rPr>
          <w:lang w:val="en-US"/>
        </w:rPr>
        <w:tab/>
      </w:r>
      <w:r>
        <w:rPr>
          <w:lang w:val="en-US"/>
        </w:rPr>
        <w:t xml:space="preserve">Referral from school to health service providers </w:t>
      </w:r>
    </w:p>
    <w:p w:rsidR="00E30271" w:rsidRDefault="00E30271" w:rsidP="00E30271">
      <w:pPr>
        <w:pStyle w:val="BodyText"/>
        <w:rPr>
          <w:lang w:val="en-US"/>
        </w:rPr>
      </w:pPr>
      <w:r>
        <w:rPr>
          <w:lang w:val="en-US"/>
        </w:rPr>
        <w:t xml:space="preserve">When parents and carers reported that the child or adolescent had used the services of particular health service providers in the previous 12 months for emotional or behavioural problems, they were asked if the recommendation or advice to see the provider came from the school. </w:t>
      </w:r>
    </w:p>
    <w:p w:rsidR="00E30271" w:rsidRDefault="00E30271" w:rsidP="00E30271">
      <w:pPr>
        <w:pStyle w:val="BodyText"/>
        <w:rPr>
          <w:lang w:val="en-US"/>
        </w:rPr>
      </w:pPr>
      <w:r>
        <w:rPr>
          <w:lang w:val="en-US"/>
        </w:rPr>
        <w:t>Of those children or adolescents who had seen a paediatrician, one quarter (25.3%) had been recommended or advised to see the paediatrician by their school. About one in six children and adolescents who used the services of a general practitioner, psychiatrist or psychologist in the previous 12 months (15.8%, 17.0% and 16.9% respectively) had seen the health service provider following recommendation or advice from the school (</w:t>
      </w:r>
      <w:r>
        <w:t>Table 9-</w:t>
      </w:r>
      <w:r>
        <w:rPr>
          <w:noProof/>
        </w:rPr>
        <w:t>4</w:t>
      </w:r>
      <w:r>
        <w:rPr>
          <w:lang w:val="en-US"/>
        </w:rPr>
        <w:t>).</w:t>
      </w:r>
    </w:p>
    <w:p w:rsidR="00E30271" w:rsidRDefault="00E30271" w:rsidP="00E30271">
      <w:pPr>
        <w:pStyle w:val="Caption"/>
        <w:keepNext/>
      </w:pPr>
      <w:bookmarkStart w:id="198" w:name="_Ref403380513"/>
      <w:r>
        <w:t>Table 9-</w:t>
      </w:r>
      <w:r>
        <w:rPr>
          <w:noProof/>
        </w:rPr>
        <w:t>4</w:t>
      </w:r>
      <w:bookmarkEnd w:id="198"/>
      <w:r>
        <w:t>: Proportion of students using health services in past 12 months who were referred by their school by provider type</w:t>
      </w:r>
    </w:p>
    <w:tbl>
      <w:tblPr>
        <w:tblW w:w="0" w:type="auto"/>
        <w:jc w:val="center"/>
        <w:tblLayout w:type="fixed"/>
        <w:tblCellMar>
          <w:left w:w="0" w:type="dxa"/>
          <w:right w:w="0" w:type="dxa"/>
        </w:tblCellMar>
        <w:tblLook w:val="0020" w:firstRow="1" w:lastRow="0" w:firstColumn="0" w:lastColumn="0" w:noHBand="0" w:noVBand="0"/>
        <w:tblDescription w:val="In Table 9-4 the first column defines health service provider. Read across the row for the proportion of students refered by thier school to each provider in the past 12 months."/>
      </w:tblPr>
      <w:tblGrid>
        <w:gridCol w:w="6350"/>
        <w:gridCol w:w="2749"/>
      </w:tblGrid>
      <w:tr w:rsidR="00E30271" w:rsidRPr="004847C2" w:rsidTr="00E30271">
        <w:trPr>
          <w:cantSplit/>
          <w:tblHeader/>
          <w:jc w:val="center"/>
        </w:trPr>
        <w:tc>
          <w:tcPr>
            <w:tcW w:w="6350"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EB0BA7" w:rsidRDefault="00E30271" w:rsidP="00E30271">
            <w:pPr>
              <w:pStyle w:val="TableColumnHeadings"/>
              <w:jc w:val="left"/>
              <w:rPr>
                <w:rStyle w:val="Strong"/>
              </w:rPr>
            </w:pPr>
            <w:r w:rsidRPr="00EB0BA7">
              <w:rPr>
                <w:rStyle w:val="Strong"/>
              </w:rPr>
              <w:t>Health service provider</w:t>
            </w:r>
          </w:p>
        </w:tc>
        <w:tc>
          <w:tcPr>
            <w:tcW w:w="274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All students (%)</w:t>
            </w:r>
          </w:p>
        </w:tc>
      </w:tr>
      <w:tr w:rsidR="00E30271" w:rsidRPr="004847C2" w:rsidTr="00E30271">
        <w:trPr>
          <w:cantSplit/>
          <w:jc w:val="center"/>
        </w:trPr>
        <w:tc>
          <w:tcPr>
            <w:tcW w:w="6350" w:type="dxa"/>
            <w:tcBorders>
              <w:top w:val="nil"/>
              <w:bottom w:val="single" w:sz="4" w:space="0" w:color="FFFFFF"/>
              <w:right w:val="nil"/>
            </w:tcBorders>
            <w:shd w:val="clear" w:color="auto" w:fill="EFF3FF"/>
            <w:tcMar>
              <w:left w:w="40" w:type="dxa"/>
              <w:right w:w="40" w:type="dxa"/>
            </w:tcMar>
          </w:tcPr>
          <w:p w:rsidR="00E30271" w:rsidRPr="004847C2" w:rsidRDefault="00E30271" w:rsidP="00E30271">
            <w:pPr>
              <w:pStyle w:val="TableRowHeadings"/>
              <w:rPr>
                <w:lang w:eastAsia="en-AU"/>
              </w:rPr>
            </w:pPr>
            <w:r w:rsidRPr="004847C2">
              <w:rPr>
                <w:lang w:eastAsia="en-AU"/>
              </w:rPr>
              <w:t>General practitioner</w:t>
            </w:r>
          </w:p>
        </w:tc>
        <w:tc>
          <w:tcPr>
            <w:tcW w:w="2749" w:type="dxa"/>
            <w:tcBorders>
              <w:top w:val="nil"/>
              <w:left w:val="nil"/>
              <w:bottom w:val="nil"/>
              <w:right w:val="nil"/>
            </w:tcBorders>
            <w:shd w:val="clear" w:color="auto" w:fill="FFFFFF"/>
            <w:tcMar>
              <w:left w:w="40" w:type="dxa"/>
              <w:right w:w="40" w:type="dxa"/>
            </w:tcMar>
            <w:vAlign w:val="bottom"/>
          </w:tcPr>
          <w:p w:rsidR="00E30271" w:rsidRPr="004847C2" w:rsidRDefault="00E30271" w:rsidP="00E30271">
            <w:pPr>
              <w:pStyle w:val="TableDataCell"/>
              <w:rPr>
                <w:lang w:eastAsia="en-AU"/>
              </w:rPr>
            </w:pPr>
            <w:r>
              <w:rPr>
                <w:lang w:eastAsia="en-AU"/>
              </w:rPr>
              <w:t>15.8</w:t>
            </w:r>
          </w:p>
        </w:tc>
      </w:tr>
      <w:tr w:rsidR="00E30271" w:rsidRPr="004847C2" w:rsidTr="00E30271">
        <w:trPr>
          <w:cantSplit/>
          <w:jc w:val="center"/>
        </w:trPr>
        <w:tc>
          <w:tcPr>
            <w:tcW w:w="6350" w:type="dxa"/>
            <w:tcBorders>
              <w:top w:val="nil"/>
              <w:bottom w:val="single" w:sz="4" w:space="0" w:color="FFFFFF"/>
              <w:right w:val="nil"/>
            </w:tcBorders>
            <w:shd w:val="clear" w:color="auto" w:fill="EFF3FF"/>
            <w:tcMar>
              <w:left w:w="40" w:type="dxa"/>
              <w:right w:w="40" w:type="dxa"/>
            </w:tcMar>
          </w:tcPr>
          <w:p w:rsidR="00E30271" w:rsidRPr="004847C2" w:rsidRDefault="00E30271" w:rsidP="00E30271">
            <w:pPr>
              <w:pStyle w:val="TableRowHeadings"/>
              <w:rPr>
                <w:lang w:eastAsia="en-AU"/>
              </w:rPr>
            </w:pPr>
            <w:r w:rsidRPr="004847C2">
              <w:rPr>
                <w:lang w:eastAsia="en-AU"/>
              </w:rPr>
              <w:t>Paediatrician</w:t>
            </w:r>
          </w:p>
        </w:tc>
        <w:tc>
          <w:tcPr>
            <w:tcW w:w="2749" w:type="dxa"/>
            <w:tcBorders>
              <w:top w:val="nil"/>
              <w:left w:val="nil"/>
              <w:bottom w:val="nil"/>
              <w:right w:val="nil"/>
            </w:tcBorders>
            <w:shd w:val="clear" w:color="auto" w:fill="FFFFFF"/>
            <w:tcMar>
              <w:left w:w="40" w:type="dxa"/>
              <w:right w:w="40" w:type="dxa"/>
            </w:tcMar>
            <w:vAlign w:val="bottom"/>
          </w:tcPr>
          <w:p w:rsidR="00E30271" w:rsidRPr="004847C2" w:rsidRDefault="00E30271" w:rsidP="00E30271">
            <w:pPr>
              <w:pStyle w:val="TableDataCell"/>
              <w:rPr>
                <w:lang w:eastAsia="en-AU"/>
              </w:rPr>
            </w:pPr>
            <w:r w:rsidRPr="004847C2">
              <w:rPr>
                <w:lang w:eastAsia="en-AU"/>
              </w:rPr>
              <w:t>25.3</w:t>
            </w:r>
          </w:p>
        </w:tc>
      </w:tr>
      <w:tr w:rsidR="00E30271" w:rsidRPr="004847C2" w:rsidTr="00E30271">
        <w:trPr>
          <w:cantSplit/>
          <w:jc w:val="center"/>
        </w:trPr>
        <w:tc>
          <w:tcPr>
            <w:tcW w:w="6350" w:type="dxa"/>
            <w:tcBorders>
              <w:top w:val="nil"/>
              <w:bottom w:val="single" w:sz="4" w:space="0" w:color="FFFFFF"/>
              <w:right w:val="nil"/>
            </w:tcBorders>
            <w:shd w:val="clear" w:color="auto" w:fill="EFF3FF"/>
            <w:tcMar>
              <w:left w:w="40" w:type="dxa"/>
              <w:right w:w="40" w:type="dxa"/>
            </w:tcMar>
          </w:tcPr>
          <w:p w:rsidR="00E30271" w:rsidRPr="004847C2" w:rsidRDefault="00E30271" w:rsidP="00E30271">
            <w:pPr>
              <w:pStyle w:val="TableRowHeadings"/>
              <w:rPr>
                <w:lang w:eastAsia="en-AU"/>
              </w:rPr>
            </w:pPr>
            <w:r w:rsidRPr="004847C2">
              <w:rPr>
                <w:lang w:eastAsia="en-AU"/>
              </w:rPr>
              <w:t>Psychiatrist</w:t>
            </w:r>
          </w:p>
        </w:tc>
        <w:tc>
          <w:tcPr>
            <w:tcW w:w="2749" w:type="dxa"/>
            <w:tcBorders>
              <w:top w:val="nil"/>
              <w:left w:val="nil"/>
              <w:bottom w:val="nil"/>
              <w:right w:val="nil"/>
            </w:tcBorders>
            <w:shd w:val="clear" w:color="auto" w:fill="FFFFFF"/>
            <w:tcMar>
              <w:left w:w="40" w:type="dxa"/>
              <w:right w:w="40" w:type="dxa"/>
            </w:tcMar>
            <w:vAlign w:val="bottom"/>
          </w:tcPr>
          <w:p w:rsidR="00E30271" w:rsidRPr="004847C2" w:rsidRDefault="00E30271" w:rsidP="00E30271">
            <w:pPr>
              <w:pStyle w:val="TableDataCell"/>
              <w:rPr>
                <w:lang w:eastAsia="en-AU"/>
              </w:rPr>
            </w:pPr>
            <w:r w:rsidRPr="004847C2">
              <w:rPr>
                <w:lang w:eastAsia="en-AU"/>
              </w:rPr>
              <w:t>17.0</w:t>
            </w:r>
          </w:p>
        </w:tc>
      </w:tr>
      <w:tr w:rsidR="00E30271" w:rsidRPr="004847C2" w:rsidTr="00E30271">
        <w:trPr>
          <w:cantSplit/>
          <w:jc w:val="center"/>
        </w:trPr>
        <w:tc>
          <w:tcPr>
            <w:tcW w:w="6350" w:type="dxa"/>
            <w:tcBorders>
              <w:top w:val="nil"/>
              <w:bottom w:val="single" w:sz="4" w:space="0" w:color="auto"/>
              <w:right w:val="nil"/>
            </w:tcBorders>
            <w:shd w:val="clear" w:color="auto" w:fill="EFF3FF"/>
            <w:tcMar>
              <w:left w:w="40" w:type="dxa"/>
              <w:right w:w="40" w:type="dxa"/>
            </w:tcMar>
          </w:tcPr>
          <w:p w:rsidR="00E30271" w:rsidRPr="004847C2" w:rsidRDefault="00E30271" w:rsidP="00E30271">
            <w:pPr>
              <w:pStyle w:val="TableRowHeadings"/>
              <w:rPr>
                <w:lang w:eastAsia="en-AU"/>
              </w:rPr>
            </w:pPr>
            <w:r w:rsidRPr="004847C2">
              <w:rPr>
                <w:lang w:eastAsia="en-AU"/>
              </w:rPr>
              <w:t>Psychologist</w:t>
            </w:r>
          </w:p>
        </w:tc>
        <w:tc>
          <w:tcPr>
            <w:tcW w:w="2749" w:type="dxa"/>
            <w:tcBorders>
              <w:top w:val="nil"/>
              <w:left w:val="nil"/>
              <w:bottom w:val="single" w:sz="4" w:space="0" w:color="auto"/>
              <w:right w:val="nil"/>
            </w:tcBorders>
            <w:shd w:val="clear" w:color="auto" w:fill="FFFFFF"/>
            <w:tcMar>
              <w:left w:w="40" w:type="dxa"/>
              <w:right w:w="40" w:type="dxa"/>
            </w:tcMar>
            <w:vAlign w:val="bottom"/>
          </w:tcPr>
          <w:p w:rsidR="00E30271" w:rsidRPr="004847C2" w:rsidRDefault="00E30271" w:rsidP="00E30271">
            <w:pPr>
              <w:pStyle w:val="TableDataCell"/>
              <w:rPr>
                <w:lang w:eastAsia="en-AU"/>
              </w:rPr>
            </w:pPr>
            <w:r w:rsidRPr="004847C2">
              <w:rPr>
                <w:lang w:eastAsia="en-AU"/>
              </w:rPr>
              <w:t>16.9</w:t>
            </w:r>
          </w:p>
        </w:tc>
      </w:tr>
      <w:tr w:rsidR="00E30271" w:rsidRPr="004847C2" w:rsidTr="00E30271">
        <w:trPr>
          <w:cantSplit/>
          <w:jc w:val="center"/>
        </w:trPr>
        <w:tc>
          <w:tcPr>
            <w:tcW w:w="6350" w:type="dxa"/>
            <w:tcBorders>
              <w:top w:val="single" w:sz="4" w:space="0" w:color="auto"/>
              <w:bottom w:val="single" w:sz="6" w:space="0" w:color="000000"/>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Any health service provider</w:t>
            </w:r>
          </w:p>
        </w:tc>
        <w:tc>
          <w:tcPr>
            <w:tcW w:w="2749"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22.6</w:t>
            </w:r>
          </w:p>
        </w:tc>
      </w:tr>
    </w:tbl>
    <w:p w:rsidR="00E30271" w:rsidRDefault="00E30271" w:rsidP="00E30271">
      <w:pPr>
        <w:pStyle w:val="Heading2"/>
        <w:rPr>
          <w:lang w:val="en-US"/>
        </w:rPr>
      </w:pPr>
      <w:bookmarkStart w:id="199" w:name="_Toc401758817"/>
      <w:r>
        <w:rPr>
          <w:lang w:val="en-US"/>
        </w:rPr>
        <w:t>9</w:t>
      </w:r>
      <w:r w:rsidRPr="00DE1330">
        <w:rPr>
          <w:lang w:val="en-US"/>
        </w:rPr>
        <w:t>.</w:t>
      </w:r>
      <w:r>
        <w:rPr>
          <w:lang w:val="en-US"/>
        </w:rPr>
        <w:t>4</w:t>
      </w:r>
      <w:r w:rsidRPr="00DE1330">
        <w:rPr>
          <w:lang w:val="en-US"/>
        </w:rPr>
        <w:t xml:space="preserve"> </w:t>
      </w:r>
      <w:r w:rsidRPr="00DE1330">
        <w:rPr>
          <w:lang w:val="en-US"/>
        </w:rPr>
        <w:tab/>
      </w:r>
      <w:r>
        <w:rPr>
          <w:lang w:val="en-US"/>
        </w:rPr>
        <w:t>Informal support from teachers and other school staff</w:t>
      </w:r>
      <w:bookmarkEnd w:id="199"/>
    </w:p>
    <w:p w:rsidR="00E30271" w:rsidRDefault="00E30271" w:rsidP="00E30271">
      <w:pPr>
        <w:pStyle w:val="BodyText"/>
        <w:rPr>
          <w:lang w:val="en-US"/>
        </w:rPr>
      </w:pPr>
      <w:r>
        <w:rPr>
          <w:lang w:val="en-US"/>
        </w:rPr>
        <w:t>One in five students (18.9%) had received informal support for emotional or behavioural problems from a school staff member in the previous 12 months. Of those that had received informal support from school staff nearly three fifths (57.2%) had not used formal school services in the previous 12 months as reported in the previous section. One in six students (15.7%) had received informal support from their teachers and one eighth (12.2%) had received informal support for emotional or behavioural problems from other school staff (</w:t>
      </w:r>
      <w:r>
        <w:t>Table 9-</w:t>
      </w:r>
      <w:r>
        <w:rPr>
          <w:noProof/>
        </w:rPr>
        <w:t>5</w:t>
      </w:r>
      <w:r>
        <w:rPr>
          <w:lang w:val="en-US"/>
        </w:rPr>
        <w:t xml:space="preserve">). </w:t>
      </w:r>
    </w:p>
    <w:p w:rsidR="00E30271" w:rsidRDefault="00E30271" w:rsidP="00E30271">
      <w:pPr>
        <w:pStyle w:val="BodyText"/>
        <w:rPr>
          <w:lang w:val="en-US"/>
        </w:rPr>
      </w:pPr>
      <w:r>
        <w:rPr>
          <w:lang w:val="en-US"/>
        </w:rPr>
        <w:t>Informal support was around four times higher for young people with a mental disorder, with around half of students with a mental disorder (51.0%) receiving informal support from their teacher and/or other school staff in the previous 12 months compared with 13.6% of those without a mental disorder.</w:t>
      </w:r>
    </w:p>
    <w:p w:rsidR="00E30271" w:rsidRDefault="00E30271" w:rsidP="00E30271">
      <w:pPr>
        <w:pStyle w:val="Caption"/>
        <w:keepNext/>
      </w:pPr>
      <w:bookmarkStart w:id="200" w:name="_Ref403380568"/>
      <w:r>
        <w:lastRenderedPageBreak/>
        <w:t>Table 9-</w:t>
      </w:r>
      <w:r>
        <w:rPr>
          <w:noProof/>
        </w:rPr>
        <w:t>5</w:t>
      </w:r>
      <w:bookmarkEnd w:id="200"/>
      <w:r>
        <w:rPr>
          <w:noProof/>
        </w:rPr>
        <w:t>: Proportion of students receiving school-based informal support in past 12 months by mental disorder status</w:t>
      </w:r>
    </w:p>
    <w:tbl>
      <w:tblPr>
        <w:tblW w:w="9114" w:type="dxa"/>
        <w:jc w:val="center"/>
        <w:tblLayout w:type="fixed"/>
        <w:tblCellMar>
          <w:left w:w="0" w:type="dxa"/>
          <w:right w:w="0" w:type="dxa"/>
        </w:tblCellMar>
        <w:tblLook w:val="0020" w:firstRow="1" w:lastRow="0" w:firstColumn="0" w:lastColumn="0" w:noHBand="0" w:noVBand="0"/>
        <w:tblDescription w:val="In Table 9-5 the first column defines school staff member who supplied  informal support. read across the rows for the proportion of students with a mental disorder, with no disorder and all students who have received support in the past 12 months."/>
      </w:tblPr>
      <w:tblGrid>
        <w:gridCol w:w="2985"/>
        <w:gridCol w:w="2053"/>
        <w:gridCol w:w="2032"/>
        <w:gridCol w:w="2044"/>
      </w:tblGrid>
      <w:tr w:rsidR="00E30271" w:rsidRPr="00E100FD" w:rsidTr="00E30271">
        <w:trPr>
          <w:cantSplit/>
          <w:tblHeader/>
          <w:jc w:val="center"/>
        </w:trPr>
        <w:tc>
          <w:tcPr>
            <w:tcW w:w="2985" w:type="dxa"/>
            <w:tcBorders>
              <w:top w:val="single" w:sz="6" w:space="0" w:color="000000"/>
              <w:bottom w:val="single" w:sz="4" w:space="0" w:color="000000"/>
              <w:right w:val="nil"/>
            </w:tcBorders>
            <w:shd w:val="clear" w:color="auto" w:fill="EFF3FF"/>
            <w:tcMar>
              <w:left w:w="40" w:type="dxa"/>
              <w:right w:w="40" w:type="dxa"/>
            </w:tcMar>
            <w:vAlign w:val="center"/>
          </w:tcPr>
          <w:p w:rsidR="00E30271" w:rsidRPr="00EB0BA7" w:rsidRDefault="00E30271" w:rsidP="00E30271">
            <w:pPr>
              <w:pStyle w:val="TableColumnHeadings"/>
              <w:jc w:val="left"/>
              <w:rPr>
                <w:rStyle w:val="Strong"/>
              </w:rPr>
            </w:pPr>
            <w:r w:rsidRPr="00EB0BA7">
              <w:rPr>
                <w:rStyle w:val="Strong"/>
              </w:rPr>
              <w:t>Staff member providing support</w:t>
            </w:r>
          </w:p>
        </w:tc>
        <w:tc>
          <w:tcPr>
            <w:tcW w:w="205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Mental disorder (%)</w:t>
            </w:r>
          </w:p>
        </w:tc>
        <w:tc>
          <w:tcPr>
            <w:tcW w:w="20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No disorder (%)</w:t>
            </w:r>
          </w:p>
        </w:tc>
        <w:tc>
          <w:tcPr>
            <w:tcW w:w="204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All students (%)</w:t>
            </w:r>
          </w:p>
        </w:tc>
      </w:tr>
      <w:tr w:rsidR="00E30271" w:rsidRPr="00E100FD" w:rsidTr="00E30271">
        <w:trPr>
          <w:cantSplit/>
          <w:jc w:val="center"/>
        </w:trPr>
        <w:tc>
          <w:tcPr>
            <w:tcW w:w="2985" w:type="dxa"/>
            <w:tcBorders>
              <w:top w:val="nil"/>
              <w:bottom w:val="single" w:sz="4" w:space="0" w:color="FFFFFF"/>
              <w:right w:val="nil"/>
            </w:tcBorders>
            <w:shd w:val="clear" w:color="auto" w:fill="EFF3FF"/>
            <w:tcMar>
              <w:left w:w="40" w:type="dxa"/>
              <w:right w:w="40" w:type="dxa"/>
            </w:tcMar>
          </w:tcPr>
          <w:p w:rsidR="00E30271" w:rsidRPr="00E100FD" w:rsidRDefault="00E30271" w:rsidP="00E30271">
            <w:pPr>
              <w:pStyle w:val="TableRowHeadings"/>
              <w:rPr>
                <w:lang w:eastAsia="en-AU"/>
              </w:rPr>
            </w:pPr>
            <w:r w:rsidRPr="00E100FD">
              <w:rPr>
                <w:lang w:eastAsia="en-AU"/>
              </w:rPr>
              <w:t>His or her teacher</w:t>
            </w:r>
          </w:p>
        </w:tc>
        <w:tc>
          <w:tcPr>
            <w:tcW w:w="2053" w:type="dxa"/>
            <w:tcBorders>
              <w:top w:val="nil"/>
              <w:left w:val="nil"/>
              <w:bottom w:val="nil"/>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Pr>
                <w:lang w:eastAsia="en-AU"/>
              </w:rPr>
              <w:t>43.2</w:t>
            </w:r>
          </w:p>
        </w:tc>
        <w:tc>
          <w:tcPr>
            <w:tcW w:w="2032" w:type="dxa"/>
            <w:tcBorders>
              <w:top w:val="nil"/>
              <w:left w:val="nil"/>
              <w:bottom w:val="nil"/>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sidRPr="00E100FD">
              <w:rPr>
                <w:lang w:eastAsia="en-AU"/>
              </w:rPr>
              <w:t>11.4</w:t>
            </w:r>
          </w:p>
        </w:tc>
        <w:tc>
          <w:tcPr>
            <w:tcW w:w="2044" w:type="dxa"/>
            <w:tcBorders>
              <w:top w:val="nil"/>
              <w:left w:val="nil"/>
              <w:bottom w:val="nil"/>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Pr>
                <w:lang w:eastAsia="en-AU"/>
              </w:rPr>
              <w:t>15.7</w:t>
            </w:r>
          </w:p>
        </w:tc>
      </w:tr>
      <w:tr w:rsidR="00E30271" w:rsidRPr="00E100FD" w:rsidTr="00E30271">
        <w:trPr>
          <w:cantSplit/>
          <w:jc w:val="center"/>
        </w:trPr>
        <w:tc>
          <w:tcPr>
            <w:tcW w:w="2985" w:type="dxa"/>
            <w:tcBorders>
              <w:top w:val="nil"/>
              <w:bottom w:val="single" w:sz="4" w:space="0" w:color="auto"/>
              <w:right w:val="nil"/>
            </w:tcBorders>
            <w:shd w:val="clear" w:color="auto" w:fill="EFF3FF"/>
            <w:tcMar>
              <w:left w:w="40" w:type="dxa"/>
              <w:right w:w="40" w:type="dxa"/>
            </w:tcMar>
          </w:tcPr>
          <w:p w:rsidR="00E30271" w:rsidRPr="00E100FD" w:rsidRDefault="00E30271" w:rsidP="00E30271">
            <w:pPr>
              <w:pStyle w:val="TableRowHeadings"/>
              <w:rPr>
                <w:lang w:eastAsia="en-AU"/>
              </w:rPr>
            </w:pPr>
            <w:r w:rsidRPr="00E100FD">
              <w:rPr>
                <w:lang w:eastAsia="en-AU"/>
              </w:rPr>
              <w:t>Other school staff</w:t>
            </w:r>
          </w:p>
        </w:tc>
        <w:tc>
          <w:tcPr>
            <w:tcW w:w="2053" w:type="dxa"/>
            <w:tcBorders>
              <w:top w:val="nil"/>
              <w:left w:val="nil"/>
              <w:bottom w:val="single" w:sz="4" w:space="0" w:color="auto"/>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Pr>
                <w:lang w:eastAsia="en-AU"/>
              </w:rPr>
              <w:t>38.6</w:t>
            </w:r>
          </w:p>
        </w:tc>
        <w:tc>
          <w:tcPr>
            <w:tcW w:w="2032" w:type="dxa"/>
            <w:tcBorders>
              <w:top w:val="nil"/>
              <w:left w:val="nil"/>
              <w:bottom w:val="single" w:sz="4" w:space="0" w:color="auto"/>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Pr>
                <w:lang w:eastAsia="en-AU"/>
              </w:rPr>
              <w:t>7.9</w:t>
            </w:r>
          </w:p>
        </w:tc>
        <w:tc>
          <w:tcPr>
            <w:tcW w:w="2044" w:type="dxa"/>
            <w:tcBorders>
              <w:top w:val="nil"/>
              <w:left w:val="nil"/>
              <w:bottom w:val="single" w:sz="4" w:space="0" w:color="auto"/>
              <w:right w:val="nil"/>
            </w:tcBorders>
            <w:shd w:val="clear" w:color="auto" w:fill="FFFFFF"/>
            <w:tcMar>
              <w:left w:w="40" w:type="dxa"/>
              <w:right w:w="40" w:type="dxa"/>
            </w:tcMar>
            <w:vAlign w:val="bottom"/>
          </w:tcPr>
          <w:p w:rsidR="00E30271" w:rsidRPr="00E100FD" w:rsidRDefault="00E30271" w:rsidP="00E30271">
            <w:pPr>
              <w:pStyle w:val="TableDataCell"/>
              <w:rPr>
                <w:lang w:eastAsia="en-AU"/>
              </w:rPr>
            </w:pPr>
            <w:r w:rsidRPr="00E100FD">
              <w:rPr>
                <w:lang w:eastAsia="en-AU"/>
              </w:rPr>
              <w:t>12.</w:t>
            </w:r>
            <w:r>
              <w:rPr>
                <w:lang w:eastAsia="en-AU"/>
              </w:rPr>
              <w:t>2</w:t>
            </w:r>
          </w:p>
        </w:tc>
      </w:tr>
      <w:tr w:rsidR="00E30271" w:rsidRPr="00E100FD" w:rsidTr="00E30271">
        <w:trPr>
          <w:cantSplit/>
          <w:jc w:val="center"/>
        </w:trPr>
        <w:tc>
          <w:tcPr>
            <w:tcW w:w="2985" w:type="dxa"/>
            <w:tcBorders>
              <w:top w:val="single" w:sz="4" w:space="0" w:color="auto"/>
              <w:bottom w:val="single" w:sz="6" w:space="0" w:color="000000"/>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Any school staff</w:t>
            </w:r>
          </w:p>
        </w:tc>
        <w:tc>
          <w:tcPr>
            <w:tcW w:w="205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51.0</w:t>
            </w:r>
          </w:p>
        </w:tc>
        <w:tc>
          <w:tcPr>
            <w:tcW w:w="2032"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13.6</w:t>
            </w:r>
          </w:p>
        </w:tc>
        <w:tc>
          <w:tcPr>
            <w:tcW w:w="204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C94EB2" w:rsidRDefault="00E30271" w:rsidP="00E30271">
            <w:pPr>
              <w:pStyle w:val="TableDataCell"/>
              <w:rPr>
                <w:rStyle w:val="Strong"/>
              </w:rPr>
            </w:pPr>
            <w:r w:rsidRPr="00C94EB2">
              <w:rPr>
                <w:rStyle w:val="Strong"/>
              </w:rPr>
              <w:t>18.9</w:t>
            </w:r>
          </w:p>
        </w:tc>
      </w:tr>
    </w:tbl>
    <w:p w:rsidR="00E30271" w:rsidRDefault="00E30271" w:rsidP="00E30271">
      <w:pPr>
        <w:pStyle w:val="Heading2"/>
        <w:rPr>
          <w:lang w:val="en-US"/>
        </w:rPr>
      </w:pPr>
      <w:r>
        <w:rPr>
          <w:lang w:val="en-US"/>
        </w:rPr>
        <w:t>9</w:t>
      </w:r>
      <w:r w:rsidRPr="00DE1330">
        <w:rPr>
          <w:lang w:val="en-US"/>
        </w:rPr>
        <w:t>.</w:t>
      </w:r>
      <w:r>
        <w:rPr>
          <w:lang w:val="en-US"/>
        </w:rPr>
        <w:t>5</w:t>
      </w:r>
      <w:r w:rsidRPr="00DE1330">
        <w:rPr>
          <w:lang w:val="en-US"/>
        </w:rPr>
        <w:t xml:space="preserve"> </w:t>
      </w:r>
      <w:r w:rsidRPr="00DE1330">
        <w:rPr>
          <w:lang w:val="en-US"/>
        </w:rPr>
        <w:tab/>
      </w:r>
      <w:r>
        <w:rPr>
          <w:lang w:val="en-US"/>
        </w:rPr>
        <w:t>Relationship between mental disorders and schooling</w:t>
      </w:r>
    </w:p>
    <w:p w:rsidR="00E30271" w:rsidRDefault="00E30271" w:rsidP="00E30271">
      <w:pPr>
        <w:pStyle w:val="BodyText"/>
        <w:rPr>
          <w:lang w:val="en-US"/>
        </w:rPr>
      </w:pPr>
      <w:r>
        <w:rPr>
          <w:lang w:val="en-US"/>
        </w:rPr>
        <w:t xml:space="preserve">This section reports on the relationship between mental disorders and school-related outcomes, including days absent from school, impact on functioning at school due to symptoms of mental disorder, school performance in different learning areas and enjoyment of school. </w:t>
      </w:r>
    </w:p>
    <w:p w:rsidR="00E30271" w:rsidRDefault="00E30271" w:rsidP="00E30271">
      <w:pPr>
        <w:pStyle w:val="Heading3"/>
        <w:rPr>
          <w:lang w:val="en-US"/>
        </w:rPr>
      </w:pPr>
      <w:r>
        <w:rPr>
          <w:lang w:val="en-US"/>
        </w:rPr>
        <w:t>9</w:t>
      </w:r>
      <w:r w:rsidRPr="00B038A0">
        <w:rPr>
          <w:lang w:val="en-US"/>
        </w:rPr>
        <w:t>.</w:t>
      </w:r>
      <w:r>
        <w:rPr>
          <w:lang w:val="en-US"/>
        </w:rPr>
        <w:t>5.1</w:t>
      </w:r>
      <w:r w:rsidRPr="00B038A0">
        <w:rPr>
          <w:lang w:val="en-US"/>
        </w:rPr>
        <w:t xml:space="preserve"> </w:t>
      </w:r>
      <w:r w:rsidRPr="00B038A0">
        <w:rPr>
          <w:lang w:val="en-US"/>
        </w:rPr>
        <w:tab/>
      </w:r>
      <w:r>
        <w:rPr>
          <w:lang w:val="en-US"/>
        </w:rPr>
        <w:t>Days absent from school</w:t>
      </w:r>
    </w:p>
    <w:p w:rsidR="00E30271" w:rsidRDefault="00E30271" w:rsidP="00E30271">
      <w:pPr>
        <w:pStyle w:val="BodyText"/>
        <w:rPr>
          <w:lang w:val="en-US"/>
        </w:rPr>
      </w:pPr>
      <w:r>
        <w:rPr>
          <w:lang w:val="en-US"/>
        </w:rPr>
        <w:t>The average days absent from school due to symptoms of the mental disorder were greatest for those with major depressive disorder and anxiety disorders (on average 20 and 12</w:t>
      </w:r>
      <w:r w:rsidRPr="000E263C">
        <w:rPr>
          <w:lang w:val="en-US"/>
        </w:rPr>
        <w:t xml:space="preserve"> </w:t>
      </w:r>
      <w:r w:rsidRPr="00C465E0">
        <w:rPr>
          <w:lang w:val="en-US"/>
        </w:rPr>
        <w:t>days</w:t>
      </w:r>
      <w:r>
        <w:rPr>
          <w:lang w:val="en-US"/>
        </w:rPr>
        <w:t xml:space="preserve"> in the previous 12 months respectively</w:t>
      </w:r>
      <w:r w:rsidRPr="00C465E0">
        <w:rPr>
          <w:lang w:val="en-US"/>
        </w:rPr>
        <w:t>)</w:t>
      </w:r>
      <w:r>
        <w:rPr>
          <w:lang w:val="en-US"/>
        </w:rPr>
        <w:t>. The days absent were far higher among older students for all disorders, with 12-17 year-olds with major depressive disorder being absent 23 days and those with anxiety disorders absent 20 days on average in the previous 12 months. Although adolescents with conduct disorder did not have as many days absent from school, the difference between the two age groups was greatest, with 12-17 year-olds absent 17 days and 4-11 year olds absent just 2 days on average in the previous 12 months due to the symptoms of their disorder (</w:t>
      </w:r>
      <w:r>
        <w:t>Table 9-</w:t>
      </w:r>
      <w:r>
        <w:rPr>
          <w:noProof/>
        </w:rPr>
        <w:t>6</w:t>
      </w:r>
      <w:r>
        <w:rPr>
          <w:lang w:val="en-US"/>
        </w:rPr>
        <w:t>).</w:t>
      </w:r>
    </w:p>
    <w:p w:rsidR="00E30271" w:rsidRDefault="00E30271" w:rsidP="00E30271">
      <w:pPr>
        <w:pStyle w:val="Caption"/>
        <w:keepNext/>
      </w:pPr>
      <w:bookmarkStart w:id="201" w:name="_Ref403380618"/>
      <w:r>
        <w:t>Table 9-</w:t>
      </w:r>
      <w:r>
        <w:rPr>
          <w:noProof/>
        </w:rPr>
        <w:t>6</w:t>
      </w:r>
      <w:bookmarkEnd w:id="201"/>
      <w:r>
        <w:t>: Average days absent in past 12 months due to symptoms of mental disorder by age group and disorder type</w:t>
      </w:r>
    </w:p>
    <w:tbl>
      <w:tblPr>
        <w:tblW w:w="9223" w:type="dxa"/>
        <w:jc w:val="center"/>
        <w:tblLayout w:type="fixed"/>
        <w:tblCellMar>
          <w:left w:w="0" w:type="dxa"/>
          <w:right w:w="0" w:type="dxa"/>
        </w:tblCellMar>
        <w:tblLook w:val="0020" w:firstRow="1" w:lastRow="0" w:firstColumn="0" w:lastColumn="0" w:noHBand="0" w:noVBand="0"/>
        <w:tblDescription w:val="In Table 9-6 the first column defines age group. Read across the row for the average (days) absence from school in the past 12 months for children and adolescents with anxiety disorders, major depressive disorder, ADHD and conduct disorder."/>
      </w:tblPr>
      <w:tblGrid>
        <w:gridCol w:w="2059"/>
        <w:gridCol w:w="1791"/>
        <w:gridCol w:w="1791"/>
        <w:gridCol w:w="1791"/>
        <w:gridCol w:w="1791"/>
      </w:tblGrid>
      <w:tr w:rsidR="00E30271" w:rsidRPr="00296F88" w:rsidTr="00E30271">
        <w:trPr>
          <w:cantSplit/>
          <w:tblHeader/>
          <w:jc w:val="center"/>
        </w:trPr>
        <w:tc>
          <w:tcPr>
            <w:tcW w:w="2059"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jc w:val="left"/>
              <w:rPr>
                <w:rStyle w:val="Strong"/>
              </w:rPr>
            </w:pPr>
            <w:r w:rsidRPr="00EB0BA7">
              <w:rPr>
                <w:rStyle w:val="Strong"/>
              </w:rPr>
              <w:t>Age group</w:t>
            </w:r>
          </w:p>
        </w:tc>
        <w:tc>
          <w:tcPr>
            <w:tcW w:w="1791"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Anxiety disorders (days)</w:t>
            </w:r>
          </w:p>
        </w:tc>
        <w:tc>
          <w:tcPr>
            <w:tcW w:w="1791"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Major depressive disorder (days)</w:t>
            </w:r>
          </w:p>
        </w:tc>
        <w:tc>
          <w:tcPr>
            <w:tcW w:w="1791"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ADHD (days)</w:t>
            </w:r>
          </w:p>
        </w:tc>
        <w:tc>
          <w:tcPr>
            <w:tcW w:w="1791" w:type="dxa"/>
            <w:tcBorders>
              <w:top w:val="single" w:sz="6" w:space="0" w:color="000000"/>
              <w:left w:val="single" w:sz="4" w:space="0" w:color="FFFFFF"/>
              <w:bottom w:val="single" w:sz="4" w:space="0" w:color="000000"/>
            </w:tcBorders>
            <w:shd w:val="clear" w:color="auto" w:fill="EFF3FF"/>
            <w:vAlign w:val="bottom"/>
          </w:tcPr>
          <w:p w:rsidR="00E30271" w:rsidRPr="00EB0BA7" w:rsidRDefault="00E30271" w:rsidP="00E30271">
            <w:pPr>
              <w:pStyle w:val="TableColumnHeadings"/>
              <w:rPr>
                <w:rStyle w:val="Strong"/>
              </w:rPr>
            </w:pPr>
            <w:r w:rsidRPr="00EB0BA7">
              <w:rPr>
                <w:rStyle w:val="Strong"/>
              </w:rPr>
              <w:t>Conduct disorder (days)</w:t>
            </w:r>
          </w:p>
        </w:tc>
      </w:tr>
      <w:tr w:rsidR="00E30271" w:rsidRPr="00296F88" w:rsidTr="00E30271">
        <w:trPr>
          <w:cantSplit/>
          <w:jc w:val="center"/>
        </w:trPr>
        <w:tc>
          <w:tcPr>
            <w:tcW w:w="2059" w:type="dxa"/>
            <w:tcBorders>
              <w:top w:val="nil"/>
              <w:bottom w:val="single" w:sz="4" w:space="0" w:color="FFFFFF"/>
              <w:right w:val="nil"/>
            </w:tcBorders>
            <w:shd w:val="clear" w:color="auto" w:fill="EFF3FF"/>
            <w:tcMar>
              <w:left w:w="40" w:type="dxa"/>
              <w:right w:w="40" w:type="dxa"/>
            </w:tcMar>
          </w:tcPr>
          <w:p w:rsidR="00E30271" w:rsidRPr="00296F88" w:rsidRDefault="00E30271" w:rsidP="00E30271">
            <w:pPr>
              <w:pStyle w:val="TableRowHeadings"/>
              <w:rPr>
                <w:lang w:eastAsia="en-AU"/>
              </w:rPr>
            </w:pPr>
            <w:r>
              <w:rPr>
                <w:lang w:eastAsia="en-AU"/>
              </w:rPr>
              <w:t>4-</w:t>
            </w:r>
            <w:r w:rsidRPr="00296F88">
              <w:rPr>
                <w:lang w:eastAsia="en-AU"/>
              </w:rPr>
              <w:t>11 years</w:t>
            </w:r>
          </w:p>
        </w:tc>
        <w:tc>
          <w:tcPr>
            <w:tcW w:w="1791" w:type="dxa"/>
            <w:tcBorders>
              <w:top w:val="nil"/>
              <w:left w:val="nil"/>
              <w:bottom w:val="nil"/>
              <w:right w:val="nil"/>
            </w:tcBorders>
            <w:shd w:val="clear" w:color="auto" w:fill="FFFFFF"/>
          </w:tcPr>
          <w:p w:rsidR="00E30271" w:rsidRPr="005E51AC" w:rsidRDefault="00E30271" w:rsidP="00E30271">
            <w:pPr>
              <w:pStyle w:val="TableDataCell"/>
            </w:pPr>
            <w:r w:rsidRPr="005E51AC">
              <w:t>6</w:t>
            </w:r>
          </w:p>
        </w:tc>
        <w:tc>
          <w:tcPr>
            <w:tcW w:w="1791" w:type="dxa"/>
            <w:tcBorders>
              <w:top w:val="nil"/>
              <w:left w:val="nil"/>
              <w:bottom w:val="nil"/>
              <w:right w:val="nil"/>
            </w:tcBorders>
            <w:shd w:val="clear" w:color="auto" w:fill="FFFFFF"/>
            <w:vAlign w:val="bottom"/>
          </w:tcPr>
          <w:p w:rsidR="00E30271" w:rsidRPr="005E51AC" w:rsidRDefault="00E30271" w:rsidP="00E30271">
            <w:pPr>
              <w:pStyle w:val="TableDataCell"/>
            </w:pPr>
            <w:r w:rsidRPr="005E51AC">
              <w:t>14</w:t>
            </w:r>
          </w:p>
        </w:tc>
        <w:tc>
          <w:tcPr>
            <w:tcW w:w="1791" w:type="dxa"/>
            <w:tcBorders>
              <w:top w:val="nil"/>
              <w:left w:val="nil"/>
              <w:bottom w:val="nil"/>
              <w:right w:val="nil"/>
            </w:tcBorders>
            <w:shd w:val="clear" w:color="auto" w:fill="FFFFFF"/>
          </w:tcPr>
          <w:p w:rsidR="00E30271" w:rsidRPr="005E51AC" w:rsidRDefault="00E30271" w:rsidP="00E30271">
            <w:pPr>
              <w:pStyle w:val="TableDataCell"/>
            </w:pPr>
            <w:r w:rsidRPr="005E51AC">
              <w:t>4</w:t>
            </w:r>
          </w:p>
        </w:tc>
        <w:tc>
          <w:tcPr>
            <w:tcW w:w="1791" w:type="dxa"/>
            <w:tcBorders>
              <w:top w:val="nil"/>
              <w:left w:val="nil"/>
              <w:bottom w:val="nil"/>
              <w:right w:val="nil"/>
            </w:tcBorders>
            <w:shd w:val="clear" w:color="auto" w:fill="FFFFFF"/>
          </w:tcPr>
          <w:p w:rsidR="00E30271" w:rsidRPr="005E51AC" w:rsidRDefault="00E30271" w:rsidP="00E30271">
            <w:pPr>
              <w:pStyle w:val="TableDataCell"/>
            </w:pPr>
            <w:r w:rsidRPr="005E51AC">
              <w:t>2</w:t>
            </w:r>
          </w:p>
        </w:tc>
      </w:tr>
      <w:tr w:rsidR="00E30271" w:rsidRPr="00296F88" w:rsidTr="00E30271">
        <w:trPr>
          <w:cantSplit/>
          <w:jc w:val="center"/>
        </w:trPr>
        <w:tc>
          <w:tcPr>
            <w:tcW w:w="2059" w:type="dxa"/>
            <w:tcBorders>
              <w:top w:val="nil"/>
              <w:bottom w:val="single" w:sz="4" w:space="0" w:color="auto"/>
              <w:right w:val="nil"/>
            </w:tcBorders>
            <w:shd w:val="clear" w:color="auto" w:fill="EFF3FF"/>
            <w:tcMar>
              <w:left w:w="40" w:type="dxa"/>
              <w:right w:w="40" w:type="dxa"/>
            </w:tcMar>
          </w:tcPr>
          <w:p w:rsidR="00E30271" w:rsidRPr="00296F88" w:rsidRDefault="00E30271" w:rsidP="00E30271">
            <w:pPr>
              <w:pStyle w:val="TableRowHeadings"/>
              <w:rPr>
                <w:lang w:eastAsia="en-AU"/>
              </w:rPr>
            </w:pPr>
            <w:r>
              <w:rPr>
                <w:lang w:eastAsia="en-AU"/>
              </w:rPr>
              <w:t>12-</w:t>
            </w:r>
            <w:r w:rsidRPr="00296F88">
              <w:rPr>
                <w:lang w:eastAsia="en-AU"/>
              </w:rPr>
              <w:t>17 years</w:t>
            </w:r>
          </w:p>
        </w:tc>
        <w:tc>
          <w:tcPr>
            <w:tcW w:w="1791" w:type="dxa"/>
            <w:tcBorders>
              <w:top w:val="nil"/>
              <w:left w:val="nil"/>
              <w:bottom w:val="single" w:sz="4" w:space="0" w:color="auto"/>
              <w:right w:val="nil"/>
            </w:tcBorders>
            <w:shd w:val="clear" w:color="auto" w:fill="FFFFFF"/>
          </w:tcPr>
          <w:p w:rsidR="00E30271" w:rsidRPr="005E51AC" w:rsidRDefault="00E30271" w:rsidP="00E30271">
            <w:pPr>
              <w:pStyle w:val="TableDataCell"/>
            </w:pPr>
            <w:r w:rsidRPr="005E51AC">
              <w:t>20</w:t>
            </w:r>
          </w:p>
        </w:tc>
        <w:tc>
          <w:tcPr>
            <w:tcW w:w="1791" w:type="dxa"/>
            <w:tcBorders>
              <w:top w:val="nil"/>
              <w:left w:val="nil"/>
              <w:bottom w:val="single" w:sz="4" w:space="0" w:color="auto"/>
              <w:right w:val="nil"/>
            </w:tcBorders>
            <w:shd w:val="clear" w:color="auto" w:fill="FFFFFF"/>
            <w:vAlign w:val="bottom"/>
          </w:tcPr>
          <w:p w:rsidR="00E30271" w:rsidRPr="005E51AC" w:rsidRDefault="00E30271" w:rsidP="00E30271">
            <w:pPr>
              <w:pStyle w:val="TableDataCell"/>
            </w:pPr>
            <w:r w:rsidRPr="005E51AC">
              <w:t>23</w:t>
            </w:r>
          </w:p>
        </w:tc>
        <w:tc>
          <w:tcPr>
            <w:tcW w:w="1791" w:type="dxa"/>
            <w:tcBorders>
              <w:top w:val="nil"/>
              <w:left w:val="nil"/>
              <w:bottom w:val="single" w:sz="4" w:space="0" w:color="auto"/>
              <w:right w:val="nil"/>
            </w:tcBorders>
            <w:shd w:val="clear" w:color="auto" w:fill="FFFFFF"/>
          </w:tcPr>
          <w:p w:rsidR="00E30271" w:rsidRPr="005E51AC" w:rsidRDefault="00E30271" w:rsidP="00E30271">
            <w:pPr>
              <w:pStyle w:val="TableDataCell"/>
            </w:pPr>
            <w:r w:rsidRPr="005E51AC">
              <w:t>9</w:t>
            </w:r>
          </w:p>
        </w:tc>
        <w:tc>
          <w:tcPr>
            <w:tcW w:w="1791" w:type="dxa"/>
            <w:tcBorders>
              <w:top w:val="nil"/>
              <w:left w:val="nil"/>
              <w:bottom w:val="single" w:sz="4" w:space="0" w:color="auto"/>
              <w:right w:val="nil"/>
            </w:tcBorders>
            <w:shd w:val="clear" w:color="auto" w:fill="FFFFFF"/>
          </w:tcPr>
          <w:p w:rsidR="00E30271" w:rsidRPr="005E51AC" w:rsidRDefault="00E30271" w:rsidP="00E30271">
            <w:pPr>
              <w:pStyle w:val="TableDataCell"/>
            </w:pPr>
            <w:r w:rsidRPr="005E51AC">
              <w:t>17</w:t>
            </w:r>
          </w:p>
        </w:tc>
      </w:tr>
      <w:tr w:rsidR="00E30271" w:rsidRPr="00296F88" w:rsidTr="00E30271">
        <w:trPr>
          <w:cantSplit/>
          <w:jc w:val="center"/>
        </w:trPr>
        <w:tc>
          <w:tcPr>
            <w:tcW w:w="2059" w:type="dxa"/>
            <w:tcBorders>
              <w:top w:val="single" w:sz="4" w:space="0" w:color="auto"/>
              <w:bottom w:val="single" w:sz="6" w:space="0" w:color="000000"/>
              <w:right w:val="nil"/>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4-17 years</w:t>
            </w:r>
          </w:p>
        </w:tc>
        <w:tc>
          <w:tcPr>
            <w:tcW w:w="1791" w:type="dxa"/>
            <w:tcBorders>
              <w:top w:val="single" w:sz="4" w:space="0" w:color="auto"/>
              <w:left w:val="nil"/>
              <w:bottom w:val="single" w:sz="6" w:space="0" w:color="000000"/>
              <w:right w:val="nil"/>
            </w:tcBorders>
            <w:shd w:val="clear" w:color="auto" w:fill="FFFFFF"/>
          </w:tcPr>
          <w:p w:rsidR="00E30271" w:rsidRPr="00C94EB2" w:rsidRDefault="00E30271" w:rsidP="00E30271">
            <w:pPr>
              <w:pStyle w:val="TableDataCell"/>
              <w:rPr>
                <w:rStyle w:val="Strong"/>
              </w:rPr>
            </w:pPr>
            <w:r w:rsidRPr="00C94EB2">
              <w:rPr>
                <w:rStyle w:val="Strong"/>
              </w:rPr>
              <w:t>12</w:t>
            </w:r>
          </w:p>
        </w:tc>
        <w:tc>
          <w:tcPr>
            <w:tcW w:w="1791" w:type="dxa"/>
            <w:tcBorders>
              <w:top w:val="single" w:sz="4" w:space="0" w:color="auto"/>
              <w:left w:val="nil"/>
              <w:bottom w:val="single" w:sz="6" w:space="0" w:color="000000"/>
              <w:right w:val="nil"/>
            </w:tcBorders>
            <w:shd w:val="clear" w:color="auto" w:fill="FFFFFF"/>
            <w:vAlign w:val="bottom"/>
          </w:tcPr>
          <w:p w:rsidR="00E30271" w:rsidRPr="00C94EB2" w:rsidRDefault="00E30271" w:rsidP="00E30271">
            <w:pPr>
              <w:pStyle w:val="TableDataCell"/>
              <w:rPr>
                <w:rStyle w:val="Strong"/>
              </w:rPr>
            </w:pPr>
            <w:r w:rsidRPr="00C94EB2">
              <w:rPr>
                <w:rStyle w:val="Strong"/>
              </w:rPr>
              <w:t>20</w:t>
            </w:r>
          </w:p>
        </w:tc>
        <w:tc>
          <w:tcPr>
            <w:tcW w:w="1791" w:type="dxa"/>
            <w:tcBorders>
              <w:top w:val="single" w:sz="4" w:space="0" w:color="auto"/>
              <w:left w:val="nil"/>
              <w:bottom w:val="single" w:sz="6" w:space="0" w:color="000000"/>
              <w:right w:val="nil"/>
            </w:tcBorders>
            <w:shd w:val="clear" w:color="auto" w:fill="FFFFFF"/>
          </w:tcPr>
          <w:p w:rsidR="00E30271" w:rsidRPr="00C94EB2" w:rsidRDefault="00E30271" w:rsidP="00E30271">
            <w:pPr>
              <w:pStyle w:val="TableDataCell"/>
              <w:rPr>
                <w:rStyle w:val="Strong"/>
              </w:rPr>
            </w:pPr>
            <w:r w:rsidRPr="00C94EB2">
              <w:rPr>
                <w:rStyle w:val="Strong"/>
              </w:rPr>
              <w:t>5</w:t>
            </w:r>
          </w:p>
        </w:tc>
        <w:tc>
          <w:tcPr>
            <w:tcW w:w="1791" w:type="dxa"/>
            <w:tcBorders>
              <w:top w:val="single" w:sz="4" w:space="0" w:color="auto"/>
              <w:left w:val="nil"/>
              <w:bottom w:val="single" w:sz="6" w:space="0" w:color="000000"/>
              <w:right w:val="nil"/>
            </w:tcBorders>
            <w:shd w:val="clear" w:color="auto" w:fill="FFFFFF"/>
          </w:tcPr>
          <w:p w:rsidR="00E30271" w:rsidRPr="00C94EB2" w:rsidRDefault="00E30271" w:rsidP="00E30271">
            <w:pPr>
              <w:pStyle w:val="TableDataCell"/>
              <w:rPr>
                <w:rStyle w:val="Strong"/>
              </w:rPr>
            </w:pPr>
            <w:r w:rsidRPr="00C94EB2">
              <w:rPr>
                <w:rStyle w:val="Strong"/>
              </w:rPr>
              <w:t>8</w:t>
            </w:r>
          </w:p>
        </w:tc>
      </w:tr>
    </w:tbl>
    <w:p w:rsidR="00E30271" w:rsidRDefault="00E30271" w:rsidP="00E30271">
      <w:pPr>
        <w:pStyle w:val="Heading3"/>
        <w:rPr>
          <w:lang w:val="en-US"/>
        </w:rPr>
      </w:pPr>
      <w:r>
        <w:rPr>
          <w:lang w:val="en-US"/>
        </w:rPr>
        <w:t>9</w:t>
      </w:r>
      <w:r w:rsidRPr="00B038A0">
        <w:rPr>
          <w:lang w:val="en-US"/>
        </w:rPr>
        <w:t>.</w:t>
      </w:r>
      <w:r>
        <w:rPr>
          <w:lang w:val="en-US"/>
        </w:rPr>
        <w:t>5.2</w:t>
      </w:r>
      <w:r w:rsidRPr="00B038A0">
        <w:rPr>
          <w:lang w:val="en-US"/>
        </w:rPr>
        <w:t xml:space="preserve"> </w:t>
      </w:r>
      <w:r w:rsidRPr="00B038A0">
        <w:rPr>
          <w:lang w:val="en-US"/>
        </w:rPr>
        <w:tab/>
      </w:r>
      <w:r>
        <w:rPr>
          <w:lang w:val="en-US"/>
        </w:rPr>
        <w:t>Impact on functioning at school</w:t>
      </w:r>
    </w:p>
    <w:p w:rsidR="00E30271" w:rsidRDefault="00E30271" w:rsidP="00E30271">
      <w:pPr>
        <w:pStyle w:val="BodyText"/>
        <w:rPr>
          <w:lang w:val="en-US"/>
        </w:rPr>
      </w:pPr>
      <w:r>
        <w:rPr>
          <w:lang w:val="en-US"/>
        </w:rPr>
        <w:t>The level of impact on functioning at school varied with the type of mental disorder. The greatest impact was due to symptoms of major depressive disorder, with this having had a severe impact on school function for one third (34.3%) of students with this disorder. The symptoms of ADHD had the least impact for most students, with this having mild impact on schooling for 40.0% of students. One third (35.6%) of those with conduct disorder and 20.0% with anxiety disorders experienced no impact on schooling according to parents and carers (</w:t>
      </w:r>
      <w:r>
        <w:t>Table 9-</w:t>
      </w:r>
      <w:r>
        <w:rPr>
          <w:noProof/>
        </w:rPr>
        <w:t>7</w:t>
      </w:r>
      <w:r>
        <w:rPr>
          <w:lang w:val="en-US"/>
        </w:rPr>
        <w:t>).</w:t>
      </w:r>
    </w:p>
    <w:p w:rsidR="00E30271" w:rsidRDefault="00E30271" w:rsidP="00E30271">
      <w:pPr>
        <w:pStyle w:val="BodyText"/>
        <w:rPr>
          <w:lang w:val="en-US"/>
        </w:rPr>
      </w:pPr>
      <w:r>
        <w:rPr>
          <w:lang w:val="en-US"/>
        </w:rPr>
        <w:t>The level of impact on schooling differed between the age groups for all types of mental disorders. In particular, severe impact on functioning at school due to symptoms of anxiety or ADHD was more common among 12-17 year-old students than 4</w:t>
      </w:r>
      <w:r>
        <w:rPr>
          <w:lang w:val="en-US"/>
        </w:rPr>
        <w:noBreakHyphen/>
        <w:t xml:space="preserve">11 year-old students (29.1% compared with 12.6% for anxiety disorders and 20.4% compared with 8.5% for ADHD). The greatest difference was for conduct disorders, with the impact being severe for 22.8% of 12-17 year olds and moderate for </w:t>
      </w:r>
      <w:r>
        <w:rPr>
          <w:lang w:val="en-US"/>
        </w:rPr>
        <w:lastRenderedPageBreak/>
        <w:t>another 43.6% compared with 10.3% with severe impact and 11.0% with moderate impact for 4-11 year-olds.</w:t>
      </w:r>
    </w:p>
    <w:p w:rsidR="00E30271" w:rsidRDefault="00E30271" w:rsidP="00E30271">
      <w:pPr>
        <w:pStyle w:val="Caption"/>
        <w:keepNext/>
      </w:pPr>
      <w:bookmarkStart w:id="202" w:name="_Ref403380691"/>
      <w:r>
        <w:t>Table 9-</w:t>
      </w:r>
      <w:r>
        <w:rPr>
          <w:noProof/>
        </w:rPr>
        <w:t>7</w:t>
      </w:r>
      <w:bookmarkEnd w:id="202"/>
      <w:r>
        <w:t>: Impact on functioning at school in past 12 months among 4-17 year-olds with mental disorders by age group and mental disorder type</w:t>
      </w:r>
    </w:p>
    <w:tbl>
      <w:tblPr>
        <w:tblW w:w="9111" w:type="dxa"/>
        <w:jc w:val="center"/>
        <w:tblLayout w:type="fixed"/>
        <w:tblCellMar>
          <w:left w:w="0" w:type="dxa"/>
          <w:right w:w="0" w:type="dxa"/>
        </w:tblCellMar>
        <w:tblLook w:val="0020" w:firstRow="1" w:lastRow="0" w:firstColumn="0" w:lastColumn="0" w:noHBand="0" w:noVBand="0"/>
        <w:tblDescription w:val="In Table 9-7 the first column defines age group and the second column defines level of impact on functioning at school. Read across the rows to obtain the proportion of children and adolescents with anxiety disorders, major depressive disorder, ADHD and conduct disorder by level of impact at school in the past 12 months."/>
      </w:tblPr>
      <w:tblGrid>
        <w:gridCol w:w="1603"/>
        <w:gridCol w:w="2220"/>
        <w:gridCol w:w="1322"/>
        <w:gridCol w:w="1322"/>
        <w:gridCol w:w="1322"/>
        <w:gridCol w:w="1322"/>
      </w:tblGrid>
      <w:tr w:rsidR="00E30271" w:rsidRPr="00793B04" w:rsidTr="00E30271">
        <w:trPr>
          <w:cantSplit/>
          <w:tblHeader/>
          <w:jc w:val="center"/>
        </w:trPr>
        <w:tc>
          <w:tcPr>
            <w:tcW w:w="1603" w:type="dxa"/>
            <w:tcBorders>
              <w:top w:val="single" w:sz="6" w:space="0" w:color="000000"/>
              <w:right w:val="nil"/>
            </w:tcBorders>
            <w:shd w:val="clear" w:color="auto" w:fill="EFF3FF"/>
            <w:tcMar>
              <w:left w:w="40" w:type="dxa"/>
              <w:right w:w="40" w:type="dxa"/>
            </w:tcMar>
            <w:vAlign w:val="bottom"/>
          </w:tcPr>
          <w:p w:rsidR="00E30271" w:rsidRPr="00EB0BA7" w:rsidRDefault="00E30271" w:rsidP="00E30271">
            <w:pPr>
              <w:pStyle w:val="TableColumnHeadings"/>
              <w:jc w:val="left"/>
              <w:rPr>
                <w:rStyle w:val="Strong"/>
              </w:rPr>
            </w:pPr>
            <w:r w:rsidRPr="00EB0BA7">
              <w:rPr>
                <w:rStyle w:val="Strong"/>
              </w:rPr>
              <w:t>Age group</w:t>
            </w:r>
          </w:p>
        </w:tc>
        <w:tc>
          <w:tcPr>
            <w:tcW w:w="2220" w:type="dxa"/>
            <w:tcBorders>
              <w:top w:val="single" w:sz="6" w:space="0" w:color="000000"/>
              <w:left w:val="single" w:sz="4" w:space="0" w:color="FFFFFF"/>
              <w:bottom w:val="single" w:sz="4" w:space="0" w:color="000000"/>
              <w:right w:val="nil"/>
            </w:tcBorders>
            <w:shd w:val="clear" w:color="auto" w:fill="EFF3FF"/>
            <w:vAlign w:val="bottom"/>
          </w:tcPr>
          <w:p w:rsidR="00E30271" w:rsidRPr="00EB0BA7" w:rsidRDefault="00E30271" w:rsidP="00E30271">
            <w:pPr>
              <w:pStyle w:val="TableColumnHeadings"/>
              <w:jc w:val="left"/>
              <w:rPr>
                <w:rStyle w:val="Strong"/>
              </w:rPr>
            </w:pPr>
            <w:r w:rsidRPr="00EB0BA7">
              <w:rPr>
                <w:rStyle w:val="Strong"/>
              </w:rPr>
              <w:t>Level of impact on functioning</w:t>
            </w:r>
          </w:p>
        </w:tc>
        <w:tc>
          <w:tcPr>
            <w:tcW w:w="1322"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Anxiety disorders (%)</w:t>
            </w:r>
          </w:p>
        </w:tc>
        <w:tc>
          <w:tcPr>
            <w:tcW w:w="132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Major depressive disorder (%)</w:t>
            </w:r>
          </w:p>
        </w:tc>
        <w:tc>
          <w:tcPr>
            <w:tcW w:w="132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ADHD (%)</w:t>
            </w:r>
          </w:p>
        </w:tc>
        <w:tc>
          <w:tcPr>
            <w:tcW w:w="132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Conduct disorder (%)</w:t>
            </w:r>
          </w:p>
        </w:tc>
      </w:tr>
      <w:tr w:rsidR="00E30271" w:rsidRPr="00793B04" w:rsidTr="00E30271">
        <w:trPr>
          <w:cantSplit/>
          <w:jc w:val="center"/>
        </w:trPr>
        <w:tc>
          <w:tcPr>
            <w:tcW w:w="1603" w:type="dxa"/>
            <w:vMerge w:val="restart"/>
            <w:tcBorders>
              <w:top w:val="single" w:sz="4" w:space="0" w:color="000000"/>
              <w:right w:val="nil"/>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r w:rsidRPr="00793B04">
              <w:rPr>
                <w:lang w:eastAsia="en-AU"/>
              </w:rPr>
              <w:t>4-1</w:t>
            </w:r>
            <w:r>
              <w:rPr>
                <w:lang w:eastAsia="en-AU"/>
              </w:rPr>
              <w:t xml:space="preserve">1 </w:t>
            </w:r>
            <w:r w:rsidRPr="00793B04">
              <w:rPr>
                <w:lang w:eastAsia="en-AU"/>
              </w:rPr>
              <w:t>years</w:t>
            </w:r>
          </w:p>
        </w:tc>
        <w:tc>
          <w:tcPr>
            <w:tcW w:w="2220" w:type="dxa"/>
            <w:tcBorders>
              <w:top w:val="single" w:sz="4" w:space="0" w:color="000000"/>
              <w:left w:val="single" w:sz="4" w:space="0" w:color="FFFFFF"/>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sidRPr="00167EFB">
              <w:rPr>
                <w:lang w:eastAsia="en-AU"/>
              </w:rPr>
              <w:t>None</w:t>
            </w:r>
          </w:p>
        </w:tc>
        <w:tc>
          <w:tcPr>
            <w:tcW w:w="1322" w:type="dxa"/>
            <w:tcBorders>
              <w:top w:val="single" w:sz="4" w:space="0" w:color="000000"/>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27.1</w:t>
            </w:r>
          </w:p>
        </w:tc>
        <w:tc>
          <w:tcPr>
            <w:tcW w:w="1322"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t>np</w:t>
            </w:r>
          </w:p>
        </w:tc>
        <w:tc>
          <w:tcPr>
            <w:tcW w:w="1322"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16.9</w:t>
            </w:r>
          </w:p>
        </w:tc>
        <w:tc>
          <w:tcPr>
            <w:tcW w:w="1322" w:type="dxa"/>
            <w:tcBorders>
              <w:top w:val="single" w:sz="4" w:space="0" w:color="000000"/>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46.2</w:t>
            </w:r>
          </w:p>
        </w:tc>
      </w:tr>
      <w:tr w:rsidR="00E30271" w:rsidRPr="00793B04" w:rsidTr="00E30271">
        <w:trPr>
          <w:cantSplit/>
          <w:jc w:val="center"/>
        </w:trPr>
        <w:tc>
          <w:tcPr>
            <w:tcW w:w="1603" w:type="dxa"/>
            <w:vMerge/>
            <w:tcBorders>
              <w:right w:val="nil"/>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Mild</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36.9</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15.7</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42.2</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26.7</w:t>
            </w:r>
          </w:p>
        </w:tc>
      </w:tr>
      <w:tr w:rsidR="00E30271" w:rsidRPr="00793B04" w:rsidTr="00E30271">
        <w:trPr>
          <w:cantSplit/>
          <w:jc w:val="center"/>
        </w:trPr>
        <w:tc>
          <w:tcPr>
            <w:tcW w:w="1603" w:type="dxa"/>
            <w:vMerge/>
            <w:tcBorders>
              <w:right w:val="nil"/>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Moderate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19.5</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27.3</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29.9</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11.0</w:t>
            </w:r>
          </w:p>
        </w:tc>
      </w:tr>
      <w:tr w:rsidR="00E30271" w:rsidRPr="00793B04" w:rsidTr="00E30271">
        <w:trPr>
          <w:cantSplit/>
          <w:jc w:val="center"/>
        </w:trPr>
        <w:tc>
          <w:tcPr>
            <w:tcW w:w="1603" w:type="dxa"/>
            <w:vMerge/>
            <w:tcBorders>
              <w:right w:val="nil"/>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Severe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12.6</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45.4</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8.5</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10.3</w:t>
            </w:r>
          </w:p>
        </w:tc>
      </w:tr>
      <w:tr w:rsidR="00E30271" w:rsidRPr="00793B04" w:rsidTr="00E30271">
        <w:trPr>
          <w:cantSplit/>
          <w:jc w:val="center"/>
        </w:trPr>
        <w:tc>
          <w:tcPr>
            <w:tcW w:w="1603" w:type="dxa"/>
            <w:vMerge/>
            <w:tcBorders>
              <w:bottom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lang w:eastAsia="en-AU"/>
              </w:rPr>
            </w:pPr>
          </w:p>
        </w:tc>
        <w:tc>
          <w:tcPr>
            <w:tcW w:w="2220" w:type="dxa"/>
            <w:tcBorders>
              <w:top w:val="single" w:sz="4" w:space="0" w:color="FFFFFF" w:themeColor="background1"/>
              <w:left w:val="nil"/>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Does not go to school</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4.0</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t>np</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2.6</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t>np</w:t>
            </w:r>
          </w:p>
        </w:tc>
      </w:tr>
      <w:tr w:rsidR="00E30271" w:rsidRPr="00793B04" w:rsidTr="00E30271">
        <w:trPr>
          <w:cantSplit/>
          <w:jc w:val="center"/>
        </w:trPr>
        <w:tc>
          <w:tcPr>
            <w:tcW w:w="1603" w:type="dxa"/>
            <w:vMerge w:val="restart"/>
            <w:tcBorders>
              <w:top w:val="single" w:sz="4" w:space="0" w:color="FFFFFF" w:themeColor="background1"/>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r>
              <w:rPr>
                <w:lang w:eastAsia="en-AU"/>
              </w:rPr>
              <w:t>12</w:t>
            </w:r>
            <w:r w:rsidRPr="00793B04">
              <w:rPr>
                <w:lang w:eastAsia="en-AU"/>
              </w:rPr>
              <w:t>-17 years</w:t>
            </w: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sidRPr="00167EFB">
              <w:rPr>
                <w:lang w:eastAsia="en-AU"/>
              </w:rPr>
              <w:t>None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10.7</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8.9</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7.0</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21.8</w:t>
            </w:r>
          </w:p>
        </w:tc>
      </w:tr>
      <w:tr w:rsidR="00E30271" w:rsidRPr="00793B04" w:rsidTr="00E30271">
        <w:trPr>
          <w:cantSplit/>
          <w:jc w:val="center"/>
        </w:trPr>
        <w:tc>
          <w:tcPr>
            <w:tcW w:w="1603" w:type="dxa"/>
            <w:vMerge/>
            <w:tcBorders>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Mild</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24.7</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17.8</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36.2</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6.9</w:t>
            </w:r>
          </w:p>
        </w:tc>
      </w:tr>
      <w:tr w:rsidR="00E30271" w:rsidRPr="00793B04" w:rsidTr="00E30271">
        <w:trPr>
          <w:cantSplit/>
          <w:jc w:val="center"/>
        </w:trPr>
        <w:tc>
          <w:tcPr>
            <w:tcW w:w="1603" w:type="dxa"/>
            <w:vMerge/>
            <w:tcBorders>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Moderate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29.9</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36.1</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33.2</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43.6</w:t>
            </w:r>
          </w:p>
        </w:tc>
      </w:tr>
      <w:tr w:rsidR="00E30271" w:rsidRPr="00793B04" w:rsidTr="00E30271">
        <w:trPr>
          <w:cantSplit/>
          <w:jc w:val="center"/>
        </w:trPr>
        <w:tc>
          <w:tcPr>
            <w:tcW w:w="1603" w:type="dxa"/>
            <w:vMerge/>
            <w:tcBorders>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Severe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462250" w:rsidRDefault="00E30271" w:rsidP="00E30271">
            <w:pPr>
              <w:pStyle w:val="TableDataCell"/>
              <w:rPr>
                <w:rFonts w:eastAsiaTheme="minorEastAsia"/>
                <w:lang w:eastAsia="en-AU"/>
              </w:rPr>
            </w:pPr>
            <w:r w:rsidRPr="00462250">
              <w:t>29.1</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30.8</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20.4</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rFonts w:eastAsiaTheme="minorEastAsia"/>
                <w:lang w:eastAsia="en-AU"/>
              </w:rPr>
            </w:pPr>
            <w:r w:rsidRPr="00462250">
              <w:t>22.8</w:t>
            </w:r>
          </w:p>
        </w:tc>
      </w:tr>
      <w:tr w:rsidR="00E30271" w:rsidRPr="00793B04" w:rsidTr="00E30271">
        <w:trPr>
          <w:cantSplit/>
          <w:jc w:val="center"/>
        </w:trPr>
        <w:tc>
          <w:tcPr>
            <w:tcW w:w="1603" w:type="dxa"/>
            <w:vMerge/>
            <w:tcBorders>
              <w:bottom w:val="single" w:sz="4" w:space="0" w:color="FFFFFF" w:themeColor="background1"/>
              <w:right w:val="single" w:sz="4" w:space="0" w:color="FFFFFF" w:themeColor="background1"/>
            </w:tcBorders>
            <w:shd w:val="clear" w:color="auto" w:fill="EFF3FF"/>
            <w:tcMar>
              <w:left w:w="40" w:type="dxa"/>
              <w:right w:w="40" w:type="dxa"/>
            </w:tcMar>
          </w:tcPr>
          <w:p w:rsidR="00E30271" w:rsidRDefault="00E30271" w:rsidP="00E30271">
            <w:pPr>
              <w:pStyle w:val="TableRowHeadings"/>
              <w:rPr>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Does not go to school</w:t>
            </w:r>
          </w:p>
        </w:tc>
        <w:tc>
          <w:tcPr>
            <w:tcW w:w="1322" w:type="dxa"/>
            <w:tcBorders>
              <w:top w:val="single" w:sz="4" w:space="0" w:color="FFFFFF" w:themeColor="background1"/>
              <w:bottom w:val="single" w:sz="4" w:space="0" w:color="FFFFFF" w:themeColor="background1"/>
            </w:tcBorders>
            <w:shd w:val="clear" w:color="auto" w:fill="FFFFFF"/>
            <w:vAlign w:val="bottom"/>
          </w:tcPr>
          <w:p w:rsidR="00E30271" w:rsidRPr="00462250" w:rsidRDefault="00E30271" w:rsidP="00E30271">
            <w:pPr>
              <w:pStyle w:val="TableDataCell"/>
              <w:rPr>
                <w:lang w:eastAsia="en-AU"/>
              </w:rPr>
            </w:pPr>
            <w:r w:rsidRPr="00462250">
              <w:t>5.7</w:t>
            </w:r>
          </w:p>
        </w:tc>
        <w:tc>
          <w:tcPr>
            <w:tcW w:w="1322"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462250" w:rsidRDefault="00E30271" w:rsidP="00E30271">
            <w:pPr>
              <w:pStyle w:val="TableDataCell"/>
              <w:rPr>
                <w:lang w:eastAsia="en-AU"/>
              </w:rPr>
            </w:pPr>
            <w:r w:rsidRPr="00462250">
              <w:t>6.3</w:t>
            </w:r>
          </w:p>
        </w:tc>
        <w:tc>
          <w:tcPr>
            <w:tcW w:w="1322"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462250" w:rsidRDefault="00E30271" w:rsidP="00E30271">
            <w:pPr>
              <w:pStyle w:val="TableDataCell"/>
              <w:rPr>
                <w:lang w:eastAsia="en-AU"/>
              </w:rPr>
            </w:pPr>
            <w:r w:rsidRPr="00462250">
              <w:t>3.3</w:t>
            </w:r>
          </w:p>
        </w:tc>
        <w:tc>
          <w:tcPr>
            <w:tcW w:w="1322" w:type="dxa"/>
            <w:tcBorders>
              <w:top w:val="single" w:sz="4" w:space="0" w:color="FFFFFF" w:themeColor="background1"/>
              <w:bottom w:val="single" w:sz="4" w:space="0" w:color="FFFFFF" w:themeColor="background1"/>
              <w:right w:val="nil"/>
            </w:tcBorders>
            <w:shd w:val="clear" w:color="auto" w:fill="FFFFFF"/>
            <w:tcMar>
              <w:left w:w="40" w:type="dxa"/>
              <w:right w:w="40" w:type="dxa"/>
            </w:tcMar>
            <w:vAlign w:val="bottom"/>
          </w:tcPr>
          <w:p w:rsidR="00E30271" w:rsidRPr="00462250" w:rsidRDefault="00E30271" w:rsidP="00E30271">
            <w:pPr>
              <w:pStyle w:val="TableDataCell"/>
              <w:rPr>
                <w:lang w:eastAsia="en-AU"/>
              </w:rPr>
            </w:pPr>
            <w:r>
              <w:t>np</w:t>
            </w:r>
          </w:p>
        </w:tc>
      </w:tr>
      <w:tr w:rsidR="00E30271" w:rsidRPr="00793B04" w:rsidTr="00E30271">
        <w:trPr>
          <w:cantSplit/>
          <w:jc w:val="center"/>
        </w:trPr>
        <w:tc>
          <w:tcPr>
            <w:tcW w:w="1603" w:type="dxa"/>
            <w:vMerge w:val="restart"/>
            <w:tcBorders>
              <w:top w:val="single" w:sz="4" w:space="0" w:color="FFFFFF" w:themeColor="background1"/>
              <w:bottom w:val="single" w:sz="6" w:space="0" w:color="auto"/>
              <w:right w:val="single" w:sz="4" w:space="0" w:color="FFFFFF" w:themeColor="background1"/>
            </w:tcBorders>
            <w:shd w:val="clear" w:color="auto" w:fill="EFF3FF"/>
            <w:tcMar>
              <w:left w:w="40" w:type="dxa"/>
              <w:right w:w="40" w:type="dxa"/>
            </w:tcMar>
          </w:tcPr>
          <w:p w:rsidR="00E30271" w:rsidRPr="00C94EB2" w:rsidRDefault="00E30271" w:rsidP="00E30271">
            <w:pPr>
              <w:pStyle w:val="TableRowHeadings"/>
              <w:rPr>
                <w:rStyle w:val="Strong"/>
              </w:rPr>
            </w:pPr>
            <w:r w:rsidRPr="00C94EB2">
              <w:rPr>
                <w:rStyle w:val="Strong"/>
              </w:rPr>
              <w:t>4-17 years</w:t>
            </w: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sidRPr="00167EFB">
              <w:rPr>
                <w:lang w:eastAsia="en-AU"/>
              </w:rPr>
              <w:t>None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793B04" w:rsidRDefault="00E30271" w:rsidP="00E30271">
            <w:pPr>
              <w:pStyle w:val="TableDataCell"/>
              <w:rPr>
                <w:rFonts w:eastAsiaTheme="minorEastAsia"/>
                <w:lang w:eastAsia="en-AU"/>
              </w:rPr>
            </w:pPr>
            <w:r>
              <w:rPr>
                <w:lang w:eastAsia="en-AU"/>
              </w:rPr>
              <w:t>20.0</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sidRPr="00167EFB">
              <w:rPr>
                <w:lang w:eastAsia="en-AU"/>
              </w:rPr>
              <w:t>9.6</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13.3</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35.6</w:t>
            </w:r>
          </w:p>
        </w:tc>
      </w:tr>
      <w:tr w:rsidR="00E30271" w:rsidRPr="00793B04" w:rsidTr="00E30271">
        <w:trPr>
          <w:cantSplit/>
          <w:jc w:val="center"/>
        </w:trPr>
        <w:tc>
          <w:tcPr>
            <w:tcW w:w="1603" w:type="dxa"/>
            <w:vMerge/>
            <w:tcBorders>
              <w:bottom w:val="single" w:sz="6" w:space="0" w:color="auto"/>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Mild</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793B04" w:rsidRDefault="00E30271" w:rsidP="00E30271">
            <w:pPr>
              <w:pStyle w:val="TableDataCell"/>
              <w:rPr>
                <w:rFonts w:eastAsiaTheme="minorEastAsia"/>
                <w:lang w:eastAsia="en-AU"/>
              </w:rPr>
            </w:pPr>
            <w:r>
              <w:rPr>
                <w:lang w:eastAsia="en-AU"/>
              </w:rPr>
              <w:t>31.7</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sidRPr="00167EFB">
              <w:rPr>
                <w:lang w:eastAsia="en-AU"/>
              </w:rPr>
              <w:t>17.3</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40.0</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18.1</w:t>
            </w:r>
          </w:p>
        </w:tc>
      </w:tr>
      <w:tr w:rsidR="00E30271" w:rsidRPr="00793B04" w:rsidTr="00E30271">
        <w:trPr>
          <w:cantSplit/>
          <w:jc w:val="center"/>
        </w:trPr>
        <w:tc>
          <w:tcPr>
            <w:tcW w:w="1603" w:type="dxa"/>
            <w:vMerge/>
            <w:tcBorders>
              <w:bottom w:val="single" w:sz="6" w:space="0" w:color="auto"/>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Moderate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793B04" w:rsidRDefault="00E30271" w:rsidP="00E30271">
            <w:pPr>
              <w:pStyle w:val="TableDataCell"/>
              <w:rPr>
                <w:rFonts w:eastAsiaTheme="minorEastAsia"/>
                <w:lang w:eastAsia="en-AU"/>
              </w:rPr>
            </w:pPr>
            <w:r>
              <w:rPr>
                <w:lang w:eastAsia="en-AU"/>
              </w:rPr>
              <w:t>23.9</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sidRPr="00167EFB">
              <w:rPr>
                <w:lang w:eastAsia="en-AU"/>
              </w:rPr>
              <w:t>34.1</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31.1</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25.2</w:t>
            </w:r>
          </w:p>
        </w:tc>
      </w:tr>
      <w:tr w:rsidR="00E30271" w:rsidRPr="00793B04" w:rsidTr="00E30271">
        <w:trPr>
          <w:cantSplit/>
          <w:jc w:val="center"/>
        </w:trPr>
        <w:tc>
          <w:tcPr>
            <w:tcW w:w="1603" w:type="dxa"/>
            <w:vMerge/>
            <w:tcBorders>
              <w:bottom w:val="single" w:sz="6" w:space="0" w:color="auto"/>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793B04" w:rsidRDefault="00E30271" w:rsidP="00E30271">
            <w:pPr>
              <w:pStyle w:val="TableRowHeadings"/>
              <w:rPr>
                <w:lang w:eastAsia="en-AU"/>
              </w:rPr>
            </w:pPr>
            <w:r>
              <w:rPr>
                <w:lang w:eastAsia="en-AU"/>
              </w:rPr>
              <w:t>Severe</w:t>
            </w:r>
          </w:p>
        </w:tc>
        <w:tc>
          <w:tcPr>
            <w:tcW w:w="1322" w:type="dxa"/>
            <w:tcBorders>
              <w:top w:val="single" w:sz="4" w:space="0" w:color="FFFFFF" w:themeColor="background1"/>
              <w:left w:val="nil"/>
              <w:bottom w:val="single" w:sz="4" w:space="0" w:color="FFFFFF" w:themeColor="background1"/>
              <w:right w:val="nil"/>
            </w:tcBorders>
            <w:shd w:val="clear" w:color="auto" w:fill="FFFFFF"/>
            <w:vAlign w:val="bottom"/>
          </w:tcPr>
          <w:p w:rsidR="00E30271" w:rsidRPr="00793B04" w:rsidRDefault="00E30271" w:rsidP="00E30271">
            <w:pPr>
              <w:pStyle w:val="TableDataCell"/>
              <w:rPr>
                <w:rFonts w:eastAsiaTheme="minorEastAsia"/>
                <w:lang w:eastAsia="en-AU"/>
              </w:rPr>
            </w:pPr>
            <w:r>
              <w:rPr>
                <w:lang w:eastAsia="en-AU"/>
              </w:rPr>
              <w:t>19.7</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sidRPr="00167EFB">
              <w:rPr>
                <w:lang w:eastAsia="en-AU"/>
              </w:rPr>
              <w:t>34.3</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12.8</w:t>
            </w:r>
          </w:p>
        </w:tc>
        <w:tc>
          <w:tcPr>
            <w:tcW w:w="1322"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793B04" w:rsidRDefault="00E30271" w:rsidP="00E30271">
            <w:pPr>
              <w:pStyle w:val="TableDataCell"/>
              <w:rPr>
                <w:rFonts w:eastAsiaTheme="minorEastAsia"/>
                <w:lang w:eastAsia="en-AU"/>
              </w:rPr>
            </w:pPr>
            <w:r>
              <w:rPr>
                <w:lang w:eastAsia="en-AU"/>
              </w:rPr>
              <w:t>15.8</w:t>
            </w:r>
          </w:p>
        </w:tc>
      </w:tr>
      <w:tr w:rsidR="00E30271" w:rsidRPr="00793B04" w:rsidTr="00E30271">
        <w:trPr>
          <w:cantSplit/>
          <w:jc w:val="center"/>
        </w:trPr>
        <w:tc>
          <w:tcPr>
            <w:tcW w:w="1603" w:type="dxa"/>
            <w:vMerge/>
            <w:tcBorders>
              <w:bottom w:val="single" w:sz="6" w:space="0" w:color="auto"/>
              <w:right w:val="single" w:sz="4" w:space="0" w:color="FFFFFF" w:themeColor="background1"/>
            </w:tcBorders>
            <w:shd w:val="clear" w:color="auto" w:fill="EFF3FF"/>
            <w:tcMar>
              <w:left w:w="40" w:type="dxa"/>
              <w:right w:w="40" w:type="dxa"/>
            </w:tcMar>
          </w:tcPr>
          <w:p w:rsidR="00E30271" w:rsidRPr="00793B04" w:rsidRDefault="00E30271" w:rsidP="00E30271">
            <w:pPr>
              <w:pStyle w:val="TableRowHeadings"/>
              <w:rPr>
                <w:rFonts w:ascii="Times New Roman" w:hAnsi="Times New Roman" w:cs="Times New Roman"/>
                <w:sz w:val="24"/>
                <w:szCs w:val="24"/>
                <w:lang w:eastAsia="en-AU"/>
              </w:rPr>
            </w:pPr>
          </w:p>
        </w:tc>
        <w:tc>
          <w:tcPr>
            <w:tcW w:w="2220" w:type="dxa"/>
            <w:tcBorders>
              <w:top w:val="single" w:sz="4" w:space="0" w:color="FFFFFF" w:themeColor="background1"/>
              <w:left w:val="single" w:sz="4" w:space="0" w:color="FFFFFF" w:themeColor="background1"/>
              <w:bottom w:val="single" w:sz="6" w:space="0" w:color="000000"/>
              <w:right w:val="nil"/>
            </w:tcBorders>
            <w:shd w:val="clear" w:color="auto" w:fill="EFF3FF"/>
            <w:tcMar>
              <w:left w:w="40" w:type="dxa"/>
              <w:right w:w="40" w:type="dxa"/>
            </w:tcMar>
          </w:tcPr>
          <w:p w:rsidR="00E30271" w:rsidRPr="00167EFB" w:rsidRDefault="00E30271" w:rsidP="00E30271">
            <w:pPr>
              <w:pStyle w:val="TableRowHeadings"/>
              <w:rPr>
                <w:lang w:eastAsia="en-AU"/>
              </w:rPr>
            </w:pPr>
            <w:r>
              <w:rPr>
                <w:lang w:eastAsia="en-AU"/>
              </w:rPr>
              <w:t>Does not go to school</w:t>
            </w:r>
          </w:p>
        </w:tc>
        <w:tc>
          <w:tcPr>
            <w:tcW w:w="1322" w:type="dxa"/>
            <w:tcBorders>
              <w:top w:val="single" w:sz="4" w:space="0" w:color="FFFFFF" w:themeColor="background1"/>
              <w:left w:val="nil"/>
              <w:bottom w:val="single" w:sz="6" w:space="0" w:color="000000"/>
              <w:right w:val="nil"/>
            </w:tcBorders>
            <w:shd w:val="clear" w:color="auto" w:fill="FFFFFF"/>
            <w:vAlign w:val="bottom"/>
          </w:tcPr>
          <w:p w:rsidR="00E30271" w:rsidRDefault="00E30271" w:rsidP="00E30271">
            <w:pPr>
              <w:pStyle w:val="TableDataCell"/>
              <w:rPr>
                <w:lang w:eastAsia="en-AU"/>
              </w:rPr>
            </w:pPr>
            <w:r>
              <w:rPr>
                <w:lang w:eastAsia="en-AU"/>
              </w:rPr>
              <w:t>4.7</w:t>
            </w:r>
          </w:p>
        </w:tc>
        <w:tc>
          <w:tcPr>
            <w:tcW w:w="132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E30271" w:rsidRPr="00167EFB" w:rsidRDefault="00E30271" w:rsidP="00E30271">
            <w:pPr>
              <w:pStyle w:val="TableDataCell"/>
              <w:rPr>
                <w:lang w:eastAsia="en-AU"/>
              </w:rPr>
            </w:pPr>
            <w:r w:rsidRPr="00167EFB">
              <w:rPr>
                <w:lang w:eastAsia="en-AU"/>
              </w:rPr>
              <w:t>4.8</w:t>
            </w:r>
          </w:p>
        </w:tc>
        <w:tc>
          <w:tcPr>
            <w:tcW w:w="132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E30271" w:rsidRDefault="00E30271" w:rsidP="00E30271">
            <w:pPr>
              <w:pStyle w:val="TableDataCell"/>
              <w:rPr>
                <w:lang w:eastAsia="en-AU"/>
              </w:rPr>
            </w:pPr>
            <w:r>
              <w:rPr>
                <w:lang w:eastAsia="en-AU"/>
              </w:rPr>
              <w:t>2.8</w:t>
            </w:r>
          </w:p>
        </w:tc>
        <w:tc>
          <w:tcPr>
            <w:tcW w:w="132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E30271" w:rsidRDefault="00E30271" w:rsidP="00E30271">
            <w:pPr>
              <w:pStyle w:val="TableDataCell"/>
              <w:rPr>
                <w:lang w:eastAsia="en-AU"/>
              </w:rPr>
            </w:pPr>
            <w:r w:rsidRPr="0090423A">
              <w:rPr>
                <w:lang w:eastAsia="en-AU"/>
              </w:rPr>
              <w:t>5.4</w:t>
            </w:r>
          </w:p>
        </w:tc>
      </w:tr>
    </w:tbl>
    <w:p w:rsidR="00E30271" w:rsidRPr="00B658DC" w:rsidRDefault="00E30271" w:rsidP="00E30271">
      <w:pPr>
        <w:pStyle w:val="TableFootnote"/>
        <w:rPr>
          <w:b/>
          <w:color w:val="auto"/>
          <w:lang w:val="en-US"/>
        </w:rPr>
      </w:pPr>
      <w:proofErr w:type="gramStart"/>
      <w:r>
        <w:t>np</w:t>
      </w:r>
      <w:proofErr w:type="gramEnd"/>
      <w:r>
        <w:tab/>
        <w:t>Not available for publication because of small cell size, but included in totals where applicable.</w:t>
      </w:r>
    </w:p>
    <w:p w:rsidR="00E30271" w:rsidRDefault="00E30271" w:rsidP="00E30271">
      <w:pPr>
        <w:pStyle w:val="Heading3"/>
        <w:rPr>
          <w:lang w:val="en-US"/>
        </w:rPr>
      </w:pPr>
      <w:r>
        <w:rPr>
          <w:lang w:val="en-US"/>
        </w:rPr>
        <w:t>9</w:t>
      </w:r>
      <w:r w:rsidRPr="00B038A0">
        <w:rPr>
          <w:lang w:val="en-US"/>
        </w:rPr>
        <w:t>.</w:t>
      </w:r>
      <w:r>
        <w:rPr>
          <w:lang w:val="en-US"/>
        </w:rPr>
        <w:t>5.3</w:t>
      </w:r>
      <w:r w:rsidRPr="00B038A0">
        <w:rPr>
          <w:lang w:val="en-US"/>
        </w:rPr>
        <w:t xml:space="preserve"> </w:t>
      </w:r>
      <w:r w:rsidRPr="00B038A0">
        <w:rPr>
          <w:lang w:val="en-US"/>
        </w:rPr>
        <w:tab/>
      </w:r>
      <w:r>
        <w:rPr>
          <w:lang w:val="en-US"/>
        </w:rPr>
        <w:t>School performance by mental disorder status</w:t>
      </w:r>
    </w:p>
    <w:p w:rsidR="00E30271" w:rsidRDefault="00E30271" w:rsidP="00E30271">
      <w:pPr>
        <w:pStyle w:val="BodyText"/>
        <w:rPr>
          <w:lang w:val="en-US"/>
        </w:rPr>
      </w:pPr>
      <w:r>
        <w:t>Table 9-</w:t>
      </w:r>
      <w:r>
        <w:rPr>
          <w:noProof/>
        </w:rPr>
        <w:t>8</w:t>
      </w:r>
      <w:r>
        <w:rPr>
          <w:lang w:val="en-US"/>
        </w:rPr>
        <w:t xml:space="preserve"> shows parent and carer ratings of students’ performance across five different learning areas for those with and without a mental disorder. Given the different ages at which learning areas are introduced, performance in </w:t>
      </w:r>
      <w:proofErr w:type="spellStart"/>
      <w:r>
        <w:rPr>
          <w:lang w:val="en-US"/>
        </w:rPr>
        <w:t>Maths</w:t>
      </w:r>
      <w:proofErr w:type="spellEnd"/>
      <w:r>
        <w:rPr>
          <w:lang w:val="en-US"/>
        </w:rPr>
        <w:t>, English, Art and Sports is reported for children aged six and older, and performance in Science is reported for children aged 11 and over.</w:t>
      </w:r>
    </w:p>
    <w:p w:rsidR="00E30271" w:rsidRDefault="00E30271" w:rsidP="00E30271">
      <w:pPr>
        <w:pStyle w:val="BodyText"/>
        <w:rPr>
          <w:lang w:val="en-US"/>
        </w:rPr>
      </w:pPr>
      <w:r>
        <w:rPr>
          <w:lang w:val="en-US"/>
        </w:rPr>
        <w:t xml:space="preserve">School performance in all subjects was markedly poorer for those with a mental disorder. In particular there was a greater difference in the core learning areas. In </w:t>
      </w:r>
      <w:proofErr w:type="spellStart"/>
      <w:r>
        <w:rPr>
          <w:lang w:val="en-US"/>
        </w:rPr>
        <w:t>Maths</w:t>
      </w:r>
      <w:proofErr w:type="spellEnd"/>
      <w:r>
        <w:rPr>
          <w:lang w:val="en-US"/>
        </w:rPr>
        <w:t xml:space="preserve"> 37.0% of students with mental disorders were rated below average compared with 10.5% of those with no disorder. In English 39.4% of students with mental disorders were rated below average compared with 10.8% of those with no disorder. In Science 33.7% of students with mental disorders were rated below average compared with 8.8% of those with no disorder. The same was true for Art and Sports learning areas, but the differences were somewhat less.</w:t>
      </w:r>
    </w:p>
    <w:p w:rsidR="00E30271" w:rsidRDefault="00E30271" w:rsidP="00FA5A2F">
      <w:pPr>
        <w:pStyle w:val="Caption"/>
        <w:keepNext/>
        <w:pageBreakBefore/>
      </w:pPr>
      <w:bookmarkStart w:id="203" w:name="_Ref403380739"/>
      <w:r>
        <w:lastRenderedPageBreak/>
        <w:t>Table 9-</w:t>
      </w:r>
      <w:r>
        <w:rPr>
          <w:noProof/>
        </w:rPr>
        <w:t>8</w:t>
      </w:r>
      <w:bookmarkEnd w:id="203"/>
      <w:r>
        <w:t>: School performance in past 12 months by mental disorder status and school subject</w:t>
      </w:r>
    </w:p>
    <w:tbl>
      <w:tblPr>
        <w:tblW w:w="9125" w:type="dxa"/>
        <w:jc w:val="center"/>
        <w:tblLayout w:type="fixed"/>
        <w:tblCellMar>
          <w:left w:w="0" w:type="dxa"/>
          <w:right w:w="0" w:type="dxa"/>
        </w:tblCellMar>
        <w:tblLook w:val="0020" w:firstRow="1" w:lastRow="0" w:firstColumn="0" w:lastColumn="0" w:noHBand="0" w:noVBand="0"/>
        <w:tblDescription w:val="In Table 9-8 the first column defines mental disorder status and the second column defines school subject. Read across the rows to obtain the proportion of students far above average, somewhat above average, average, somewhat below average and far below average in each subject in the past 12 months. "/>
      </w:tblPr>
      <w:tblGrid>
        <w:gridCol w:w="1002"/>
        <w:gridCol w:w="2436"/>
        <w:gridCol w:w="1137"/>
        <w:gridCol w:w="1137"/>
        <w:gridCol w:w="1138"/>
        <w:gridCol w:w="1137"/>
        <w:gridCol w:w="1138"/>
      </w:tblGrid>
      <w:tr w:rsidR="00E30271" w:rsidRPr="002E483F" w:rsidTr="00E30271">
        <w:trPr>
          <w:cantSplit/>
          <w:tblHeader/>
          <w:jc w:val="center"/>
        </w:trPr>
        <w:tc>
          <w:tcPr>
            <w:tcW w:w="1002" w:type="dxa"/>
            <w:tcBorders>
              <w:top w:val="single" w:sz="6" w:space="0" w:color="000000"/>
              <w:right w:val="nil"/>
            </w:tcBorders>
            <w:shd w:val="clear" w:color="auto" w:fill="EFF3FF"/>
            <w:tcMar>
              <w:left w:w="40" w:type="dxa"/>
              <w:right w:w="40" w:type="dxa"/>
            </w:tcMar>
            <w:vAlign w:val="bottom"/>
          </w:tcPr>
          <w:p w:rsidR="00E30271" w:rsidRPr="00EB0BA7" w:rsidRDefault="00E30271" w:rsidP="00E30271">
            <w:pPr>
              <w:pStyle w:val="TableColumnHeadings"/>
              <w:jc w:val="left"/>
              <w:rPr>
                <w:rStyle w:val="Strong"/>
              </w:rPr>
            </w:pPr>
            <w:r w:rsidRPr="00EB0BA7">
              <w:rPr>
                <w:rStyle w:val="Strong"/>
              </w:rPr>
              <w:t>Mental disorder status</w:t>
            </w:r>
          </w:p>
        </w:tc>
        <w:tc>
          <w:tcPr>
            <w:tcW w:w="2436" w:type="dxa"/>
            <w:tcBorders>
              <w:top w:val="single" w:sz="6" w:space="0" w:color="000000"/>
              <w:left w:val="single" w:sz="4" w:space="0" w:color="FFFFFF"/>
              <w:bottom w:val="single" w:sz="4" w:space="0" w:color="000000" w:themeColor="text1"/>
              <w:right w:val="nil"/>
            </w:tcBorders>
            <w:shd w:val="clear" w:color="auto" w:fill="EFF3FF"/>
            <w:vAlign w:val="bottom"/>
          </w:tcPr>
          <w:p w:rsidR="00E30271" w:rsidRPr="00EB0BA7" w:rsidRDefault="00E30271" w:rsidP="00E30271">
            <w:pPr>
              <w:pStyle w:val="TableColumnHeadings"/>
              <w:jc w:val="left"/>
              <w:rPr>
                <w:rStyle w:val="Strong"/>
              </w:rPr>
            </w:pPr>
          </w:p>
          <w:p w:rsidR="00E30271" w:rsidRPr="00EB0BA7" w:rsidRDefault="00E30271" w:rsidP="00E30271">
            <w:pPr>
              <w:pStyle w:val="TableColumnHeadings"/>
              <w:jc w:val="left"/>
              <w:rPr>
                <w:rStyle w:val="Strong"/>
              </w:rPr>
            </w:pPr>
          </w:p>
          <w:p w:rsidR="00E30271" w:rsidRPr="00EB0BA7" w:rsidRDefault="00E30271" w:rsidP="00E30271">
            <w:pPr>
              <w:pStyle w:val="TableColumnHeadings"/>
              <w:jc w:val="left"/>
              <w:rPr>
                <w:rStyle w:val="Strong"/>
              </w:rPr>
            </w:pPr>
            <w:r w:rsidRPr="00EB0BA7">
              <w:rPr>
                <w:rStyle w:val="Strong"/>
              </w:rPr>
              <w:t>Subject</w:t>
            </w:r>
          </w:p>
        </w:tc>
        <w:tc>
          <w:tcPr>
            <w:tcW w:w="1137" w:type="dxa"/>
            <w:tcBorders>
              <w:top w:val="single" w:sz="6" w:space="0" w:color="000000"/>
              <w:left w:val="single" w:sz="4" w:space="0" w:color="FFFFFF"/>
              <w:bottom w:val="single" w:sz="4" w:space="0" w:color="000000" w:themeColor="text1"/>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Far above average (%)</w:t>
            </w:r>
          </w:p>
        </w:tc>
        <w:tc>
          <w:tcPr>
            <w:tcW w:w="1137" w:type="dxa"/>
            <w:tcBorders>
              <w:top w:val="single" w:sz="6" w:space="0" w:color="000000"/>
              <w:left w:val="single" w:sz="4" w:space="0" w:color="FFFFFF"/>
              <w:bottom w:val="single" w:sz="4" w:space="0" w:color="000000" w:themeColor="text1"/>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Somewhat above average (%)</w:t>
            </w:r>
          </w:p>
        </w:tc>
        <w:tc>
          <w:tcPr>
            <w:tcW w:w="1138" w:type="dxa"/>
            <w:tcBorders>
              <w:top w:val="single" w:sz="6" w:space="0" w:color="000000"/>
              <w:left w:val="single" w:sz="4" w:space="0" w:color="FFFFFF"/>
              <w:bottom w:val="single" w:sz="4" w:space="0" w:color="000000" w:themeColor="text1"/>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Average (%)</w:t>
            </w:r>
          </w:p>
        </w:tc>
        <w:tc>
          <w:tcPr>
            <w:tcW w:w="1137" w:type="dxa"/>
            <w:tcBorders>
              <w:top w:val="single" w:sz="6" w:space="0" w:color="000000"/>
              <w:left w:val="single" w:sz="4" w:space="0" w:color="FFFFFF"/>
              <w:bottom w:val="single" w:sz="4" w:space="0" w:color="000000" w:themeColor="text1"/>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Somewhat below average (%)</w:t>
            </w:r>
          </w:p>
        </w:tc>
        <w:tc>
          <w:tcPr>
            <w:tcW w:w="1138" w:type="dxa"/>
            <w:tcBorders>
              <w:top w:val="single" w:sz="6" w:space="0" w:color="000000"/>
              <w:left w:val="single" w:sz="4" w:space="0" w:color="FFFFFF"/>
              <w:bottom w:val="single" w:sz="4" w:space="0" w:color="000000" w:themeColor="text1"/>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Far below average (%)</w:t>
            </w:r>
          </w:p>
        </w:tc>
      </w:tr>
      <w:tr w:rsidR="00E30271" w:rsidRPr="002E483F" w:rsidTr="00E30271">
        <w:trPr>
          <w:cantSplit/>
          <w:jc w:val="center"/>
        </w:trPr>
        <w:tc>
          <w:tcPr>
            <w:tcW w:w="1002" w:type="dxa"/>
            <w:vMerge w:val="restart"/>
            <w:tcBorders>
              <w:top w:val="single" w:sz="4" w:space="0" w:color="000000" w:themeColor="text1"/>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lang w:eastAsia="en-AU"/>
              </w:rPr>
            </w:pPr>
            <w:r>
              <w:rPr>
                <w:lang w:eastAsia="en-AU"/>
              </w:rPr>
              <w:t>Any d</w:t>
            </w:r>
            <w:r w:rsidRPr="002E483F">
              <w:rPr>
                <w:lang w:eastAsia="en-AU"/>
              </w:rPr>
              <w:t>isorder</w:t>
            </w:r>
          </w:p>
        </w:tc>
        <w:tc>
          <w:tcPr>
            <w:tcW w:w="2436" w:type="dxa"/>
            <w:tcBorders>
              <w:top w:val="single" w:sz="4" w:space="0" w:color="000000" w:themeColor="text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Maths</w:t>
            </w:r>
          </w:p>
        </w:tc>
        <w:tc>
          <w:tcPr>
            <w:tcW w:w="1137" w:type="dxa"/>
            <w:tcBorders>
              <w:top w:val="single" w:sz="4" w:space="0" w:color="000000" w:themeColor="text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9.1</w:t>
            </w:r>
          </w:p>
        </w:tc>
        <w:tc>
          <w:tcPr>
            <w:tcW w:w="1137" w:type="dxa"/>
            <w:tcBorders>
              <w:top w:val="single" w:sz="4" w:space="0" w:color="000000" w:themeColor="text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18.3</w:t>
            </w:r>
          </w:p>
        </w:tc>
        <w:tc>
          <w:tcPr>
            <w:tcW w:w="1138" w:type="dxa"/>
            <w:tcBorders>
              <w:top w:val="single" w:sz="4" w:space="0" w:color="000000" w:themeColor="text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35.6</w:t>
            </w:r>
          </w:p>
        </w:tc>
        <w:tc>
          <w:tcPr>
            <w:tcW w:w="1137" w:type="dxa"/>
            <w:tcBorders>
              <w:top w:val="single" w:sz="4" w:space="0" w:color="000000" w:themeColor="text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24.5</w:t>
            </w:r>
          </w:p>
        </w:tc>
        <w:tc>
          <w:tcPr>
            <w:tcW w:w="1138" w:type="dxa"/>
            <w:tcBorders>
              <w:top w:val="single" w:sz="4" w:space="0" w:color="000000" w:themeColor="text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12.5</w:t>
            </w:r>
          </w:p>
        </w:tc>
      </w:tr>
      <w:tr w:rsidR="00E30271" w:rsidRPr="002E483F" w:rsidTr="00E30271">
        <w:trPr>
          <w:cantSplit/>
          <w:jc w:val="center"/>
        </w:trPr>
        <w:tc>
          <w:tcPr>
            <w:tcW w:w="1002" w:type="dxa"/>
            <w:vMerge/>
            <w:tcBorders>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English, reading or writing</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12.2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19.1</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29.2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25.0</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14.4</w:t>
            </w:r>
          </w:p>
        </w:tc>
      </w:tr>
      <w:tr w:rsidR="00E30271" w:rsidRPr="002E483F" w:rsidTr="00E30271">
        <w:trPr>
          <w:cantSplit/>
          <w:jc w:val="center"/>
        </w:trPr>
        <w:tc>
          <w:tcPr>
            <w:tcW w:w="1002" w:type="dxa"/>
            <w:vMerge/>
            <w:tcBorders>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Science</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5.7</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15.7</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45.0</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21.9</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11.8</w:t>
            </w:r>
          </w:p>
        </w:tc>
      </w:tr>
      <w:tr w:rsidR="00E30271" w:rsidRPr="002E483F" w:rsidTr="00E30271">
        <w:trPr>
          <w:cantSplit/>
          <w:jc w:val="center"/>
        </w:trPr>
        <w:tc>
          <w:tcPr>
            <w:tcW w:w="1002" w:type="dxa"/>
            <w:vMerge/>
            <w:tcBorders>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Art or drawing</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11.2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26.2</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44.3</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12.7</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5.6</w:t>
            </w:r>
          </w:p>
        </w:tc>
      </w:tr>
      <w:tr w:rsidR="00E30271" w:rsidRPr="002E483F" w:rsidTr="00E30271">
        <w:trPr>
          <w:cantSplit/>
          <w:jc w:val="center"/>
        </w:trPr>
        <w:tc>
          <w:tcPr>
            <w:tcW w:w="1002" w:type="dxa"/>
            <w:vMerge/>
            <w:tcBorders>
              <w:bottom w:val="single" w:sz="4" w:space="0" w:color="FFFFFF" w:themeColor="background1"/>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Sports or physical education</w:t>
            </w:r>
          </w:p>
        </w:tc>
        <w:tc>
          <w:tcPr>
            <w:tcW w:w="1137"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14.3</w:t>
            </w:r>
          </w:p>
        </w:tc>
        <w:tc>
          <w:tcPr>
            <w:tcW w:w="1137"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23.5</w:t>
            </w:r>
          </w:p>
        </w:tc>
        <w:tc>
          <w:tcPr>
            <w:tcW w:w="1138"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38.8</w:t>
            </w:r>
          </w:p>
        </w:tc>
        <w:tc>
          <w:tcPr>
            <w:tcW w:w="1137" w:type="dxa"/>
            <w:tcBorders>
              <w:top w:val="single" w:sz="4" w:space="0" w:color="FFFFFF" w:themeColor="background1"/>
              <w:bottom w:val="single" w:sz="4" w:space="0" w:color="FFFFFF" w:themeColor="background1"/>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16.0</w:t>
            </w:r>
          </w:p>
        </w:tc>
        <w:tc>
          <w:tcPr>
            <w:tcW w:w="1138" w:type="dxa"/>
            <w:tcBorders>
              <w:top w:val="single" w:sz="4" w:space="0" w:color="FFFFFF" w:themeColor="background1"/>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7.3</w:t>
            </w:r>
          </w:p>
        </w:tc>
      </w:tr>
      <w:tr w:rsidR="00E30271" w:rsidRPr="002E483F" w:rsidTr="00E30271">
        <w:trPr>
          <w:cantSplit/>
          <w:jc w:val="center"/>
        </w:trPr>
        <w:tc>
          <w:tcPr>
            <w:tcW w:w="1002" w:type="dxa"/>
            <w:vMerge w:val="restart"/>
            <w:tcBorders>
              <w:top w:val="single" w:sz="4" w:space="0" w:color="FFFFFF" w:themeColor="background1"/>
              <w:bottom w:val="single" w:sz="6" w:space="0" w:color="auto"/>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No disorder</w:t>
            </w: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Maths</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17.1</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33.5</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38.8</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9.0</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1.5</w:t>
            </w:r>
          </w:p>
        </w:tc>
      </w:tr>
      <w:tr w:rsidR="00E30271" w:rsidRPr="002E483F" w:rsidTr="00E30271">
        <w:trPr>
          <w:cantSplit/>
          <w:jc w:val="center"/>
        </w:trPr>
        <w:tc>
          <w:tcPr>
            <w:tcW w:w="1002" w:type="dxa"/>
            <w:vMerge/>
            <w:tcBorders>
              <w:bottom w:val="single" w:sz="6" w:space="0" w:color="auto"/>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English, reading or writing</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20.2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33.8</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35.2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9.3</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1.5</w:t>
            </w:r>
          </w:p>
        </w:tc>
      </w:tr>
      <w:tr w:rsidR="00E30271" w:rsidRPr="002E483F" w:rsidTr="00E30271">
        <w:trPr>
          <w:cantSplit/>
          <w:jc w:val="center"/>
        </w:trPr>
        <w:tc>
          <w:tcPr>
            <w:tcW w:w="1002" w:type="dxa"/>
            <w:vMerge/>
            <w:tcBorders>
              <w:bottom w:val="single" w:sz="6" w:space="0" w:color="auto"/>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Science</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13.2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32.5</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45.6</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7.7</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1.1</w:t>
            </w:r>
          </w:p>
        </w:tc>
      </w:tr>
      <w:tr w:rsidR="00E30271" w:rsidRPr="002E483F" w:rsidTr="00E30271">
        <w:trPr>
          <w:cantSplit/>
          <w:jc w:val="center"/>
        </w:trPr>
        <w:tc>
          <w:tcPr>
            <w:tcW w:w="1002" w:type="dxa"/>
            <w:vMerge/>
            <w:tcBorders>
              <w:bottom w:val="single" w:sz="6" w:space="0" w:color="auto"/>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Art or drawing</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15.2</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34.6</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43.9</w:t>
            </w:r>
          </w:p>
        </w:tc>
        <w:tc>
          <w:tcPr>
            <w:tcW w:w="1137"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5.3</w:t>
            </w:r>
          </w:p>
        </w:tc>
        <w:tc>
          <w:tcPr>
            <w:tcW w:w="1138" w:type="dxa"/>
            <w:tcBorders>
              <w:top w:val="single" w:sz="4" w:space="0" w:color="FFFFFF" w:themeColor="background1"/>
              <w:left w:val="nil"/>
              <w:bottom w:val="single" w:sz="4" w:space="0" w:color="FFFFFF" w:themeColor="background1"/>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1.0</w:t>
            </w:r>
          </w:p>
        </w:tc>
      </w:tr>
      <w:tr w:rsidR="00E30271" w:rsidRPr="002E483F" w:rsidTr="00E30271">
        <w:trPr>
          <w:cantSplit/>
          <w:jc w:val="center"/>
        </w:trPr>
        <w:tc>
          <w:tcPr>
            <w:tcW w:w="1002" w:type="dxa"/>
            <w:vMerge/>
            <w:tcBorders>
              <w:bottom w:val="single" w:sz="6" w:space="0" w:color="auto"/>
              <w:right w:val="single" w:sz="4" w:space="0" w:color="FFFFFF" w:themeColor="background1"/>
            </w:tcBorders>
            <w:shd w:val="clear" w:color="auto" w:fill="EFF3FF"/>
            <w:tcMar>
              <w:left w:w="40" w:type="dxa"/>
              <w:right w:w="40" w:type="dxa"/>
            </w:tcMar>
          </w:tcPr>
          <w:p w:rsidR="00E30271" w:rsidRPr="002E483F" w:rsidRDefault="00E30271" w:rsidP="00E30271">
            <w:pPr>
              <w:pStyle w:val="TableRowHeadings"/>
              <w:rPr>
                <w:rFonts w:ascii="Times New Roman" w:hAnsi="Times New Roman" w:cs="Times New Roman"/>
                <w:sz w:val="24"/>
                <w:szCs w:val="24"/>
                <w:lang w:eastAsia="en-AU"/>
              </w:rPr>
            </w:pPr>
          </w:p>
        </w:tc>
        <w:tc>
          <w:tcPr>
            <w:tcW w:w="2436" w:type="dxa"/>
            <w:tcBorders>
              <w:top w:val="single" w:sz="4" w:space="0" w:color="FFFFFF" w:themeColor="background1"/>
              <w:left w:val="single" w:sz="4" w:space="0" w:color="FFFFFF" w:themeColor="background1"/>
              <w:bottom w:val="single" w:sz="6" w:space="0" w:color="auto"/>
              <w:right w:val="nil"/>
            </w:tcBorders>
            <w:shd w:val="clear" w:color="auto" w:fill="EFF3FF"/>
            <w:tcMar>
              <w:left w:w="40" w:type="dxa"/>
              <w:right w:w="40" w:type="dxa"/>
            </w:tcMar>
          </w:tcPr>
          <w:p w:rsidR="00E30271" w:rsidRPr="002E483F" w:rsidRDefault="00E30271" w:rsidP="00E30271">
            <w:pPr>
              <w:pStyle w:val="TableRowHeadings"/>
              <w:rPr>
                <w:lang w:eastAsia="en-AU"/>
              </w:rPr>
            </w:pPr>
            <w:r w:rsidRPr="002E483F">
              <w:rPr>
                <w:lang w:eastAsia="en-AU"/>
              </w:rPr>
              <w:t>Sports or physical education</w:t>
            </w:r>
          </w:p>
        </w:tc>
        <w:tc>
          <w:tcPr>
            <w:tcW w:w="1137"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21.5</w:t>
            </w:r>
          </w:p>
        </w:tc>
        <w:tc>
          <w:tcPr>
            <w:tcW w:w="1137"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30.7</w:t>
            </w:r>
          </w:p>
        </w:tc>
        <w:tc>
          <w:tcPr>
            <w:tcW w:w="1138"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38.9</w:t>
            </w:r>
          </w:p>
        </w:tc>
        <w:tc>
          <w:tcPr>
            <w:tcW w:w="1137"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7.7</w:t>
            </w:r>
          </w:p>
        </w:tc>
        <w:tc>
          <w:tcPr>
            <w:tcW w:w="1138" w:type="dxa"/>
            <w:tcBorders>
              <w:top w:val="single" w:sz="4" w:space="0" w:color="FFFFFF" w:themeColor="background1"/>
              <w:left w:val="nil"/>
              <w:bottom w:val="single" w:sz="6" w:space="0" w:color="auto"/>
              <w:right w:val="nil"/>
            </w:tcBorders>
            <w:shd w:val="clear" w:color="auto" w:fill="FFFFFF"/>
            <w:tcMar>
              <w:left w:w="40" w:type="dxa"/>
              <w:right w:w="40" w:type="dxa"/>
            </w:tcMar>
            <w:vAlign w:val="bottom"/>
          </w:tcPr>
          <w:p w:rsidR="00E30271" w:rsidRPr="002E483F" w:rsidRDefault="00E30271" w:rsidP="00E30271">
            <w:pPr>
              <w:pStyle w:val="TableDataCell"/>
              <w:rPr>
                <w:lang w:eastAsia="en-AU"/>
              </w:rPr>
            </w:pPr>
            <w:r w:rsidRPr="002E483F">
              <w:rPr>
                <w:lang w:eastAsia="en-AU"/>
              </w:rPr>
              <w:t>1.2</w:t>
            </w:r>
          </w:p>
        </w:tc>
      </w:tr>
    </w:tbl>
    <w:p w:rsidR="00E30271" w:rsidRDefault="00E30271" w:rsidP="00E30271">
      <w:pPr>
        <w:pStyle w:val="TableFootnote"/>
        <w:ind w:left="0" w:firstLine="0"/>
      </w:pPr>
      <w:r>
        <w:t>Note: Performance in Maths, English, Art and Sports is reported for children aged six and older, while performance in Science is reported for children aged 11 and over.</w:t>
      </w:r>
    </w:p>
    <w:p w:rsidR="00E30271" w:rsidRPr="00B759C4" w:rsidRDefault="00E30271" w:rsidP="00E30271">
      <w:pPr>
        <w:pStyle w:val="BodyText"/>
      </w:pPr>
      <w:r w:rsidRPr="00B759C4">
        <w:t xml:space="preserve">The survey also gathered data from parents and carers concerning how </w:t>
      </w:r>
      <w:proofErr w:type="gramStart"/>
      <w:r w:rsidRPr="00B759C4">
        <w:t>much</w:t>
      </w:r>
      <w:proofErr w:type="gramEnd"/>
      <w:r w:rsidRPr="00B759C4">
        <w:t xml:space="preserve"> their children liked school. A higher proportion of children and adolescents with a mental disorder than those without a mental disorder somewhat disliked or very much disliked school (21.6% compared with 5.1%) </w:t>
      </w:r>
      <w:proofErr w:type="gramStart"/>
      <w:r w:rsidRPr="00B759C4">
        <w:t>(Table 9-</w:t>
      </w:r>
      <w:r w:rsidRPr="00B759C4">
        <w:rPr>
          <w:noProof/>
        </w:rPr>
        <w:t>9</w:t>
      </w:r>
      <w:r w:rsidRPr="00B759C4">
        <w:t>).</w:t>
      </w:r>
      <w:proofErr w:type="gramEnd"/>
    </w:p>
    <w:p w:rsidR="00E30271" w:rsidRDefault="00E30271" w:rsidP="00E30271">
      <w:pPr>
        <w:pStyle w:val="Caption"/>
        <w:keepNext/>
      </w:pPr>
      <w:bookmarkStart w:id="204" w:name="_Ref403380796"/>
      <w:r>
        <w:t>Table 9-</w:t>
      </w:r>
      <w:r>
        <w:rPr>
          <w:noProof/>
        </w:rPr>
        <w:t>9</w:t>
      </w:r>
      <w:bookmarkEnd w:id="204"/>
      <w:r>
        <w:t>: Rating of how much students liked school in past 12 months by mental disorder status</w:t>
      </w:r>
    </w:p>
    <w:tbl>
      <w:tblPr>
        <w:tblW w:w="0" w:type="auto"/>
        <w:jc w:val="center"/>
        <w:tblLayout w:type="fixed"/>
        <w:tblCellMar>
          <w:left w:w="0" w:type="dxa"/>
          <w:right w:w="0" w:type="dxa"/>
        </w:tblCellMar>
        <w:tblLook w:val="0020" w:firstRow="1" w:lastRow="0" w:firstColumn="0" w:lastColumn="0" w:noHBand="0" w:noVBand="0"/>
        <w:tblDescription w:val="In Table 9-9 the first column defines how much students liked school in the past 12 months. Read across the rows for the proportion of students with mental disorder, no disorder and all students for each category."/>
      </w:tblPr>
      <w:tblGrid>
        <w:gridCol w:w="3424"/>
        <w:gridCol w:w="1891"/>
        <w:gridCol w:w="1891"/>
        <w:gridCol w:w="1892"/>
      </w:tblGrid>
      <w:tr w:rsidR="00E30271" w:rsidRPr="00380FEA" w:rsidTr="00E30271">
        <w:trPr>
          <w:cantSplit/>
          <w:tblHeader/>
          <w:jc w:val="center"/>
        </w:trPr>
        <w:tc>
          <w:tcPr>
            <w:tcW w:w="3424"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jc w:val="left"/>
              <w:rPr>
                <w:rStyle w:val="Strong"/>
              </w:rPr>
            </w:pPr>
            <w:r w:rsidRPr="00EB0BA7">
              <w:rPr>
                <w:rStyle w:val="Strong"/>
              </w:rPr>
              <w:t>Level of liking</w:t>
            </w:r>
          </w:p>
        </w:tc>
        <w:tc>
          <w:tcPr>
            <w:tcW w:w="1891"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E30271" w:rsidRPr="00EB0BA7" w:rsidRDefault="00E30271" w:rsidP="00E30271">
            <w:pPr>
              <w:pStyle w:val="TableColumnHeadings"/>
              <w:rPr>
                <w:rStyle w:val="Strong"/>
              </w:rPr>
            </w:pPr>
            <w:r w:rsidRPr="00EB0BA7">
              <w:rPr>
                <w:rStyle w:val="Strong"/>
              </w:rPr>
              <w:t>Mental disorder (%)</w:t>
            </w:r>
          </w:p>
        </w:tc>
        <w:tc>
          <w:tcPr>
            <w:tcW w:w="189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No disorder (%)</w:t>
            </w:r>
          </w:p>
        </w:tc>
        <w:tc>
          <w:tcPr>
            <w:tcW w:w="189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EB0BA7" w:rsidRDefault="00E30271" w:rsidP="00E30271">
            <w:pPr>
              <w:pStyle w:val="TableColumnHeadings"/>
              <w:rPr>
                <w:rStyle w:val="Strong"/>
              </w:rPr>
            </w:pPr>
            <w:r w:rsidRPr="00EB0BA7">
              <w:rPr>
                <w:rStyle w:val="Strong"/>
              </w:rPr>
              <w:t>All students (%)</w:t>
            </w:r>
          </w:p>
        </w:tc>
      </w:tr>
      <w:tr w:rsidR="00E30271" w:rsidRPr="00380FEA" w:rsidTr="00E30271">
        <w:trPr>
          <w:cantSplit/>
          <w:jc w:val="center"/>
        </w:trPr>
        <w:tc>
          <w:tcPr>
            <w:tcW w:w="3424" w:type="dxa"/>
            <w:tcBorders>
              <w:top w:val="nil"/>
              <w:bottom w:val="single" w:sz="4" w:space="0" w:color="FFFFFF"/>
              <w:right w:val="nil"/>
            </w:tcBorders>
            <w:shd w:val="clear" w:color="auto" w:fill="EFF3FF"/>
            <w:tcMar>
              <w:left w:w="40" w:type="dxa"/>
              <w:right w:w="40" w:type="dxa"/>
            </w:tcMar>
          </w:tcPr>
          <w:p w:rsidR="00E30271" w:rsidRPr="00380FEA" w:rsidRDefault="00E30271" w:rsidP="00E30271">
            <w:pPr>
              <w:pStyle w:val="TableRowHeadings"/>
              <w:rPr>
                <w:lang w:eastAsia="en-AU"/>
              </w:rPr>
            </w:pPr>
            <w:r w:rsidRPr="00380FEA">
              <w:rPr>
                <w:lang w:eastAsia="en-AU"/>
              </w:rPr>
              <w:t>Very much likes school</w:t>
            </w:r>
          </w:p>
        </w:tc>
        <w:tc>
          <w:tcPr>
            <w:tcW w:w="1891" w:type="dxa"/>
            <w:tcBorders>
              <w:top w:val="nil"/>
              <w:left w:val="nil"/>
              <w:bottom w:val="nil"/>
              <w:right w:val="nil"/>
            </w:tcBorders>
            <w:shd w:val="clear" w:color="auto" w:fill="FFFFFF"/>
            <w:vAlign w:val="bottom"/>
          </w:tcPr>
          <w:p w:rsidR="00E30271" w:rsidRPr="00380FEA" w:rsidRDefault="00E30271" w:rsidP="00E30271">
            <w:pPr>
              <w:pStyle w:val="TableDataCell"/>
              <w:rPr>
                <w:lang w:eastAsia="en-AU"/>
              </w:rPr>
            </w:pPr>
            <w:r w:rsidRPr="00380FEA">
              <w:rPr>
                <w:lang w:eastAsia="en-AU"/>
              </w:rPr>
              <w:t>31.3</w:t>
            </w:r>
          </w:p>
        </w:tc>
        <w:tc>
          <w:tcPr>
            <w:tcW w:w="1891"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59.3</w:t>
            </w:r>
          </w:p>
        </w:tc>
        <w:tc>
          <w:tcPr>
            <w:tcW w:w="1892"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55.3</w:t>
            </w:r>
          </w:p>
        </w:tc>
      </w:tr>
      <w:tr w:rsidR="00E30271" w:rsidRPr="00380FEA" w:rsidTr="00E30271">
        <w:trPr>
          <w:cantSplit/>
          <w:jc w:val="center"/>
        </w:trPr>
        <w:tc>
          <w:tcPr>
            <w:tcW w:w="3424" w:type="dxa"/>
            <w:tcBorders>
              <w:top w:val="nil"/>
              <w:bottom w:val="single" w:sz="4" w:space="0" w:color="FFFFFF"/>
              <w:right w:val="nil"/>
            </w:tcBorders>
            <w:shd w:val="clear" w:color="auto" w:fill="EFF3FF"/>
            <w:tcMar>
              <w:left w:w="40" w:type="dxa"/>
              <w:right w:w="40" w:type="dxa"/>
            </w:tcMar>
          </w:tcPr>
          <w:p w:rsidR="00E30271" w:rsidRPr="00380FEA" w:rsidRDefault="00E30271" w:rsidP="00E30271">
            <w:pPr>
              <w:pStyle w:val="TableRowHeadings"/>
              <w:rPr>
                <w:lang w:eastAsia="en-AU"/>
              </w:rPr>
            </w:pPr>
            <w:r w:rsidRPr="00380FEA">
              <w:rPr>
                <w:lang w:eastAsia="en-AU"/>
              </w:rPr>
              <w:t>Somewhat likes school</w:t>
            </w:r>
          </w:p>
        </w:tc>
        <w:tc>
          <w:tcPr>
            <w:tcW w:w="1891" w:type="dxa"/>
            <w:tcBorders>
              <w:top w:val="nil"/>
              <w:left w:val="nil"/>
              <w:bottom w:val="nil"/>
              <w:right w:val="nil"/>
            </w:tcBorders>
            <w:shd w:val="clear" w:color="auto" w:fill="FFFFFF"/>
            <w:vAlign w:val="bottom"/>
          </w:tcPr>
          <w:p w:rsidR="00E30271" w:rsidRPr="00380FEA" w:rsidRDefault="00E30271" w:rsidP="00E30271">
            <w:pPr>
              <w:pStyle w:val="TableDataCell"/>
              <w:rPr>
                <w:lang w:eastAsia="en-AU"/>
              </w:rPr>
            </w:pPr>
            <w:r w:rsidRPr="00380FEA">
              <w:rPr>
                <w:lang w:eastAsia="en-AU"/>
              </w:rPr>
              <w:t>37.4</w:t>
            </w:r>
          </w:p>
        </w:tc>
        <w:tc>
          <w:tcPr>
            <w:tcW w:w="1891"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29.5</w:t>
            </w:r>
          </w:p>
        </w:tc>
        <w:tc>
          <w:tcPr>
            <w:tcW w:w="1892"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30.6</w:t>
            </w:r>
          </w:p>
        </w:tc>
      </w:tr>
      <w:tr w:rsidR="00E30271" w:rsidRPr="00380FEA" w:rsidTr="00E30271">
        <w:trPr>
          <w:cantSplit/>
          <w:jc w:val="center"/>
        </w:trPr>
        <w:tc>
          <w:tcPr>
            <w:tcW w:w="3424" w:type="dxa"/>
            <w:tcBorders>
              <w:top w:val="nil"/>
              <w:bottom w:val="single" w:sz="4" w:space="0" w:color="FFFFFF"/>
              <w:right w:val="nil"/>
            </w:tcBorders>
            <w:shd w:val="clear" w:color="auto" w:fill="EFF3FF"/>
            <w:tcMar>
              <w:left w:w="40" w:type="dxa"/>
              <w:right w:w="40" w:type="dxa"/>
            </w:tcMar>
          </w:tcPr>
          <w:p w:rsidR="00E30271" w:rsidRPr="00380FEA" w:rsidRDefault="00E30271" w:rsidP="00E30271">
            <w:pPr>
              <w:pStyle w:val="TableRowHeadings"/>
              <w:rPr>
                <w:lang w:eastAsia="en-AU"/>
              </w:rPr>
            </w:pPr>
            <w:r w:rsidRPr="00380FEA">
              <w:rPr>
                <w:lang w:eastAsia="en-AU"/>
              </w:rPr>
              <w:t>Neither likes nor dislikes school</w:t>
            </w:r>
          </w:p>
        </w:tc>
        <w:tc>
          <w:tcPr>
            <w:tcW w:w="1891" w:type="dxa"/>
            <w:tcBorders>
              <w:top w:val="nil"/>
              <w:left w:val="nil"/>
              <w:bottom w:val="nil"/>
              <w:right w:val="nil"/>
            </w:tcBorders>
            <w:shd w:val="clear" w:color="auto" w:fill="FFFFFF"/>
            <w:vAlign w:val="bottom"/>
          </w:tcPr>
          <w:p w:rsidR="00E30271" w:rsidRPr="00380FEA" w:rsidRDefault="00E30271" w:rsidP="00E30271">
            <w:pPr>
              <w:pStyle w:val="TableDataCell"/>
              <w:rPr>
                <w:lang w:eastAsia="en-AU"/>
              </w:rPr>
            </w:pPr>
            <w:r w:rsidRPr="00380FEA">
              <w:rPr>
                <w:lang w:eastAsia="en-AU"/>
              </w:rPr>
              <w:t>9.7</w:t>
            </w:r>
          </w:p>
        </w:tc>
        <w:tc>
          <w:tcPr>
            <w:tcW w:w="1891"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6.1</w:t>
            </w:r>
          </w:p>
        </w:tc>
        <w:tc>
          <w:tcPr>
            <w:tcW w:w="1892"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6.6</w:t>
            </w:r>
          </w:p>
        </w:tc>
      </w:tr>
      <w:tr w:rsidR="00E30271" w:rsidRPr="00380FEA" w:rsidTr="00E30271">
        <w:trPr>
          <w:cantSplit/>
          <w:jc w:val="center"/>
        </w:trPr>
        <w:tc>
          <w:tcPr>
            <w:tcW w:w="3424" w:type="dxa"/>
            <w:tcBorders>
              <w:top w:val="nil"/>
              <w:bottom w:val="single" w:sz="4" w:space="0" w:color="FFFFFF"/>
              <w:right w:val="nil"/>
            </w:tcBorders>
            <w:shd w:val="clear" w:color="auto" w:fill="EFF3FF"/>
            <w:tcMar>
              <w:left w:w="40" w:type="dxa"/>
              <w:right w:w="40" w:type="dxa"/>
            </w:tcMar>
          </w:tcPr>
          <w:p w:rsidR="00E30271" w:rsidRPr="00380FEA" w:rsidRDefault="00E30271" w:rsidP="00E30271">
            <w:pPr>
              <w:pStyle w:val="TableRowHeadings"/>
              <w:rPr>
                <w:lang w:eastAsia="en-AU"/>
              </w:rPr>
            </w:pPr>
            <w:r w:rsidRPr="00380FEA">
              <w:rPr>
                <w:lang w:eastAsia="en-AU"/>
              </w:rPr>
              <w:t>Somewhat dislikes school</w:t>
            </w:r>
          </w:p>
        </w:tc>
        <w:tc>
          <w:tcPr>
            <w:tcW w:w="1891" w:type="dxa"/>
            <w:tcBorders>
              <w:top w:val="nil"/>
              <w:left w:val="nil"/>
              <w:bottom w:val="nil"/>
              <w:right w:val="nil"/>
            </w:tcBorders>
            <w:shd w:val="clear" w:color="auto" w:fill="FFFFFF"/>
            <w:vAlign w:val="bottom"/>
          </w:tcPr>
          <w:p w:rsidR="00E30271" w:rsidRPr="00380FEA" w:rsidRDefault="00E30271" w:rsidP="00E30271">
            <w:pPr>
              <w:pStyle w:val="TableDataCell"/>
              <w:rPr>
                <w:lang w:eastAsia="en-AU"/>
              </w:rPr>
            </w:pPr>
            <w:r w:rsidRPr="00380FEA">
              <w:rPr>
                <w:lang w:eastAsia="en-AU"/>
              </w:rPr>
              <w:t>12.1</w:t>
            </w:r>
          </w:p>
        </w:tc>
        <w:tc>
          <w:tcPr>
            <w:tcW w:w="1891"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3.9</w:t>
            </w:r>
          </w:p>
        </w:tc>
        <w:tc>
          <w:tcPr>
            <w:tcW w:w="1892" w:type="dxa"/>
            <w:tcBorders>
              <w:top w:val="nil"/>
              <w:left w:val="nil"/>
              <w:bottom w:val="nil"/>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5.1</w:t>
            </w:r>
          </w:p>
        </w:tc>
      </w:tr>
      <w:tr w:rsidR="00E30271" w:rsidRPr="00380FEA" w:rsidTr="00E30271">
        <w:trPr>
          <w:cantSplit/>
          <w:jc w:val="center"/>
        </w:trPr>
        <w:tc>
          <w:tcPr>
            <w:tcW w:w="3424" w:type="dxa"/>
            <w:tcBorders>
              <w:top w:val="nil"/>
              <w:bottom w:val="single" w:sz="6" w:space="0" w:color="auto"/>
              <w:right w:val="nil"/>
            </w:tcBorders>
            <w:shd w:val="clear" w:color="auto" w:fill="EFF3FF"/>
            <w:tcMar>
              <w:left w:w="40" w:type="dxa"/>
              <w:right w:w="40" w:type="dxa"/>
            </w:tcMar>
          </w:tcPr>
          <w:p w:rsidR="00E30271" w:rsidRPr="00380FEA" w:rsidRDefault="00E30271" w:rsidP="00E30271">
            <w:pPr>
              <w:pStyle w:val="TableRowHeadings"/>
              <w:rPr>
                <w:lang w:eastAsia="en-AU"/>
              </w:rPr>
            </w:pPr>
            <w:r w:rsidRPr="00380FEA">
              <w:rPr>
                <w:lang w:eastAsia="en-AU"/>
              </w:rPr>
              <w:t>Very much dislikes school</w:t>
            </w:r>
          </w:p>
        </w:tc>
        <w:tc>
          <w:tcPr>
            <w:tcW w:w="1891" w:type="dxa"/>
            <w:tcBorders>
              <w:top w:val="nil"/>
              <w:left w:val="nil"/>
              <w:bottom w:val="single" w:sz="6" w:space="0" w:color="auto"/>
              <w:right w:val="nil"/>
            </w:tcBorders>
            <w:shd w:val="clear" w:color="auto" w:fill="FFFFFF"/>
            <w:vAlign w:val="bottom"/>
          </w:tcPr>
          <w:p w:rsidR="00E30271" w:rsidRPr="00380FEA" w:rsidRDefault="00E30271" w:rsidP="00E30271">
            <w:pPr>
              <w:pStyle w:val="TableDataCell"/>
              <w:rPr>
                <w:lang w:eastAsia="en-AU"/>
              </w:rPr>
            </w:pPr>
            <w:r w:rsidRPr="00380FEA">
              <w:rPr>
                <w:lang w:eastAsia="en-AU"/>
              </w:rPr>
              <w:t>9.5</w:t>
            </w:r>
          </w:p>
        </w:tc>
        <w:tc>
          <w:tcPr>
            <w:tcW w:w="1891" w:type="dxa"/>
            <w:tcBorders>
              <w:top w:val="nil"/>
              <w:left w:val="nil"/>
              <w:bottom w:val="single" w:sz="6" w:space="0" w:color="auto"/>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1.2</w:t>
            </w:r>
          </w:p>
        </w:tc>
        <w:tc>
          <w:tcPr>
            <w:tcW w:w="1892" w:type="dxa"/>
            <w:tcBorders>
              <w:top w:val="nil"/>
              <w:left w:val="nil"/>
              <w:bottom w:val="single" w:sz="6" w:space="0" w:color="auto"/>
              <w:right w:val="nil"/>
            </w:tcBorders>
            <w:shd w:val="clear" w:color="auto" w:fill="FFFFFF"/>
            <w:tcMar>
              <w:left w:w="40" w:type="dxa"/>
              <w:right w:w="40" w:type="dxa"/>
            </w:tcMar>
            <w:vAlign w:val="bottom"/>
          </w:tcPr>
          <w:p w:rsidR="00E30271" w:rsidRPr="00380FEA" w:rsidRDefault="00E30271" w:rsidP="00E30271">
            <w:pPr>
              <w:pStyle w:val="TableDataCell"/>
              <w:rPr>
                <w:lang w:eastAsia="en-AU"/>
              </w:rPr>
            </w:pPr>
            <w:r w:rsidRPr="00380FEA">
              <w:rPr>
                <w:lang w:eastAsia="en-AU"/>
              </w:rPr>
              <w:t>2.4</w:t>
            </w:r>
          </w:p>
        </w:tc>
      </w:tr>
    </w:tbl>
    <w:p w:rsidR="00E30271" w:rsidRPr="00FE216C" w:rsidRDefault="00E30271" w:rsidP="00E30271">
      <w:pPr>
        <w:pStyle w:val="BodyText"/>
      </w:pPr>
    </w:p>
    <w:p w:rsidR="00E30271" w:rsidRDefault="00E30271" w:rsidP="00DB066C">
      <w:pPr>
        <w:jc w:val="center"/>
        <w:sectPr w:rsidR="00E30271" w:rsidSect="003330E0">
          <w:headerReference w:type="even" r:id="rId103"/>
          <w:headerReference w:type="default" r:id="rId104"/>
          <w:footerReference w:type="even" r:id="rId105"/>
          <w:footerReference w:type="default" r:id="rId106"/>
          <w:headerReference w:type="first" r:id="rId107"/>
          <w:footerReference w:type="first" r:id="rId108"/>
          <w:pgSz w:w="11906" w:h="16838" w:code="9"/>
          <w:pgMar w:top="1440" w:right="1440" w:bottom="1440" w:left="1440" w:header="567" w:footer="567" w:gutter="0"/>
          <w:pgNumType w:start="97"/>
          <w:cols w:space="720"/>
          <w:docGrid w:linePitch="360"/>
        </w:sectPr>
      </w:pPr>
    </w:p>
    <w:p w:rsidR="00E30271" w:rsidRPr="00372CF0" w:rsidRDefault="00E30271" w:rsidP="00E30271">
      <w:pPr>
        <w:spacing w:after="0" w:line="276" w:lineRule="auto"/>
        <w:jc w:val="center"/>
        <w:rPr>
          <w:b/>
          <w:color w:val="2171B5"/>
          <w:sz w:val="40"/>
          <w:szCs w:val="40"/>
        </w:rPr>
      </w:pPr>
      <w:r w:rsidRPr="00372CF0">
        <w:rPr>
          <w:b/>
          <w:noProof/>
          <w:color w:val="2171B5"/>
          <w:sz w:val="40"/>
          <w:szCs w:val="40"/>
          <w:lang w:eastAsia="en-AU"/>
        </w:rPr>
        <w:lastRenderedPageBreak/>
        <mc:AlternateContent>
          <mc:Choice Requires="wps">
            <w:drawing>
              <wp:anchor distT="0" distB="0" distL="114300" distR="114300" simplePos="0" relativeHeight="251667456" behindDoc="1" locked="0" layoutInCell="1" allowOverlap="1" wp14:anchorId="023B6F22" wp14:editId="3D2327AB">
                <wp:simplePos x="0" y="0"/>
                <wp:positionH relativeFrom="column">
                  <wp:posOffset>-1481122</wp:posOffset>
                </wp:positionH>
                <wp:positionV relativeFrom="paragraph">
                  <wp:posOffset>-968991</wp:posOffset>
                </wp:positionV>
                <wp:extent cx="8224832" cy="11252200"/>
                <wp:effectExtent l="0" t="0" r="5080" b="6350"/>
                <wp:wrapNone/>
                <wp:docPr id="26" name="Rectangle 26"/>
                <wp:cNvGraphicFramePr/>
                <a:graphic xmlns:a="http://schemas.openxmlformats.org/drawingml/2006/main">
                  <a:graphicData uri="http://schemas.microsoft.com/office/word/2010/wordprocessingShape">
                    <wps:wsp>
                      <wps:cNvSpPr/>
                      <wps:spPr>
                        <a:xfrm>
                          <a:off x="0" y="0"/>
                          <a:ext cx="8224832"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E30271">
                            <w:pPr>
                              <w:pStyle w:val="Body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16.6pt;margin-top:-76.3pt;width:647.6pt;height:8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" fillcolor="#eff3ff" stroked="f" strokeweight="2pt">
                <v:fill opacity="56283f"/>
                <v:textbox>
                  <w:txbxContent>
                    <w:p w:rsidR="00711229" w:rsidRDefault="00711229" w:rsidP="00E30271">
                      <w:pPr>
                        <w:pStyle w:val="BodyText"/>
                      </w:pPr>
                      <w:r>
                        <w:softHyphen/>
                      </w:r>
                      <w:r>
                        <w:softHyphen/>
                      </w:r>
                    </w:p>
                  </w:txbxContent>
                </v:textbox>
              </v:rect>
            </w:pict>
          </mc:Fallback>
        </mc:AlternateContent>
      </w:r>
      <w:r w:rsidRPr="00372CF0">
        <w:rPr>
          <w:b/>
          <w:color w:val="2171B5"/>
          <w:sz w:val="40"/>
          <w:szCs w:val="40"/>
        </w:rPr>
        <w:t>PART 4</w:t>
      </w:r>
    </w:p>
    <w:p w:rsidR="00E30271" w:rsidRPr="00372CF0" w:rsidRDefault="00E30271" w:rsidP="00E30271">
      <w:pPr>
        <w:pStyle w:val="PartHeading"/>
      </w:pPr>
      <w:r w:rsidRPr="00372CF0">
        <w:t>What adolescents</w:t>
      </w:r>
      <w:r w:rsidRPr="00372CF0">
        <w:br/>
        <w:t xml:space="preserve">told </w:t>
      </w:r>
      <w:proofErr w:type="gramStart"/>
      <w:r w:rsidRPr="00372CF0">
        <w:t>us</w:t>
      </w:r>
      <w:proofErr w:type="gramEnd"/>
    </w:p>
    <w:p w:rsidR="00E30271" w:rsidRPr="00372CF0" w:rsidRDefault="00E30271" w:rsidP="00E30271">
      <w:pPr>
        <w:spacing w:after="0" w:line="276" w:lineRule="auto"/>
        <w:jc w:val="center"/>
        <w:rPr>
          <w:b/>
          <w:color w:val="2171B5"/>
          <w:sz w:val="34"/>
          <w:szCs w:val="34"/>
        </w:rPr>
      </w:pPr>
      <w:r w:rsidRPr="00372CF0">
        <w:rPr>
          <w:b/>
          <w:color w:val="2171B5"/>
          <w:sz w:val="34"/>
          <w:szCs w:val="34"/>
        </w:rPr>
        <w:t>Mental health problems, self-harm, suicidal behaviours and risk behaviours based on adolescents’ self-reported information</w:t>
      </w:r>
    </w:p>
    <w:p w:rsidR="00E30271" w:rsidRPr="00372CF0" w:rsidRDefault="00E30271" w:rsidP="00E30271">
      <w:pPr>
        <w:spacing w:before="900"/>
        <w:rPr>
          <w:sz w:val="24"/>
          <w:szCs w:val="24"/>
        </w:rPr>
      </w:pPr>
      <w:r w:rsidRPr="00372CF0">
        <w:rPr>
          <w:sz w:val="24"/>
          <w:szCs w:val="24"/>
        </w:rPr>
        <w:t>Adolescents aged 11-17 years were asked to complete a self-report questionnaire on a tablet computer in the privacy of their own bedrooms.</w:t>
      </w:r>
    </w:p>
    <w:p w:rsidR="00E30271" w:rsidRPr="00372CF0" w:rsidRDefault="00E30271" w:rsidP="00E30271">
      <w:pPr>
        <w:rPr>
          <w:sz w:val="24"/>
          <w:szCs w:val="24"/>
        </w:rPr>
      </w:pPr>
      <w:r w:rsidRPr="00372CF0">
        <w:rPr>
          <w:sz w:val="24"/>
          <w:szCs w:val="24"/>
        </w:rPr>
        <w:t>The questionnaire had 12 modules, took 37 minutes on average to complete, and was completed by 8</w:t>
      </w:r>
      <w:r>
        <w:rPr>
          <w:sz w:val="24"/>
          <w:szCs w:val="24"/>
        </w:rPr>
        <w:t>9</w:t>
      </w:r>
      <w:r w:rsidRPr="00372CF0">
        <w:rPr>
          <w:sz w:val="24"/>
          <w:szCs w:val="24"/>
        </w:rPr>
        <w:t>% of the selected young people.</w:t>
      </w:r>
    </w:p>
    <w:p w:rsidR="00E30271" w:rsidRPr="00372CF0" w:rsidRDefault="00E30271" w:rsidP="00E30271">
      <w:pPr>
        <w:rPr>
          <w:sz w:val="24"/>
          <w:szCs w:val="24"/>
        </w:rPr>
      </w:pPr>
      <w:r w:rsidRPr="00372CF0">
        <w:rPr>
          <w:sz w:val="24"/>
          <w:szCs w:val="24"/>
        </w:rPr>
        <w:t xml:space="preserve">The questionnaire included the </w:t>
      </w:r>
      <w:r w:rsidRPr="00372CF0">
        <w:rPr>
          <w:i/>
          <w:sz w:val="24"/>
          <w:szCs w:val="24"/>
        </w:rPr>
        <w:t>Diagnostic Interview Schedule for Children Version IV</w:t>
      </w:r>
      <w:r w:rsidRPr="00372CF0">
        <w:rPr>
          <w:sz w:val="24"/>
          <w:szCs w:val="24"/>
        </w:rPr>
        <w:t xml:space="preserve"> (DISC-IV) major depressive disorder module, as well as questions on services used for emotional or behavioural problems.</w:t>
      </w:r>
    </w:p>
    <w:p w:rsidR="00E30271" w:rsidRPr="00372CF0" w:rsidRDefault="00E30271" w:rsidP="00E30271">
      <w:pPr>
        <w:rPr>
          <w:sz w:val="24"/>
          <w:szCs w:val="24"/>
        </w:rPr>
      </w:pPr>
      <w:r w:rsidRPr="00372CF0">
        <w:rPr>
          <w:sz w:val="24"/>
          <w:szCs w:val="24"/>
        </w:rPr>
        <w:t>Additional modules were included about young people’s experiences at school, family relationships, self-esteem, protective factors and a range of risk behaviours as well as any self-harm and suicidality.  Age cut-offs were implemented for certain questions that were considered inappropriate to ask younger adolescents.</w:t>
      </w:r>
    </w:p>
    <w:p w:rsidR="00E30271" w:rsidRPr="00372CF0" w:rsidRDefault="00E30271" w:rsidP="00E30271">
      <w:pPr>
        <w:rPr>
          <w:sz w:val="24"/>
          <w:szCs w:val="24"/>
        </w:rPr>
      </w:pPr>
      <w:r w:rsidRPr="00372CF0">
        <w:rPr>
          <w:sz w:val="24"/>
          <w:szCs w:val="24"/>
        </w:rPr>
        <w:t>All young people also completed the Kessler 10 Psychological Distress Scale, a measure of psychological distress and the Strengths and Difficulties Questionnaire, a brief behavioural screening questionnaire.</w:t>
      </w:r>
    </w:p>
    <w:p w:rsidR="00E30271" w:rsidRPr="00372CF0" w:rsidRDefault="00E30271" w:rsidP="00E30271">
      <w:pPr>
        <w:rPr>
          <w:sz w:val="24"/>
          <w:szCs w:val="24"/>
        </w:rPr>
      </w:pPr>
      <w:r w:rsidRPr="00372CF0">
        <w:rPr>
          <w:sz w:val="24"/>
          <w:szCs w:val="24"/>
        </w:rPr>
        <w:t>Comparison of responses with those from parents and carers highlights the importance of collecting information from young people themselves.</w:t>
      </w:r>
    </w:p>
    <w:p w:rsidR="00E30271" w:rsidRPr="009E2950" w:rsidRDefault="00E30271" w:rsidP="009E2950"/>
    <w:p w:rsidR="00E30271" w:rsidRDefault="00E30271" w:rsidP="00E30271">
      <w:pPr>
        <w:rPr>
          <w:rFonts w:ascii="Source Sans Pro" w:hAnsi="Source Sans Pro"/>
          <w:sz w:val="24"/>
          <w:szCs w:val="24"/>
        </w:rPr>
        <w:sectPr w:rsidR="00E30271" w:rsidSect="003330E0">
          <w:headerReference w:type="even" r:id="rId109"/>
          <w:headerReference w:type="default" r:id="rId110"/>
          <w:footerReference w:type="even" r:id="rId111"/>
          <w:footerReference w:type="default" r:id="rId112"/>
          <w:headerReference w:type="first" r:id="rId113"/>
          <w:footerReference w:type="first" r:id="rId114"/>
          <w:pgSz w:w="11906" w:h="16838" w:code="9"/>
          <w:pgMar w:top="1440" w:right="2268" w:bottom="1440" w:left="2268" w:header="567" w:footer="567" w:gutter="0"/>
          <w:pgNumType w:start="95"/>
          <w:cols w:space="720"/>
          <w:titlePg/>
          <w:docGrid w:linePitch="360"/>
        </w:sectPr>
      </w:pPr>
    </w:p>
    <w:p w:rsidR="00E30271" w:rsidRPr="009E2950" w:rsidRDefault="00E30271" w:rsidP="009E2950"/>
    <w:p w:rsidR="00E30271" w:rsidRDefault="00E30271" w:rsidP="00DB066C">
      <w:pPr>
        <w:jc w:val="center"/>
        <w:sectPr w:rsidR="00E30271" w:rsidSect="003330E0">
          <w:headerReference w:type="first" r:id="rId115"/>
          <w:pgSz w:w="11906" w:h="16838" w:code="9"/>
          <w:pgMar w:top="1440" w:right="1440" w:bottom="1440" w:left="1440" w:header="567" w:footer="567" w:gutter="0"/>
          <w:pgNumType w:start="104"/>
          <w:cols w:space="720"/>
          <w:titlePg/>
          <w:docGrid w:linePitch="360"/>
        </w:sectPr>
      </w:pPr>
    </w:p>
    <w:p w:rsidR="00E30271" w:rsidRDefault="00E30271" w:rsidP="00E30271">
      <w:pPr>
        <w:pStyle w:val="Heading1"/>
        <w:ind w:left="720" w:hanging="720"/>
      </w:pPr>
      <w:bookmarkStart w:id="205" w:name="_Toc401758818"/>
      <w:r>
        <w:lastRenderedPageBreak/>
        <w:t>10</w:t>
      </w:r>
      <w:r>
        <w:tab/>
        <w:t>Mental disorders</w:t>
      </w:r>
      <w:bookmarkEnd w:id="205"/>
      <w:r>
        <w:t>, self-reported problems and distress</w:t>
      </w:r>
    </w:p>
    <w:p w:rsidR="00E30271" w:rsidRDefault="00E30271" w:rsidP="00E30271">
      <w:pPr>
        <w:pStyle w:val="BodyText"/>
      </w:pPr>
      <w:r>
        <w:t xml:space="preserve">The survey collected information about major depressive disorder in children and adolescents aged 4-17 years from parents and carers (see </w:t>
      </w:r>
      <w:r w:rsidRPr="00296F71">
        <w:t>Chapter 3</w:t>
      </w:r>
      <w:r>
        <w:t xml:space="preserve">) and also from young people themselves aged 11-17 years. The tool used for assessing major depressive disorder was the major depressive disorder module from the </w:t>
      </w:r>
      <w:r w:rsidRPr="006962D3">
        <w:rPr>
          <w:rStyle w:val="Emphasis"/>
        </w:rPr>
        <w:t>Diagnostic Interview Schedule for Children Version IV</w:t>
      </w:r>
      <w:r>
        <w:t xml:space="preserve"> (DISC-IV). This was included in the adolescent self-report questionnaire for 11-17 year-olds, and the parent report version was given to parents and carers. The information provided was used to determine whether a young person met the diagnostic criteria for the disorder as described in the </w:t>
      </w:r>
      <w:r w:rsidRPr="006962D3">
        <w:rPr>
          <w:rStyle w:val="Emphasis"/>
        </w:rPr>
        <w:t xml:space="preserve">Diagnostic and Statistical Manual of Mental Disorders Version IV </w:t>
      </w:r>
      <w:r w:rsidRPr="00867090">
        <w:t>(DSM-IV).</w:t>
      </w:r>
    </w:p>
    <w:p w:rsidR="00E30271" w:rsidRDefault="00E30271" w:rsidP="00E30271">
      <w:pPr>
        <w:pStyle w:val="BodyText"/>
      </w:pPr>
      <w:r>
        <w:t>This chapter presents the prevalence of major depressive disorder determined on the basis of adolescents’ responses to the DISC-IV module. Differences in the prevalence from the perspectives of young people and parents and carers are also examined.</w:t>
      </w:r>
    </w:p>
    <w:p w:rsidR="00E30271" w:rsidRDefault="00E30271" w:rsidP="00E30271">
      <w:pPr>
        <w:pStyle w:val="BodyText"/>
      </w:pPr>
      <w:r>
        <w:t>Further insight into young people’s mental health is provided by the Kessler 10 Psychological Distress Scale (K10) and the Strengths and Difficulties Questionnaire (SDQ), which were also completed as part of the adolescent self-report questionnaire.</w:t>
      </w:r>
    </w:p>
    <w:p w:rsidR="00E30271" w:rsidRPr="00AE62BE" w:rsidRDefault="00E30271" w:rsidP="00E30271">
      <w:pPr>
        <w:pStyle w:val="Heading2"/>
        <w:rPr>
          <w:rStyle w:val="Heading1Char"/>
          <w:b/>
          <w:bCs/>
          <w:caps w:val="0"/>
          <w:sz w:val="26"/>
          <w:szCs w:val="26"/>
        </w:rPr>
      </w:pPr>
      <w:bookmarkStart w:id="206" w:name="_Toc401758819"/>
      <w:r w:rsidRPr="00AE62BE">
        <w:rPr>
          <w:rStyle w:val="Heading1Char"/>
          <w:b/>
          <w:bCs/>
          <w:caps w:val="0"/>
          <w:sz w:val="26"/>
          <w:szCs w:val="26"/>
        </w:rPr>
        <w:t>1</w:t>
      </w:r>
      <w:r>
        <w:rPr>
          <w:rStyle w:val="Heading1Char"/>
          <w:b/>
          <w:bCs/>
          <w:caps w:val="0"/>
          <w:sz w:val="26"/>
          <w:szCs w:val="26"/>
        </w:rPr>
        <w:t>0</w:t>
      </w:r>
      <w:r w:rsidRPr="00AE62BE">
        <w:rPr>
          <w:rStyle w:val="Heading1Char"/>
          <w:b/>
          <w:bCs/>
          <w:caps w:val="0"/>
          <w:sz w:val="26"/>
          <w:szCs w:val="26"/>
        </w:rPr>
        <w:t>.1</w:t>
      </w:r>
      <w:r w:rsidRPr="00AE62BE">
        <w:rPr>
          <w:rStyle w:val="Heading1Char"/>
          <w:b/>
          <w:bCs/>
          <w:caps w:val="0"/>
          <w:sz w:val="26"/>
          <w:szCs w:val="26"/>
        </w:rPr>
        <w:tab/>
        <w:t>Prevalence of major depressive disorder</w:t>
      </w:r>
      <w:bookmarkEnd w:id="206"/>
    </w:p>
    <w:p w:rsidR="00E30271" w:rsidRDefault="00E30271" w:rsidP="00E30271">
      <w:pPr>
        <w:pStyle w:val="BodyText"/>
      </w:pPr>
      <w:r>
        <w:t xml:space="preserve">Based on information from young people themselves, 7.7% of adolescents aged 11-17 years met the diagnostic criteria for major depressive disorder. This is equivalent to an estimated 152,000 adolescents with major depressive disorder. </w:t>
      </w:r>
    </w:p>
    <w:p w:rsidR="00E30271" w:rsidRDefault="00E30271" w:rsidP="00E30271">
      <w:pPr>
        <w:pStyle w:val="BodyText"/>
      </w:pPr>
      <w:r>
        <w:t>The prevalence of major depressive disorder was higher in females than males (11.0% compared with 4.5%), and higher in older adolescents (16-17 years) than younger adolescents (11-15 years). Some 8.2% of males aged 16-17 years met diagnostic criteria for major depressive disorder, compared with 3.1% of males aged 11-15 years. In females, 19.6% of 16-17 year-olds had major depressive disorder compared with 7.2% of 11-15 year-olds (Table 10-</w:t>
      </w:r>
      <w:r>
        <w:rPr>
          <w:noProof/>
        </w:rPr>
        <w:t>1</w:t>
      </w:r>
      <w:r>
        <w:t>).</w:t>
      </w:r>
    </w:p>
    <w:p w:rsidR="00E30271" w:rsidRDefault="00E30271" w:rsidP="00E30271">
      <w:pPr>
        <w:pStyle w:val="Caption"/>
        <w:keepNext/>
      </w:pPr>
      <w:bookmarkStart w:id="207" w:name="_Ref401311903"/>
      <w:r>
        <w:t>Table 10-</w:t>
      </w:r>
      <w:r>
        <w:rPr>
          <w:noProof/>
        </w:rPr>
        <w:t>1</w:t>
      </w:r>
      <w:bookmarkEnd w:id="207"/>
      <w:r>
        <w:t xml:space="preserve">: </w:t>
      </w:r>
      <w:r w:rsidRPr="00B310A7">
        <w:t>Prevalence of major depressive disorder</w:t>
      </w:r>
      <w:r w:rsidRPr="004E6E27">
        <w:t xml:space="preserve"> </w:t>
      </w:r>
      <w:r>
        <w:t>among 11-17 year-olds based on adolescent report by sex and</w:t>
      </w:r>
      <w:r w:rsidRPr="00B310A7">
        <w:t xml:space="preserve"> age group</w:t>
      </w:r>
    </w:p>
    <w:tbl>
      <w:tblPr>
        <w:tblW w:w="0" w:type="auto"/>
        <w:jc w:val="center"/>
        <w:tblLayout w:type="fixed"/>
        <w:tblCellMar>
          <w:left w:w="0" w:type="dxa"/>
          <w:right w:w="0" w:type="dxa"/>
        </w:tblCellMar>
        <w:tblLook w:val="0000" w:firstRow="0" w:lastRow="0" w:firstColumn="0" w:lastColumn="0" w:noHBand="0" w:noVBand="0"/>
        <w:tblDescription w:val="In Table 10-2 the first column defines age group. Read across the rows for prevalence of major depressive disorder in males, females and then persons."/>
      </w:tblPr>
      <w:tblGrid>
        <w:gridCol w:w="2402"/>
        <w:gridCol w:w="2233"/>
        <w:gridCol w:w="2233"/>
        <w:gridCol w:w="2234"/>
      </w:tblGrid>
      <w:tr w:rsidR="00E30271" w:rsidRPr="0031501D" w:rsidTr="00E30271">
        <w:trPr>
          <w:cantSplit/>
          <w:tblHeader/>
          <w:jc w:val="center"/>
        </w:trPr>
        <w:tc>
          <w:tcPr>
            <w:tcW w:w="2402"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Age group</w:t>
            </w:r>
          </w:p>
        </w:tc>
        <w:tc>
          <w:tcPr>
            <w:tcW w:w="223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Males (%)</w:t>
            </w:r>
          </w:p>
        </w:tc>
        <w:tc>
          <w:tcPr>
            <w:tcW w:w="223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Females (%)</w:t>
            </w:r>
          </w:p>
        </w:tc>
        <w:tc>
          <w:tcPr>
            <w:tcW w:w="223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Persons (%)</w:t>
            </w:r>
          </w:p>
        </w:tc>
      </w:tr>
      <w:tr w:rsidR="00E30271" w:rsidRPr="0031501D" w:rsidTr="00E30271">
        <w:trPr>
          <w:cantSplit/>
          <w:jc w:val="center"/>
        </w:trPr>
        <w:tc>
          <w:tcPr>
            <w:tcW w:w="2402" w:type="dxa"/>
            <w:tcBorders>
              <w:top w:val="nil"/>
              <w:bottom w:val="single" w:sz="4" w:space="0" w:color="FFFFFF"/>
              <w:right w:val="nil"/>
            </w:tcBorders>
            <w:shd w:val="clear" w:color="auto" w:fill="EFF3FF"/>
            <w:tcMar>
              <w:left w:w="40" w:type="dxa"/>
              <w:right w:w="40" w:type="dxa"/>
            </w:tcMar>
          </w:tcPr>
          <w:p w:rsidR="00E30271" w:rsidRPr="0031501D" w:rsidRDefault="00E30271" w:rsidP="00E30271">
            <w:pPr>
              <w:pStyle w:val="TableRowHeadings"/>
              <w:rPr>
                <w:lang w:eastAsia="en-AU"/>
              </w:rPr>
            </w:pPr>
            <w:r>
              <w:rPr>
                <w:lang w:eastAsia="en-AU"/>
              </w:rPr>
              <w:t>11-</w:t>
            </w:r>
            <w:r w:rsidRPr="0031501D">
              <w:rPr>
                <w:lang w:eastAsia="en-AU"/>
              </w:rPr>
              <w:t>15 years</w:t>
            </w:r>
          </w:p>
        </w:tc>
        <w:tc>
          <w:tcPr>
            <w:tcW w:w="2233" w:type="dxa"/>
            <w:tcBorders>
              <w:top w:val="nil"/>
              <w:left w:val="nil"/>
              <w:bottom w:val="nil"/>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3.1</w:t>
            </w:r>
          </w:p>
        </w:tc>
        <w:tc>
          <w:tcPr>
            <w:tcW w:w="2233" w:type="dxa"/>
            <w:tcBorders>
              <w:top w:val="nil"/>
              <w:left w:val="nil"/>
              <w:bottom w:val="nil"/>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7.2</w:t>
            </w:r>
          </w:p>
        </w:tc>
        <w:tc>
          <w:tcPr>
            <w:tcW w:w="2234" w:type="dxa"/>
            <w:tcBorders>
              <w:top w:val="nil"/>
              <w:left w:val="nil"/>
              <w:bottom w:val="nil"/>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5.0</w:t>
            </w:r>
          </w:p>
        </w:tc>
      </w:tr>
      <w:tr w:rsidR="00E30271" w:rsidRPr="0031501D" w:rsidTr="00E30271">
        <w:trPr>
          <w:cantSplit/>
          <w:jc w:val="center"/>
        </w:trPr>
        <w:tc>
          <w:tcPr>
            <w:tcW w:w="2402" w:type="dxa"/>
            <w:tcBorders>
              <w:top w:val="nil"/>
              <w:bottom w:val="single" w:sz="4" w:space="0" w:color="auto"/>
              <w:right w:val="nil"/>
            </w:tcBorders>
            <w:shd w:val="clear" w:color="auto" w:fill="EFF3FF"/>
            <w:tcMar>
              <w:left w:w="40" w:type="dxa"/>
              <w:right w:w="40" w:type="dxa"/>
            </w:tcMar>
          </w:tcPr>
          <w:p w:rsidR="00E30271" w:rsidRPr="0031501D" w:rsidRDefault="00E30271" w:rsidP="00E30271">
            <w:pPr>
              <w:pStyle w:val="TableRowHeadings"/>
              <w:rPr>
                <w:lang w:eastAsia="en-AU"/>
              </w:rPr>
            </w:pPr>
            <w:r>
              <w:rPr>
                <w:lang w:eastAsia="en-AU"/>
              </w:rPr>
              <w:t>16-</w:t>
            </w:r>
            <w:r w:rsidRPr="0031501D">
              <w:rPr>
                <w:lang w:eastAsia="en-AU"/>
              </w:rPr>
              <w:t>17 years</w:t>
            </w:r>
          </w:p>
        </w:tc>
        <w:tc>
          <w:tcPr>
            <w:tcW w:w="2233" w:type="dxa"/>
            <w:tcBorders>
              <w:top w:val="nil"/>
              <w:left w:val="nil"/>
              <w:bottom w:val="single" w:sz="4" w:space="0" w:color="auto"/>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8.2</w:t>
            </w:r>
          </w:p>
        </w:tc>
        <w:tc>
          <w:tcPr>
            <w:tcW w:w="2233" w:type="dxa"/>
            <w:tcBorders>
              <w:top w:val="nil"/>
              <w:left w:val="nil"/>
              <w:bottom w:val="single" w:sz="4" w:space="0" w:color="auto"/>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19.6</w:t>
            </w:r>
          </w:p>
        </w:tc>
        <w:tc>
          <w:tcPr>
            <w:tcW w:w="2234" w:type="dxa"/>
            <w:tcBorders>
              <w:top w:val="nil"/>
              <w:left w:val="nil"/>
              <w:bottom w:val="single" w:sz="4" w:space="0" w:color="auto"/>
              <w:right w:val="nil"/>
            </w:tcBorders>
            <w:shd w:val="clear" w:color="auto" w:fill="FFFFFF"/>
            <w:tcMar>
              <w:left w:w="40" w:type="dxa"/>
              <w:right w:w="40" w:type="dxa"/>
            </w:tcMar>
            <w:vAlign w:val="bottom"/>
          </w:tcPr>
          <w:p w:rsidR="00E30271" w:rsidRPr="0031501D" w:rsidRDefault="00E30271" w:rsidP="00E30271">
            <w:pPr>
              <w:pStyle w:val="TableDataCell"/>
              <w:rPr>
                <w:lang w:eastAsia="en-AU"/>
              </w:rPr>
            </w:pPr>
            <w:r w:rsidRPr="0031501D">
              <w:rPr>
                <w:lang w:eastAsia="en-AU"/>
              </w:rPr>
              <w:t>14.0</w:t>
            </w:r>
          </w:p>
        </w:tc>
      </w:tr>
      <w:tr w:rsidR="00E30271" w:rsidRPr="0031501D" w:rsidTr="00E30271">
        <w:trPr>
          <w:cantSplit/>
          <w:jc w:val="center"/>
        </w:trPr>
        <w:tc>
          <w:tcPr>
            <w:tcW w:w="2402" w:type="dxa"/>
            <w:tcBorders>
              <w:top w:val="single" w:sz="4" w:space="0" w:color="auto"/>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223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4.5</w:t>
            </w:r>
          </w:p>
        </w:tc>
        <w:tc>
          <w:tcPr>
            <w:tcW w:w="223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11.0</w:t>
            </w:r>
          </w:p>
        </w:tc>
        <w:tc>
          <w:tcPr>
            <w:tcW w:w="2234"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7.7</w:t>
            </w:r>
          </w:p>
        </w:tc>
      </w:tr>
    </w:tbl>
    <w:p w:rsidR="00E30271" w:rsidRDefault="00E30271" w:rsidP="00E30271">
      <w:pPr>
        <w:pStyle w:val="Heading2"/>
        <w:rPr>
          <w:rFonts w:eastAsiaTheme="minorEastAsia"/>
          <w:lang w:eastAsia="en-AU"/>
        </w:rPr>
      </w:pPr>
      <w:r>
        <w:rPr>
          <w:rFonts w:eastAsiaTheme="minorEastAsia"/>
          <w:lang w:eastAsia="en-AU"/>
        </w:rPr>
        <w:t>10.2</w:t>
      </w:r>
      <w:r>
        <w:rPr>
          <w:rFonts w:eastAsiaTheme="minorEastAsia"/>
          <w:lang w:eastAsia="en-AU"/>
        </w:rPr>
        <w:tab/>
        <w:t>Severity of impact on functioning of major depressive disorder</w:t>
      </w:r>
    </w:p>
    <w:p w:rsidR="00E30271" w:rsidRDefault="00E30271" w:rsidP="00E30271">
      <w:pPr>
        <w:pStyle w:val="BodyText"/>
        <w:rPr>
          <w:lang w:eastAsia="en-AU"/>
        </w:rPr>
      </w:pPr>
      <w:r>
        <w:rPr>
          <w:lang w:eastAsia="en-AU"/>
        </w:rPr>
        <w:t xml:space="preserve">The severity of major depressive disorder in four different domains (school or work, friends and social activities, family and self) and overall was assessed from young people directly using the same set of questions that was administered to their parents and carers. Based on information from young people themselves, one in three young people with major depressive disorder (34.2%) had severe </w:t>
      </w:r>
      <w:r>
        <w:rPr>
          <w:lang w:eastAsia="en-AU"/>
        </w:rPr>
        <w:lastRenderedPageBreak/>
        <w:t>impact on functioning. Similar proportions of young people with major depressive disorder experienced a severe level of impact in each of the four domains considered (</w:t>
      </w:r>
      <w:r>
        <w:t>Table 10-</w:t>
      </w:r>
      <w:r>
        <w:rPr>
          <w:noProof/>
        </w:rPr>
        <w:t>2</w:t>
      </w:r>
      <w:r>
        <w:rPr>
          <w:lang w:eastAsia="en-AU"/>
        </w:rPr>
        <w:t xml:space="preserve">). </w:t>
      </w:r>
    </w:p>
    <w:p w:rsidR="00E30271" w:rsidRDefault="00E30271" w:rsidP="00E30271">
      <w:pPr>
        <w:pStyle w:val="Caption"/>
        <w:keepNext/>
      </w:pPr>
      <w:bookmarkStart w:id="208" w:name="_Ref407019527"/>
      <w:r>
        <w:t>Table 10-</w:t>
      </w:r>
      <w:r>
        <w:rPr>
          <w:noProof/>
        </w:rPr>
        <w:t>2</w:t>
      </w:r>
      <w:bookmarkEnd w:id="208"/>
      <w:r>
        <w:t xml:space="preserve">: </w:t>
      </w:r>
      <w:r w:rsidRPr="00F772EA">
        <w:t>Severity of impact in differ</w:t>
      </w:r>
      <w:r w:rsidR="005A61DA">
        <w:t>ent life domains among 11</w:t>
      </w:r>
      <w:r w:rsidRPr="00F772EA">
        <w:t>-17 year-olds with major depressive disorder</w:t>
      </w:r>
      <w:r>
        <w:t xml:space="preserve"> based on adolescent report</w:t>
      </w:r>
    </w:p>
    <w:tbl>
      <w:tblPr>
        <w:tblW w:w="0" w:type="auto"/>
        <w:jc w:val="center"/>
        <w:tblLayout w:type="fixed"/>
        <w:tblCellMar>
          <w:left w:w="0" w:type="dxa"/>
          <w:right w:w="0" w:type="dxa"/>
        </w:tblCellMar>
        <w:tblLook w:val="0020" w:firstRow="1" w:lastRow="0" w:firstColumn="0" w:lastColumn="0" w:noHBand="0" w:noVBand="0"/>
        <w:tblDescription w:val="In Table 10-2 the first column defines level of impact on functioning. Read across the row for the proportion with major depressive disorder who have the specified level of impact on functioning in first the school or work domain, then the friends domain, the family domain, the self domain, and finally the overall level of severity."/>
      </w:tblPr>
      <w:tblGrid>
        <w:gridCol w:w="2510"/>
        <w:gridCol w:w="2074"/>
        <w:gridCol w:w="1271"/>
        <w:gridCol w:w="1163"/>
        <w:gridCol w:w="752"/>
        <w:gridCol w:w="1333"/>
      </w:tblGrid>
      <w:tr w:rsidR="00E30271" w:rsidRPr="007D218D" w:rsidTr="00E30271">
        <w:trPr>
          <w:cantSplit/>
          <w:tblHeader/>
          <w:jc w:val="center"/>
        </w:trPr>
        <w:tc>
          <w:tcPr>
            <w:tcW w:w="251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Severity</w:t>
            </w:r>
          </w:p>
        </w:tc>
        <w:tc>
          <w:tcPr>
            <w:tcW w:w="207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School/work (%)</w:t>
            </w:r>
          </w:p>
        </w:tc>
        <w:tc>
          <w:tcPr>
            <w:tcW w:w="12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Friends (%)</w:t>
            </w:r>
          </w:p>
        </w:tc>
        <w:tc>
          <w:tcPr>
            <w:tcW w:w="116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Family (%)</w:t>
            </w:r>
          </w:p>
        </w:tc>
        <w:tc>
          <w:tcPr>
            <w:tcW w:w="75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Self (%)</w:t>
            </w:r>
          </w:p>
        </w:tc>
        <w:tc>
          <w:tcPr>
            <w:tcW w:w="133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Overall severity (%)</w:t>
            </w:r>
          </w:p>
        </w:tc>
      </w:tr>
      <w:tr w:rsidR="00E30271" w:rsidRPr="007D218D"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218D" w:rsidRDefault="00E30271" w:rsidP="00E30271">
            <w:pPr>
              <w:pStyle w:val="TableRowHeadings"/>
              <w:rPr>
                <w:lang w:eastAsia="en-AU"/>
              </w:rPr>
            </w:pPr>
            <w:r w:rsidRPr="007D218D">
              <w:rPr>
                <w:lang w:eastAsia="en-AU"/>
              </w:rPr>
              <w:t>None</w:t>
            </w:r>
          </w:p>
        </w:tc>
        <w:tc>
          <w:tcPr>
            <w:tcW w:w="2074"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5.7</w:t>
            </w:r>
          </w:p>
        </w:tc>
        <w:tc>
          <w:tcPr>
            <w:tcW w:w="1271"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2.7</w:t>
            </w:r>
          </w:p>
        </w:tc>
        <w:tc>
          <w:tcPr>
            <w:tcW w:w="116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4.2</w:t>
            </w:r>
          </w:p>
        </w:tc>
        <w:tc>
          <w:tcPr>
            <w:tcW w:w="752"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3.0</w:t>
            </w:r>
          </w:p>
        </w:tc>
        <w:tc>
          <w:tcPr>
            <w:tcW w:w="133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p>
        </w:tc>
      </w:tr>
      <w:tr w:rsidR="00E30271" w:rsidRPr="007D218D"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218D" w:rsidRDefault="00E30271" w:rsidP="00E30271">
            <w:pPr>
              <w:pStyle w:val="TableRowHeadings"/>
              <w:rPr>
                <w:lang w:eastAsia="en-AU"/>
              </w:rPr>
            </w:pPr>
            <w:r w:rsidRPr="007D218D">
              <w:rPr>
                <w:lang w:eastAsia="en-AU"/>
              </w:rPr>
              <w:t>Mild</w:t>
            </w:r>
          </w:p>
        </w:tc>
        <w:tc>
          <w:tcPr>
            <w:tcW w:w="2074"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28.5</w:t>
            </w:r>
          </w:p>
        </w:tc>
        <w:tc>
          <w:tcPr>
            <w:tcW w:w="1271"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31.8</w:t>
            </w:r>
          </w:p>
        </w:tc>
        <w:tc>
          <w:tcPr>
            <w:tcW w:w="116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25.8</w:t>
            </w:r>
          </w:p>
        </w:tc>
        <w:tc>
          <w:tcPr>
            <w:tcW w:w="752"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28.3</w:t>
            </w:r>
          </w:p>
        </w:tc>
        <w:tc>
          <w:tcPr>
            <w:tcW w:w="133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w:t>
            </w:r>
            <w:r>
              <w:rPr>
                <w:lang w:eastAsia="en-AU"/>
              </w:rPr>
              <w:t>8.8</w:t>
            </w:r>
          </w:p>
        </w:tc>
      </w:tr>
      <w:tr w:rsidR="00E30271" w:rsidRPr="007D218D"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218D" w:rsidRDefault="00E30271" w:rsidP="00E30271">
            <w:pPr>
              <w:pStyle w:val="TableRowHeadings"/>
              <w:rPr>
                <w:lang w:eastAsia="en-AU"/>
              </w:rPr>
            </w:pPr>
            <w:r w:rsidRPr="007D218D">
              <w:rPr>
                <w:lang w:eastAsia="en-AU"/>
              </w:rPr>
              <w:t>Moderate</w:t>
            </w:r>
          </w:p>
        </w:tc>
        <w:tc>
          <w:tcPr>
            <w:tcW w:w="2074"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35.7</w:t>
            </w:r>
          </w:p>
        </w:tc>
        <w:tc>
          <w:tcPr>
            <w:tcW w:w="1271"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36.3</w:t>
            </w:r>
          </w:p>
        </w:tc>
        <w:tc>
          <w:tcPr>
            <w:tcW w:w="116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40.6</w:t>
            </w:r>
          </w:p>
        </w:tc>
        <w:tc>
          <w:tcPr>
            <w:tcW w:w="752"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41.0</w:t>
            </w:r>
          </w:p>
        </w:tc>
        <w:tc>
          <w:tcPr>
            <w:tcW w:w="133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27.0</w:t>
            </w:r>
          </w:p>
        </w:tc>
      </w:tr>
      <w:tr w:rsidR="00E30271" w:rsidRPr="007D218D" w:rsidTr="00E30271">
        <w:trPr>
          <w:cantSplit/>
          <w:jc w:val="center"/>
        </w:trPr>
        <w:tc>
          <w:tcPr>
            <w:tcW w:w="2510" w:type="dxa"/>
            <w:tcBorders>
              <w:top w:val="nil"/>
              <w:bottom w:val="single" w:sz="4" w:space="0" w:color="FFFFFF"/>
              <w:right w:val="nil"/>
            </w:tcBorders>
            <w:shd w:val="clear" w:color="auto" w:fill="EFF3FF"/>
            <w:tcMar>
              <w:left w:w="40" w:type="dxa"/>
              <w:right w:w="40" w:type="dxa"/>
            </w:tcMar>
          </w:tcPr>
          <w:p w:rsidR="00E30271" w:rsidRPr="007D218D" w:rsidRDefault="00E30271" w:rsidP="00E30271">
            <w:pPr>
              <w:pStyle w:val="TableRowHeadings"/>
              <w:rPr>
                <w:lang w:eastAsia="en-AU"/>
              </w:rPr>
            </w:pPr>
            <w:r w:rsidRPr="007D218D">
              <w:rPr>
                <w:lang w:eastAsia="en-AU"/>
              </w:rPr>
              <w:t>Severe</w:t>
            </w:r>
          </w:p>
        </w:tc>
        <w:tc>
          <w:tcPr>
            <w:tcW w:w="2074"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25.5</w:t>
            </w:r>
          </w:p>
        </w:tc>
        <w:tc>
          <w:tcPr>
            <w:tcW w:w="1271"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29.3</w:t>
            </w:r>
          </w:p>
        </w:tc>
        <w:tc>
          <w:tcPr>
            <w:tcW w:w="116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29.5</w:t>
            </w:r>
          </w:p>
        </w:tc>
        <w:tc>
          <w:tcPr>
            <w:tcW w:w="752"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27.7</w:t>
            </w:r>
          </w:p>
        </w:tc>
        <w:tc>
          <w:tcPr>
            <w:tcW w:w="1333" w:type="dxa"/>
            <w:tcBorders>
              <w:top w:val="nil"/>
              <w:left w:val="nil"/>
              <w:bottom w:val="nil"/>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34.2</w:t>
            </w:r>
          </w:p>
        </w:tc>
      </w:tr>
      <w:tr w:rsidR="00E30271" w:rsidRPr="007D218D" w:rsidTr="00E30271">
        <w:trPr>
          <w:cantSplit/>
          <w:jc w:val="center"/>
        </w:trPr>
        <w:tc>
          <w:tcPr>
            <w:tcW w:w="2510" w:type="dxa"/>
            <w:tcBorders>
              <w:top w:val="nil"/>
              <w:bottom w:val="single" w:sz="6" w:space="0" w:color="000000"/>
              <w:right w:val="nil"/>
            </w:tcBorders>
            <w:shd w:val="clear" w:color="auto" w:fill="EFF3FF"/>
            <w:tcMar>
              <w:left w:w="40" w:type="dxa"/>
              <w:right w:w="40" w:type="dxa"/>
            </w:tcMar>
          </w:tcPr>
          <w:p w:rsidR="00E30271" w:rsidRPr="007D218D" w:rsidRDefault="00E30271" w:rsidP="00E30271">
            <w:pPr>
              <w:pStyle w:val="TableRowHeadings"/>
              <w:rPr>
                <w:lang w:eastAsia="en-AU"/>
              </w:rPr>
            </w:pPr>
            <w:r w:rsidRPr="007D218D">
              <w:rPr>
                <w:lang w:eastAsia="en-AU"/>
              </w:rPr>
              <w:t>Does not go to school or work</w:t>
            </w:r>
          </w:p>
        </w:tc>
        <w:tc>
          <w:tcPr>
            <w:tcW w:w="2074" w:type="dxa"/>
            <w:tcBorders>
              <w:top w:val="nil"/>
              <w:left w:val="nil"/>
              <w:bottom w:val="single" w:sz="6" w:space="0" w:color="000000"/>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r w:rsidRPr="007D218D">
              <w:rPr>
                <w:lang w:eastAsia="en-AU"/>
              </w:rPr>
              <w:t>4.5</w:t>
            </w:r>
          </w:p>
        </w:tc>
        <w:tc>
          <w:tcPr>
            <w:tcW w:w="1271" w:type="dxa"/>
            <w:tcBorders>
              <w:top w:val="nil"/>
              <w:left w:val="nil"/>
              <w:bottom w:val="single" w:sz="6" w:space="0" w:color="000000"/>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p>
        </w:tc>
        <w:tc>
          <w:tcPr>
            <w:tcW w:w="1163" w:type="dxa"/>
            <w:tcBorders>
              <w:top w:val="nil"/>
              <w:left w:val="nil"/>
              <w:bottom w:val="single" w:sz="6" w:space="0" w:color="000000"/>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p>
        </w:tc>
        <w:tc>
          <w:tcPr>
            <w:tcW w:w="752" w:type="dxa"/>
            <w:tcBorders>
              <w:top w:val="nil"/>
              <w:left w:val="nil"/>
              <w:bottom w:val="single" w:sz="6" w:space="0" w:color="000000"/>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p>
        </w:tc>
        <w:tc>
          <w:tcPr>
            <w:tcW w:w="1333" w:type="dxa"/>
            <w:tcBorders>
              <w:top w:val="nil"/>
              <w:left w:val="nil"/>
              <w:bottom w:val="single" w:sz="6" w:space="0" w:color="000000"/>
              <w:right w:val="nil"/>
            </w:tcBorders>
            <w:shd w:val="clear" w:color="auto" w:fill="FFFFFF"/>
            <w:tcMar>
              <w:left w:w="40" w:type="dxa"/>
              <w:right w:w="40" w:type="dxa"/>
            </w:tcMar>
            <w:vAlign w:val="bottom"/>
          </w:tcPr>
          <w:p w:rsidR="00E30271" w:rsidRPr="007D218D" w:rsidRDefault="00E30271" w:rsidP="00E30271">
            <w:pPr>
              <w:pStyle w:val="TableDataCell"/>
              <w:rPr>
                <w:lang w:eastAsia="en-AU"/>
              </w:rPr>
            </w:pPr>
          </w:p>
        </w:tc>
      </w:tr>
    </w:tbl>
    <w:p w:rsidR="00E30271" w:rsidRDefault="00E30271" w:rsidP="00E30271">
      <w:pPr>
        <w:pStyle w:val="Heading2"/>
        <w:ind w:left="720" w:hanging="720"/>
      </w:pPr>
      <w:bookmarkStart w:id="209" w:name="_Toc401758820"/>
      <w:r>
        <w:t>10.3</w:t>
      </w:r>
      <w:r>
        <w:tab/>
        <w:t>Comparison of prevalence of major depressive disorder based on adolescent report with parent and carer report</w:t>
      </w:r>
      <w:bookmarkEnd w:id="209"/>
    </w:p>
    <w:p w:rsidR="00E30271" w:rsidRDefault="00E30271" w:rsidP="00E30271">
      <w:pPr>
        <w:pStyle w:val="BodyText"/>
      </w:pPr>
      <w:r>
        <w:t>The prevalence of major depressive disorder based on information provided by adolescents and that based on information provided by parents and carers are presented in Table 10-</w:t>
      </w:r>
      <w:r>
        <w:rPr>
          <w:noProof/>
        </w:rPr>
        <w:t>3</w:t>
      </w:r>
      <w:r>
        <w:t>. Overall, the prevalence of major depressive disorder was higher based on adolescent reported information (7.7% of 11-17 year-olds) compared with parent or carer reported information (4.7% of 11-17 year-olds). However, the prevalence is considerably higher when considered together (i.e. when either source is used as the basis for classification), with one in ten young people (10.5% of adolescents aged 11-17 years) meeting the diagnostic criteria for major depressive disorder based on information provided by either or both the young person and his or her parent or carer.</w:t>
      </w:r>
    </w:p>
    <w:p w:rsidR="00E30271" w:rsidRDefault="00E30271" w:rsidP="00E30271">
      <w:pPr>
        <w:pStyle w:val="BodyText"/>
      </w:pPr>
      <w:r>
        <w:t xml:space="preserve">The prevalence of major depressive disorder was higher in females than in males and the difference was greater when the prevalence was based on adolescent report (11.0% for females and 4.5% for males compared with 5.7% for females and 3.7% for males when based on parent and carer report). </w:t>
      </w:r>
    </w:p>
    <w:p w:rsidR="00E30271" w:rsidRDefault="00E30271" w:rsidP="00E30271">
      <w:pPr>
        <w:pStyle w:val="Caption"/>
        <w:keepNext/>
        <w:pageBreakBefore/>
        <w:spacing w:before="0"/>
      </w:pPr>
      <w:bookmarkStart w:id="210" w:name="_Ref401313847"/>
      <w:r>
        <w:lastRenderedPageBreak/>
        <w:t>Table 10-</w:t>
      </w:r>
      <w:r>
        <w:rPr>
          <w:noProof/>
        </w:rPr>
        <w:t>3</w:t>
      </w:r>
      <w:bookmarkEnd w:id="210"/>
      <w:r>
        <w:t xml:space="preserve">: </w:t>
      </w:r>
      <w:r w:rsidRPr="00D5786F">
        <w:t>Prevalence of major depressive disorder</w:t>
      </w:r>
      <w:r w:rsidRPr="004E6E27">
        <w:t xml:space="preserve"> </w:t>
      </w:r>
      <w:r>
        <w:t>among 11-17 year-olds</w:t>
      </w:r>
      <w:r w:rsidRPr="00D5786F">
        <w:t xml:space="preserve"> by </w:t>
      </w:r>
      <w:r>
        <w:t xml:space="preserve">sex, </w:t>
      </w:r>
      <w:r w:rsidRPr="00D5786F">
        <w:t>age group and informant</w:t>
      </w:r>
    </w:p>
    <w:tbl>
      <w:tblPr>
        <w:tblW w:w="9125" w:type="dxa"/>
        <w:jc w:val="center"/>
        <w:tblLayout w:type="fixed"/>
        <w:tblCellMar>
          <w:left w:w="0" w:type="dxa"/>
          <w:right w:w="0" w:type="dxa"/>
        </w:tblCellMar>
        <w:tblLook w:val="0020" w:firstRow="1" w:lastRow="0" w:firstColumn="0" w:lastColumn="0" w:noHBand="0" w:noVBand="0"/>
        <w:tblDescription w:val="In Table 10-3 the first column defines sex and the second column defines age group. Read across the rows for prevalence of major depressive disorder based on parent reported information, youth reported information and finally parent or youth reported information."/>
      </w:tblPr>
      <w:tblGrid>
        <w:gridCol w:w="2178"/>
        <w:gridCol w:w="2640"/>
        <w:gridCol w:w="1532"/>
        <w:gridCol w:w="1416"/>
        <w:gridCol w:w="1359"/>
      </w:tblGrid>
      <w:tr w:rsidR="00E30271" w:rsidRPr="00E71259" w:rsidTr="00E30271">
        <w:trPr>
          <w:cantSplit/>
          <w:tblHeader/>
          <w:jc w:val="center"/>
        </w:trPr>
        <w:tc>
          <w:tcPr>
            <w:tcW w:w="2178"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Sex</w:t>
            </w:r>
          </w:p>
        </w:tc>
        <w:tc>
          <w:tcPr>
            <w:tcW w:w="2640" w:type="dxa"/>
            <w:tcBorders>
              <w:top w:val="single" w:sz="6" w:space="0" w:color="000000"/>
              <w:left w:val="single" w:sz="4" w:space="0" w:color="FFFFFF"/>
              <w:bottom w:val="single" w:sz="4" w:space="0" w:color="000000"/>
              <w:right w:val="nil"/>
            </w:tcBorders>
            <w:shd w:val="clear" w:color="auto" w:fill="EFF3FF"/>
            <w:vAlign w:val="bottom"/>
          </w:tcPr>
          <w:p w:rsidR="00E30271" w:rsidRPr="00FD5451" w:rsidRDefault="00E30271" w:rsidP="00E30271">
            <w:pPr>
              <w:pStyle w:val="TableColumnHeadings"/>
              <w:jc w:val="left"/>
              <w:rPr>
                <w:rStyle w:val="Strong"/>
              </w:rPr>
            </w:pPr>
            <w:r w:rsidRPr="00FD5451">
              <w:rPr>
                <w:rStyle w:val="Strong"/>
              </w:rPr>
              <w:t>Age group</w:t>
            </w:r>
          </w:p>
        </w:tc>
        <w:tc>
          <w:tcPr>
            <w:tcW w:w="15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Adolescent report (%)</w:t>
            </w:r>
          </w:p>
        </w:tc>
        <w:tc>
          <w:tcPr>
            <w:tcW w:w="14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Parent/carer report (%)</w:t>
            </w:r>
          </w:p>
        </w:tc>
        <w:tc>
          <w:tcPr>
            <w:tcW w:w="135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Adolescent report and/or parent/carer report (%)</w:t>
            </w:r>
          </w:p>
        </w:tc>
      </w:tr>
      <w:tr w:rsidR="00E30271" w:rsidRPr="00E71259" w:rsidTr="00E30271">
        <w:trPr>
          <w:cantSplit/>
          <w:jc w:val="center"/>
        </w:trPr>
        <w:tc>
          <w:tcPr>
            <w:tcW w:w="2178" w:type="dxa"/>
            <w:vMerge w:val="restart"/>
            <w:tcBorders>
              <w:top w:val="single" w:sz="4" w:space="0" w:color="000000"/>
              <w:bottom w:val="single" w:sz="4" w:space="0" w:color="FFFFFF" w:themeColor="background1"/>
              <w:right w:val="nil"/>
            </w:tcBorders>
            <w:shd w:val="clear" w:color="auto" w:fill="EFF3FF"/>
            <w:tcMar>
              <w:left w:w="40" w:type="dxa"/>
              <w:right w:w="40" w:type="dxa"/>
            </w:tcMar>
          </w:tcPr>
          <w:p w:rsidR="00E30271" w:rsidRPr="00E71259" w:rsidRDefault="00E30271" w:rsidP="00E30271">
            <w:pPr>
              <w:pStyle w:val="TableRowHeadings"/>
              <w:rPr>
                <w:lang w:eastAsia="en-AU"/>
              </w:rPr>
            </w:pPr>
            <w:r w:rsidRPr="00E71259">
              <w:rPr>
                <w:lang w:eastAsia="en-AU"/>
              </w:rPr>
              <w:t>Males</w:t>
            </w: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11-</w:t>
            </w:r>
            <w:r w:rsidRPr="00E71259">
              <w:rPr>
                <w:lang w:eastAsia="en-AU"/>
              </w:rPr>
              <w:t>15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3.1</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3.1</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5.4</w:t>
            </w:r>
          </w:p>
        </w:tc>
      </w:tr>
      <w:tr w:rsidR="00E30271" w:rsidRPr="00E71259" w:rsidTr="00E30271">
        <w:trPr>
          <w:cantSplit/>
          <w:jc w:val="center"/>
        </w:trPr>
        <w:tc>
          <w:tcPr>
            <w:tcW w:w="217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16-</w:t>
            </w:r>
            <w:r w:rsidRPr="00E71259">
              <w:rPr>
                <w:lang w:eastAsia="en-AU"/>
              </w:rPr>
              <w:t>17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8.2</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5.4</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11.4</w:t>
            </w:r>
          </w:p>
        </w:tc>
      </w:tr>
      <w:tr w:rsidR="00E30271" w:rsidRPr="00E71259" w:rsidTr="00E30271">
        <w:trPr>
          <w:cantSplit/>
          <w:jc w:val="center"/>
        </w:trPr>
        <w:tc>
          <w:tcPr>
            <w:tcW w:w="217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53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4.5</w:t>
            </w:r>
          </w:p>
        </w:tc>
        <w:tc>
          <w:tcPr>
            <w:tcW w:w="1416"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3.7</w:t>
            </w:r>
          </w:p>
        </w:tc>
        <w:tc>
          <w:tcPr>
            <w:tcW w:w="135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7.1</w:t>
            </w:r>
          </w:p>
        </w:tc>
      </w:tr>
      <w:tr w:rsidR="00E30271" w:rsidRPr="00E71259" w:rsidTr="00E30271">
        <w:trPr>
          <w:cantSplit/>
          <w:jc w:val="center"/>
        </w:trPr>
        <w:tc>
          <w:tcPr>
            <w:tcW w:w="2178"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E71259" w:rsidRDefault="00E30271" w:rsidP="00E30271">
            <w:pPr>
              <w:pStyle w:val="TableRowHeadings"/>
              <w:rPr>
                <w:lang w:eastAsia="en-AU"/>
              </w:rPr>
            </w:pPr>
            <w:r w:rsidRPr="00E71259">
              <w:rPr>
                <w:lang w:eastAsia="en-AU"/>
              </w:rPr>
              <w:t>Females</w:t>
            </w: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11-</w:t>
            </w:r>
            <w:r w:rsidRPr="00E71259">
              <w:rPr>
                <w:lang w:eastAsia="en-AU"/>
              </w:rPr>
              <w:t>15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7.2</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3.6</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9.5</w:t>
            </w:r>
          </w:p>
        </w:tc>
      </w:tr>
      <w:tr w:rsidR="00E30271" w:rsidRPr="00E71259" w:rsidTr="00E30271">
        <w:trPr>
          <w:cantSplit/>
          <w:jc w:val="center"/>
        </w:trPr>
        <w:tc>
          <w:tcPr>
            <w:tcW w:w="2178" w:type="dxa"/>
            <w:vMerge/>
            <w:tcBorders>
              <w:top w:val="single" w:sz="6" w:space="0" w:color="000000"/>
              <w:bottom w:val="single" w:sz="6" w:space="0" w:color="000000"/>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16-1</w:t>
            </w:r>
            <w:r w:rsidRPr="00E71259">
              <w:rPr>
                <w:lang w:eastAsia="en-AU"/>
              </w:rPr>
              <w:t>7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19.6</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10.6</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24.3</w:t>
            </w:r>
          </w:p>
        </w:tc>
      </w:tr>
      <w:tr w:rsidR="00E30271" w:rsidRPr="00E71259" w:rsidTr="00E30271">
        <w:trPr>
          <w:cantSplit/>
          <w:jc w:val="center"/>
        </w:trPr>
        <w:tc>
          <w:tcPr>
            <w:tcW w:w="217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53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11.0</w:t>
            </w:r>
          </w:p>
        </w:tc>
        <w:tc>
          <w:tcPr>
            <w:tcW w:w="1416"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5.7</w:t>
            </w:r>
          </w:p>
        </w:tc>
        <w:tc>
          <w:tcPr>
            <w:tcW w:w="135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14.0</w:t>
            </w:r>
          </w:p>
        </w:tc>
      </w:tr>
      <w:tr w:rsidR="00E30271" w:rsidRPr="00E71259" w:rsidTr="00E30271">
        <w:trPr>
          <w:cantSplit/>
          <w:jc w:val="center"/>
        </w:trPr>
        <w:tc>
          <w:tcPr>
            <w:tcW w:w="2178"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Persons</w:t>
            </w: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11-</w:t>
            </w:r>
            <w:r w:rsidRPr="00E71259">
              <w:rPr>
                <w:lang w:eastAsia="en-AU"/>
              </w:rPr>
              <w:t>15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5.0</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3.3</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7.3</w:t>
            </w:r>
          </w:p>
        </w:tc>
      </w:tr>
      <w:tr w:rsidR="00E30271" w:rsidRPr="00E71259" w:rsidTr="00E30271">
        <w:trPr>
          <w:cantSplit/>
          <w:jc w:val="center"/>
        </w:trPr>
        <w:tc>
          <w:tcPr>
            <w:tcW w:w="2178" w:type="dxa"/>
            <w:vMerge/>
            <w:tcBorders>
              <w:top w:val="single" w:sz="6" w:space="0" w:color="000000"/>
              <w:bottom w:val="single" w:sz="6" w:space="0" w:color="000000"/>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4" w:space="0" w:color="FFFFFF"/>
              <w:right w:val="nil"/>
            </w:tcBorders>
            <w:shd w:val="clear" w:color="auto" w:fill="EFF3FF"/>
            <w:tcMar>
              <w:left w:w="40" w:type="dxa"/>
              <w:right w:w="40" w:type="dxa"/>
            </w:tcMar>
          </w:tcPr>
          <w:p w:rsidR="00E30271" w:rsidRPr="00E71259" w:rsidRDefault="00E30271" w:rsidP="00E30271">
            <w:pPr>
              <w:pStyle w:val="TableRowHeadings"/>
              <w:rPr>
                <w:lang w:eastAsia="en-AU"/>
              </w:rPr>
            </w:pPr>
            <w:r>
              <w:rPr>
                <w:lang w:eastAsia="en-AU"/>
              </w:rPr>
              <w:t>16-</w:t>
            </w:r>
            <w:r w:rsidRPr="00E71259">
              <w:rPr>
                <w:lang w:eastAsia="en-AU"/>
              </w:rPr>
              <w:t>17 years</w:t>
            </w:r>
          </w:p>
        </w:tc>
        <w:tc>
          <w:tcPr>
            <w:tcW w:w="1532"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14.0</w:t>
            </w:r>
          </w:p>
        </w:tc>
        <w:tc>
          <w:tcPr>
            <w:tcW w:w="1416"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8.1</w:t>
            </w:r>
          </w:p>
        </w:tc>
        <w:tc>
          <w:tcPr>
            <w:tcW w:w="1359" w:type="dxa"/>
            <w:tcBorders>
              <w:top w:val="nil"/>
              <w:left w:val="nil"/>
              <w:bottom w:val="nil"/>
              <w:right w:val="nil"/>
            </w:tcBorders>
            <w:shd w:val="clear" w:color="auto" w:fill="FFFFFF"/>
            <w:tcMar>
              <w:left w:w="40" w:type="dxa"/>
              <w:right w:w="40" w:type="dxa"/>
            </w:tcMar>
            <w:vAlign w:val="bottom"/>
          </w:tcPr>
          <w:p w:rsidR="00E30271" w:rsidRPr="00E71259" w:rsidRDefault="00E30271" w:rsidP="00E30271">
            <w:pPr>
              <w:pStyle w:val="TableDataCell"/>
              <w:rPr>
                <w:lang w:eastAsia="en-AU"/>
              </w:rPr>
            </w:pPr>
            <w:r w:rsidRPr="00E71259">
              <w:rPr>
                <w:lang w:eastAsia="en-AU"/>
              </w:rPr>
              <w:t>18.0</w:t>
            </w:r>
          </w:p>
        </w:tc>
      </w:tr>
      <w:tr w:rsidR="00E30271" w:rsidRPr="00E71259" w:rsidTr="00E30271">
        <w:trPr>
          <w:cantSplit/>
          <w:jc w:val="center"/>
        </w:trPr>
        <w:tc>
          <w:tcPr>
            <w:tcW w:w="2178" w:type="dxa"/>
            <w:vMerge/>
            <w:tcBorders>
              <w:top w:val="single" w:sz="6" w:space="0" w:color="000000"/>
              <w:bottom w:val="single" w:sz="6" w:space="0" w:color="000000"/>
              <w:right w:val="nil"/>
            </w:tcBorders>
            <w:shd w:val="clear" w:color="auto" w:fill="EFF3FF"/>
            <w:tcMar>
              <w:left w:w="40" w:type="dxa"/>
              <w:right w:w="40" w:type="dxa"/>
            </w:tcMar>
          </w:tcPr>
          <w:p w:rsidR="00E30271" w:rsidRPr="00E71259" w:rsidRDefault="00E30271" w:rsidP="00E30271">
            <w:pPr>
              <w:pStyle w:val="TableRowHeadings"/>
              <w:rPr>
                <w:rFonts w:ascii="Times New Roman" w:hAnsi="Times New Roman" w:cs="Times New Roman"/>
                <w:sz w:val="24"/>
                <w:szCs w:val="24"/>
                <w:lang w:eastAsia="en-AU"/>
              </w:rPr>
            </w:pPr>
          </w:p>
        </w:tc>
        <w:tc>
          <w:tcPr>
            <w:tcW w:w="2640" w:type="dxa"/>
            <w:tcBorders>
              <w:top w:val="nil"/>
              <w:left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153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7.7</w:t>
            </w:r>
          </w:p>
        </w:tc>
        <w:tc>
          <w:tcPr>
            <w:tcW w:w="1416"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4.7</w:t>
            </w:r>
          </w:p>
        </w:tc>
        <w:tc>
          <w:tcPr>
            <w:tcW w:w="1359"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10.5</w:t>
            </w:r>
          </w:p>
        </w:tc>
      </w:tr>
    </w:tbl>
    <w:p w:rsidR="00E30271" w:rsidRDefault="00E30271" w:rsidP="009E2950">
      <w:pPr>
        <w:pStyle w:val="BodyText"/>
        <w:spacing w:before="240"/>
        <w:rPr>
          <w:lang w:eastAsia="en-AU"/>
        </w:rPr>
      </w:pPr>
      <w:r>
        <w:rPr>
          <w:lang w:eastAsia="en-AU"/>
        </w:rPr>
        <w:t xml:space="preserve">Young people rated how </w:t>
      </w:r>
      <w:proofErr w:type="gramStart"/>
      <w:r>
        <w:rPr>
          <w:lang w:eastAsia="en-AU"/>
        </w:rPr>
        <w:t>much</w:t>
      </w:r>
      <w:proofErr w:type="gramEnd"/>
      <w:r>
        <w:rPr>
          <w:lang w:eastAsia="en-AU"/>
        </w:rPr>
        <w:t xml:space="preserve"> their parents or carers knew about how they were feeling. Among adolescents who did not have major depressive disorder based on either their own or their parent’s and carer’s reports, 7.4% said their parents or carers know ‘not at all’ how they are feeling, compared with 14.9% of young people where both the adolescent report and parent or carer report indicate the young person had </w:t>
      </w:r>
      <w:r>
        <w:t>major depressive disorder</w:t>
      </w:r>
      <w:r>
        <w:rPr>
          <w:lang w:eastAsia="en-AU"/>
        </w:rPr>
        <w:t xml:space="preserve">, and 29.5% where only the adolescent report indicated the young person has </w:t>
      </w:r>
      <w:r>
        <w:t>major depressive disorder</w:t>
      </w:r>
      <w:r>
        <w:rPr>
          <w:lang w:eastAsia="en-AU"/>
        </w:rPr>
        <w:t>. Among adolescents without major depressive disorder 40.2% said their parents or carers knew a lot about how they were feeling compared with 14.3% of adolescents with major depressive disorder identified based on the adolescent report only.</w:t>
      </w:r>
    </w:p>
    <w:p w:rsidR="00E30271" w:rsidRDefault="00E30271" w:rsidP="00E30271">
      <w:pPr>
        <w:pStyle w:val="BodyText"/>
        <w:rPr>
          <w:lang w:eastAsia="en-AU"/>
        </w:rPr>
      </w:pPr>
      <w:r>
        <w:rPr>
          <w:lang w:eastAsia="en-AU"/>
        </w:rPr>
        <w:t>Two thirds of young people with major depressive disorder based on information in their self-report said that their parents or carers only knew ‘a little’ or ‘not at all’ about their feelings (37.6% and 29.5% respectively). Where parents and carers had also provided information on which to base a diagnosis of major depressive disorder, just over half of young people reported that their parents or carers had poor knowledge about how they were feeling (40.3% ‘a little’ and 14.9% ‘not at all’). In contrast three quarters (75.7%) of young people without major depressive disorder reported that their parents or carers knew ‘a lot’ or ‘some’ about how they were feeling (</w:t>
      </w:r>
      <w:r>
        <w:t>Table 10-</w:t>
      </w:r>
      <w:r>
        <w:rPr>
          <w:noProof/>
        </w:rPr>
        <w:t>4</w:t>
      </w:r>
      <w:r>
        <w:rPr>
          <w:lang w:eastAsia="en-AU"/>
        </w:rPr>
        <w:t>).</w:t>
      </w:r>
    </w:p>
    <w:p w:rsidR="00E30271" w:rsidRDefault="00E30271" w:rsidP="00E30271">
      <w:pPr>
        <w:pStyle w:val="Caption"/>
        <w:keepNext/>
        <w:pageBreakBefore/>
        <w:spacing w:before="0"/>
      </w:pPr>
      <w:bookmarkStart w:id="211" w:name="_Ref401582607"/>
      <w:r>
        <w:lastRenderedPageBreak/>
        <w:t>Table 10-</w:t>
      </w:r>
      <w:r>
        <w:rPr>
          <w:noProof/>
        </w:rPr>
        <w:t>4</w:t>
      </w:r>
      <w:bookmarkEnd w:id="211"/>
      <w:r>
        <w:t>: Young people’s perceptions of how much parents or carers know about how they are feeling for those with and without major depressive disorder</w:t>
      </w:r>
    </w:p>
    <w:tbl>
      <w:tblPr>
        <w:tblW w:w="9132" w:type="dxa"/>
        <w:jc w:val="center"/>
        <w:tblLayout w:type="fixed"/>
        <w:tblCellMar>
          <w:left w:w="0" w:type="dxa"/>
          <w:right w:w="0" w:type="dxa"/>
        </w:tblCellMar>
        <w:tblLook w:val="0020" w:firstRow="1" w:lastRow="0" w:firstColumn="0" w:lastColumn="0" w:noHBand="0" w:noVBand="0"/>
        <w:tblDescription w:val="In Table 10-4 the first column defines how much does the youth's parents know about how they are feeling. Read across the row for the proportion of young people with depression based on the youth report only, the proportion of young people with depression based on on both the parent and youth report, and the proportion of young people without depression."/>
      </w:tblPr>
      <w:tblGrid>
        <w:gridCol w:w="3245"/>
        <w:gridCol w:w="1962"/>
        <w:gridCol w:w="1962"/>
        <w:gridCol w:w="1963"/>
      </w:tblGrid>
      <w:tr w:rsidR="00E30271" w:rsidRPr="000205E3" w:rsidTr="00E30271">
        <w:trPr>
          <w:cantSplit/>
          <w:tblHeader/>
          <w:jc w:val="center"/>
        </w:trPr>
        <w:tc>
          <w:tcPr>
            <w:tcW w:w="3245"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Level of parental/carer knowledge</w:t>
            </w:r>
          </w:p>
        </w:tc>
        <w:tc>
          <w:tcPr>
            <w:tcW w:w="19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Major depressive disorder based on adolescent report only (%)</w:t>
            </w:r>
          </w:p>
        </w:tc>
        <w:tc>
          <w:tcPr>
            <w:tcW w:w="196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Major depressive disorder based on both adolescent and parent/carer reports (%)</w:t>
            </w:r>
          </w:p>
        </w:tc>
        <w:tc>
          <w:tcPr>
            <w:tcW w:w="196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No major depressive disorder (%)</w:t>
            </w:r>
          </w:p>
        </w:tc>
      </w:tr>
      <w:tr w:rsidR="00E30271" w:rsidRPr="000205E3" w:rsidTr="00E30271">
        <w:trPr>
          <w:cantSplit/>
          <w:jc w:val="center"/>
        </w:trPr>
        <w:tc>
          <w:tcPr>
            <w:tcW w:w="3245" w:type="dxa"/>
            <w:tcBorders>
              <w:top w:val="nil"/>
              <w:bottom w:val="single" w:sz="4" w:space="0" w:color="FFFFFF"/>
              <w:right w:val="nil"/>
            </w:tcBorders>
            <w:shd w:val="clear" w:color="auto" w:fill="EFF3FF"/>
            <w:tcMar>
              <w:left w:w="40" w:type="dxa"/>
              <w:right w:w="40" w:type="dxa"/>
            </w:tcMar>
          </w:tcPr>
          <w:p w:rsidR="00E30271" w:rsidRPr="000205E3" w:rsidRDefault="00E30271" w:rsidP="00E30271">
            <w:pPr>
              <w:pStyle w:val="TableRowHeadings"/>
              <w:rPr>
                <w:lang w:eastAsia="en-AU"/>
              </w:rPr>
            </w:pPr>
            <w:r w:rsidRPr="000205E3">
              <w:rPr>
                <w:lang w:eastAsia="en-AU"/>
              </w:rPr>
              <w:t>A lot</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14</w:t>
            </w:r>
            <w:r>
              <w:rPr>
                <w:lang w:eastAsia="en-AU"/>
              </w:rPr>
              <w:t>.3</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18</w:t>
            </w:r>
            <w:r>
              <w:rPr>
                <w:lang w:eastAsia="en-AU"/>
              </w:rPr>
              <w:t>.1</w:t>
            </w:r>
          </w:p>
        </w:tc>
        <w:tc>
          <w:tcPr>
            <w:tcW w:w="1963"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40</w:t>
            </w:r>
            <w:r>
              <w:rPr>
                <w:lang w:eastAsia="en-AU"/>
              </w:rPr>
              <w:t>.2</w:t>
            </w:r>
          </w:p>
        </w:tc>
      </w:tr>
      <w:tr w:rsidR="00E30271" w:rsidRPr="000205E3" w:rsidTr="00E30271">
        <w:trPr>
          <w:cantSplit/>
          <w:jc w:val="center"/>
        </w:trPr>
        <w:tc>
          <w:tcPr>
            <w:tcW w:w="3245" w:type="dxa"/>
            <w:tcBorders>
              <w:top w:val="nil"/>
              <w:bottom w:val="single" w:sz="4" w:space="0" w:color="FFFFFF"/>
              <w:right w:val="nil"/>
            </w:tcBorders>
            <w:shd w:val="clear" w:color="auto" w:fill="EFF3FF"/>
            <w:tcMar>
              <w:left w:w="40" w:type="dxa"/>
              <w:right w:w="40" w:type="dxa"/>
            </w:tcMar>
          </w:tcPr>
          <w:p w:rsidR="00E30271" w:rsidRPr="000205E3" w:rsidRDefault="00E30271" w:rsidP="00E30271">
            <w:pPr>
              <w:pStyle w:val="TableRowHeadings"/>
              <w:rPr>
                <w:lang w:eastAsia="en-AU"/>
              </w:rPr>
            </w:pPr>
            <w:r w:rsidRPr="000205E3">
              <w:rPr>
                <w:lang w:eastAsia="en-AU"/>
              </w:rPr>
              <w:t>Some</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18.6</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26.6</w:t>
            </w:r>
          </w:p>
        </w:tc>
        <w:tc>
          <w:tcPr>
            <w:tcW w:w="1963"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35.5</w:t>
            </w:r>
          </w:p>
        </w:tc>
      </w:tr>
      <w:tr w:rsidR="00E30271" w:rsidRPr="000205E3" w:rsidTr="00E30271">
        <w:trPr>
          <w:cantSplit/>
          <w:jc w:val="center"/>
        </w:trPr>
        <w:tc>
          <w:tcPr>
            <w:tcW w:w="3245" w:type="dxa"/>
            <w:tcBorders>
              <w:top w:val="nil"/>
              <w:bottom w:val="single" w:sz="4" w:space="0" w:color="FFFFFF"/>
              <w:right w:val="nil"/>
            </w:tcBorders>
            <w:shd w:val="clear" w:color="auto" w:fill="EFF3FF"/>
            <w:tcMar>
              <w:left w:w="40" w:type="dxa"/>
              <w:right w:w="40" w:type="dxa"/>
            </w:tcMar>
          </w:tcPr>
          <w:p w:rsidR="00E30271" w:rsidRPr="000205E3" w:rsidRDefault="00E30271" w:rsidP="00E30271">
            <w:pPr>
              <w:pStyle w:val="TableRowHeadings"/>
              <w:rPr>
                <w:lang w:eastAsia="en-AU"/>
              </w:rPr>
            </w:pPr>
            <w:r w:rsidRPr="000205E3">
              <w:rPr>
                <w:lang w:eastAsia="en-AU"/>
              </w:rPr>
              <w:t>A little</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37.6</w:t>
            </w:r>
          </w:p>
        </w:tc>
        <w:tc>
          <w:tcPr>
            <w:tcW w:w="1962"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40</w:t>
            </w:r>
            <w:r>
              <w:rPr>
                <w:lang w:eastAsia="en-AU"/>
              </w:rPr>
              <w:t>.3</w:t>
            </w:r>
          </w:p>
        </w:tc>
        <w:tc>
          <w:tcPr>
            <w:tcW w:w="1963" w:type="dxa"/>
            <w:tcBorders>
              <w:top w:val="nil"/>
              <w:left w:val="nil"/>
              <w:bottom w:val="nil"/>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16.8</w:t>
            </w:r>
          </w:p>
        </w:tc>
      </w:tr>
      <w:tr w:rsidR="00E30271" w:rsidRPr="000205E3" w:rsidTr="00E30271">
        <w:trPr>
          <w:cantSplit/>
          <w:jc w:val="center"/>
        </w:trPr>
        <w:tc>
          <w:tcPr>
            <w:tcW w:w="3245" w:type="dxa"/>
            <w:tcBorders>
              <w:top w:val="nil"/>
              <w:bottom w:val="single" w:sz="6" w:space="0" w:color="000000"/>
              <w:right w:val="nil"/>
            </w:tcBorders>
            <w:shd w:val="clear" w:color="auto" w:fill="EFF3FF"/>
            <w:tcMar>
              <w:left w:w="40" w:type="dxa"/>
              <w:right w:w="40" w:type="dxa"/>
            </w:tcMar>
          </w:tcPr>
          <w:p w:rsidR="00E30271" w:rsidRPr="000205E3" w:rsidRDefault="00E30271" w:rsidP="00E30271">
            <w:pPr>
              <w:pStyle w:val="TableRowHeadings"/>
              <w:rPr>
                <w:lang w:eastAsia="en-AU"/>
              </w:rPr>
            </w:pPr>
            <w:r w:rsidRPr="000205E3">
              <w:rPr>
                <w:lang w:eastAsia="en-AU"/>
              </w:rPr>
              <w:t>Not at all</w:t>
            </w:r>
          </w:p>
        </w:tc>
        <w:tc>
          <w:tcPr>
            <w:tcW w:w="1962" w:type="dxa"/>
            <w:tcBorders>
              <w:top w:val="nil"/>
              <w:left w:val="nil"/>
              <w:bottom w:val="single" w:sz="6" w:space="0" w:color="000000"/>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29</w:t>
            </w:r>
            <w:r>
              <w:rPr>
                <w:lang w:eastAsia="en-AU"/>
              </w:rPr>
              <w:t>.5</w:t>
            </w:r>
          </w:p>
        </w:tc>
        <w:tc>
          <w:tcPr>
            <w:tcW w:w="1962" w:type="dxa"/>
            <w:tcBorders>
              <w:top w:val="nil"/>
              <w:left w:val="nil"/>
              <w:bottom w:val="single" w:sz="6" w:space="0" w:color="000000"/>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Pr>
                <w:lang w:eastAsia="en-AU"/>
              </w:rPr>
              <w:t>14.9</w:t>
            </w:r>
          </w:p>
        </w:tc>
        <w:tc>
          <w:tcPr>
            <w:tcW w:w="1963" w:type="dxa"/>
            <w:tcBorders>
              <w:top w:val="nil"/>
              <w:left w:val="nil"/>
              <w:bottom w:val="single" w:sz="6" w:space="0" w:color="000000"/>
              <w:right w:val="nil"/>
            </w:tcBorders>
            <w:shd w:val="clear" w:color="auto" w:fill="FFFFFF"/>
            <w:tcMar>
              <w:left w:w="40" w:type="dxa"/>
              <w:right w:w="40" w:type="dxa"/>
            </w:tcMar>
            <w:vAlign w:val="bottom"/>
          </w:tcPr>
          <w:p w:rsidR="00E30271" w:rsidRPr="000205E3" w:rsidRDefault="00E30271" w:rsidP="00E30271">
            <w:pPr>
              <w:pStyle w:val="TableDataCell"/>
              <w:rPr>
                <w:lang w:eastAsia="en-AU"/>
              </w:rPr>
            </w:pPr>
            <w:r w:rsidRPr="000205E3">
              <w:rPr>
                <w:lang w:eastAsia="en-AU"/>
              </w:rPr>
              <w:t>7</w:t>
            </w:r>
            <w:r>
              <w:rPr>
                <w:lang w:eastAsia="en-AU"/>
              </w:rPr>
              <w:t>.4</w:t>
            </w:r>
          </w:p>
        </w:tc>
      </w:tr>
    </w:tbl>
    <w:p w:rsidR="00E30271" w:rsidRDefault="00E30271" w:rsidP="00E30271">
      <w:pPr>
        <w:pStyle w:val="Heading2"/>
      </w:pPr>
      <w:bookmarkStart w:id="212" w:name="_Toc401758821"/>
      <w:r>
        <w:t>10.4</w:t>
      </w:r>
      <w:r>
        <w:tab/>
        <w:t>Psychological distress</w:t>
      </w:r>
      <w:bookmarkEnd w:id="212"/>
    </w:p>
    <w:p w:rsidR="00E30271" w:rsidRDefault="00E30271" w:rsidP="00E30271">
      <w:pPr>
        <w:pStyle w:val="BodyText"/>
      </w:pPr>
      <w:r>
        <w:t>The Kessler 10 Psychological Distress Scale (K10) is a measure of psychological distress that has been shown to be highly correlated with the presence of depressive or anxiety disorders. Scores are classified into four levels of psychological distress — low, moderate, high and very high distress.</w:t>
      </w:r>
    </w:p>
    <w:p w:rsidR="00E30271" w:rsidRDefault="00E30271" w:rsidP="00E30271">
      <w:pPr>
        <w:pStyle w:val="BodyText"/>
      </w:pPr>
      <w:r>
        <w:t>One fifth of adolescents aged 11-17 years had very high or high levels of psychological distress (6.6% and 13.3% respectively). The proportion was higher for females than males (9.5% and 16.4% compared with 4.0% and 10.4%). A higher proportion of older adolescents had very high and high levels of psychological distress (11.0% and 16.2% of 16-17 year-olds compared with 4.8% and 12.2% of 11-15 year-olds) (Table 10-</w:t>
      </w:r>
      <w:r>
        <w:rPr>
          <w:noProof/>
        </w:rPr>
        <w:t>5</w:t>
      </w:r>
      <w:r>
        <w:t xml:space="preserve">). </w:t>
      </w:r>
    </w:p>
    <w:p w:rsidR="00E30271" w:rsidRDefault="00E30271" w:rsidP="00E30271">
      <w:pPr>
        <w:pStyle w:val="Caption"/>
        <w:keepNext/>
      </w:pPr>
      <w:bookmarkStart w:id="213" w:name="_Ref401317482"/>
      <w:r>
        <w:t>Table 10-</w:t>
      </w:r>
      <w:r>
        <w:rPr>
          <w:noProof/>
        </w:rPr>
        <w:t>5</w:t>
      </w:r>
      <w:bookmarkEnd w:id="213"/>
      <w:r>
        <w:t>: Kessler 10 level of psychological distress among 11-17 year-olds by sex and age group</w:t>
      </w:r>
    </w:p>
    <w:tbl>
      <w:tblPr>
        <w:tblW w:w="9122" w:type="dxa"/>
        <w:jc w:val="center"/>
        <w:tblLayout w:type="fixed"/>
        <w:tblCellMar>
          <w:left w:w="0" w:type="dxa"/>
          <w:right w:w="0" w:type="dxa"/>
        </w:tblCellMar>
        <w:tblLook w:val="0000" w:firstRow="0" w:lastRow="0" w:firstColumn="0" w:lastColumn="0" w:noHBand="0" w:noVBand="0"/>
        <w:tblDescription w:val="In Table 10-5 the first column defines sex and the second column defines age group. Read across the rows for the proportion of adolescents in the low, moderate, high and finally very high categores of non-specific psychological distress."/>
      </w:tblPr>
      <w:tblGrid>
        <w:gridCol w:w="1518"/>
        <w:gridCol w:w="1834"/>
        <w:gridCol w:w="1442"/>
        <w:gridCol w:w="1443"/>
        <w:gridCol w:w="1442"/>
        <w:gridCol w:w="1443"/>
      </w:tblGrid>
      <w:tr w:rsidR="00E30271" w:rsidRPr="004156AE" w:rsidTr="00E30271">
        <w:trPr>
          <w:cantSplit/>
          <w:tblHeader/>
          <w:jc w:val="center"/>
        </w:trPr>
        <w:tc>
          <w:tcPr>
            <w:tcW w:w="1518"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Sex</w:t>
            </w:r>
          </w:p>
        </w:tc>
        <w:tc>
          <w:tcPr>
            <w:tcW w:w="1834" w:type="dxa"/>
            <w:tcBorders>
              <w:top w:val="single" w:sz="6" w:space="0" w:color="000000"/>
              <w:left w:val="single" w:sz="4" w:space="0" w:color="FFFFFF"/>
              <w:bottom w:val="single" w:sz="4" w:space="0" w:color="000000"/>
              <w:right w:val="nil"/>
            </w:tcBorders>
            <w:shd w:val="clear" w:color="auto" w:fill="EFF3FF"/>
            <w:vAlign w:val="bottom"/>
          </w:tcPr>
          <w:p w:rsidR="00E30271" w:rsidRPr="00FD5451" w:rsidRDefault="00E30271" w:rsidP="00E30271">
            <w:pPr>
              <w:pStyle w:val="TableColumnHeadings"/>
              <w:jc w:val="left"/>
              <w:rPr>
                <w:rStyle w:val="Strong"/>
              </w:rPr>
            </w:pPr>
            <w:r w:rsidRPr="00FD5451">
              <w:rPr>
                <w:rStyle w:val="Strong"/>
              </w:rPr>
              <w:t>Age group</w:t>
            </w:r>
          </w:p>
        </w:tc>
        <w:tc>
          <w:tcPr>
            <w:tcW w:w="14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Low (%)</w:t>
            </w:r>
          </w:p>
        </w:tc>
        <w:tc>
          <w:tcPr>
            <w:tcW w:w="144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Moderate (%)</w:t>
            </w:r>
          </w:p>
        </w:tc>
        <w:tc>
          <w:tcPr>
            <w:tcW w:w="14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High (%)</w:t>
            </w:r>
          </w:p>
        </w:tc>
        <w:tc>
          <w:tcPr>
            <w:tcW w:w="144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Very high (%)</w:t>
            </w:r>
          </w:p>
        </w:tc>
      </w:tr>
      <w:tr w:rsidR="00E30271" w:rsidRPr="004156AE" w:rsidTr="00E30271">
        <w:trPr>
          <w:cantSplit/>
          <w:jc w:val="center"/>
        </w:trPr>
        <w:tc>
          <w:tcPr>
            <w:tcW w:w="1518" w:type="dxa"/>
            <w:vMerge w:val="restart"/>
            <w:tcBorders>
              <w:top w:val="single" w:sz="4" w:space="0" w:color="000000"/>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lang w:eastAsia="en-AU"/>
              </w:rPr>
            </w:pPr>
            <w:r w:rsidRPr="004156AE">
              <w:rPr>
                <w:lang w:eastAsia="en-AU"/>
              </w:rPr>
              <w:t>Males</w:t>
            </w: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Pr>
                <w:lang w:eastAsia="en-AU"/>
              </w:rPr>
              <w:t>11-</w:t>
            </w:r>
            <w:r w:rsidRPr="004156AE">
              <w:rPr>
                <w:lang w:eastAsia="en-AU"/>
              </w:rPr>
              <w:t>15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57.6</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29.2</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9.9</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3.3</w:t>
            </w:r>
          </w:p>
        </w:tc>
      </w:tr>
      <w:tr w:rsidR="00E30271" w:rsidRPr="004156AE" w:rsidTr="00E30271">
        <w:trPr>
          <w:cantSplit/>
          <w:jc w:val="center"/>
        </w:trPr>
        <w:tc>
          <w:tcPr>
            <w:tcW w:w="151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sidRPr="004156AE">
              <w:rPr>
                <w:lang w:eastAsia="en-AU"/>
              </w:rPr>
              <w:t>16</w:t>
            </w:r>
            <w:r>
              <w:rPr>
                <w:lang w:eastAsia="en-AU"/>
              </w:rPr>
              <w:t>-</w:t>
            </w:r>
            <w:r w:rsidRPr="004156AE">
              <w:rPr>
                <w:lang w:eastAsia="en-AU"/>
              </w:rPr>
              <w:t>17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53.0</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29.4</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11.8</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5.8</w:t>
            </w:r>
          </w:p>
        </w:tc>
      </w:tr>
      <w:tr w:rsidR="00E30271" w:rsidRPr="004156AE" w:rsidTr="00E30271">
        <w:trPr>
          <w:cantSplit/>
          <w:jc w:val="center"/>
        </w:trPr>
        <w:tc>
          <w:tcPr>
            <w:tcW w:w="151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4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56.3</w:t>
            </w:r>
          </w:p>
        </w:tc>
        <w:tc>
          <w:tcPr>
            <w:tcW w:w="1443"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29.3</w:t>
            </w:r>
          </w:p>
        </w:tc>
        <w:tc>
          <w:tcPr>
            <w:tcW w:w="14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10.4</w:t>
            </w:r>
          </w:p>
        </w:tc>
        <w:tc>
          <w:tcPr>
            <w:tcW w:w="1443"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4.0</w:t>
            </w:r>
          </w:p>
        </w:tc>
      </w:tr>
      <w:tr w:rsidR="00E30271" w:rsidRPr="004156AE" w:rsidTr="00E30271">
        <w:trPr>
          <w:cantSplit/>
          <w:jc w:val="center"/>
        </w:trPr>
        <w:tc>
          <w:tcPr>
            <w:tcW w:w="1518" w:type="dxa"/>
            <w:vMerge w:val="restart"/>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lang w:eastAsia="en-AU"/>
              </w:rPr>
            </w:pPr>
            <w:r w:rsidRPr="004156AE">
              <w:rPr>
                <w:lang w:eastAsia="en-AU"/>
              </w:rPr>
              <w:t>Females</w:t>
            </w: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Pr>
                <w:lang w:eastAsia="en-AU"/>
              </w:rPr>
              <w:t>11-</w:t>
            </w:r>
            <w:r w:rsidRPr="004156AE">
              <w:rPr>
                <w:lang w:eastAsia="en-AU"/>
              </w:rPr>
              <w:t>15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49.8</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28.9</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14.7</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6.6</w:t>
            </w:r>
          </w:p>
        </w:tc>
      </w:tr>
      <w:tr w:rsidR="00E30271" w:rsidRPr="004156AE" w:rsidTr="00E30271">
        <w:trPr>
          <w:cantSplit/>
          <w:jc w:val="center"/>
        </w:trPr>
        <w:tc>
          <w:tcPr>
            <w:tcW w:w="151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Pr>
                <w:lang w:eastAsia="en-AU"/>
              </w:rPr>
              <w:t>16-</w:t>
            </w:r>
            <w:r w:rsidRPr="004156AE">
              <w:rPr>
                <w:lang w:eastAsia="en-AU"/>
              </w:rPr>
              <w:t>17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34.8</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29.0</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20.3</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15.9</w:t>
            </w:r>
          </w:p>
        </w:tc>
      </w:tr>
      <w:tr w:rsidR="00E30271" w:rsidRPr="004156AE" w:rsidTr="00E30271">
        <w:trPr>
          <w:cantSplit/>
          <w:jc w:val="center"/>
        </w:trPr>
        <w:tc>
          <w:tcPr>
            <w:tcW w:w="1518"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4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45.1</w:t>
            </w:r>
          </w:p>
        </w:tc>
        <w:tc>
          <w:tcPr>
            <w:tcW w:w="1443"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29.0</w:t>
            </w:r>
          </w:p>
        </w:tc>
        <w:tc>
          <w:tcPr>
            <w:tcW w:w="14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16.4</w:t>
            </w:r>
          </w:p>
        </w:tc>
        <w:tc>
          <w:tcPr>
            <w:tcW w:w="1443"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9.5</w:t>
            </w:r>
          </w:p>
        </w:tc>
      </w:tr>
      <w:tr w:rsidR="00E30271" w:rsidRPr="004156AE" w:rsidTr="00E30271">
        <w:trPr>
          <w:cantSplit/>
          <w:jc w:val="center"/>
        </w:trPr>
        <w:tc>
          <w:tcPr>
            <w:tcW w:w="1518"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Persons</w:t>
            </w: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Pr>
                <w:lang w:eastAsia="en-AU"/>
              </w:rPr>
              <w:t>11-</w:t>
            </w:r>
            <w:r w:rsidRPr="004156AE">
              <w:rPr>
                <w:lang w:eastAsia="en-AU"/>
              </w:rPr>
              <w:t>15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53.9</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29.1</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12.2</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4.8</w:t>
            </w:r>
          </w:p>
        </w:tc>
      </w:tr>
      <w:tr w:rsidR="00E30271" w:rsidRPr="004156AE" w:rsidTr="00E30271">
        <w:trPr>
          <w:cantSplit/>
          <w:jc w:val="center"/>
        </w:trPr>
        <w:tc>
          <w:tcPr>
            <w:tcW w:w="1518" w:type="dxa"/>
            <w:vMerge/>
            <w:tcBorders>
              <w:top w:val="single" w:sz="6" w:space="0" w:color="000000"/>
              <w:bottom w:val="single" w:sz="6" w:space="0" w:color="000000"/>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4" w:space="0" w:color="FFFFFF"/>
              <w:right w:val="nil"/>
            </w:tcBorders>
            <w:shd w:val="clear" w:color="auto" w:fill="EFF3FF"/>
            <w:tcMar>
              <w:left w:w="40" w:type="dxa"/>
              <w:right w:w="40" w:type="dxa"/>
            </w:tcMar>
          </w:tcPr>
          <w:p w:rsidR="00E30271" w:rsidRPr="004156AE" w:rsidRDefault="00E30271" w:rsidP="00E30271">
            <w:pPr>
              <w:pStyle w:val="TableRowHeadings"/>
              <w:rPr>
                <w:lang w:eastAsia="en-AU"/>
              </w:rPr>
            </w:pPr>
            <w:r>
              <w:rPr>
                <w:lang w:eastAsia="en-AU"/>
              </w:rPr>
              <w:t>16-</w:t>
            </w:r>
            <w:r w:rsidRPr="004156AE">
              <w:rPr>
                <w:lang w:eastAsia="en-AU"/>
              </w:rPr>
              <w:t>17 years</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43.6</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29.2</w:t>
            </w:r>
          </w:p>
        </w:tc>
        <w:tc>
          <w:tcPr>
            <w:tcW w:w="1442"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16.2</w:t>
            </w:r>
          </w:p>
        </w:tc>
        <w:tc>
          <w:tcPr>
            <w:tcW w:w="1443" w:type="dxa"/>
            <w:tcBorders>
              <w:top w:val="nil"/>
              <w:left w:val="nil"/>
              <w:bottom w:val="nil"/>
              <w:right w:val="nil"/>
            </w:tcBorders>
            <w:shd w:val="clear" w:color="auto" w:fill="FFFFFF"/>
            <w:tcMar>
              <w:left w:w="40" w:type="dxa"/>
              <w:right w:w="40" w:type="dxa"/>
            </w:tcMar>
            <w:vAlign w:val="bottom"/>
          </w:tcPr>
          <w:p w:rsidR="00E30271" w:rsidRPr="004156AE" w:rsidRDefault="00E30271" w:rsidP="00E30271">
            <w:pPr>
              <w:pStyle w:val="TableDataCell"/>
              <w:rPr>
                <w:lang w:eastAsia="en-AU"/>
              </w:rPr>
            </w:pPr>
            <w:r w:rsidRPr="004156AE">
              <w:rPr>
                <w:lang w:eastAsia="en-AU"/>
              </w:rPr>
              <w:t>11.0</w:t>
            </w:r>
          </w:p>
        </w:tc>
      </w:tr>
      <w:tr w:rsidR="00E30271" w:rsidRPr="004156AE" w:rsidTr="00E30271">
        <w:trPr>
          <w:cantSplit/>
          <w:jc w:val="center"/>
        </w:trPr>
        <w:tc>
          <w:tcPr>
            <w:tcW w:w="1518" w:type="dxa"/>
            <w:vMerge/>
            <w:tcBorders>
              <w:top w:val="single" w:sz="6" w:space="0" w:color="000000"/>
              <w:bottom w:val="single" w:sz="6" w:space="0" w:color="000000"/>
              <w:right w:val="nil"/>
            </w:tcBorders>
            <w:shd w:val="clear" w:color="auto" w:fill="EFF3FF"/>
            <w:tcMar>
              <w:left w:w="40" w:type="dxa"/>
              <w:right w:w="40" w:type="dxa"/>
            </w:tcMar>
          </w:tcPr>
          <w:p w:rsidR="00E30271" w:rsidRPr="004156AE" w:rsidRDefault="00E30271" w:rsidP="00E30271">
            <w:pPr>
              <w:pStyle w:val="TableRowHeadings"/>
              <w:rPr>
                <w:rFonts w:ascii="Times New Roman" w:hAnsi="Times New Roman" w:cs="Times New Roman"/>
                <w:sz w:val="24"/>
                <w:szCs w:val="24"/>
                <w:lang w:eastAsia="en-AU"/>
              </w:rPr>
            </w:pPr>
          </w:p>
        </w:tc>
        <w:tc>
          <w:tcPr>
            <w:tcW w:w="1834" w:type="dxa"/>
            <w:tcBorders>
              <w:top w:val="nil"/>
              <w:left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144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50.9</w:t>
            </w:r>
          </w:p>
        </w:tc>
        <w:tc>
          <w:tcPr>
            <w:tcW w:w="1443"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29.1</w:t>
            </w:r>
          </w:p>
        </w:tc>
        <w:tc>
          <w:tcPr>
            <w:tcW w:w="144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13.3</w:t>
            </w:r>
          </w:p>
        </w:tc>
        <w:tc>
          <w:tcPr>
            <w:tcW w:w="1443"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6.6</w:t>
            </w:r>
          </w:p>
        </w:tc>
      </w:tr>
    </w:tbl>
    <w:p w:rsidR="00E30271" w:rsidRPr="008022A1" w:rsidRDefault="00E30271" w:rsidP="009E2950">
      <w:pPr>
        <w:pStyle w:val="BodyText"/>
        <w:spacing w:before="240"/>
      </w:pPr>
      <w:r w:rsidRPr="008022A1">
        <w:t xml:space="preserve">Four fifths of young people who were identified as having major depressive disorder from information that they provided alone also had very high and high levels of psychological distress (45.2% and 35.5% respectively). The proportion was slightly higher for young people with major depressive disorder identified from </w:t>
      </w:r>
      <w:proofErr w:type="gramStart"/>
      <w:r w:rsidRPr="008022A1">
        <w:t>both parent or</w:t>
      </w:r>
      <w:proofErr w:type="gramEnd"/>
      <w:r w:rsidRPr="008022A1">
        <w:t xml:space="preserve"> carer and adolescent reported information, with just over half (55.2%) being very highly distressed and another 36.0% highly distressed. The level of distress was not as strongly associated with major depressive disorder status based on parent or carer report only, with just over one third of young people (36.0%) who were identified as having the disorder based on information from their parents and carers only reporting that they had low levels of distress (Table 10-</w:t>
      </w:r>
      <w:r w:rsidRPr="008022A1">
        <w:rPr>
          <w:noProof/>
        </w:rPr>
        <w:t>6</w:t>
      </w:r>
      <w:r w:rsidRPr="008022A1">
        <w:t>).</w:t>
      </w:r>
    </w:p>
    <w:p w:rsidR="00E30271" w:rsidRDefault="00E30271" w:rsidP="00E30271">
      <w:pPr>
        <w:pStyle w:val="Caption"/>
        <w:keepNext/>
      </w:pPr>
      <w:bookmarkStart w:id="214" w:name="_Ref401317660"/>
      <w:r>
        <w:lastRenderedPageBreak/>
        <w:t>Table 10-</w:t>
      </w:r>
      <w:r>
        <w:rPr>
          <w:noProof/>
        </w:rPr>
        <w:t>6</w:t>
      </w:r>
      <w:bookmarkEnd w:id="214"/>
      <w:r>
        <w:t>: Kessler 10 level of psychological distress among 11-17 year-olds by major depressive disorder status</w:t>
      </w:r>
    </w:p>
    <w:tbl>
      <w:tblPr>
        <w:tblW w:w="9133" w:type="dxa"/>
        <w:jc w:val="center"/>
        <w:tblLayout w:type="fixed"/>
        <w:tblCellMar>
          <w:left w:w="0" w:type="dxa"/>
          <w:right w:w="0" w:type="dxa"/>
        </w:tblCellMar>
        <w:tblLook w:val="0020" w:firstRow="1" w:lastRow="0" w:firstColumn="0" w:lastColumn="0" w:noHBand="0" w:noVBand="0"/>
        <w:tblDescription w:val="In Table 10-6 the first column defines level of non-specific psychological distress. Read across the row for the proportion of young people with major depressive disorder based on both parent and youth report, then the proportion of young people with major depressive disorder based on youth report only, the proportion of young people with major depressive disorder based on parent report, and finally the proportion of young people without depression."/>
      </w:tblPr>
      <w:tblGrid>
        <w:gridCol w:w="3068"/>
        <w:gridCol w:w="1516"/>
        <w:gridCol w:w="1516"/>
        <w:gridCol w:w="1516"/>
        <w:gridCol w:w="1517"/>
      </w:tblGrid>
      <w:tr w:rsidR="00E30271" w:rsidRPr="00561B20" w:rsidTr="00E30271">
        <w:trPr>
          <w:cantSplit/>
          <w:tblHeader/>
          <w:jc w:val="center"/>
        </w:trPr>
        <w:tc>
          <w:tcPr>
            <w:tcW w:w="3068"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Level of psychological distress</w:t>
            </w:r>
          </w:p>
        </w:tc>
        <w:tc>
          <w:tcPr>
            <w:tcW w:w="15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Adolescent report only (%)</w:t>
            </w:r>
          </w:p>
        </w:tc>
        <w:tc>
          <w:tcPr>
            <w:tcW w:w="15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Parent/carer report only (%)</w:t>
            </w:r>
          </w:p>
        </w:tc>
        <w:tc>
          <w:tcPr>
            <w:tcW w:w="15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proofErr w:type="gramStart"/>
            <w:r w:rsidRPr="00FD5451">
              <w:rPr>
                <w:rStyle w:val="Strong"/>
              </w:rPr>
              <w:t>Both parent</w:t>
            </w:r>
            <w:proofErr w:type="gramEnd"/>
            <w:r w:rsidRPr="00FD5451">
              <w:rPr>
                <w:rStyle w:val="Strong"/>
              </w:rPr>
              <w:t>/ carer report and adolescent report (%)</w:t>
            </w:r>
          </w:p>
        </w:tc>
        <w:tc>
          <w:tcPr>
            <w:tcW w:w="151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No major depressive disorder (%)</w:t>
            </w:r>
          </w:p>
        </w:tc>
      </w:tr>
      <w:tr w:rsidR="00E30271" w:rsidRPr="00561B20" w:rsidTr="00E30271">
        <w:trPr>
          <w:cantSplit/>
          <w:jc w:val="center"/>
        </w:trPr>
        <w:tc>
          <w:tcPr>
            <w:tcW w:w="3068" w:type="dxa"/>
            <w:tcBorders>
              <w:top w:val="nil"/>
              <w:bottom w:val="single" w:sz="4" w:space="0" w:color="FFFFFF"/>
              <w:right w:val="nil"/>
            </w:tcBorders>
            <w:shd w:val="clear" w:color="auto" w:fill="EFF3FF"/>
            <w:tcMar>
              <w:left w:w="40" w:type="dxa"/>
              <w:right w:w="40" w:type="dxa"/>
            </w:tcMar>
          </w:tcPr>
          <w:p w:rsidR="00E30271" w:rsidRPr="00561B20" w:rsidRDefault="00E30271" w:rsidP="00E30271">
            <w:pPr>
              <w:pStyle w:val="TableRowHeadings"/>
              <w:rPr>
                <w:lang w:eastAsia="en-AU"/>
              </w:rPr>
            </w:pPr>
            <w:r w:rsidRPr="00561B20">
              <w:rPr>
                <w:lang w:eastAsia="en-AU"/>
              </w:rPr>
              <w:t>Low</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5.4</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36.0</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Pr>
                <w:lang w:eastAsia="en-AU"/>
              </w:rPr>
              <w:t>np</w:t>
            </w:r>
          </w:p>
        </w:tc>
        <w:tc>
          <w:tcPr>
            <w:tcW w:w="1517"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55.4</w:t>
            </w:r>
          </w:p>
        </w:tc>
      </w:tr>
      <w:tr w:rsidR="00E30271" w:rsidRPr="00561B20" w:rsidTr="00E30271">
        <w:trPr>
          <w:cantSplit/>
          <w:jc w:val="center"/>
        </w:trPr>
        <w:tc>
          <w:tcPr>
            <w:tcW w:w="3068" w:type="dxa"/>
            <w:tcBorders>
              <w:top w:val="nil"/>
              <w:bottom w:val="single" w:sz="4" w:space="0" w:color="FFFFFF"/>
              <w:right w:val="nil"/>
            </w:tcBorders>
            <w:shd w:val="clear" w:color="auto" w:fill="EFF3FF"/>
            <w:tcMar>
              <w:left w:w="40" w:type="dxa"/>
              <w:right w:w="40" w:type="dxa"/>
            </w:tcMar>
          </w:tcPr>
          <w:p w:rsidR="00E30271" w:rsidRPr="00561B20" w:rsidRDefault="00E30271" w:rsidP="00E30271">
            <w:pPr>
              <w:pStyle w:val="TableRowHeadings"/>
              <w:rPr>
                <w:lang w:eastAsia="en-AU"/>
              </w:rPr>
            </w:pPr>
            <w:r w:rsidRPr="00561B20">
              <w:rPr>
                <w:lang w:eastAsia="en-AU"/>
              </w:rPr>
              <w:t>Moderate</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13.9</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28.1</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Pr>
                <w:lang w:eastAsia="en-AU"/>
              </w:rPr>
              <w:t>np</w:t>
            </w:r>
          </w:p>
        </w:tc>
        <w:tc>
          <w:tcPr>
            <w:tcW w:w="1517"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30.6</w:t>
            </w:r>
          </w:p>
        </w:tc>
      </w:tr>
      <w:tr w:rsidR="00E30271" w:rsidRPr="00561B20" w:rsidTr="00E30271">
        <w:trPr>
          <w:cantSplit/>
          <w:jc w:val="center"/>
        </w:trPr>
        <w:tc>
          <w:tcPr>
            <w:tcW w:w="3068" w:type="dxa"/>
            <w:tcBorders>
              <w:top w:val="nil"/>
              <w:bottom w:val="single" w:sz="4" w:space="0" w:color="FFFFFF"/>
              <w:right w:val="nil"/>
            </w:tcBorders>
            <w:shd w:val="clear" w:color="auto" w:fill="EFF3FF"/>
            <w:tcMar>
              <w:left w:w="40" w:type="dxa"/>
              <w:right w:w="40" w:type="dxa"/>
            </w:tcMar>
          </w:tcPr>
          <w:p w:rsidR="00E30271" w:rsidRPr="00561B20" w:rsidRDefault="00E30271" w:rsidP="00E30271">
            <w:pPr>
              <w:pStyle w:val="TableRowHeadings"/>
              <w:rPr>
                <w:lang w:eastAsia="en-AU"/>
              </w:rPr>
            </w:pPr>
            <w:r w:rsidRPr="00561B20">
              <w:rPr>
                <w:lang w:eastAsia="en-AU"/>
              </w:rPr>
              <w:t>High</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35.5</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24.1</w:t>
            </w:r>
          </w:p>
        </w:tc>
        <w:tc>
          <w:tcPr>
            <w:tcW w:w="1516"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36.0</w:t>
            </w:r>
          </w:p>
        </w:tc>
        <w:tc>
          <w:tcPr>
            <w:tcW w:w="1517" w:type="dxa"/>
            <w:tcBorders>
              <w:top w:val="nil"/>
              <w:left w:val="nil"/>
              <w:bottom w:val="nil"/>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11.1</w:t>
            </w:r>
          </w:p>
        </w:tc>
      </w:tr>
      <w:tr w:rsidR="00E30271" w:rsidRPr="00561B20" w:rsidTr="00E30271">
        <w:trPr>
          <w:cantSplit/>
          <w:jc w:val="center"/>
        </w:trPr>
        <w:tc>
          <w:tcPr>
            <w:tcW w:w="3068" w:type="dxa"/>
            <w:tcBorders>
              <w:top w:val="nil"/>
              <w:bottom w:val="single" w:sz="6" w:space="0" w:color="000000"/>
              <w:right w:val="nil"/>
            </w:tcBorders>
            <w:shd w:val="clear" w:color="auto" w:fill="EFF3FF"/>
            <w:tcMar>
              <w:left w:w="40" w:type="dxa"/>
              <w:right w:w="40" w:type="dxa"/>
            </w:tcMar>
          </w:tcPr>
          <w:p w:rsidR="00E30271" w:rsidRPr="00561B20" w:rsidRDefault="00E30271" w:rsidP="00E30271">
            <w:pPr>
              <w:pStyle w:val="TableRowHeadings"/>
              <w:rPr>
                <w:lang w:eastAsia="en-AU"/>
              </w:rPr>
            </w:pPr>
            <w:r w:rsidRPr="00561B20">
              <w:rPr>
                <w:lang w:eastAsia="en-AU"/>
              </w:rPr>
              <w:t>Very high</w:t>
            </w:r>
          </w:p>
        </w:tc>
        <w:tc>
          <w:tcPr>
            <w:tcW w:w="1516" w:type="dxa"/>
            <w:tcBorders>
              <w:top w:val="nil"/>
              <w:left w:val="nil"/>
              <w:bottom w:val="single" w:sz="6" w:space="0" w:color="000000"/>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45.2</w:t>
            </w:r>
          </w:p>
        </w:tc>
        <w:tc>
          <w:tcPr>
            <w:tcW w:w="1516" w:type="dxa"/>
            <w:tcBorders>
              <w:top w:val="nil"/>
              <w:left w:val="nil"/>
              <w:bottom w:val="single" w:sz="6" w:space="0" w:color="000000"/>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11.9</w:t>
            </w:r>
          </w:p>
        </w:tc>
        <w:tc>
          <w:tcPr>
            <w:tcW w:w="1516" w:type="dxa"/>
            <w:tcBorders>
              <w:top w:val="nil"/>
              <w:left w:val="nil"/>
              <w:bottom w:val="single" w:sz="6" w:space="0" w:color="000000"/>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55.2</w:t>
            </w:r>
          </w:p>
        </w:tc>
        <w:tc>
          <w:tcPr>
            <w:tcW w:w="1517" w:type="dxa"/>
            <w:tcBorders>
              <w:top w:val="nil"/>
              <w:left w:val="nil"/>
              <w:bottom w:val="single" w:sz="6" w:space="0" w:color="000000"/>
              <w:right w:val="nil"/>
            </w:tcBorders>
            <w:shd w:val="clear" w:color="auto" w:fill="FFFFFF"/>
            <w:tcMar>
              <w:left w:w="40" w:type="dxa"/>
              <w:right w:w="40" w:type="dxa"/>
            </w:tcMar>
            <w:vAlign w:val="bottom"/>
          </w:tcPr>
          <w:p w:rsidR="00E30271" w:rsidRPr="00561B20" w:rsidRDefault="00E30271" w:rsidP="00E30271">
            <w:pPr>
              <w:pStyle w:val="TableDataCell"/>
              <w:rPr>
                <w:lang w:eastAsia="en-AU"/>
              </w:rPr>
            </w:pPr>
            <w:r w:rsidRPr="00561B20">
              <w:rPr>
                <w:lang w:eastAsia="en-AU"/>
              </w:rPr>
              <w:t>3.0</w:t>
            </w:r>
          </w:p>
        </w:tc>
      </w:tr>
    </w:tbl>
    <w:p w:rsidR="00E30271" w:rsidRPr="00EE46F4" w:rsidRDefault="00E30271" w:rsidP="00E30271">
      <w:pPr>
        <w:pStyle w:val="TableFootnote"/>
      </w:pPr>
      <w:proofErr w:type="gramStart"/>
      <w:r w:rsidRPr="00EE46F4">
        <w:t>np</w:t>
      </w:r>
      <w:proofErr w:type="gramEnd"/>
      <w:r w:rsidRPr="00EE46F4">
        <w:t xml:space="preserve"> </w:t>
      </w:r>
      <w:r w:rsidRPr="00EE46F4">
        <w:tab/>
        <w:t>Not available for publication because of small cell size, but included in totals where applicable.</w:t>
      </w:r>
    </w:p>
    <w:p w:rsidR="00E30271" w:rsidRDefault="00E30271" w:rsidP="00E30271">
      <w:pPr>
        <w:pStyle w:val="Heading2"/>
        <w:rPr>
          <w:rFonts w:eastAsiaTheme="minorEastAsia"/>
          <w:lang w:eastAsia="en-AU"/>
        </w:rPr>
      </w:pPr>
      <w:bookmarkStart w:id="215" w:name="_Toc401758822"/>
      <w:r>
        <w:rPr>
          <w:rFonts w:eastAsiaTheme="minorEastAsia"/>
          <w:lang w:eastAsia="en-AU"/>
        </w:rPr>
        <w:t>10.5</w:t>
      </w:r>
      <w:r>
        <w:rPr>
          <w:rFonts w:eastAsiaTheme="minorEastAsia"/>
          <w:lang w:eastAsia="en-AU"/>
        </w:rPr>
        <w:tab/>
        <w:t>Strengths and difficulties questionnaire</w:t>
      </w:r>
      <w:bookmarkEnd w:id="215"/>
    </w:p>
    <w:p w:rsidR="00E30271" w:rsidRDefault="00E30271" w:rsidP="00E30271">
      <w:pPr>
        <w:pStyle w:val="BodyText"/>
        <w:rPr>
          <w:lang w:eastAsia="en-AU"/>
        </w:rPr>
      </w:pPr>
      <w:r>
        <w:rPr>
          <w:lang w:eastAsia="en-AU"/>
        </w:rPr>
        <w:t xml:space="preserve">The Strengths and Difficulties Questionnaire (SDQ) is a brief behavioural screening questionnaire comprising five subscales of five items each. Items in four of these subscales, that </w:t>
      </w:r>
      <w:proofErr w:type="gramStart"/>
      <w:r>
        <w:rPr>
          <w:lang w:eastAsia="en-AU"/>
        </w:rPr>
        <w:t>is</w:t>
      </w:r>
      <w:proofErr w:type="gramEnd"/>
      <w:r>
        <w:rPr>
          <w:lang w:eastAsia="en-AU"/>
        </w:rPr>
        <w:t xml:space="preserve"> emotional problems, conduct problems, hyperactivity and peer problems, are combined to generate a total difficulties score. Scores in the ‘abnormal’ range indicate substantial risk of clinically significant problems. The SDQ was designed so that approximately 10% of children and adolescents will fall into the ‘abnormal’ range on the total difficulties score.</w:t>
      </w:r>
    </w:p>
    <w:p w:rsidR="00E30271" w:rsidRPr="00A0030F" w:rsidRDefault="00E30271" w:rsidP="00E30271">
      <w:pPr>
        <w:pStyle w:val="BodyText"/>
        <w:rPr>
          <w:lang w:eastAsia="en-AU"/>
        </w:rPr>
      </w:pPr>
      <w:r>
        <w:rPr>
          <w:lang w:eastAsia="en-AU"/>
        </w:rPr>
        <w:t>One tenth (10.2%) of young people aged 11-17 years scored in the abnormal range on the SDQ total difficulties scale. The proportion was higher in females than males (12.1% compared with 8.3%), and higher in older adolescents than younger adolescents (12.4% in 16-17 year-olds compared with 9.2% in 11-15 year-olds) (</w:t>
      </w:r>
      <w:r>
        <w:t>Table 10-</w:t>
      </w:r>
      <w:r>
        <w:rPr>
          <w:noProof/>
        </w:rPr>
        <w:t>7</w:t>
      </w:r>
      <w:r>
        <w:rPr>
          <w:lang w:eastAsia="en-AU"/>
        </w:rPr>
        <w:t>).</w:t>
      </w:r>
    </w:p>
    <w:p w:rsidR="00E30271" w:rsidRDefault="00E30271" w:rsidP="00E30271">
      <w:pPr>
        <w:pStyle w:val="Caption"/>
        <w:keepNext/>
      </w:pPr>
      <w:bookmarkStart w:id="216" w:name="_Ref401320804"/>
      <w:r>
        <w:t>Table 10-</w:t>
      </w:r>
      <w:r>
        <w:rPr>
          <w:noProof/>
        </w:rPr>
        <w:t>7</w:t>
      </w:r>
      <w:bookmarkEnd w:id="216"/>
      <w:r>
        <w:t>: SDQ total difficulties score among 11-17 year-olds by sex and age group</w:t>
      </w:r>
    </w:p>
    <w:tbl>
      <w:tblPr>
        <w:tblW w:w="9126" w:type="dxa"/>
        <w:jc w:val="center"/>
        <w:tblLayout w:type="fixed"/>
        <w:tblCellMar>
          <w:left w:w="0" w:type="dxa"/>
          <w:right w:w="0" w:type="dxa"/>
        </w:tblCellMar>
        <w:tblLook w:val="0020" w:firstRow="1" w:lastRow="0" w:firstColumn="0" w:lastColumn="0" w:noHBand="0" w:noVBand="0"/>
        <w:tblDescription w:val="In Table 10-7 the first column defines sex, and the second column defines age group. Read across the rows for the proportion of young people with normal, borderline and Abnormal SDQ scores."/>
      </w:tblPr>
      <w:tblGrid>
        <w:gridCol w:w="1610"/>
        <w:gridCol w:w="2268"/>
        <w:gridCol w:w="1749"/>
        <w:gridCol w:w="1749"/>
        <w:gridCol w:w="1750"/>
      </w:tblGrid>
      <w:tr w:rsidR="00E30271" w:rsidRPr="00A0030F" w:rsidTr="00E30271">
        <w:trPr>
          <w:cantSplit/>
          <w:tblHeader/>
          <w:jc w:val="center"/>
        </w:trPr>
        <w:tc>
          <w:tcPr>
            <w:tcW w:w="161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Sex</w:t>
            </w:r>
          </w:p>
        </w:tc>
        <w:tc>
          <w:tcPr>
            <w:tcW w:w="2268" w:type="dxa"/>
            <w:tcBorders>
              <w:top w:val="single" w:sz="6" w:space="0" w:color="000000"/>
              <w:left w:val="single" w:sz="4" w:space="0" w:color="FFFFFF"/>
              <w:bottom w:val="single" w:sz="4" w:space="0" w:color="000000"/>
              <w:right w:val="nil"/>
            </w:tcBorders>
            <w:shd w:val="clear" w:color="auto" w:fill="EFF3FF"/>
            <w:vAlign w:val="bottom"/>
          </w:tcPr>
          <w:p w:rsidR="00E30271" w:rsidRPr="00FD5451" w:rsidRDefault="00E30271" w:rsidP="00E30271">
            <w:pPr>
              <w:pStyle w:val="TableColumnHeadings"/>
              <w:jc w:val="left"/>
              <w:rPr>
                <w:rStyle w:val="Strong"/>
              </w:rPr>
            </w:pPr>
            <w:r w:rsidRPr="00FD5451">
              <w:rPr>
                <w:rStyle w:val="Strong"/>
              </w:rPr>
              <w:t>Age group</w:t>
            </w:r>
          </w:p>
        </w:tc>
        <w:tc>
          <w:tcPr>
            <w:tcW w:w="174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Normal (%)</w:t>
            </w:r>
          </w:p>
        </w:tc>
        <w:tc>
          <w:tcPr>
            <w:tcW w:w="174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Borderline (%)</w:t>
            </w:r>
          </w:p>
        </w:tc>
        <w:tc>
          <w:tcPr>
            <w:tcW w:w="175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Abnormal (%)</w:t>
            </w:r>
          </w:p>
        </w:tc>
      </w:tr>
      <w:tr w:rsidR="00E30271" w:rsidRPr="00A0030F" w:rsidTr="00E30271">
        <w:trPr>
          <w:cantSplit/>
          <w:jc w:val="center"/>
        </w:trPr>
        <w:tc>
          <w:tcPr>
            <w:tcW w:w="1610" w:type="dxa"/>
            <w:vMerge w:val="restart"/>
            <w:tcBorders>
              <w:top w:val="single" w:sz="4" w:space="0" w:color="000000"/>
              <w:bottom w:val="single" w:sz="4" w:space="0" w:color="FFFFFF" w:themeColor="background1"/>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Males</w:t>
            </w: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77.7</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13.6</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8.7</w:t>
            </w:r>
          </w:p>
        </w:tc>
      </w:tr>
      <w:tr w:rsidR="00E30271" w:rsidRPr="00A0030F" w:rsidTr="00E30271">
        <w:trPr>
          <w:cantSplit/>
          <w:jc w:val="center"/>
        </w:trPr>
        <w:tc>
          <w:tcPr>
            <w:tcW w:w="1610"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80.5</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12.2</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7.3</w:t>
            </w:r>
          </w:p>
        </w:tc>
      </w:tr>
      <w:tr w:rsidR="00E30271" w:rsidRPr="00A0030F" w:rsidTr="00E30271">
        <w:trPr>
          <w:cantSplit/>
          <w:jc w:val="center"/>
        </w:trPr>
        <w:tc>
          <w:tcPr>
            <w:tcW w:w="1610"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74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78.5</w:t>
            </w:r>
          </w:p>
        </w:tc>
        <w:tc>
          <w:tcPr>
            <w:tcW w:w="174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13.2</w:t>
            </w:r>
          </w:p>
        </w:tc>
        <w:tc>
          <w:tcPr>
            <w:tcW w:w="1750"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8.3</w:t>
            </w:r>
          </w:p>
        </w:tc>
      </w:tr>
      <w:tr w:rsidR="00E30271" w:rsidRPr="00A0030F" w:rsidTr="00E30271">
        <w:trPr>
          <w:cantSplit/>
          <w:jc w:val="center"/>
        </w:trPr>
        <w:tc>
          <w:tcPr>
            <w:tcW w:w="1610"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Females</w:t>
            </w: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76.0</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14.2</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9.8</w:t>
            </w:r>
          </w:p>
        </w:tc>
      </w:tr>
      <w:tr w:rsidR="00E30271" w:rsidRPr="00A0030F" w:rsidTr="00E30271">
        <w:trPr>
          <w:cantSplit/>
          <w:jc w:val="center"/>
        </w:trPr>
        <w:tc>
          <w:tcPr>
            <w:tcW w:w="1610"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69.6</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13.1</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17.3</w:t>
            </w:r>
          </w:p>
        </w:tc>
      </w:tr>
      <w:tr w:rsidR="00E30271" w:rsidRPr="00A0030F" w:rsidTr="00E30271">
        <w:trPr>
          <w:cantSplit/>
          <w:jc w:val="center"/>
        </w:trPr>
        <w:tc>
          <w:tcPr>
            <w:tcW w:w="1610" w:type="dxa"/>
            <w:vMerge/>
            <w:tcBorders>
              <w:top w:val="single" w:sz="6" w:space="0" w:color="000000"/>
              <w:bottom w:val="single" w:sz="4" w:space="0" w:color="FFFFFF" w:themeColor="background1"/>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74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74.0</w:t>
            </w:r>
          </w:p>
        </w:tc>
        <w:tc>
          <w:tcPr>
            <w:tcW w:w="1749"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13.9</w:t>
            </w:r>
          </w:p>
        </w:tc>
        <w:tc>
          <w:tcPr>
            <w:tcW w:w="1750"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12.1</w:t>
            </w:r>
          </w:p>
        </w:tc>
      </w:tr>
      <w:tr w:rsidR="00E30271" w:rsidRPr="00A0030F" w:rsidTr="00E30271">
        <w:trPr>
          <w:cantSplit/>
          <w:jc w:val="center"/>
        </w:trPr>
        <w:tc>
          <w:tcPr>
            <w:tcW w:w="1610" w:type="dxa"/>
            <w:vMerge w:val="restart"/>
            <w:tcBorders>
              <w:top w:val="single" w:sz="4" w:space="0" w:color="FFFFFF" w:themeColor="background1"/>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Persons</w:t>
            </w: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11</w:t>
            </w:r>
            <w:r>
              <w:rPr>
                <w:lang w:eastAsia="en-AU"/>
              </w:rPr>
              <w:t>-</w:t>
            </w:r>
            <w:r w:rsidRPr="00A0030F">
              <w:rPr>
                <w:lang w:eastAsia="en-AU"/>
              </w:rPr>
              <w:t>15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76.9</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13.9</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9.2</w:t>
            </w:r>
          </w:p>
        </w:tc>
      </w:tr>
      <w:tr w:rsidR="00E30271" w:rsidRPr="00A0030F" w:rsidTr="00E30271">
        <w:trPr>
          <w:cantSplit/>
          <w:jc w:val="center"/>
        </w:trPr>
        <w:tc>
          <w:tcPr>
            <w:tcW w:w="1610"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74.9</w:t>
            </w:r>
          </w:p>
        </w:tc>
        <w:tc>
          <w:tcPr>
            <w:tcW w:w="1749"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12.6</w:t>
            </w:r>
          </w:p>
        </w:tc>
        <w:tc>
          <w:tcPr>
            <w:tcW w:w="1750"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12.4</w:t>
            </w:r>
          </w:p>
        </w:tc>
      </w:tr>
      <w:tr w:rsidR="00E30271" w:rsidRPr="00A0030F" w:rsidTr="00E30271">
        <w:trPr>
          <w:cantSplit/>
          <w:jc w:val="center"/>
        </w:trPr>
        <w:tc>
          <w:tcPr>
            <w:tcW w:w="1610"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68" w:type="dxa"/>
            <w:tcBorders>
              <w:top w:val="nil"/>
              <w:left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1749"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76.3</w:t>
            </w:r>
          </w:p>
        </w:tc>
        <w:tc>
          <w:tcPr>
            <w:tcW w:w="1749"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13.5</w:t>
            </w:r>
          </w:p>
        </w:tc>
        <w:tc>
          <w:tcPr>
            <w:tcW w:w="1750"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10.2</w:t>
            </w:r>
          </w:p>
        </w:tc>
      </w:tr>
    </w:tbl>
    <w:p w:rsidR="00E30271" w:rsidRDefault="00E30271" w:rsidP="009E2950">
      <w:pPr>
        <w:pStyle w:val="BodyText"/>
        <w:spacing w:before="240"/>
        <w:rPr>
          <w:lang w:eastAsia="en-AU"/>
        </w:rPr>
      </w:pPr>
      <w:r>
        <w:rPr>
          <w:lang w:eastAsia="en-AU"/>
        </w:rPr>
        <w:t>The proportion of young people with abnormal scores was highest on the hyperactivity scale followed by the emotional problems scale (13.8% and 10.9% respectively). Emotional problems were more prevalent in females than males (16.3% compared with 5.8%), while conduct problems were more common in males than females (10.0% compared with 7.5%). Emotional problems were more common in older adolescents compared with younger adolescents (16.0% in 16-17 year-olds compared with 8.8% in 11-15 year-olds) (</w:t>
      </w:r>
      <w:r>
        <w:t>Table 10-</w:t>
      </w:r>
      <w:r>
        <w:rPr>
          <w:noProof/>
        </w:rPr>
        <w:t>8</w:t>
      </w:r>
      <w:r>
        <w:rPr>
          <w:lang w:eastAsia="en-AU"/>
        </w:rPr>
        <w:t xml:space="preserve">). </w:t>
      </w:r>
    </w:p>
    <w:p w:rsidR="00E30271" w:rsidRDefault="00E30271" w:rsidP="00E30271">
      <w:pPr>
        <w:pStyle w:val="Caption"/>
        <w:keepNext/>
      </w:pPr>
      <w:bookmarkStart w:id="217" w:name="_Ref401320990"/>
      <w:r>
        <w:lastRenderedPageBreak/>
        <w:t>Table 10-</w:t>
      </w:r>
      <w:r>
        <w:rPr>
          <w:noProof/>
        </w:rPr>
        <w:t>8</w:t>
      </w:r>
      <w:bookmarkEnd w:id="217"/>
      <w:r>
        <w:t>: SDQ subscale scores in the abnormal range among 11-17 year-olds by sex and age group</w:t>
      </w:r>
    </w:p>
    <w:tbl>
      <w:tblPr>
        <w:tblW w:w="9141" w:type="dxa"/>
        <w:jc w:val="center"/>
        <w:tblLayout w:type="fixed"/>
        <w:tblCellMar>
          <w:left w:w="0" w:type="dxa"/>
          <w:right w:w="0" w:type="dxa"/>
        </w:tblCellMar>
        <w:tblLook w:val="0020" w:firstRow="1" w:lastRow="0" w:firstColumn="0" w:lastColumn="0" w:noHBand="0" w:noVBand="0"/>
        <w:tblDescription w:val="In Table 10-8 the first column defines sex, and the second column defines age group. Read across the rows for the proportion of young people in the abnormal range on the emotional problems subscale, the conduct problems subscale, the hyperactivity subscale, and finall the peer problems subscale."/>
      </w:tblPr>
      <w:tblGrid>
        <w:gridCol w:w="1612"/>
        <w:gridCol w:w="2282"/>
        <w:gridCol w:w="1311"/>
        <w:gridCol w:w="1312"/>
        <w:gridCol w:w="1312"/>
        <w:gridCol w:w="1312"/>
      </w:tblGrid>
      <w:tr w:rsidR="00E30271" w:rsidRPr="00A0030F" w:rsidTr="00E30271">
        <w:trPr>
          <w:cantSplit/>
          <w:tblHeader/>
          <w:jc w:val="center"/>
        </w:trPr>
        <w:tc>
          <w:tcPr>
            <w:tcW w:w="1612"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r w:rsidRPr="00FD5451">
              <w:rPr>
                <w:rStyle w:val="Strong"/>
              </w:rPr>
              <w:t>Sex</w:t>
            </w:r>
          </w:p>
        </w:tc>
        <w:tc>
          <w:tcPr>
            <w:tcW w:w="2282" w:type="dxa"/>
            <w:tcBorders>
              <w:top w:val="single" w:sz="6" w:space="0" w:color="000000"/>
              <w:left w:val="single" w:sz="4" w:space="0" w:color="FFFFFF"/>
              <w:bottom w:val="single" w:sz="4" w:space="0" w:color="000000"/>
              <w:right w:val="nil"/>
            </w:tcBorders>
            <w:shd w:val="clear" w:color="auto" w:fill="EFF3FF"/>
            <w:vAlign w:val="bottom"/>
          </w:tcPr>
          <w:p w:rsidR="00E30271" w:rsidRPr="00FD5451" w:rsidRDefault="00E30271" w:rsidP="00E30271">
            <w:pPr>
              <w:pStyle w:val="TableColumnHeadings"/>
              <w:jc w:val="left"/>
              <w:rPr>
                <w:rStyle w:val="Strong"/>
              </w:rPr>
            </w:pPr>
            <w:r w:rsidRPr="00FD5451">
              <w:rPr>
                <w:rStyle w:val="Strong"/>
              </w:rPr>
              <w:t>Age group</w:t>
            </w:r>
          </w:p>
        </w:tc>
        <w:tc>
          <w:tcPr>
            <w:tcW w:w="131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Emotional problems</w:t>
            </w:r>
          </w:p>
          <w:p w:rsidR="00E30271" w:rsidRPr="00FD5451" w:rsidRDefault="00E30271" w:rsidP="00E30271">
            <w:pPr>
              <w:pStyle w:val="TableColumnHeadings"/>
              <w:rPr>
                <w:rStyle w:val="Strong"/>
              </w:rPr>
            </w:pPr>
            <w:r w:rsidRPr="00FD5451">
              <w:rPr>
                <w:rStyle w:val="Strong"/>
              </w:rPr>
              <w:t>(%)</w:t>
            </w:r>
          </w:p>
        </w:tc>
        <w:tc>
          <w:tcPr>
            <w:tcW w:w="131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Conduct problems</w:t>
            </w:r>
          </w:p>
          <w:p w:rsidR="00E30271" w:rsidRPr="00FD5451" w:rsidRDefault="00E30271" w:rsidP="00E30271">
            <w:pPr>
              <w:pStyle w:val="TableColumnHeadings"/>
              <w:rPr>
                <w:rStyle w:val="Strong"/>
              </w:rPr>
            </w:pPr>
            <w:r w:rsidRPr="00FD5451">
              <w:rPr>
                <w:rStyle w:val="Strong"/>
              </w:rPr>
              <w:t>(%)</w:t>
            </w:r>
          </w:p>
        </w:tc>
        <w:tc>
          <w:tcPr>
            <w:tcW w:w="131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Hyperactivity</w:t>
            </w:r>
          </w:p>
          <w:p w:rsidR="00E30271" w:rsidRPr="00FD5451" w:rsidRDefault="00E30271" w:rsidP="00E30271">
            <w:pPr>
              <w:pStyle w:val="TableColumnHeadings"/>
              <w:rPr>
                <w:rStyle w:val="Strong"/>
              </w:rPr>
            </w:pPr>
            <w:r w:rsidRPr="00FD5451">
              <w:rPr>
                <w:rStyle w:val="Strong"/>
              </w:rPr>
              <w:t>(%)</w:t>
            </w:r>
          </w:p>
        </w:tc>
        <w:tc>
          <w:tcPr>
            <w:tcW w:w="13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Peer problems</w:t>
            </w:r>
          </w:p>
          <w:p w:rsidR="00E30271" w:rsidRPr="00FD5451" w:rsidRDefault="00E30271" w:rsidP="00E30271">
            <w:pPr>
              <w:pStyle w:val="TableColumnHeadings"/>
              <w:rPr>
                <w:rStyle w:val="Strong"/>
              </w:rPr>
            </w:pPr>
            <w:r w:rsidRPr="00FD5451">
              <w:rPr>
                <w:rStyle w:val="Strong"/>
              </w:rPr>
              <w:t>(%)</w:t>
            </w:r>
          </w:p>
        </w:tc>
      </w:tr>
      <w:tr w:rsidR="00E30271" w:rsidRPr="00A0030F" w:rsidTr="00E30271">
        <w:trPr>
          <w:cantSplit/>
          <w:jc w:val="center"/>
        </w:trPr>
        <w:tc>
          <w:tcPr>
            <w:tcW w:w="1612" w:type="dxa"/>
            <w:vMerge w:val="restart"/>
            <w:tcBorders>
              <w:top w:val="single" w:sz="4" w:space="0" w:color="000000"/>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Males</w:t>
            </w: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5.4</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10.9</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14.5</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3.7</w:t>
            </w:r>
          </w:p>
        </w:tc>
      </w:tr>
      <w:tr w:rsidR="00E30271" w:rsidRPr="00A0030F" w:rsidTr="00E30271">
        <w:trPr>
          <w:cantSplit/>
          <w:jc w:val="center"/>
        </w:trPr>
        <w:tc>
          <w:tcPr>
            <w:tcW w:w="1612"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7.0</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7.8</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15.4</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3.9</w:t>
            </w:r>
          </w:p>
        </w:tc>
      </w:tr>
      <w:tr w:rsidR="00E30271" w:rsidRPr="00A0030F" w:rsidTr="00E30271">
        <w:trPr>
          <w:cantSplit/>
          <w:jc w:val="center"/>
        </w:trPr>
        <w:tc>
          <w:tcPr>
            <w:tcW w:w="1612"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311"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5.8</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10.0</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14.7</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3.8</w:t>
            </w:r>
          </w:p>
        </w:tc>
      </w:tr>
      <w:tr w:rsidR="00E30271" w:rsidRPr="00A0030F" w:rsidTr="00E30271">
        <w:trPr>
          <w:cantSplit/>
          <w:jc w:val="center"/>
        </w:trPr>
        <w:tc>
          <w:tcPr>
            <w:tcW w:w="1612" w:type="dxa"/>
            <w:vMerge w:val="restart"/>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Females</w:t>
            </w: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12.6</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7.5</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11.4</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5.0</w:t>
            </w:r>
          </w:p>
        </w:tc>
      </w:tr>
      <w:tr w:rsidR="00E30271" w:rsidRPr="00A0030F" w:rsidTr="00E30271">
        <w:trPr>
          <w:cantSplit/>
          <w:jc w:val="center"/>
        </w:trPr>
        <w:tc>
          <w:tcPr>
            <w:tcW w:w="1612"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24.5</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7.4</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16.2</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7.8</w:t>
            </w:r>
          </w:p>
        </w:tc>
      </w:tr>
      <w:tr w:rsidR="00E30271" w:rsidRPr="00A0030F" w:rsidTr="00E30271">
        <w:trPr>
          <w:cantSplit/>
          <w:jc w:val="center"/>
        </w:trPr>
        <w:tc>
          <w:tcPr>
            <w:tcW w:w="1612"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311"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16.3</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7.5</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12.9</w:t>
            </w:r>
          </w:p>
        </w:tc>
        <w:tc>
          <w:tcPr>
            <w:tcW w:w="131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5.9</w:t>
            </w:r>
          </w:p>
        </w:tc>
      </w:tr>
      <w:tr w:rsidR="00E30271" w:rsidRPr="00A0030F" w:rsidTr="00E30271">
        <w:trPr>
          <w:cantSplit/>
          <w:jc w:val="center"/>
        </w:trPr>
        <w:tc>
          <w:tcPr>
            <w:tcW w:w="1612" w:type="dxa"/>
            <w:vMerge w:val="restart"/>
            <w:tcBorders>
              <w:top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Persons</w:t>
            </w: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8.8</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9.3</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13.0</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4.3</w:t>
            </w:r>
          </w:p>
        </w:tc>
      </w:tr>
      <w:tr w:rsidR="00E30271" w:rsidRPr="00A0030F" w:rsidTr="00E30271">
        <w:trPr>
          <w:cantSplit/>
          <w:jc w:val="center"/>
        </w:trPr>
        <w:tc>
          <w:tcPr>
            <w:tcW w:w="1612"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311"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16.0</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7.6</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15.8</w:t>
            </w:r>
          </w:p>
        </w:tc>
        <w:tc>
          <w:tcPr>
            <w:tcW w:w="131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5.9</w:t>
            </w:r>
          </w:p>
        </w:tc>
      </w:tr>
      <w:tr w:rsidR="00E30271" w:rsidRPr="00A0030F" w:rsidTr="00E30271">
        <w:trPr>
          <w:cantSplit/>
          <w:jc w:val="center"/>
        </w:trPr>
        <w:tc>
          <w:tcPr>
            <w:tcW w:w="1612"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82" w:type="dxa"/>
            <w:tcBorders>
              <w:top w:val="nil"/>
              <w:left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1311"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10.9</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8.8</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13.8</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4.8</w:t>
            </w:r>
          </w:p>
        </w:tc>
      </w:tr>
    </w:tbl>
    <w:p w:rsidR="00E30271" w:rsidRPr="00A0030F" w:rsidRDefault="00E30271" w:rsidP="009E2950">
      <w:pPr>
        <w:pStyle w:val="BodyText"/>
        <w:spacing w:before="240"/>
        <w:rPr>
          <w:lang w:eastAsia="en-AU"/>
        </w:rPr>
      </w:pPr>
      <w:r>
        <w:rPr>
          <w:lang w:eastAsia="en-AU"/>
        </w:rPr>
        <w:t>The SDQ also includes an impact scale that measures interference in life due to emotional and behavioural problems in the domains of home life, friendships, classroom learning and leisure activities. Overall 19.2% of young people aged 11-17 years were in the abnormal range on the SDQ impact scale. More females than males were in the abnormal range on the SDQ impact scale (22.3% compared with 16.3%) and more older adolescents were in the abnormal range than younger adolescents (24.4% in 16-17 year-olds compared with 17.1% in 11-15 year-olds).</w:t>
      </w:r>
    </w:p>
    <w:p w:rsidR="00E30271" w:rsidRDefault="00E30271" w:rsidP="00E30271">
      <w:pPr>
        <w:pStyle w:val="Caption"/>
        <w:keepNext/>
      </w:pPr>
      <w:r>
        <w:t>Table 10-</w:t>
      </w:r>
      <w:r>
        <w:rPr>
          <w:noProof/>
        </w:rPr>
        <w:t>9</w:t>
      </w:r>
      <w:r>
        <w:t>: Proportion of 11-17 year-olds with each level of SDQ impact scale by sex and age group</w:t>
      </w:r>
    </w:p>
    <w:tbl>
      <w:tblPr>
        <w:tblW w:w="9126" w:type="dxa"/>
        <w:jc w:val="center"/>
        <w:tblLayout w:type="fixed"/>
        <w:tblCellMar>
          <w:left w:w="0" w:type="dxa"/>
          <w:right w:w="0" w:type="dxa"/>
        </w:tblCellMar>
        <w:tblLook w:val="0020" w:firstRow="1" w:lastRow="0" w:firstColumn="0" w:lastColumn="0" w:noHBand="0" w:noVBand="0"/>
        <w:tblDescription w:val="In Table 10-9 the first column defines sex, and the second column defines age group. Read across the rows for the proportion of young people with normal, borderline and Abnormal SDQ impact scale scores."/>
      </w:tblPr>
      <w:tblGrid>
        <w:gridCol w:w="1604"/>
        <w:gridCol w:w="2296"/>
        <w:gridCol w:w="1742"/>
        <w:gridCol w:w="1742"/>
        <w:gridCol w:w="1742"/>
      </w:tblGrid>
      <w:tr w:rsidR="00E30271" w:rsidRPr="00A0030F" w:rsidTr="00E30271">
        <w:trPr>
          <w:cantSplit/>
          <w:tblHeader/>
          <w:jc w:val="center"/>
        </w:trPr>
        <w:tc>
          <w:tcPr>
            <w:tcW w:w="1604"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jc w:val="left"/>
              <w:rPr>
                <w:rStyle w:val="Strong"/>
              </w:rPr>
            </w:pPr>
            <w:bookmarkStart w:id="218" w:name="IDX5"/>
            <w:bookmarkEnd w:id="218"/>
            <w:r w:rsidRPr="00FD5451">
              <w:rPr>
                <w:rStyle w:val="Strong"/>
              </w:rPr>
              <w:t>Sex</w:t>
            </w:r>
          </w:p>
        </w:tc>
        <w:tc>
          <w:tcPr>
            <w:tcW w:w="2296" w:type="dxa"/>
            <w:tcBorders>
              <w:top w:val="single" w:sz="6" w:space="0" w:color="000000"/>
              <w:left w:val="single" w:sz="4" w:space="0" w:color="FFFFFF"/>
              <w:bottom w:val="single" w:sz="4" w:space="0" w:color="000000"/>
              <w:right w:val="nil"/>
            </w:tcBorders>
            <w:shd w:val="clear" w:color="auto" w:fill="EFF3FF"/>
            <w:vAlign w:val="bottom"/>
          </w:tcPr>
          <w:p w:rsidR="00E30271" w:rsidRPr="00FD5451" w:rsidRDefault="00E30271" w:rsidP="00E30271">
            <w:pPr>
              <w:pStyle w:val="TableColumnHeadings"/>
              <w:jc w:val="left"/>
              <w:rPr>
                <w:rStyle w:val="Strong"/>
              </w:rPr>
            </w:pPr>
            <w:r w:rsidRPr="00FD5451">
              <w:rPr>
                <w:rStyle w:val="Strong"/>
              </w:rPr>
              <w:t>Age group</w:t>
            </w:r>
          </w:p>
        </w:tc>
        <w:tc>
          <w:tcPr>
            <w:tcW w:w="17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Normal (%)</w:t>
            </w:r>
          </w:p>
        </w:tc>
        <w:tc>
          <w:tcPr>
            <w:tcW w:w="17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Borderline (%)</w:t>
            </w:r>
          </w:p>
        </w:tc>
        <w:tc>
          <w:tcPr>
            <w:tcW w:w="174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FD5451" w:rsidRDefault="00E30271" w:rsidP="00E30271">
            <w:pPr>
              <w:pStyle w:val="TableColumnHeadings"/>
              <w:rPr>
                <w:rStyle w:val="Strong"/>
              </w:rPr>
            </w:pPr>
            <w:r w:rsidRPr="00FD5451">
              <w:rPr>
                <w:rStyle w:val="Strong"/>
              </w:rPr>
              <w:t>Abnormal (%)</w:t>
            </w:r>
          </w:p>
        </w:tc>
      </w:tr>
      <w:tr w:rsidR="00E30271" w:rsidRPr="00A0030F" w:rsidTr="00E30271">
        <w:trPr>
          <w:cantSplit/>
          <w:jc w:val="center"/>
        </w:trPr>
        <w:tc>
          <w:tcPr>
            <w:tcW w:w="1604" w:type="dxa"/>
            <w:vMerge w:val="restart"/>
            <w:tcBorders>
              <w:top w:val="single" w:sz="4" w:space="0" w:color="000000"/>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Males</w:t>
            </w: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75.2</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9.1</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15.7</w:t>
            </w:r>
          </w:p>
        </w:tc>
      </w:tr>
      <w:tr w:rsidR="00E30271" w:rsidRPr="00A0030F" w:rsidTr="00E30271">
        <w:trPr>
          <w:cantSplit/>
          <w:jc w:val="center"/>
        </w:trPr>
        <w:tc>
          <w:tcPr>
            <w:tcW w:w="1604"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72.9</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9.2</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17.9</w:t>
            </w:r>
          </w:p>
        </w:tc>
      </w:tr>
      <w:tr w:rsidR="00E30271" w:rsidRPr="00A0030F" w:rsidTr="00E30271">
        <w:trPr>
          <w:cantSplit/>
          <w:jc w:val="center"/>
        </w:trPr>
        <w:tc>
          <w:tcPr>
            <w:tcW w:w="1604"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74.6</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9.1</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16.3</w:t>
            </w:r>
          </w:p>
        </w:tc>
      </w:tr>
      <w:tr w:rsidR="00E30271" w:rsidRPr="00A0030F" w:rsidTr="00E30271">
        <w:trPr>
          <w:cantSplit/>
          <w:jc w:val="center"/>
        </w:trPr>
        <w:tc>
          <w:tcPr>
            <w:tcW w:w="1604" w:type="dxa"/>
            <w:vMerge w:val="restart"/>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sidRPr="00A0030F">
              <w:rPr>
                <w:lang w:eastAsia="en-AU"/>
              </w:rPr>
              <w:t>Females</w:t>
            </w: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70.5</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10.9</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18.6</w:t>
            </w:r>
          </w:p>
        </w:tc>
      </w:tr>
      <w:tr w:rsidR="00E30271" w:rsidRPr="00A0030F" w:rsidTr="00E30271">
        <w:trPr>
          <w:cantSplit/>
          <w:jc w:val="center"/>
        </w:trPr>
        <w:tc>
          <w:tcPr>
            <w:tcW w:w="1604"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60.8</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8.8</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30.5</w:t>
            </w:r>
          </w:p>
        </w:tc>
      </w:tr>
      <w:tr w:rsidR="00E30271" w:rsidRPr="00A0030F" w:rsidTr="00E30271">
        <w:trPr>
          <w:cantSplit/>
          <w:jc w:val="center"/>
        </w:trPr>
        <w:tc>
          <w:tcPr>
            <w:tcW w:w="1604" w:type="dxa"/>
            <w:vMerge/>
            <w:tcBorders>
              <w:top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FD5451" w:rsidRDefault="00E30271" w:rsidP="00E30271">
            <w:pPr>
              <w:pStyle w:val="TableRowHeadings"/>
              <w:rPr>
                <w:rStyle w:val="Strong"/>
              </w:rPr>
            </w:pPr>
            <w:r w:rsidRPr="00FD5451">
              <w:rPr>
                <w:rStyle w:val="Strong"/>
              </w:rPr>
              <w:t>11-17 years</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67.5</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10.2</w:t>
            </w:r>
          </w:p>
        </w:tc>
        <w:tc>
          <w:tcPr>
            <w:tcW w:w="1742" w:type="dxa"/>
            <w:tcBorders>
              <w:top w:val="nil"/>
              <w:left w:val="nil"/>
              <w:bottom w:val="nil"/>
              <w:right w:val="nil"/>
            </w:tcBorders>
            <w:shd w:val="clear" w:color="auto" w:fill="FFFFFF"/>
            <w:tcMar>
              <w:left w:w="40" w:type="dxa"/>
              <w:right w:w="40" w:type="dxa"/>
            </w:tcMar>
            <w:vAlign w:val="bottom"/>
          </w:tcPr>
          <w:p w:rsidR="00E30271" w:rsidRPr="00FD5451" w:rsidRDefault="00E30271" w:rsidP="00E30271">
            <w:pPr>
              <w:pStyle w:val="TableDataCell"/>
              <w:rPr>
                <w:rStyle w:val="Strong"/>
              </w:rPr>
            </w:pPr>
            <w:r w:rsidRPr="00FD5451">
              <w:rPr>
                <w:rStyle w:val="Strong"/>
              </w:rPr>
              <w:t>22.3</w:t>
            </w:r>
          </w:p>
        </w:tc>
      </w:tr>
      <w:tr w:rsidR="00E30271" w:rsidRPr="00A0030F" w:rsidTr="00E30271">
        <w:trPr>
          <w:cantSplit/>
          <w:jc w:val="center"/>
        </w:trPr>
        <w:tc>
          <w:tcPr>
            <w:tcW w:w="1604" w:type="dxa"/>
            <w:vMerge w:val="restart"/>
            <w:tcBorders>
              <w:top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Persons</w:t>
            </w: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11-</w:t>
            </w:r>
            <w:r w:rsidRPr="00A0030F">
              <w:rPr>
                <w:lang w:eastAsia="en-AU"/>
              </w:rPr>
              <w:t>15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73.0</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10.0</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17.1</w:t>
            </w:r>
          </w:p>
        </w:tc>
      </w:tr>
      <w:tr w:rsidR="00E30271" w:rsidRPr="00A0030F" w:rsidTr="00E30271">
        <w:trPr>
          <w:cantSplit/>
          <w:jc w:val="center"/>
        </w:trPr>
        <w:tc>
          <w:tcPr>
            <w:tcW w:w="1604"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4" w:space="0" w:color="FFFFFF"/>
              <w:right w:val="nil"/>
            </w:tcBorders>
            <w:shd w:val="clear" w:color="auto" w:fill="EFF3FF"/>
            <w:tcMar>
              <w:left w:w="40" w:type="dxa"/>
              <w:right w:w="40" w:type="dxa"/>
            </w:tcMar>
          </w:tcPr>
          <w:p w:rsidR="00E30271" w:rsidRPr="00A0030F" w:rsidRDefault="00E30271" w:rsidP="00E30271">
            <w:pPr>
              <w:pStyle w:val="TableRowHeadings"/>
              <w:rPr>
                <w:lang w:eastAsia="en-AU"/>
              </w:rPr>
            </w:pPr>
            <w:r>
              <w:rPr>
                <w:lang w:eastAsia="en-AU"/>
              </w:rPr>
              <w:t>16-</w:t>
            </w:r>
            <w:r w:rsidRPr="00A0030F">
              <w:rPr>
                <w:lang w:eastAsia="en-AU"/>
              </w:rPr>
              <w:t>17 years</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66.7</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9.0</w:t>
            </w:r>
          </w:p>
        </w:tc>
        <w:tc>
          <w:tcPr>
            <w:tcW w:w="1742" w:type="dxa"/>
            <w:tcBorders>
              <w:top w:val="nil"/>
              <w:left w:val="nil"/>
              <w:bottom w:val="nil"/>
              <w:right w:val="nil"/>
            </w:tcBorders>
            <w:shd w:val="clear" w:color="auto" w:fill="FFFFFF"/>
            <w:tcMar>
              <w:left w:w="40" w:type="dxa"/>
              <w:right w:w="40" w:type="dxa"/>
            </w:tcMar>
            <w:vAlign w:val="bottom"/>
          </w:tcPr>
          <w:p w:rsidR="00E30271" w:rsidRPr="00A0030F" w:rsidRDefault="00E30271" w:rsidP="00E30271">
            <w:pPr>
              <w:pStyle w:val="TableDataCell"/>
              <w:rPr>
                <w:lang w:eastAsia="en-AU"/>
              </w:rPr>
            </w:pPr>
            <w:r w:rsidRPr="00A0030F">
              <w:rPr>
                <w:lang w:eastAsia="en-AU"/>
              </w:rPr>
              <w:t>24.4</w:t>
            </w:r>
          </w:p>
        </w:tc>
      </w:tr>
      <w:tr w:rsidR="00E30271" w:rsidRPr="00A0030F" w:rsidTr="00E30271">
        <w:trPr>
          <w:cantSplit/>
          <w:jc w:val="center"/>
        </w:trPr>
        <w:tc>
          <w:tcPr>
            <w:tcW w:w="1604" w:type="dxa"/>
            <w:vMerge/>
            <w:tcBorders>
              <w:top w:val="single" w:sz="6" w:space="0" w:color="000000"/>
              <w:bottom w:val="single" w:sz="6" w:space="0" w:color="000000"/>
              <w:right w:val="nil"/>
            </w:tcBorders>
            <w:shd w:val="clear" w:color="auto" w:fill="EFF3FF"/>
            <w:tcMar>
              <w:left w:w="40" w:type="dxa"/>
              <w:right w:w="40" w:type="dxa"/>
            </w:tcMar>
          </w:tcPr>
          <w:p w:rsidR="00E30271" w:rsidRPr="00A0030F" w:rsidRDefault="00E30271" w:rsidP="00E30271">
            <w:pPr>
              <w:pStyle w:val="TableRowHeadings"/>
              <w:rPr>
                <w:rFonts w:ascii="Times New Roman" w:hAnsi="Times New Roman" w:cs="Times New Roman"/>
                <w:sz w:val="24"/>
                <w:szCs w:val="24"/>
                <w:lang w:eastAsia="en-AU"/>
              </w:rPr>
            </w:pPr>
          </w:p>
        </w:tc>
        <w:tc>
          <w:tcPr>
            <w:tcW w:w="2296" w:type="dxa"/>
            <w:tcBorders>
              <w:top w:val="nil"/>
              <w:left w:val="single" w:sz="4" w:space="0" w:color="FFFFFF"/>
              <w:bottom w:val="single" w:sz="6" w:space="0" w:color="000000"/>
              <w:right w:val="nil"/>
            </w:tcBorders>
            <w:shd w:val="clear" w:color="auto" w:fill="EFF3FF"/>
            <w:tcMar>
              <w:left w:w="40" w:type="dxa"/>
              <w:right w:w="40" w:type="dxa"/>
            </w:tcMar>
          </w:tcPr>
          <w:p w:rsidR="00E30271" w:rsidRPr="006962D3" w:rsidRDefault="00E30271" w:rsidP="00E30271">
            <w:pPr>
              <w:pStyle w:val="TableRowHeadings"/>
              <w:rPr>
                <w:rStyle w:val="Strong"/>
              </w:rPr>
            </w:pPr>
            <w:r w:rsidRPr="006962D3">
              <w:rPr>
                <w:rStyle w:val="Strong"/>
              </w:rPr>
              <w:t>11-17 years</w:t>
            </w:r>
          </w:p>
        </w:tc>
        <w:tc>
          <w:tcPr>
            <w:tcW w:w="174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71.1</w:t>
            </w:r>
          </w:p>
        </w:tc>
        <w:tc>
          <w:tcPr>
            <w:tcW w:w="174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9.7</w:t>
            </w:r>
          </w:p>
        </w:tc>
        <w:tc>
          <w:tcPr>
            <w:tcW w:w="1742" w:type="dxa"/>
            <w:tcBorders>
              <w:top w:val="nil"/>
              <w:left w:val="nil"/>
              <w:bottom w:val="single" w:sz="6" w:space="0" w:color="000000"/>
              <w:right w:val="nil"/>
            </w:tcBorders>
            <w:shd w:val="clear" w:color="auto" w:fill="FFFFFF"/>
            <w:tcMar>
              <w:left w:w="40" w:type="dxa"/>
              <w:right w:w="40" w:type="dxa"/>
            </w:tcMar>
            <w:vAlign w:val="bottom"/>
          </w:tcPr>
          <w:p w:rsidR="00E30271" w:rsidRPr="006962D3" w:rsidRDefault="00E30271" w:rsidP="00E30271">
            <w:pPr>
              <w:pStyle w:val="TableDataCell"/>
              <w:rPr>
                <w:rStyle w:val="Strong"/>
              </w:rPr>
            </w:pPr>
            <w:r w:rsidRPr="006962D3">
              <w:rPr>
                <w:rStyle w:val="Strong"/>
              </w:rPr>
              <w:t>19.2</w:t>
            </w:r>
          </w:p>
        </w:tc>
      </w:tr>
    </w:tbl>
    <w:p w:rsidR="00E30271" w:rsidRDefault="00E30271" w:rsidP="00E30271">
      <w:pPr>
        <w:pStyle w:val="BodyText"/>
      </w:pPr>
    </w:p>
    <w:p w:rsidR="00E30271" w:rsidRDefault="00E30271" w:rsidP="00DB066C">
      <w:pPr>
        <w:jc w:val="center"/>
        <w:sectPr w:rsidR="00E30271" w:rsidSect="003330E0">
          <w:headerReference w:type="even" r:id="rId116"/>
          <w:headerReference w:type="default" r:id="rId117"/>
          <w:footerReference w:type="even" r:id="rId118"/>
          <w:footerReference w:type="default" r:id="rId119"/>
          <w:headerReference w:type="first" r:id="rId120"/>
          <w:footerReference w:type="first" r:id="rId121"/>
          <w:pgSz w:w="11906" w:h="16838" w:code="9"/>
          <w:pgMar w:top="1440" w:right="1440" w:bottom="1440" w:left="1440" w:header="567" w:footer="567" w:gutter="0"/>
          <w:pgNumType w:start="105"/>
          <w:cols w:space="720"/>
          <w:docGrid w:linePitch="360"/>
        </w:sectPr>
      </w:pPr>
    </w:p>
    <w:p w:rsidR="00E30271" w:rsidRDefault="00E30271" w:rsidP="00E30271">
      <w:pPr>
        <w:pStyle w:val="Heading1"/>
        <w:ind w:left="720" w:hanging="720"/>
      </w:pPr>
      <w:bookmarkStart w:id="219" w:name="_Toc401758823"/>
      <w:r>
        <w:lastRenderedPageBreak/>
        <w:t>11</w:t>
      </w:r>
      <w:r>
        <w:tab/>
        <w:t>Adolescent reported self-harm and suicidal behaviours</w:t>
      </w:r>
      <w:bookmarkEnd w:id="219"/>
    </w:p>
    <w:p w:rsidR="00E30271" w:rsidRDefault="00E30271" w:rsidP="00E30271">
      <w:pPr>
        <w:pStyle w:val="BodyText"/>
      </w:pPr>
      <w:r w:rsidRPr="00F31D61">
        <w:rPr>
          <w:rStyle w:val="Emphasis"/>
        </w:rPr>
        <w:t>Self-harm</w:t>
      </w:r>
      <w:r>
        <w:t xml:space="preserve"> refers to deliberately hurting or injuring yourself without trying to end your life. </w:t>
      </w:r>
      <w:r w:rsidRPr="00F31D61">
        <w:rPr>
          <w:rStyle w:val="Emphasis"/>
        </w:rPr>
        <w:t>Suicidal behaviours</w:t>
      </w:r>
      <w:r>
        <w:t xml:space="preserve"> refer to suicidal ideation (serious thoughts about taking one’s own life), making suicide plans and suicide attempts where the self-injury is intended to end in death.</w:t>
      </w:r>
    </w:p>
    <w:p w:rsidR="00E30271" w:rsidRPr="00094A16" w:rsidRDefault="00E30271" w:rsidP="00E30271">
      <w:pPr>
        <w:pStyle w:val="BodyText"/>
      </w:pPr>
      <w:r>
        <w:t>This chapter describes results obtained from the adolescent self-report questionnaire about the prevalence of self-harm and suicidal behaviours and the association between these behaviours and mental disorders. These questions were only asked of young people aged 12 years and over.</w:t>
      </w:r>
    </w:p>
    <w:p w:rsidR="00E30271" w:rsidRPr="00F542D3" w:rsidRDefault="00E30271" w:rsidP="00E30271">
      <w:pPr>
        <w:pStyle w:val="Heading2"/>
      </w:pPr>
      <w:bookmarkStart w:id="220" w:name="_Toc401758824"/>
      <w:r>
        <w:rPr>
          <w:rStyle w:val="Heading1Char"/>
          <w:b/>
          <w:bCs/>
          <w:caps w:val="0"/>
          <w:sz w:val="26"/>
          <w:szCs w:val="26"/>
        </w:rPr>
        <w:t>11</w:t>
      </w:r>
      <w:r w:rsidRPr="00F542D3">
        <w:rPr>
          <w:rStyle w:val="Heading1Char"/>
          <w:b/>
          <w:bCs/>
          <w:caps w:val="0"/>
          <w:sz w:val="26"/>
          <w:szCs w:val="26"/>
        </w:rPr>
        <w:t>.1</w:t>
      </w:r>
      <w:r w:rsidRPr="00F542D3">
        <w:rPr>
          <w:rStyle w:val="Heading1Char"/>
          <w:b/>
          <w:bCs/>
          <w:caps w:val="0"/>
          <w:sz w:val="26"/>
          <w:szCs w:val="26"/>
        </w:rPr>
        <w:tab/>
        <w:t>Self</w:t>
      </w:r>
      <w:r w:rsidRPr="00F542D3">
        <w:t>-harm</w:t>
      </w:r>
      <w:bookmarkEnd w:id="220"/>
    </w:p>
    <w:p w:rsidR="00E30271" w:rsidRDefault="00E30271" w:rsidP="00E30271">
      <w:pPr>
        <w:pStyle w:val="BodyText"/>
      </w:pPr>
      <w:r>
        <w:t>Around one in ten adolescents (10.9%) reported having ever self-harmed. This is equivalent to 186,000 young people aged 12-17 years who had deliberately injured themselves. About three quarters of these adolescents (amounting to 8.0% of the full population or an estimated 137,000 young people) harmed themselves in the previous 12 months (Table 11-</w:t>
      </w:r>
      <w:r>
        <w:rPr>
          <w:noProof/>
        </w:rPr>
        <w:t>1</w:t>
      </w:r>
      <w:r>
        <w:t>). In addition, 7.5% of 12-17 year-olds answered “prefer not to say” to the first question on self-harm and were not asked subsequent questions. As such the proportion of young people who have ever self-harmed may be higher than indicated in these estimates.</w:t>
      </w:r>
    </w:p>
    <w:p w:rsidR="00E30271" w:rsidRDefault="00E30271" w:rsidP="00E30271">
      <w:pPr>
        <w:pStyle w:val="BodyText"/>
      </w:pPr>
      <w:r>
        <w:t>Self-harm was more common among females than among males and more common in older adolescents, with 16.8% of females aged 16-17 years having self-harmed in the previous 12 months and 22.8% having ever self-harmed. The prevalence among 12-15 year-old females was lower, but still higher than for males, with 9.8% of females aged 12-15 years having self-harmed in the previous 12 months and 11.1% having ever self-harmed. In comparison 9.1% of males aged 16-17 years and 5.7% of males aged 12-15 years had ever self-harmed with 6.2% of 16-17 year-old males and 3.0% of 12-15 year-old males having self-harmed in the previous 12 months.</w:t>
      </w:r>
    </w:p>
    <w:p w:rsidR="00E30271" w:rsidRDefault="00E30271" w:rsidP="00E30271">
      <w:pPr>
        <w:pStyle w:val="BodyText"/>
      </w:pPr>
      <w:r>
        <w:t>Over half of females who had ever self-harmed had self-harmed four or more times (amounting to 6.0% of females aged 12-15 years and 14.9% of females aged 16-17 years). The proportion of males who had self-harmed four or more times were much lower (1.9% of males aged 12-15 years and 4.5% of males aged 16-17 years). One in ten of the young people aged 12-17 years who had self-harmed in the previous 12 months or 0.8% overall had received medical treatment as a direct result of injuries incurred by an act of deliberate self-harm.</w:t>
      </w:r>
    </w:p>
    <w:p w:rsidR="00E30271" w:rsidRDefault="00E30271" w:rsidP="00E30271">
      <w:pPr>
        <w:pStyle w:val="BodyText"/>
      </w:pPr>
      <w:r>
        <w:t>Of those adolescents that had self-harmed in the previous 12 months, 61.6% had self-harmed more than four times at any time in the past.</w:t>
      </w:r>
    </w:p>
    <w:p w:rsidR="00E30271" w:rsidRDefault="00E30271" w:rsidP="00E30271">
      <w:pPr>
        <w:pStyle w:val="BodyText"/>
      </w:pPr>
      <w:r>
        <w:t xml:space="preserve">Rates of self-harm by selected socio-demographic characteristics (family type, household income, carer education, carer labour force status and area of residence) are shown in supplementary tables S-52 through S-56. In young people who did not have major depressive disorder based on adolescent self-report, self-harm rates were higher in young people from step families compared with original families. Of young people without major depressive disorder, 14.7% had ever self-harmed and 7.8% had self-harmed 4 or more times from step families compared with 6.4% and 2.5% respectively from </w:t>
      </w:r>
      <w:r>
        <w:lastRenderedPageBreak/>
        <w:t>original families. There were no significant differences in self-harm rates by other socio-demographic characteristics.</w:t>
      </w:r>
    </w:p>
    <w:p w:rsidR="00E30271" w:rsidRDefault="00E30271" w:rsidP="00E30271">
      <w:pPr>
        <w:pStyle w:val="Caption"/>
        <w:keepNext/>
      </w:pPr>
      <w:bookmarkStart w:id="221" w:name="_Ref407121618"/>
      <w:bookmarkStart w:id="222" w:name="_Toc401758825"/>
      <w:r>
        <w:t>Table 11-</w:t>
      </w:r>
      <w:r>
        <w:rPr>
          <w:noProof/>
        </w:rPr>
        <w:t>1</w:t>
      </w:r>
      <w:bookmarkEnd w:id="221"/>
      <w:r>
        <w:t>: Self-harm among 12-17 year-olds by sex and age group</w:t>
      </w:r>
    </w:p>
    <w:tbl>
      <w:tblPr>
        <w:tblW w:w="9148" w:type="dxa"/>
        <w:jc w:val="center"/>
        <w:tblLayout w:type="fixed"/>
        <w:tblCellMar>
          <w:left w:w="0" w:type="dxa"/>
          <w:right w:w="0" w:type="dxa"/>
        </w:tblCellMar>
        <w:tblLook w:val="0020" w:firstRow="1" w:lastRow="0" w:firstColumn="0" w:lastColumn="0" w:noHBand="0" w:noVBand="0"/>
        <w:tblDescription w:val="In Table 11-1 the first column defines sex, the second column defines age group. Read across the row for the proportion who have ever self harmed, the proportion who have self-harmed 4 or more times, the proportion who have self-harmed in the past 12 months, and the proportion who have self-harmed requiring medical treatment for each grouping of sex and age group."/>
      </w:tblPr>
      <w:tblGrid>
        <w:gridCol w:w="1041"/>
        <w:gridCol w:w="1386"/>
        <w:gridCol w:w="1680"/>
        <w:gridCol w:w="1680"/>
        <w:gridCol w:w="1680"/>
        <w:gridCol w:w="1681"/>
      </w:tblGrid>
      <w:tr w:rsidR="00E30271" w:rsidRPr="005334DB" w:rsidTr="00E30271">
        <w:trPr>
          <w:cantSplit/>
          <w:tblHeader/>
          <w:jc w:val="center"/>
        </w:trPr>
        <w:tc>
          <w:tcPr>
            <w:tcW w:w="1041"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r w:rsidRPr="00BF4CEF">
              <w:rPr>
                <w:rStyle w:val="Strong"/>
              </w:rPr>
              <w:t>Sex</w:t>
            </w:r>
          </w:p>
        </w:tc>
        <w:tc>
          <w:tcPr>
            <w:tcW w:w="1386" w:type="dxa"/>
            <w:tcBorders>
              <w:top w:val="single" w:sz="6" w:space="0" w:color="000000"/>
              <w:left w:val="single" w:sz="4" w:space="0" w:color="FFFFFF"/>
              <w:bottom w:val="single" w:sz="4" w:space="0" w:color="000000"/>
              <w:right w:val="nil"/>
            </w:tcBorders>
            <w:shd w:val="clear" w:color="auto" w:fill="EFF3FF"/>
            <w:vAlign w:val="bottom"/>
          </w:tcPr>
          <w:p w:rsidR="00E30271" w:rsidRPr="00BF4CEF" w:rsidRDefault="00E30271" w:rsidP="00E30271">
            <w:pPr>
              <w:pStyle w:val="TableColumnHeadings"/>
              <w:jc w:val="left"/>
              <w:rPr>
                <w:rStyle w:val="Strong"/>
              </w:rPr>
            </w:pPr>
            <w:r w:rsidRPr="00BF4CEF">
              <w:rPr>
                <w:rStyle w:val="Strong"/>
              </w:rPr>
              <w:t>Age group</w:t>
            </w:r>
          </w:p>
        </w:tc>
        <w:tc>
          <w:tcPr>
            <w:tcW w:w="168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Self-harm ever (%)</w:t>
            </w:r>
          </w:p>
        </w:tc>
        <w:tc>
          <w:tcPr>
            <w:tcW w:w="168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Self-harm 4 or more times (%)</w:t>
            </w:r>
          </w:p>
        </w:tc>
        <w:tc>
          <w:tcPr>
            <w:tcW w:w="168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Self-harm in previous 12 months (%)</w:t>
            </w:r>
          </w:p>
        </w:tc>
        <w:tc>
          <w:tcPr>
            <w:tcW w:w="168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Received medical treatment for self-harm in previous 12 months (%)</w:t>
            </w:r>
          </w:p>
        </w:tc>
      </w:tr>
      <w:tr w:rsidR="00E30271" w:rsidRPr="005334DB" w:rsidTr="00E30271">
        <w:trPr>
          <w:cantSplit/>
          <w:jc w:val="center"/>
        </w:trPr>
        <w:tc>
          <w:tcPr>
            <w:tcW w:w="1041" w:type="dxa"/>
            <w:vMerge w:val="restart"/>
            <w:tcBorders>
              <w:top w:val="single" w:sz="4" w:space="0" w:color="000000"/>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sidRPr="005334DB">
              <w:rPr>
                <w:lang w:eastAsia="en-AU"/>
              </w:rPr>
              <w:t>Males</w:t>
            </w: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12-</w:t>
            </w:r>
            <w:r w:rsidRPr="005334DB">
              <w:rPr>
                <w:lang w:eastAsia="en-AU"/>
              </w:rPr>
              <w:t>15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5.7</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1.9</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3.0</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Pr>
                <w:lang w:eastAsia="en-AU"/>
              </w:rPr>
              <w:t>np</w:t>
            </w:r>
          </w:p>
        </w:tc>
      </w:tr>
      <w:tr w:rsidR="00E30271" w:rsidRPr="005334DB" w:rsidTr="00E30271">
        <w:trPr>
          <w:cantSplit/>
          <w:jc w:val="center"/>
        </w:trPr>
        <w:tc>
          <w:tcPr>
            <w:tcW w:w="1041" w:type="dxa"/>
            <w:vMerge/>
            <w:tcBorders>
              <w:top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16-</w:t>
            </w:r>
            <w:r w:rsidRPr="005334DB">
              <w:rPr>
                <w:lang w:eastAsia="en-AU"/>
              </w:rPr>
              <w:t>17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9.1</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4.5</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6.2</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Pr>
                <w:lang w:eastAsia="en-AU"/>
              </w:rPr>
              <w:t>np</w:t>
            </w:r>
          </w:p>
        </w:tc>
      </w:tr>
      <w:tr w:rsidR="00E30271" w:rsidRPr="005334DB" w:rsidTr="00E30271">
        <w:trPr>
          <w:cantSplit/>
          <w:jc w:val="center"/>
        </w:trPr>
        <w:tc>
          <w:tcPr>
            <w:tcW w:w="1041" w:type="dxa"/>
            <w:vMerge/>
            <w:tcBorders>
              <w:top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12-17 years</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6.8</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2.8</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4.0</w:t>
            </w:r>
          </w:p>
        </w:tc>
        <w:tc>
          <w:tcPr>
            <w:tcW w:w="168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np</w:t>
            </w:r>
          </w:p>
        </w:tc>
      </w:tr>
      <w:tr w:rsidR="00E30271" w:rsidRPr="005334DB" w:rsidTr="00E30271">
        <w:trPr>
          <w:cantSplit/>
          <w:jc w:val="center"/>
        </w:trPr>
        <w:tc>
          <w:tcPr>
            <w:tcW w:w="1041" w:type="dxa"/>
            <w:vMerge w:val="restart"/>
            <w:tcBorders>
              <w:top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sidRPr="005334DB">
              <w:rPr>
                <w:lang w:eastAsia="en-AU"/>
              </w:rPr>
              <w:t>Females</w:t>
            </w: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12-</w:t>
            </w:r>
            <w:r w:rsidRPr="005334DB">
              <w:rPr>
                <w:lang w:eastAsia="en-AU"/>
              </w:rPr>
              <w:t>15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11.1</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6.0</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9.8</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1.1</w:t>
            </w:r>
          </w:p>
        </w:tc>
      </w:tr>
      <w:tr w:rsidR="00E30271" w:rsidRPr="005334DB" w:rsidTr="00E30271">
        <w:trPr>
          <w:cantSplit/>
          <w:jc w:val="center"/>
        </w:trPr>
        <w:tc>
          <w:tcPr>
            <w:tcW w:w="1041" w:type="dxa"/>
            <w:vMerge/>
            <w:tcBorders>
              <w:top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16-</w:t>
            </w:r>
            <w:r w:rsidRPr="005334DB">
              <w:rPr>
                <w:lang w:eastAsia="en-AU"/>
              </w:rPr>
              <w:t>17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22.8</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14.9</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16.8</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1.8</w:t>
            </w:r>
          </w:p>
        </w:tc>
      </w:tr>
      <w:tr w:rsidR="00E30271" w:rsidRPr="005334DB" w:rsidTr="00E30271">
        <w:trPr>
          <w:cantSplit/>
          <w:jc w:val="center"/>
        </w:trPr>
        <w:tc>
          <w:tcPr>
            <w:tcW w:w="1041" w:type="dxa"/>
            <w:vMerge/>
            <w:tcBorders>
              <w:top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12-17 years</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15.3</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9.2</w:t>
            </w:r>
          </w:p>
        </w:tc>
        <w:tc>
          <w:tcPr>
            <w:tcW w:w="168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12.3</w:t>
            </w:r>
          </w:p>
        </w:tc>
        <w:tc>
          <w:tcPr>
            <w:tcW w:w="168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1.3</w:t>
            </w:r>
          </w:p>
        </w:tc>
      </w:tr>
      <w:tr w:rsidR="00E30271" w:rsidRPr="005334DB" w:rsidTr="00E30271">
        <w:trPr>
          <w:cantSplit/>
          <w:jc w:val="center"/>
        </w:trPr>
        <w:tc>
          <w:tcPr>
            <w:tcW w:w="1041" w:type="dxa"/>
            <w:vMerge w:val="restart"/>
            <w:tcBorders>
              <w:top w:val="single" w:sz="4" w:space="0" w:color="FFFFFF"/>
              <w:bottom w:val="single" w:sz="6" w:space="0" w:color="000000"/>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Persons</w:t>
            </w: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12-</w:t>
            </w:r>
            <w:r w:rsidRPr="005334DB">
              <w:rPr>
                <w:lang w:eastAsia="en-AU"/>
              </w:rPr>
              <w:t>15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8.2</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3.8</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6.2</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0.7</w:t>
            </w:r>
          </w:p>
        </w:tc>
      </w:tr>
      <w:tr w:rsidR="00E30271" w:rsidRPr="005334DB" w:rsidTr="00E30271">
        <w:trPr>
          <w:cantSplit/>
          <w:jc w:val="center"/>
        </w:trPr>
        <w:tc>
          <w:tcPr>
            <w:tcW w:w="1041" w:type="dxa"/>
            <w:vMerge/>
            <w:tcBorders>
              <w:top w:val="single" w:sz="6" w:space="0" w:color="000000"/>
              <w:bottom w:val="single" w:sz="6" w:space="0" w:color="000000"/>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4" w:space="0" w:color="FFFFFF"/>
              <w:right w:val="nil"/>
            </w:tcBorders>
            <w:shd w:val="clear" w:color="auto" w:fill="EFF3FF"/>
            <w:tcMar>
              <w:left w:w="40" w:type="dxa"/>
              <w:right w:w="40" w:type="dxa"/>
            </w:tcMar>
          </w:tcPr>
          <w:p w:rsidR="00E30271" w:rsidRPr="005334DB" w:rsidRDefault="00E30271" w:rsidP="00E30271">
            <w:pPr>
              <w:pStyle w:val="TableRowHeadings"/>
              <w:rPr>
                <w:lang w:eastAsia="en-AU"/>
              </w:rPr>
            </w:pPr>
            <w:r>
              <w:rPr>
                <w:lang w:eastAsia="en-AU"/>
              </w:rPr>
              <w:t>16-</w:t>
            </w:r>
            <w:r w:rsidRPr="005334DB">
              <w:rPr>
                <w:lang w:eastAsia="en-AU"/>
              </w:rPr>
              <w:t>17 years</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16.1</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9.8</w:t>
            </w:r>
          </w:p>
        </w:tc>
        <w:tc>
          <w:tcPr>
            <w:tcW w:w="1680"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11.6</w:t>
            </w:r>
          </w:p>
        </w:tc>
        <w:tc>
          <w:tcPr>
            <w:tcW w:w="1681" w:type="dxa"/>
            <w:tcBorders>
              <w:top w:val="nil"/>
              <w:left w:val="nil"/>
              <w:bottom w:val="nil"/>
              <w:right w:val="nil"/>
            </w:tcBorders>
            <w:shd w:val="clear" w:color="auto" w:fill="FFFFFF"/>
            <w:tcMar>
              <w:left w:w="40" w:type="dxa"/>
              <w:right w:w="40" w:type="dxa"/>
            </w:tcMar>
            <w:vAlign w:val="bottom"/>
          </w:tcPr>
          <w:p w:rsidR="00E30271" w:rsidRPr="005334DB" w:rsidRDefault="00E30271" w:rsidP="00E30271">
            <w:pPr>
              <w:pStyle w:val="TableDataCell"/>
              <w:rPr>
                <w:lang w:eastAsia="en-AU"/>
              </w:rPr>
            </w:pPr>
            <w:r w:rsidRPr="005334DB">
              <w:rPr>
                <w:lang w:eastAsia="en-AU"/>
              </w:rPr>
              <w:t>1.1</w:t>
            </w:r>
          </w:p>
        </w:tc>
      </w:tr>
      <w:tr w:rsidR="00E30271" w:rsidRPr="005334DB" w:rsidTr="00E30271">
        <w:trPr>
          <w:cantSplit/>
          <w:jc w:val="center"/>
        </w:trPr>
        <w:tc>
          <w:tcPr>
            <w:tcW w:w="1041" w:type="dxa"/>
            <w:vMerge/>
            <w:tcBorders>
              <w:top w:val="single" w:sz="6" w:space="0" w:color="000000"/>
              <w:bottom w:val="single" w:sz="6" w:space="0" w:color="000000"/>
              <w:right w:val="nil"/>
            </w:tcBorders>
            <w:shd w:val="clear" w:color="auto" w:fill="EFF3FF"/>
            <w:tcMar>
              <w:left w:w="40" w:type="dxa"/>
              <w:right w:w="40" w:type="dxa"/>
            </w:tcMar>
          </w:tcPr>
          <w:p w:rsidR="00E30271" w:rsidRPr="005334DB" w:rsidRDefault="00E30271" w:rsidP="00E30271">
            <w:pPr>
              <w:pStyle w:val="TableRowHeadings"/>
              <w:rPr>
                <w:rFonts w:ascii="Times New Roman" w:hAnsi="Times New Roman" w:cs="Times New Roman"/>
                <w:sz w:val="24"/>
                <w:szCs w:val="24"/>
                <w:lang w:eastAsia="en-AU"/>
              </w:rPr>
            </w:pPr>
          </w:p>
        </w:tc>
        <w:tc>
          <w:tcPr>
            <w:tcW w:w="1386" w:type="dxa"/>
            <w:tcBorders>
              <w:top w:val="nil"/>
              <w:left w:val="single" w:sz="4" w:space="0" w:color="FFFFFF"/>
              <w:bottom w:val="single" w:sz="6" w:space="0" w:color="000000"/>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12-17 years</w:t>
            </w:r>
          </w:p>
        </w:tc>
        <w:tc>
          <w:tcPr>
            <w:tcW w:w="1680"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10.9</w:t>
            </w:r>
          </w:p>
        </w:tc>
        <w:tc>
          <w:tcPr>
            <w:tcW w:w="1680"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5.9</w:t>
            </w:r>
          </w:p>
        </w:tc>
        <w:tc>
          <w:tcPr>
            <w:tcW w:w="1680"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8.0</w:t>
            </w:r>
          </w:p>
        </w:tc>
        <w:tc>
          <w:tcPr>
            <w:tcW w:w="1681"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0.8</w:t>
            </w:r>
          </w:p>
        </w:tc>
      </w:tr>
    </w:tbl>
    <w:p w:rsidR="00E30271" w:rsidRDefault="00E30271" w:rsidP="00E30271">
      <w:pPr>
        <w:pStyle w:val="TableFootnote"/>
      </w:pPr>
      <w:proofErr w:type="gramStart"/>
      <w:r>
        <w:t>np</w:t>
      </w:r>
      <w:proofErr w:type="gramEnd"/>
      <w:r>
        <w:tab/>
        <w:t>Not available for publication because of small cell size, but included in totals where applicable.</w:t>
      </w:r>
    </w:p>
    <w:p w:rsidR="00E30271" w:rsidRDefault="00E30271" w:rsidP="00E30271">
      <w:pPr>
        <w:pStyle w:val="Heading3"/>
      </w:pPr>
      <w:r>
        <w:t>11.1.1</w:t>
      </w:r>
      <w:r>
        <w:tab/>
        <w:t>Self-harm and mental disorder</w:t>
      </w:r>
      <w:bookmarkEnd w:id="222"/>
    </w:p>
    <w:p w:rsidR="00E30271" w:rsidRDefault="00E30271" w:rsidP="00E30271">
      <w:pPr>
        <w:pStyle w:val="BodyText"/>
      </w:pPr>
      <w:r>
        <w:t>The highest rate of self-harm was in adolescents with major depressive disorder. This was particularly so for females with major depressive disorder, approximately half of whom had self-harmed (54.9% and 49.2% of those with major depressive disorder based on adolescent and parent reports respectively). While young people with other mental disorders had rates of self-harm more than twice as high as those with no disorder, the rates for these young people were markedly lower than for young people with major depressive disorder (32.5% for all 12-17 year-olds with major depressive disorder, 10.6% for those with other disorders and 4.2% for those with no disorder based on parent reports) (Table 11-</w:t>
      </w:r>
      <w:r>
        <w:rPr>
          <w:noProof/>
        </w:rPr>
        <w:t>2</w:t>
      </w:r>
      <w:r>
        <w:t xml:space="preserve">). </w:t>
      </w:r>
    </w:p>
    <w:p w:rsidR="00E30271" w:rsidRDefault="00E30271" w:rsidP="00E30271">
      <w:pPr>
        <w:pStyle w:val="BodyText"/>
      </w:pPr>
      <w:r>
        <w:t>Receiving medical treatment as the direct result of injuries incurred in an act of deliberate self-harm was also markedly higher for young people with major depressive disorder compared to those with no disorder (6.6% when based on self-report or 9.9% when based on parent report compared with 0.8% for all persons).</w:t>
      </w:r>
    </w:p>
    <w:p w:rsidR="00E30271" w:rsidRDefault="00E30271" w:rsidP="00E30271">
      <w:pPr>
        <w:pStyle w:val="BodyText"/>
      </w:pPr>
      <w:r>
        <w:t>One in twelve (8.5%) females who had major depressive disorder based on their self</w:t>
      </w:r>
      <w:r>
        <w:noBreakHyphen/>
        <w:t>reports received medical treatment in the previous 12 months. However, the rate for females with major depressive disorder was double this (16.9%) when their disorder status was based on parent or carer reports.</w:t>
      </w:r>
    </w:p>
    <w:p w:rsidR="00E30271" w:rsidRDefault="00E30271" w:rsidP="00E30271">
      <w:pPr>
        <w:pStyle w:val="Caption"/>
        <w:keepNext/>
        <w:pageBreakBefore/>
        <w:spacing w:before="0"/>
      </w:pPr>
      <w:bookmarkStart w:id="223" w:name="_Ref407121644"/>
      <w:r>
        <w:lastRenderedPageBreak/>
        <w:t>Table 11-</w:t>
      </w:r>
      <w:r>
        <w:rPr>
          <w:noProof/>
        </w:rPr>
        <w:t>2</w:t>
      </w:r>
      <w:bookmarkEnd w:id="223"/>
      <w:r>
        <w:t>: Self-harm and self-harm requiring medical treatment among 12-17 year-olds by sex and mental health status</w:t>
      </w:r>
    </w:p>
    <w:tbl>
      <w:tblPr>
        <w:tblW w:w="0" w:type="auto"/>
        <w:jc w:val="center"/>
        <w:tblLayout w:type="fixed"/>
        <w:tblCellMar>
          <w:left w:w="0" w:type="dxa"/>
          <w:right w:w="0" w:type="dxa"/>
        </w:tblCellMar>
        <w:tblLook w:val="0020" w:firstRow="1" w:lastRow="0" w:firstColumn="0" w:lastColumn="0" w:noHBand="0" w:noVBand="0"/>
        <w:tblDescription w:val="In Table 11-2 the first column defines sex, the second column defines mental health status. Read across the row for the proportion who have self harmed in the previous 12 months and proportion who have self-harmed requiring medical treatment for each grouping of sex and mental health status."/>
      </w:tblPr>
      <w:tblGrid>
        <w:gridCol w:w="1111"/>
        <w:gridCol w:w="4451"/>
        <w:gridCol w:w="1764"/>
        <w:gridCol w:w="1765"/>
      </w:tblGrid>
      <w:tr w:rsidR="00E30271" w:rsidTr="00E30271">
        <w:trPr>
          <w:cantSplit/>
          <w:tblHeader/>
          <w:jc w:val="center"/>
        </w:trPr>
        <w:tc>
          <w:tcPr>
            <w:tcW w:w="1111" w:type="dxa"/>
            <w:tcBorders>
              <w:top w:val="single" w:sz="6" w:space="0" w:color="auto"/>
              <w:bottom w:val="single" w:sz="2"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r w:rsidRPr="00BF4CEF">
              <w:rPr>
                <w:rStyle w:val="Strong"/>
              </w:rPr>
              <w:t>Sex</w:t>
            </w:r>
          </w:p>
        </w:tc>
        <w:tc>
          <w:tcPr>
            <w:tcW w:w="4451" w:type="dxa"/>
            <w:tcBorders>
              <w:top w:val="single" w:sz="6" w:space="0" w:color="auto"/>
              <w:left w:val="single" w:sz="2" w:space="0" w:color="FFFFFF"/>
              <w:bottom w:val="single" w:sz="2" w:space="0" w:color="000000"/>
              <w:right w:val="nil"/>
            </w:tcBorders>
            <w:shd w:val="clear" w:color="auto" w:fill="EFF3FF"/>
            <w:vAlign w:val="bottom"/>
          </w:tcPr>
          <w:p w:rsidR="00E30271" w:rsidRPr="00BF4CEF" w:rsidRDefault="00E30271" w:rsidP="00E30271">
            <w:pPr>
              <w:pStyle w:val="TableColumnHeadings"/>
              <w:jc w:val="left"/>
              <w:rPr>
                <w:rStyle w:val="Strong"/>
              </w:rPr>
            </w:pPr>
            <w:r w:rsidRPr="00BF4CEF">
              <w:rPr>
                <w:rStyle w:val="Strong"/>
              </w:rPr>
              <w:t>Mental health status</w:t>
            </w:r>
          </w:p>
        </w:tc>
        <w:tc>
          <w:tcPr>
            <w:tcW w:w="1764"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br/>
              <w:t>Self-harm in previous 12 months (%)</w:t>
            </w:r>
          </w:p>
        </w:tc>
        <w:tc>
          <w:tcPr>
            <w:tcW w:w="1765"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Received medical treatment for</w:t>
            </w:r>
            <w:r w:rsidRPr="00BF4CEF">
              <w:rPr>
                <w:rStyle w:val="Strong"/>
              </w:rPr>
              <w:br/>
              <w:t>self-harm in previous 12 months (%)</w:t>
            </w:r>
          </w:p>
        </w:tc>
      </w:tr>
      <w:tr w:rsidR="00E30271" w:rsidTr="00E30271">
        <w:trPr>
          <w:cantSplit/>
          <w:jc w:val="center"/>
        </w:trPr>
        <w:tc>
          <w:tcPr>
            <w:tcW w:w="1111" w:type="dxa"/>
            <w:vMerge w:val="restart"/>
            <w:tcBorders>
              <w:top w:val="single" w:sz="2" w:space="0" w:color="000000"/>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Males</w:t>
            </w: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764"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rsidRPr="002308E6">
              <w:t>25.8</w:t>
            </w:r>
          </w:p>
        </w:tc>
        <w:tc>
          <w:tcPr>
            <w:tcW w:w="1765"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rsidRPr="002308E6">
              <w:t>9.1</w:t>
            </w:r>
          </w:p>
        </w:tc>
        <w:tc>
          <w:tcPr>
            <w:tcW w:w="1765"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rsidRPr="002308E6">
              <w:t>6.2</w:t>
            </w:r>
          </w:p>
        </w:tc>
        <w:tc>
          <w:tcPr>
            <w:tcW w:w="1765"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764"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rsidRPr="002308E6">
              <w:t>2.7</w:t>
            </w:r>
          </w:p>
        </w:tc>
        <w:tc>
          <w:tcPr>
            <w:tcW w:w="1765" w:type="dxa"/>
            <w:tcBorders>
              <w:top w:val="nil"/>
              <w:left w:val="nil"/>
              <w:bottom w:val="nil"/>
              <w:right w:val="nil"/>
            </w:tcBorders>
            <w:shd w:val="clear" w:color="auto" w:fill="FFFFFF"/>
            <w:tcMar>
              <w:left w:w="40" w:type="dxa"/>
              <w:right w:w="40" w:type="dxa"/>
            </w:tcMar>
            <w:vAlign w:val="bottom"/>
          </w:tcPr>
          <w:p w:rsidR="00E30271" w:rsidRPr="002308E6"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All males</w:t>
            </w:r>
          </w:p>
        </w:tc>
        <w:tc>
          <w:tcPr>
            <w:tcW w:w="1764"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4.0</w:t>
            </w:r>
          </w:p>
        </w:tc>
        <w:tc>
          <w:tcPr>
            <w:tcW w:w="1765"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np</w:t>
            </w:r>
          </w:p>
        </w:tc>
      </w:tr>
      <w:tr w:rsidR="00E30271" w:rsidTr="00E30271">
        <w:trPr>
          <w:cantSplit/>
          <w:jc w:val="center"/>
        </w:trPr>
        <w:tc>
          <w:tcPr>
            <w:tcW w:w="1111" w:type="dxa"/>
            <w:vMerge w:val="restart"/>
            <w:tcBorders>
              <w:top w:val="single" w:sz="2" w:space="0" w:color="FFFFFF"/>
              <w:bottom w:val="single" w:sz="2" w:space="0" w:color="FFFFFF"/>
              <w:right w:val="nil"/>
            </w:tcBorders>
            <w:shd w:val="clear" w:color="auto" w:fill="EFF3FF"/>
            <w:tcMar>
              <w:left w:w="40" w:type="dxa"/>
              <w:right w:w="40" w:type="dxa"/>
            </w:tcMar>
          </w:tcPr>
          <w:p w:rsidR="00E30271" w:rsidRDefault="00E30271" w:rsidP="00E30271">
            <w:pPr>
              <w:pStyle w:val="TableRowHeadings"/>
            </w:pPr>
            <w:r>
              <w:t>Females</w:t>
            </w: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54.9</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8.5</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49.2</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16.9</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17.8</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5.9</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np</w:t>
            </w:r>
          </w:p>
        </w:tc>
      </w:tr>
      <w:tr w:rsidR="00E30271" w:rsidTr="00E30271">
        <w:trPr>
          <w:cantSplit/>
          <w:jc w:val="center"/>
        </w:trPr>
        <w:tc>
          <w:tcPr>
            <w:tcW w:w="1111" w:type="dxa"/>
            <w:vMerge/>
            <w:tcBorders>
              <w:top w:val="single" w:sz="2" w:space="0" w:color="FFFFFF"/>
              <w:bottom w:val="single" w:sz="2" w:space="0" w:color="FFFFFF"/>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All females</w:t>
            </w:r>
          </w:p>
        </w:tc>
        <w:tc>
          <w:tcPr>
            <w:tcW w:w="1764"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12.3</w:t>
            </w:r>
          </w:p>
        </w:tc>
        <w:tc>
          <w:tcPr>
            <w:tcW w:w="1765"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1.3</w:t>
            </w:r>
          </w:p>
        </w:tc>
      </w:tr>
      <w:tr w:rsidR="00E30271" w:rsidTr="00E30271">
        <w:trPr>
          <w:cantSplit/>
          <w:jc w:val="center"/>
        </w:trPr>
        <w:tc>
          <w:tcPr>
            <w:tcW w:w="1111" w:type="dxa"/>
            <w:vMerge w:val="restart"/>
            <w:tcBorders>
              <w:top w:val="single" w:sz="2" w:space="0" w:color="FFFFFF"/>
              <w:bottom w:val="single" w:sz="6" w:space="0" w:color="auto"/>
              <w:right w:val="nil"/>
            </w:tcBorders>
            <w:shd w:val="clear" w:color="auto" w:fill="EFF3FF"/>
            <w:tcMar>
              <w:left w:w="40" w:type="dxa"/>
              <w:right w:w="40" w:type="dxa"/>
            </w:tcMar>
          </w:tcPr>
          <w:p w:rsidR="00E30271" w:rsidRPr="000B3E79" w:rsidRDefault="00E30271" w:rsidP="00E30271">
            <w:pPr>
              <w:pStyle w:val="TableRowHeadings"/>
              <w:rPr>
                <w:rStyle w:val="Strong"/>
              </w:rPr>
            </w:pPr>
            <w:r w:rsidRPr="000B3E79">
              <w:rPr>
                <w:rStyle w:val="Strong"/>
              </w:rPr>
              <w:t>Persons</w:t>
            </w: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46.6</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6.6</w:t>
            </w:r>
          </w:p>
        </w:tc>
      </w:tr>
      <w:tr w:rsidR="00E30271" w:rsidTr="00E30271">
        <w:trPr>
          <w:cantSplit/>
          <w:jc w:val="center"/>
        </w:trPr>
        <w:tc>
          <w:tcPr>
            <w:tcW w:w="1111" w:type="dxa"/>
            <w:vMerge/>
            <w:tcBorders>
              <w:top w:val="single" w:sz="12" w:space="0" w:color="000000"/>
              <w:bottom w:val="single" w:sz="6" w:space="0" w:color="auto"/>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32.5</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9.9</w:t>
            </w:r>
          </w:p>
        </w:tc>
      </w:tr>
      <w:tr w:rsidR="00E30271" w:rsidTr="00E30271">
        <w:trPr>
          <w:cantSplit/>
          <w:jc w:val="center"/>
        </w:trPr>
        <w:tc>
          <w:tcPr>
            <w:tcW w:w="1111" w:type="dxa"/>
            <w:vMerge/>
            <w:tcBorders>
              <w:top w:val="single" w:sz="12" w:space="0" w:color="000000"/>
              <w:bottom w:val="single" w:sz="6" w:space="0" w:color="auto"/>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10.6</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np</w:t>
            </w:r>
          </w:p>
        </w:tc>
      </w:tr>
      <w:tr w:rsidR="00E30271" w:rsidTr="00E30271">
        <w:trPr>
          <w:cantSplit/>
          <w:jc w:val="center"/>
        </w:trPr>
        <w:tc>
          <w:tcPr>
            <w:tcW w:w="1111" w:type="dxa"/>
            <w:vMerge/>
            <w:tcBorders>
              <w:top w:val="single" w:sz="12" w:space="0" w:color="000000"/>
              <w:bottom w:val="single" w:sz="6" w:space="0" w:color="auto"/>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764"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4.2</w:t>
            </w:r>
          </w:p>
        </w:tc>
        <w:tc>
          <w:tcPr>
            <w:tcW w:w="1765" w:type="dxa"/>
            <w:tcBorders>
              <w:top w:val="nil"/>
              <w:left w:val="nil"/>
              <w:bottom w:val="nil"/>
              <w:right w:val="nil"/>
            </w:tcBorders>
            <w:shd w:val="clear" w:color="auto" w:fill="FFFFFF"/>
            <w:tcMar>
              <w:left w:w="40" w:type="dxa"/>
              <w:right w:w="40" w:type="dxa"/>
            </w:tcMar>
            <w:vAlign w:val="bottom"/>
          </w:tcPr>
          <w:p w:rsidR="00E30271" w:rsidRDefault="00E30271" w:rsidP="00E30271">
            <w:pPr>
              <w:pStyle w:val="TableDataCell"/>
            </w:pPr>
            <w:r>
              <w:t>np</w:t>
            </w:r>
          </w:p>
        </w:tc>
      </w:tr>
      <w:tr w:rsidR="00E30271" w:rsidTr="00E30271">
        <w:trPr>
          <w:cantSplit/>
          <w:jc w:val="center"/>
        </w:trPr>
        <w:tc>
          <w:tcPr>
            <w:tcW w:w="1111" w:type="dxa"/>
            <w:vMerge/>
            <w:tcBorders>
              <w:top w:val="single" w:sz="12" w:space="0" w:color="000000"/>
              <w:bottom w:val="single" w:sz="6" w:space="0" w:color="auto"/>
              <w:right w:val="nil"/>
            </w:tcBorders>
            <w:shd w:val="clear" w:color="auto" w:fill="EFF3FF"/>
            <w:tcMar>
              <w:left w:w="40" w:type="dxa"/>
              <w:right w:w="40" w:type="dxa"/>
            </w:tcMar>
          </w:tcPr>
          <w:p w:rsidR="00E30271" w:rsidRDefault="00E30271" w:rsidP="00E30271">
            <w:pPr>
              <w:pStyle w:val="TableRowHeadings"/>
              <w:rPr>
                <w:sz w:val="24"/>
                <w:szCs w:val="24"/>
              </w:rPr>
            </w:pPr>
          </w:p>
        </w:tc>
        <w:tc>
          <w:tcPr>
            <w:tcW w:w="4451" w:type="dxa"/>
            <w:tcBorders>
              <w:top w:val="nil"/>
              <w:left w:val="single" w:sz="2" w:space="0" w:color="FFFFFF"/>
              <w:bottom w:val="single" w:sz="6" w:space="0" w:color="auto"/>
              <w:right w:val="nil"/>
            </w:tcBorders>
            <w:shd w:val="clear" w:color="auto" w:fill="EFF3FF"/>
            <w:tcMar>
              <w:left w:w="40" w:type="dxa"/>
              <w:right w:w="40" w:type="dxa"/>
            </w:tcMar>
          </w:tcPr>
          <w:p w:rsidR="00E30271" w:rsidRPr="000B3E79" w:rsidRDefault="00E30271" w:rsidP="00E30271">
            <w:pPr>
              <w:pStyle w:val="TableRowHeadings"/>
              <w:rPr>
                <w:rStyle w:val="Strong"/>
              </w:rPr>
            </w:pPr>
            <w:r w:rsidRPr="000B3E79">
              <w:rPr>
                <w:rStyle w:val="Strong"/>
              </w:rPr>
              <w:t>All persons</w:t>
            </w:r>
          </w:p>
        </w:tc>
        <w:tc>
          <w:tcPr>
            <w:tcW w:w="1764" w:type="dxa"/>
            <w:tcBorders>
              <w:top w:val="nil"/>
              <w:left w:val="nil"/>
              <w:bottom w:val="single" w:sz="6" w:space="0" w:color="auto"/>
              <w:right w:val="nil"/>
            </w:tcBorders>
            <w:shd w:val="clear" w:color="auto" w:fill="FFFFFF"/>
            <w:tcMar>
              <w:left w:w="40" w:type="dxa"/>
              <w:right w:w="40" w:type="dxa"/>
            </w:tcMar>
            <w:vAlign w:val="bottom"/>
          </w:tcPr>
          <w:p w:rsidR="00E30271" w:rsidRPr="000B3E79" w:rsidRDefault="00E30271" w:rsidP="00E30271">
            <w:pPr>
              <w:pStyle w:val="TableDataCell"/>
              <w:rPr>
                <w:rStyle w:val="Strong"/>
              </w:rPr>
            </w:pPr>
            <w:r w:rsidRPr="000B3E79">
              <w:rPr>
                <w:rStyle w:val="Strong"/>
              </w:rPr>
              <w:t>8.0</w:t>
            </w:r>
          </w:p>
        </w:tc>
        <w:tc>
          <w:tcPr>
            <w:tcW w:w="1765" w:type="dxa"/>
            <w:tcBorders>
              <w:top w:val="nil"/>
              <w:left w:val="nil"/>
              <w:bottom w:val="single" w:sz="6" w:space="0" w:color="auto"/>
              <w:right w:val="nil"/>
            </w:tcBorders>
            <w:shd w:val="clear" w:color="auto" w:fill="FFFFFF"/>
            <w:tcMar>
              <w:left w:w="40" w:type="dxa"/>
              <w:right w:w="40" w:type="dxa"/>
            </w:tcMar>
            <w:vAlign w:val="bottom"/>
          </w:tcPr>
          <w:p w:rsidR="00E30271" w:rsidRPr="000B3E79" w:rsidRDefault="00E30271" w:rsidP="00E30271">
            <w:pPr>
              <w:pStyle w:val="TableDataCell"/>
              <w:keepNext/>
              <w:rPr>
                <w:rStyle w:val="Strong"/>
              </w:rPr>
            </w:pPr>
            <w:r w:rsidRPr="000B3E79">
              <w:rPr>
                <w:rStyle w:val="Strong"/>
              </w:rPr>
              <w:t>0.8</w:t>
            </w:r>
          </w:p>
        </w:tc>
      </w:tr>
    </w:tbl>
    <w:p w:rsidR="00E30271" w:rsidRDefault="00E30271" w:rsidP="00E30271">
      <w:pPr>
        <w:pStyle w:val="TableFootnote"/>
      </w:pPr>
      <w:bookmarkStart w:id="224" w:name="_Toc401758826"/>
      <w:proofErr w:type="gramStart"/>
      <w:r>
        <w:t>np</w:t>
      </w:r>
      <w:proofErr w:type="gramEnd"/>
      <w:r>
        <w:tab/>
        <w:t>Not available for publication because of small cell size, but included in totals where applicable.</w:t>
      </w:r>
    </w:p>
    <w:p w:rsidR="00E30271" w:rsidRDefault="00E30271" w:rsidP="00E30271">
      <w:pPr>
        <w:pStyle w:val="Heading3"/>
      </w:pPr>
      <w:r>
        <w:t>11.1.2</w:t>
      </w:r>
      <w:r>
        <w:tab/>
        <w:t>Self-harm and service use</w:t>
      </w:r>
    </w:p>
    <w:p w:rsidR="00E30271" w:rsidRDefault="00E30271" w:rsidP="00E30271">
      <w:pPr>
        <w:pStyle w:val="BodyText"/>
      </w:pPr>
      <w:r>
        <w:t>More than half (57.6%) of adolescents who had self harmed more than four times at any time in the past had used services for emotional or behavioural problems in the previous 12 months (Table 11-</w:t>
      </w:r>
      <w:r>
        <w:rPr>
          <w:noProof/>
        </w:rPr>
        <w:t>3</w:t>
      </w:r>
      <w:r>
        <w:t xml:space="preserve">). Most commonly these adolescents had used a health service (53.5%) or school service (48.8%) while fewer had used telephone counselling (15.4%) or online personal support or counselling services such as those provided by </w:t>
      </w:r>
      <w:r w:rsidRPr="0054214D">
        <w:t xml:space="preserve">headspace, </w:t>
      </w:r>
      <w:proofErr w:type="spellStart"/>
      <w:r w:rsidRPr="0054214D">
        <w:t>Reachout</w:t>
      </w:r>
      <w:proofErr w:type="spellEnd"/>
      <w:r w:rsidRPr="0054214D">
        <w:t xml:space="preserve">, </w:t>
      </w:r>
      <w:r>
        <w:t xml:space="preserve">and </w:t>
      </w:r>
      <w:r w:rsidRPr="0054214D">
        <w:t xml:space="preserve">Youth </w:t>
      </w:r>
      <w:proofErr w:type="spellStart"/>
      <w:r w:rsidRPr="0054214D">
        <w:t>beyondb</w:t>
      </w:r>
      <w:r>
        <w:t>lue</w:t>
      </w:r>
      <w:proofErr w:type="spellEnd"/>
      <w:r>
        <w:t xml:space="preserve"> (7.4%). </w:t>
      </w:r>
    </w:p>
    <w:p w:rsidR="00E30271" w:rsidRDefault="00E30271" w:rsidP="00E30271">
      <w:pPr>
        <w:pStyle w:val="BodyText"/>
      </w:pPr>
      <w:r>
        <w:t>Rates of service use among 13-17 year-olds who had self-harmed in the previous 12 months were similar to rates of service use among those who had ever self-harmed more than four times. Service use among those who had self-harmed in the previous 12 months was higher among females than males (60.9% compared with 40.1%).</w:t>
      </w:r>
    </w:p>
    <w:p w:rsidR="00E30271" w:rsidRDefault="00E30271" w:rsidP="00E30271">
      <w:pPr>
        <w:pStyle w:val="BodyText"/>
      </w:pPr>
      <w:r>
        <w:t>It is not possible to say from the survey whether the services were used before or after the time that the person had harmed themselves.</w:t>
      </w:r>
    </w:p>
    <w:p w:rsidR="00E30271" w:rsidRDefault="00E30271" w:rsidP="00E30271">
      <w:pPr>
        <w:pStyle w:val="Caption"/>
        <w:keepNext/>
      </w:pPr>
      <w:bookmarkStart w:id="225" w:name="_Ref407121655"/>
      <w:r>
        <w:lastRenderedPageBreak/>
        <w:t>Table 11-</w:t>
      </w:r>
      <w:r>
        <w:rPr>
          <w:noProof/>
        </w:rPr>
        <w:t>3</w:t>
      </w:r>
      <w:bookmarkEnd w:id="225"/>
      <w:r>
        <w:t>: Service use in past 12 months among 13-17 year-olds who had self-harmed by</w:t>
      </w:r>
      <w:r>
        <w:rPr>
          <w:noProof/>
        </w:rPr>
        <w:t xml:space="preserve"> type of service</w:t>
      </w:r>
    </w:p>
    <w:tbl>
      <w:tblPr>
        <w:tblW w:w="0" w:type="auto"/>
        <w:jc w:val="center"/>
        <w:tblLayout w:type="fixed"/>
        <w:tblCellMar>
          <w:left w:w="0" w:type="dxa"/>
          <w:right w:w="0" w:type="dxa"/>
        </w:tblCellMar>
        <w:tblLook w:val="0000" w:firstRow="0" w:lastRow="0" w:firstColumn="0" w:lastColumn="0" w:noHBand="0" w:noVBand="0"/>
        <w:tblDescription w:val="In Table 11-2 the first column defines the type of service. Read across the columns for the proportion of 13-17 year-olds who had self-harmed in the previous 12 months and self-harmed more than 4 times who had used services in the the past 12 months."/>
      </w:tblPr>
      <w:tblGrid>
        <w:gridCol w:w="4859"/>
        <w:gridCol w:w="2122"/>
        <w:gridCol w:w="2123"/>
      </w:tblGrid>
      <w:tr w:rsidR="00E30271" w:rsidRPr="002A7807" w:rsidTr="00E30271">
        <w:trPr>
          <w:cantSplit/>
          <w:tblHeader/>
          <w:jc w:val="center"/>
        </w:trPr>
        <w:tc>
          <w:tcPr>
            <w:tcW w:w="4859"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p>
          <w:p w:rsidR="00E30271" w:rsidRPr="00BF4CEF" w:rsidRDefault="00E30271" w:rsidP="00E30271">
            <w:pPr>
              <w:pStyle w:val="TableColumnHeadings"/>
              <w:jc w:val="left"/>
              <w:rPr>
                <w:rStyle w:val="Strong"/>
              </w:rPr>
            </w:pPr>
            <w:r w:rsidRPr="00BF4CEF">
              <w:rPr>
                <w:rStyle w:val="Strong"/>
              </w:rPr>
              <w:t>Type of service</w:t>
            </w:r>
          </w:p>
        </w:tc>
        <w:tc>
          <w:tcPr>
            <w:tcW w:w="212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Self-harm in the previous 12 months (%)</w:t>
            </w:r>
          </w:p>
        </w:tc>
        <w:tc>
          <w:tcPr>
            <w:tcW w:w="212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Self-harm more than 4 times (%)</w:t>
            </w:r>
          </w:p>
        </w:tc>
      </w:tr>
      <w:tr w:rsidR="00E30271" w:rsidRPr="002A7807" w:rsidTr="00E30271">
        <w:trPr>
          <w:cantSplit/>
          <w:jc w:val="center"/>
        </w:trPr>
        <w:tc>
          <w:tcPr>
            <w:tcW w:w="4859" w:type="dxa"/>
            <w:tcBorders>
              <w:top w:val="nil"/>
              <w:bottom w:val="single" w:sz="4" w:space="0" w:color="FFFFFF"/>
              <w:right w:val="nil"/>
            </w:tcBorders>
            <w:shd w:val="clear" w:color="auto" w:fill="EFF3FF"/>
            <w:tcMar>
              <w:left w:w="40" w:type="dxa"/>
              <w:right w:w="40" w:type="dxa"/>
            </w:tcMar>
          </w:tcPr>
          <w:p w:rsidR="00E30271" w:rsidRPr="002A7807" w:rsidRDefault="00E30271" w:rsidP="00E30271">
            <w:pPr>
              <w:pStyle w:val="TableRowHeadings"/>
              <w:rPr>
                <w:lang w:eastAsia="en-AU"/>
              </w:rPr>
            </w:pPr>
            <w:r w:rsidRPr="002A7807">
              <w:rPr>
                <w:lang w:eastAsia="en-AU"/>
              </w:rPr>
              <w:t>Health service</w:t>
            </w:r>
          </w:p>
        </w:tc>
        <w:tc>
          <w:tcPr>
            <w:tcW w:w="2122"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49.1</w:t>
            </w:r>
          </w:p>
        </w:tc>
        <w:tc>
          <w:tcPr>
            <w:tcW w:w="2123"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53.5</w:t>
            </w:r>
          </w:p>
        </w:tc>
      </w:tr>
      <w:tr w:rsidR="00E30271" w:rsidRPr="002A7807" w:rsidTr="00E30271">
        <w:trPr>
          <w:cantSplit/>
          <w:jc w:val="center"/>
        </w:trPr>
        <w:tc>
          <w:tcPr>
            <w:tcW w:w="4859" w:type="dxa"/>
            <w:tcBorders>
              <w:top w:val="nil"/>
              <w:bottom w:val="single" w:sz="4" w:space="0" w:color="FFFFFF"/>
              <w:right w:val="nil"/>
            </w:tcBorders>
            <w:shd w:val="clear" w:color="auto" w:fill="EFF3FF"/>
            <w:tcMar>
              <w:left w:w="40" w:type="dxa"/>
              <w:right w:w="40" w:type="dxa"/>
            </w:tcMar>
          </w:tcPr>
          <w:p w:rsidR="00E30271" w:rsidRPr="002A7807" w:rsidRDefault="00E30271" w:rsidP="00E30271">
            <w:pPr>
              <w:pStyle w:val="TableRowHeadings"/>
              <w:rPr>
                <w:lang w:eastAsia="en-AU"/>
              </w:rPr>
            </w:pPr>
            <w:r w:rsidRPr="002A7807">
              <w:rPr>
                <w:lang w:eastAsia="en-AU"/>
              </w:rPr>
              <w:t>School service</w:t>
            </w:r>
          </w:p>
        </w:tc>
        <w:tc>
          <w:tcPr>
            <w:tcW w:w="2122"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Pr>
                <w:lang w:eastAsia="en-AU"/>
              </w:rPr>
              <w:t>45.0</w:t>
            </w:r>
          </w:p>
        </w:tc>
        <w:tc>
          <w:tcPr>
            <w:tcW w:w="2123"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Pr>
                <w:lang w:eastAsia="en-AU"/>
              </w:rPr>
              <w:t>48.8</w:t>
            </w:r>
          </w:p>
        </w:tc>
      </w:tr>
      <w:tr w:rsidR="00E30271" w:rsidRPr="002A7807" w:rsidTr="00E30271">
        <w:trPr>
          <w:cantSplit/>
          <w:jc w:val="center"/>
        </w:trPr>
        <w:tc>
          <w:tcPr>
            <w:tcW w:w="4859" w:type="dxa"/>
            <w:tcBorders>
              <w:top w:val="nil"/>
              <w:bottom w:val="single" w:sz="4" w:space="0" w:color="FFFFFF"/>
              <w:right w:val="nil"/>
            </w:tcBorders>
            <w:shd w:val="clear" w:color="auto" w:fill="EFF3FF"/>
            <w:tcMar>
              <w:left w:w="40" w:type="dxa"/>
              <w:right w:w="40" w:type="dxa"/>
            </w:tcMar>
          </w:tcPr>
          <w:p w:rsidR="00E30271" w:rsidRPr="002A7807" w:rsidRDefault="00E30271" w:rsidP="00E30271">
            <w:pPr>
              <w:pStyle w:val="TableRowHeadings"/>
              <w:rPr>
                <w:lang w:eastAsia="en-AU"/>
              </w:rPr>
            </w:pPr>
            <w:r w:rsidRPr="002A7807">
              <w:rPr>
                <w:lang w:eastAsia="en-AU"/>
              </w:rPr>
              <w:t>Telephone counselling</w:t>
            </w:r>
          </w:p>
        </w:tc>
        <w:tc>
          <w:tcPr>
            <w:tcW w:w="2122"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15.7</w:t>
            </w:r>
          </w:p>
        </w:tc>
        <w:tc>
          <w:tcPr>
            <w:tcW w:w="2123" w:type="dxa"/>
            <w:tcBorders>
              <w:top w:val="nil"/>
              <w:left w:val="nil"/>
              <w:bottom w:val="nil"/>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15.4</w:t>
            </w:r>
          </w:p>
        </w:tc>
      </w:tr>
      <w:tr w:rsidR="00E30271" w:rsidRPr="002A7807" w:rsidTr="00E30271">
        <w:trPr>
          <w:cantSplit/>
          <w:jc w:val="center"/>
        </w:trPr>
        <w:tc>
          <w:tcPr>
            <w:tcW w:w="4859" w:type="dxa"/>
            <w:tcBorders>
              <w:top w:val="nil"/>
              <w:bottom w:val="single" w:sz="4" w:space="0" w:color="auto"/>
              <w:right w:val="nil"/>
            </w:tcBorders>
            <w:shd w:val="clear" w:color="auto" w:fill="EFF3FF"/>
            <w:tcMar>
              <w:left w:w="40" w:type="dxa"/>
              <w:right w:w="40" w:type="dxa"/>
            </w:tcMar>
          </w:tcPr>
          <w:p w:rsidR="00E30271" w:rsidRPr="002A7807" w:rsidRDefault="00E30271" w:rsidP="00E30271">
            <w:pPr>
              <w:pStyle w:val="TableRowHeadings"/>
              <w:rPr>
                <w:lang w:eastAsia="en-AU"/>
              </w:rPr>
            </w:pPr>
            <w:r w:rsidRPr="002A7807">
              <w:rPr>
                <w:lang w:eastAsia="en-AU"/>
              </w:rPr>
              <w:t>Online personal support or counselling</w:t>
            </w:r>
          </w:p>
        </w:tc>
        <w:tc>
          <w:tcPr>
            <w:tcW w:w="2122" w:type="dxa"/>
            <w:tcBorders>
              <w:top w:val="nil"/>
              <w:left w:val="nil"/>
              <w:bottom w:val="single" w:sz="4" w:space="0" w:color="auto"/>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7.7</w:t>
            </w:r>
          </w:p>
        </w:tc>
        <w:tc>
          <w:tcPr>
            <w:tcW w:w="2123" w:type="dxa"/>
            <w:tcBorders>
              <w:top w:val="nil"/>
              <w:left w:val="nil"/>
              <w:bottom w:val="single" w:sz="4" w:space="0" w:color="auto"/>
              <w:right w:val="nil"/>
            </w:tcBorders>
            <w:shd w:val="clear" w:color="auto" w:fill="FFFFFF"/>
            <w:tcMar>
              <w:left w:w="40" w:type="dxa"/>
              <w:right w:w="40" w:type="dxa"/>
            </w:tcMar>
            <w:vAlign w:val="bottom"/>
          </w:tcPr>
          <w:p w:rsidR="00E30271" w:rsidRPr="002A7807" w:rsidRDefault="00E30271" w:rsidP="00E30271">
            <w:pPr>
              <w:pStyle w:val="TableDataCell"/>
              <w:rPr>
                <w:lang w:eastAsia="en-AU"/>
              </w:rPr>
            </w:pPr>
            <w:r w:rsidRPr="002A7807">
              <w:rPr>
                <w:lang w:eastAsia="en-AU"/>
              </w:rPr>
              <w:t>7.4</w:t>
            </w:r>
          </w:p>
        </w:tc>
      </w:tr>
      <w:tr w:rsidR="00E30271" w:rsidRPr="002A7807" w:rsidTr="00E30271">
        <w:trPr>
          <w:cantSplit/>
          <w:jc w:val="center"/>
        </w:trPr>
        <w:tc>
          <w:tcPr>
            <w:tcW w:w="4859" w:type="dxa"/>
            <w:tcBorders>
              <w:top w:val="single" w:sz="4" w:space="0" w:color="auto"/>
              <w:bottom w:val="single" w:sz="6" w:space="0" w:color="000000"/>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Any service (a)</w:t>
            </w:r>
          </w:p>
        </w:tc>
        <w:tc>
          <w:tcPr>
            <w:tcW w:w="2122"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55.6</w:t>
            </w:r>
          </w:p>
        </w:tc>
        <w:tc>
          <w:tcPr>
            <w:tcW w:w="2123"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57.6</w:t>
            </w:r>
          </w:p>
        </w:tc>
      </w:tr>
    </w:tbl>
    <w:p w:rsidR="00E30271" w:rsidRDefault="00E30271" w:rsidP="00E30271">
      <w:pPr>
        <w:pStyle w:val="TableFootnote"/>
      </w:pPr>
      <w:r w:rsidRPr="001B3ADE">
        <w:t>The proportion using school services is based on those who were at</w:t>
      </w:r>
      <w:r>
        <w:t>tending</w:t>
      </w:r>
      <w:r w:rsidRPr="001B3ADE">
        <w:t xml:space="preserve"> school at the time of the survey.</w:t>
      </w:r>
    </w:p>
    <w:p w:rsidR="00E30271" w:rsidRPr="00CF7467" w:rsidRDefault="00E30271" w:rsidP="00E30271">
      <w:pPr>
        <w:pStyle w:val="TableFootnote"/>
      </w:pPr>
      <w:r w:rsidRPr="001B3ADE">
        <w:t>(a)</w:t>
      </w:r>
      <w:r w:rsidRPr="001B3ADE">
        <w:tab/>
        <w:t>Any service is not equal to the sum of individual services because adolescents may have used more than one type of service</w:t>
      </w:r>
      <w:r>
        <w:t>.</w:t>
      </w:r>
    </w:p>
    <w:p w:rsidR="00E30271" w:rsidRPr="0055186A" w:rsidRDefault="00E30271" w:rsidP="00E30271">
      <w:pPr>
        <w:pStyle w:val="Heading2"/>
      </w:pPr>
      <w:r>
        <w:t>11.2</w:t>
      </w:r>
      <w:r>
        <w:tab/>
      </w:r>
      <w:r w:rsidRPr="0055186A">
        <w:t>Suicidal behaviours</w:t>
      </w:r>
      <w:bookmarkEnd w:id="224"/>
    </w:p>
    <w:p w:rsidR="00E30271" w:rsidRDefault="00E30271" w:rsidP="00E30271">
      <w:pPr>
        <w:pStyle w:val="BodyText"/>
      </w:pPr>
      <w:r>
        <w:t>Around 128,000 or 7.5% of young people aged 12-17 years had seriously considered attempting suicide in the previous 12 months. The proportion was over twice as high for females as for males (10.7% and 4.5% respectively). In addition, 4.7% of males and 6.6% of females answered “prefer not to say” to the question on suicidal ideation and were not asked subsequent questions about suicide plans or suicide attempts. As such, the results presented here may underestimate the full extent of suicidal behaviours in Australian young people.</w:t>
      </w:r>
    </w:p>
    <w:p w:rsidR="00E30271" w:rsidRDefault="00E30271" w:rsidP="00E30271">
      <w:pPr>
        <w:pStyle w:val="BodyText"/>
      </w:pPr>
      <w:r>
        <w:t>Overall one third of young people who had seriously considered attempting suicide in the previous 12 months, or 2.4% of all 12-17 year-olds, reported having attempted suicide in the previous 12 months. This is equivalent to 41,000 young people. One quarter or 0.6% of all 12-17 year-olds received medical treatment as a direct result of their injuries (Table 11-</w:t>
      </w:r>
      <w:r>
        <w:rPr>
          <w:noProof/>
        </w:rPr>
        <w:t>4</w:t>
      </w:r>
      <w:r>
        <w:t xml:space="preserve">). </w:t>
      </w:r>
    </w:p>
    <w:p w:rsidR="00E30271" w:rsidRDefault="00E30271" w:rsidP="00E30271">
      <w:pPr>
        <w:pStyle w:val="BodyText"/>
      </w:pPr>
      <w:r>
        <w:t>Suicide attempts were more common among females than among males and for 16-17 year-olds compared with younger adolescents (4.7% for females and 2.9% for males aged 16-17 years compared with 2.7% for females and 0.8% for males aged 12-15 years in the previous 12 months).</w:t>
      </w:r>
    </w:p>
    <w:p w:rsidR="00E30271" w:rsidRDefault="00E30271" w:rsidP="00E30271">
      <w:pPr>
        <w:pStyle w:val="BodyText"/>
      </w:pPr>
      <w:r>
        <w:t>Rates of suicidal behaviours by selected socio-demographic characteristics (family type, household income, carer education, carer labour force status and area of residence) are shown in supplementary tables S-58 through S-62. There were no significant differences in rates of suicidal behaviours by soc</w:t>
      </w:r>
      <w:r w:rsidR="009E2950">
        <w:t>io-demographic characteristics.</w:t>
      </w:r>
    </w:p>
    <w:p w:rsidR="00E30271" w:rsidRDefault="00E30271" w:rsidP="00E30271">
      <w:pPr>
        <w:pStyle w:val="Caption"/>
        <w:keepNext/>
        <w:pageBreakBefore/>
        <w:spacing w:before="0"/>
      </w:pPr>
      <w:bookmarkStart w:id="226" w:name="_Ref406413088"/>
      <w:r>
        <w:lastRenderedPageBreak/>
        <w:t>Table 11-</w:t>
      </w:r>
      <w:r>
        <w:rPr>
          <w:noProof/>
        </w:rPr>
        <w:t>4</w:t>
      </w:r>
      <w:bookmarkEnd w:id="226"/>
      <w:r>
        <w:t>: Suicidal ideation, suicide plans and suicide attempts among 12-17 year-olds by sex and age group</w:t>
      </w:r>
    </w:p>
    <w:tbl>
      <w:tblPr>
        <w:tblW w:w="9129" w:type="dxa"/>
        <w:jc w:val="center"/>
        <w:tblLayout w:type="fixed"/>
        <w:tblCellMar>
          <w:left w:w="0" w:type="dxa"/>
          <w:right w:w="0" w:type="dxa"/>
        </w:tblCellMar>
        <w:tblLook w:val="0000" w:firstRow="0" w:lastRow="0" w:firstColumn="0" w:lastColumn="0" w:noHBand="0" w:noVBand="0"/>
        <w:tblDescription w:val="In Table 11-4 the first column defines sex, the second column defines age group. Read across the row for the proportion who have had suicidal ideation in the previous 12 months, a suicide plan in the previous 12 months, have ever attempted suicide, have attempted suicide in the previous 12 months, and finally who have received medical treatment for suicide attempt in the previous 12 months in each grouping of sex and age group."/>
      </w:tblPr>
      <w:tblGrid>
        <w:gridCol w:w="1060"/>
        <w:gridCol w:w="1204"/>
        <w:gridCol w:w="1373"/>
        <w:gridCol w:w="1373"/>
        <w:gridCol w:w="1373"/>
        <w:gridCol w:w="1373"/>
        <w:gridCol w:w="1373"/>
      </w:tblGrid>
      <w:tr w:rsidR="00E30271" w:rsidRPr="00182855" w:rsidTr="00E30271">
        <w:trPr>
          <w:cantSplit/>
          <w:tblHeader/>
          <w:jc w:val="center"/>
        </w:trPr>
        <w:tc>
          <w:tcPr>
            <w:tcW w:w="1060"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bookmarkStart w:id="227" w:name="IDX32"/>
            <w:bookmarkEnd w:id="227"/>
            <w:r w:rsidRPr="00BF4CEF">
              <w:rPr>
                <w:rStyle w:val="Strong"/>
              </w:rPr>
              <w:t>Sex</w:t>
            </w:r>
          </w:p>
        </w:tc>
        <w:tc>
          <w:tcPr>
            <w:tcW w:w="1204" w:type="dxa"/>
            <w:tcBorders>
              <w:top w:val="single" w:sz="6" w:space="0" w:color="000000"/>
              <w:left w:val="single" w:sz="4" w:space="0" w:color="FFFFFF"/>
              <w:bottom w:val="single" w:sz="4" w:space="0" w:color="000000"/>
              <w:right w:val="nil"/>
            </w:tcBorders>
            <w:shd w:val="clear" w:color="auto" w:fill="EFF3FF"/>
            <w:vAlign w:val="bottom"/>
          </w:tcPr>
          <w:p w:rsidR="00E30271" w:rsidRPr="00BF4CEF" w:rsidRDefault="00E30271" w:rsidP="00E30271">
            <w:pPr>
              <w:pStyle w:val="TableColumnHeadings"/>
              <w:jc w:val="left"/>
              <w:rPr>
                <w:rStyle w:val="Strong"/>
              </w:rPr>
            </w:pPr>
            <w:r w:rsidRPr="00BF4CEF">
              <w:rPr>
                <w:rStyle w:val="Strong"/>
              </w:rPr>
              <w:t>Age group</w:t>
            </w:r>
          </w:p>
        </w:tc>
        <w:tc>
          <w:tcPr>
            <w:tcW w:w="137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Suicidal ideation in previous 12 months (%)</w:t>
            </w:r>
          </w:p>
        </w:tc>
        <w:tc>
          <w:tcPr>
            <w:tcW w:w="137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plan in previous 12 months (%)</w:t>
            </w:r>
          </w:p>
        </w:tc>
        <w:tc>
          <w:tcPr>
            <w:tcW w:w="137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attempt ever (%)</w:t>
            </w:r>
          </w:p>
        </w:tc>
        <w:tc>
          <w:tcPr>
            <w:tcW w:w="137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attempt in previous 12 months (%)</w:t>
            </w:r>
          </w:p>
        </w:tc>
        <w:tc>
          <w:tcPr>
            <w:tcW w:w="137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Medical treatment for suicide attempt in previous 12 months (%)</w:t>
            </w:r>
          </w:p>
        </w:tc>
      </w:tr>
      <w:tr w:rsidR="00E30271" w:rsidRPr="00182855" w:rsidTr="00E30271">
        <w:trPr>
          <w:cantSplit/>
          <w:jc w:val="center"/>
        </w:trPr>
        <w:tc>
          <w:tcPr>
            <w:tcW w:w="1060" w:type="dxa"/>
            <w:vMerge w:val="restart"/>
            <w:tcBorders>
              <w:top w:val="single" w:sz="4" w:space="0" w:color="000000"/>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sidRPr="00182855">
              <w:rPr>
                <w:lang w:eastAsia="en-AU"/>
              </w:rPr>
              <w:t>Males</w:t>
            </w: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Pr>
                <w:lang w:eastAsia="en-AU"/>
              </w:rPr>
              <w:t>12-</w:t>
            </w:r>
            <w:r w:rsidRPr="00182855">
              <w:rPr>
                <w:lang w:eastAsia="en-AU"/>
              </w:rPr>
              <w:t>15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3.4</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2.0</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0.9</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0.8</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Pr>
                <w:lang w:eastAsia="en-AU"/>
              </w:rPr>
              <w:t>np</w:t>
            </w:r>
          </w:p>
        </w:tc>
      </w:tr>
      <w:tr w:rsidR="00E30271" w:rsidRPr="00182855" w:rsidTr="00E30271">
        <w:trPr>
          <w:cantSplit/>
          <w:jc w:val="center"/>
        </w:trPr>
        <w:tc>
          <w:tcPr>
            <w:tcW w:w="1060" w:type="dxa"/>
            <w:vMerge/>
            <w:tcBorders>
              <w:top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Pr>
                <w:lang w:eastAsia="en-AU"/>
              </w:rPr>
              <w:t>16-</w:t>
            </w:r>
            <w:r w:rsidRPr="00182855">
              <w:rPr>
                <w:lang w:eastAsia="en-AU"/>
              </w:rPr>
              <w:t>17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6.8</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4.9</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3.9</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2.9</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Pr>
                <w:lang w:eastAsia="en-AU"/>
              </w:rPr>
              <w:t>np</w:t>
            </w:r>
          </w:p>
        </w:tc>
      </w:tr>
      <w:tr w:rsidR="00E30271" w:rsidRPr="00182855" w:rsidTr="00E30271">
        <w:trPr>
          <w:cantSplit/>
          <w:jc w:val="center"/>
        </w:trPr>
        <w:tc>
          <w:tcPr>
            <w:tcW w:w="1060" w:type="dxa"/>
            <w:vMerge/>
            <w:tcBorders>
              <w:top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12-17 years</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4.5</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2.9</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1.9</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1.5</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np</w:t>
            </w:r>
          </w:p>
        </w:tc>
      </w:tr>
      <w:tr w:rsidR="00E30271" w:rsidRPr="00182855" w:rsidTr="00E30271">
        <w:trPr>
          <w:cantSplit/>
          <w:jc w:val="center"/>
        </w:trPr>
        <w:tc>
          <w:tcPr>
            <w:tcW w:w="1060" w:type="dxa"/>
            <w:vMerge w:val="restart"/>
            <w:tcBorders>
              <w:top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sidRPr="00182855">
              <w:rPr>
                <w:lang w:eastAsia="en-AU"/>
              </w:rPr>
              <w:t>Females</w:t>
            </w: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Pr>
                <w:lang w:eastAsia="en-AU"/>
              </w:rPr>
              <w:t>12-</w:t>
            </w:r>
            <w:r w:rsidRPr="00182855">
              <w:rPr>
                <w:lang w:eastAsia="en-AU"/>
              </w:rPr>
              <w:t>15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8.1</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5.9</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3.3</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2.7</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Pr>
                <w:lang w:eastAsia="en-AU"/>
              </w:rPr>
              <w:t>np</w:t>
            </w:r>
          </w:p>
        </w:tc>
      </w:tr>
      <w:tr w:rsidR="00E30271" w:rsidRPr="00182855" w:rsidTr="00E30271">
        <w:trPr>
          <w:cantSplit/>
          <w:jc w:val="center"/>
        </w:trPr>
        <w:tc>
          <w:tcPr>
            <w:tcW w:w="1060" w:type="dxa"/>
            <w:vMerge/>
            <w:tcBorders>
              <w:top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sidRPr="00182855">
              <w:rPr>
                <w:lang w:eastAsia="en-AU"/>
              </w:rPr>
              <w:t>16</w:t>
            </w:r>
            <w:r>
              <w:rPr>
                <w:lang w:eastAsia="en-AU"/>
              </w:rPr>
              <w:t>-</w:t>
            </w:r>
            <w:r w:rsidRPr="00182855">
              <w:rPr>
                <w:lang w:eastAsia="en-AU"/>
              </w:rPr>
              <w:t>17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15.4</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10.6</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6.7</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4.7</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1.6</w:t>
            </w:r>
          </w:p>
        </w:tc>
      </w:tr>
      <w:tr w:rsidR="00E30271" w:rsidRPr="00182855" w:rsidTr="00E30271">
        <w:trPr>
          <w:cantSplit/>
          <w:jc w:val="center"/>
        </w:trPr>
        <w:tc>
          <w:tcPr>
            <w:tcW w:w="1060" w:type="dxa"/>
            <w:vMerge/>
            <w:tcBorders>
              <w:top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12-17 years</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10.7</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7.6</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4.5</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3.4</w:t>
            </w:r>
          </w:p>
        </w:tc>
        <w:tc>
          <w:tcPr>
            <w:tcW w:w="1373"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1.1</w:t>
            </w:r>
          </w:p>
        </w:tc>
      </w:tr>
      <w:tr w:rsidR="00E30271" w:rsidRPr="00182855" w:rsidTr="00E30271">
        <w:trPr>
          <w:cantSplit/>
          <w:jc w:val="center"/>
        </w:trPr>
        <w:tc>
          <w:tcPr>
            <w:tcW w:w="1060" w:type="dxa"/>
            <w:vMerge w:val="restart"/>
            <w:tcBorders>
              <w:top w:val="single" w:sz="4" w:space="0" w:color="FFFFFF"/>
              <w:bottom w:val="single" w:sz="6" w:space="0" w:color="000000"/>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Persons</w:t>
            </w: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Pr>
                <w:lang w:eastAsia="en-AU"/>
              </w:rPr>
              <w:t>12-</w:t>
            </w:r>
            <w:r w:rsidRPr="00182855">
              <w:rPr>
                <w:lang w:eastAsia="en-AU"/>
              </w:rPr>
              <w:t>15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5.6</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3.8</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2.0</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1.7</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Pr>
                <w:lang w:eastAsia="en-AU"/>
              </w:rPr>
              <w:t>np</w:t>
            </w:r>
          </w:p>
        </w:tc>
      </w:tr>
      <w:tr w:rsidR="00E30271" w:rsidRPr="00182855" w:rsidTr="00E30271">
        <w:trPr>
          <w:cantSplit/>
          <w:jc w:val="center"/>
        </w:trPr>
        <w:tc>
          <w:tcPr>
            <w:tcW w:w="1060" w:type="dxa"/>
            <w:vMerge/>
            <w:tcBorders>
              <w:top w:val="single" w:sz="6" w:space="0" w:color="000000"/>
              <w:bottom w:val="single" w:sz="6" w:space="0" w:color="000000"/>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4" w:space="0" w:color="FFFFFF"/>
              <w:right w:val="nil"/>
            </w:tcBorders>
            <w:shd w:val="clear" w:color="auto" w:fill="EFF3FF"/>
            <w:tcMar>
              <w:left w:w="40" w:type="dxa"/>
              <w:right w:w="40" w:type="dxa"/>
            </w:tcMar>
          </w:tcPr>
          <w:p w:rsidR="00E30271" w:rsidRPr="00182855" w:rsidRDefault="00E30271" w:rsidP="00E30271">
            <w:pPr>
              <w:pStyle w:val="TableRowHeadings"/>
              <w:rPr>
                <w:lang w:eastAsia="en-AU"/>
              </w:rPr>
            </w:pPr>
            <w:r>
              <w:rPr>
                <w:lang w:eastAsia="en-AU"/>
              </w:rPr>
              <w:t>16-</w:t>
            </w:r>
            <w:r w:rsidRPr="00182855">
              <w:rPr>
                <w:lang w:eastAsia="en-AU"/>
              </w:rPr>
              <w:t>17 years</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11.2</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7.8</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5.3</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3.8</w:t>
            </w:r>
          </w:p>
        </w:tc>
        <w:tc>
          <w:tcPr>
            <w:tcW w:w="1373" w:type="dxa"/>
            <w:tcBorders>
              <w:top w:val="nil"/>
              <w:left w:val="nil"/>
              <w:bottom w:val="nil"/>
              <w:right w:val="nil"/>
            </w:tcBorders>
            <w:shd w:val="clear" w:color="auto" w:fill="FFFFFF"/>
            <w:tcMar>
              <w:left w:w="40" w:type="dxa"/>
              <w:right w:w="40" w:type="dxa"/>
            </w:tcMar>
            <w:vAlign w:val="bottom"/>
          </w:tcPr>
          <w:p w:rsidR="00E30271" w:rsidRPr="00182855" w:rsidRDefault="00E30271" w:rsidP="00E30271">
            <w:pPr>
              <w:pStyle w:val="TableDataCell"/>
              <w:rPr>
                <w:lang w:eastAsia="en-AU"/>
              </w:rPr>
            </w:pPr>
            <w:r w:rsidRPr="00182855">
              <w:rPr>
                <w:lang w:eastAsia="en-AU"/>
              </w:rPr>
              <w:t>1.0</w:t>
            </w:r>
          </w:p>
        </w:tc>
      </w:tr>
      <w:tr w:rsidR="00E30271" w:rsidRPr="00182855" w:rsidTr="00E30271">
        <w:trPr>
          <w:cantSplit/>
          <w:jc w:val="center"/>
        </w:trPr>
        <w:tc>
          <w:tcPr>
            <w:tcW w:w="1060" w:type="dxa"/>
            <w:vMerge/>
            <w:tcBorders>
              <w:top w:val="single" w:sz="6" w:space="0" w:color="000000"/>
              <w:bottom w:val="single" w:sz="6" w:space="0" w:color="000000"/>
              <w:right w:val="nil"/>
            </w:tcBorders>
            <w:shd w:val="clear" w:color="auto" w:fill="EFF3FF"/>
            <w:tcMar>
              <w:left w:w="40" w:type="dxa"/>
              <w:right w:w="40" w:type="dxa"/>
            </w:tcMar>
          </w:tcPr>
          <w:p w:rsidR="00E30271" w:rsidRPr="00182855" w:rsidRDefault="00E30271" w:rsidP="00E30271">
            <w:pPr>
              <w:pStyle w:val="TableRowHeadings"/>
              <w:rPr>
                <w:rFonts w:ascii="Times New Roman" w:hAnsi="Times New Roman" w:cs="Times New Roman"/>
                <w:sz w:val="24"/>
                <w:szCs w:val="24"/>
                <w:lang w:eastAsia="en-AU"/>
              </w:rPr>
            </w:pPr>
          </w:p>
        </w:tc>
        <w:tc>
          <w:tcPr>
            <w:tcW w:w="1204" w:type="dxa"/>
            <w:tcBorders>
              <w:top w:val="nil"/>
              <w:left w:val="single" w:sz="4" w:space="0" w:color="FFFFFF"/>
              <w:bottom w:val="single" w:sz="6" w:space="0" w:color="000000"/>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12-17 years</w:t>
            </w:r>
          </w:p>
        </w:tc>
        <w:tc>
          <w:tcPr>
            <w:tcW w:w="1373"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7.5</w:t>
            </w:r>
          </w:p>
        </w:tc>
        <w:tc>
          <w:tcPr>
            <w:tcW w:w="1373"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5.2</w:t>
            </w:r>
          </w:p>
        </w:tc>
        <w:tc>
          <w:tcPr>
            <w:tcW w:w="1373"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3.2</w:t>
            </w:r>
          </w:p>
        </w:tc>
        <w:tc>
          <w:tcPr>
            <w:tcW w:w="1373"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2.4</w:t>
            </w:r>
          </w:p>
        </w:tc>
        <w:tc>
          <w:tcPr>
            <w:tcW w:w="1373" w:type="dxa"/>
            <w:tcBorders>
              <w:top w:val="nil"/>
              <w:left w:val="nil"/>
              <w:bottom w:val="single" w:sz="6" w:space="0" w:color="000000"/>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0.6</w:t>
            </w:r>
          </w:p>
        </w:tc>
      </w:tr>
    </w:tbl>
    <w:p w:rsidR="00E30271" w:rsidRPr="00182855" w:rsidRDefault="00E30271" w:rsidP="00E30271">
      <w:pPr>
        <w:pStyle w:val="TableFootnote"/>
        <w:rPr>
          <w:rFonts w:cs="Source Sans Pro Light"/>
          <w:sz w:val="20"/>
          <w:szCs w:val="20"/>
        </w:rPr>
      </w:pPr>
      <w:proofErr w:type="gramStart"/>
      <w:r>
        <w:t>np</w:t>
      </w:r>
      <w:proofErr w:type="gramEnd"/>
      <w:r>
        <w:tab/>
        <w:t>Not available for publication because of small cell size, but included in totals where applicable.</w:t>
      </w:r>
    </w:p>
    <w:p w:rsidR="00E30271" w:rsidRDefault="00E30271" w:rsidP="00E30271">
      <w:pPr>
        <w:pStyle w:val="Heading3"/>
      </w:pPr>
      <w:bookmarkStart w:id="228" w:name="_Toc401758827"/>
      <w:r>
        <w:t>11.2.1</w:t>
      </w:r>
      <w:r>
        <w:tab/>
        <w:t>Suicidal behaviours and mental disorder</w:t>
      </w:r>
      <w:bookmarkEnd w:id="228"/>
    </w:p>
    <w:p w:rsidR="00E30271" w:rsidRDefault="00E30271" w:rsidP="00E30271">
      <w:pPr>
        <w:pStyle w:val="BodyText"/>
      </w:pPr>
      <w:r>
        <w:t xml:space="preserve">Suicidal behaviours were strongly associated with mental </w:t>
      </w:r>
      <w:r w:rsidR="005A61DA">
        <w:t>disorder</w:t>
      </w:r>
      <w:r>
        <w:t>, in particular major depressive disorder. Rates of suicidal ideation, suicide plans and suicide attempts were much lower in young people whose parents or carers had identified any other mental illness apart from major depressive disorder than in those young people where major depressive disorder was identified. In addition these rates were higher when the major depressive disorder was based on information provided by the young person themselves than when based on information provided by the parent or carer.</w:t>
      </w:r>
    </w:p>
    <w:p w:rsidR="00E30271" w:rsidRDefault="00E30271" w:rsidP="00E30271">
      <w:pPr>
        <w:pStyle w:val="BodyText"/>
      </w:pPr>
      <w:r>
        <w:t>Among young males identified with major depressive disorder based on adolescent self-report information, nearly one third (29.2%) had seriously considered suicide and 13.8% had attempted suicide in the previous 12 months, compared with 3.1% and 0.4% of young males without a mental disorder based on either the parent or adolescent report. Similarly for females, over half (56.4%) of those who were identified with major depressive disorder based on adolescent self-report information had seriously considered suicide, and over one fifth (22.1%) had attempted suicide while 3.5% of females with no identified mental disorder had seriously considered suicide and the number of females with no identified mental disorder who had attempted suicide was too small to allow an estimate to be produced (Table 11-</w:t>
      </w:r>
      <w:r>
        <w:rPr>
          <w:noProof/>
        </w:rPr>
        <w:t>5</w:t>
      </w:r>
      <w:r>
        <w:t>).</w:t>
      </w:r>
    </w:p>
    <w:p w:rsidR="00E30271" w:rsidRDefault="00E30271" w:rsidP="00E30271">
      <w:pPr>
        <w:pStyle w:val="BodyText"/>
      </w:pPr>
      <w:r>
        <w:t>The highest rates of suicidal behaviours were in young people with major depressive disorder. This was particularly so for adolescent females. Approximately half of females with major depressive disorder based on self-report (56.4% or 47.7% based on parent or carer report) had seriously considered attempting suicide in the previous 12 months compared with just under one third (29.2%) of males with major depressive disorder based on self-report (or 17.0% based on parent or carer report). These rates were four to five times higher than for young people with other disorders based on their parents’ or carers’ reports and around ten times the rates for young people with no disorder (Table 11-</w:t>
      </w:r>
      <w:r>
        <w:rPr>
          <w:noProof/>
        </w:rPr>
        <w:t>5</w:t>
      </w:r>
      <w:r>
        <w:t xml:space="preserve">). </w:t>
      </w:r>
    </w:p>
    <w:p w:rsidR="00E30271" w:rsidRDefault="00E30271" w:rsidP="00E30271">
      <w:pPr>
        <w:pStyle w:val="BodyText"/>
      </w:pPr>
      <w:r>
        <w:lastRenderedPageBreak/>
        <w:t>Suicide plans followed a similar pattern, with 45.3% of young females and 26.0% of young males with major depressive disorder based on self-report having made a suicide plan in the previous 12 months compared with 15.1% of females and 3.5% of males with another disorder and 1.9% of females and 1.6% of males with no disorder.</w:t>
      </w:r>
    </w:p>
    <w:p w:rsidR="00E30271" w:rsidRDefault="00E30271" w:rsidP="00E30271">
      <w:pPr>
        <w:pStyle w:val="BodyText"/>
      </w:pPr>
      <w:r>
        <w:t xml:space="preserve">Just over one in eight young males with major depressive disorder (13.8% when based on their self-report or 12.2% based on parent report) attempted suicide in the previous 12 months. </w:t>
      </w:r>
      <w:r w:rsidRPr="0011389E">
        <w:t>One quarter of these (3.4% of males with major depressive disorder based on self</w:t>
      </w:r>
      <w:r w:rsidRPr="0011389E">
        <w:noBreakHyphen/>
        <w:t>report) received medical treatment as a direct result of their injuries. The rate of suicide attempts was much higher for females with major depressive disorder. Just over one in five (22.1% when major depressive disorder based on self-report or 22.7% based on parent report) attempted suicide in the previous 12 months and around one third of these (6.8% of females with major depressive disorder based on self</w:t>
      </w:r>
      <w:r w:rsidRPr="0011389E">
        <w:noBreakHyphen/>
        <w:t>report) had received medical treatment as a direct result of their injuries</w:t>
      </w:r>
      <w:r>
        <w:t>. By comparison just 0.4% of young people with no disorder had attempted suicide in the previous year.</w:t>
      </w:r>
    </w:p>
    <w:p w:rsidR="00E30271" w:rsidRDefault="00E30271" w:rsidP="00E30271">
      <w:pPr>
        <w:pStyle w:val="Caption"/>
        <w:keepNext/>
      </w:pPr>
      <w:bookmarkStart w:id="229" w:name="_Ref406413107"/>
      <w:r>
        <w:t>Table 11-</w:t>
      </w:r>
      <w:r>
        <w:rPr>
          <w:noProof/>
        </w:rPr>
        <w:t>5</w:t>
      </w:r>
      <w:bookmarkEnd w:id="229"/>
      <w:r>
        <w:t>: Suicidal ideation, suicide plans and suicide attempts in the past 12 months among 12-17 year-olds by sex and mental health status</w:t>
      </w:r>
    </w:p>
    <w:tbl>
      <w:tblPr>
        <w:tblW w:w="0" w:type="auto"/>
        <w:jc w:val="center"/>
        <w:tblLayout w:type="fixed"/>
        <w:tblCellMar>
          <w:left w:w="0" w:type="dxa"/>
          <w:right w:w="0" w:type="dxa"/>
        </w:tblCellMar>
        <w:tblLook w:val="0000" w:firstRow="0" w:lastRow="0" w:firstColumn="0" w:lastColumn="0" w:noHBand="0" w:noVBand="0"/>
        <w:tblDescription w:val="In Table 11-5 the first column defines sex, the second column defines mental health status. Read across the row for the proportion who have suicidal ideation, suicide plans or suicide attempt for each grouping of sex and mental health status."/>
      </w:tblPr>
      <w:tblGrid>
        <w:gridCol w:w="891"/>
        <w:gridCol w:w="4816"/>
        <w:gridCol w:w="1130"/>
        <w:gridCol w:w="1131"/>
        <w:gridCol w:w="1131"/>
      </w:tblGrid>
      <w:tr w:rsidR="00E30271" w:rsidRPr="00402828" w:rsidTr="00E30271">
        <w:trPr>
          <w:cantSplit/>
          <w:tblHeader/>
          <w:jc w:val="center"/>
        </w:trPr>
        <w:tc>
          <w:tcPr>
            <w:tcW w:w="891" w:type="dxa"/>
            <w:tcBorders>
              <w:top w:val="single" w:sz="6" w:space="0" w:color="auto"/>
              <w:bottom w:val="single" w:sz="2"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r w:rsidRPr="00BF4CEF">
              <w:rPr>
                <w:rStyle w:val="Strong"/>
              </w:rPr>
              <w:t>Sex</w:t>
            </w:r>
          </w:p>
        </w:tc>
        <w:tc>
          <w:tcPr>
            <w:tcW w:w="4816" w:type="dxa"/>
            <w:tcBorders>
              <w:top w:val="single" w:sz="6" w:space="0" w:color="auto"/>
              <w:left w:val="single" w:sz="2" w:space="0" w:color="FFFFFF"/>
              <w:bottom w:val="single" w:sz="2" w:space="0" w:color="000000"/>
              <w:right w:val="nil"/>
            </w:tcBorders>
            <w:shd w:val="clear" w:color="auto" w:fill="EFF3FF"/>
            <w:vAlign w:val="bottom"/>
          </w:tcPr>
          <w:p w:rsidR="00E30271" w:rsidRPr="00BF4CEF" w:rsidRDefault="00E30271" w:rsidP="00E30271">
            <w:pPr>
              <w:pStyle w:val="TableColumnHeadings"/>
              <w:jc w:val="left"/>
              <w:rPr>
                <w:rStyle w:val="Strong"/>
              </w:rPr>
            </w:pPr>
            <w:r w:rsidRPr="00BF4CEF">
              <w:rPr>
                <w:rStyle w:val="Strong"/>
              </w:rPr>
              <w:t>Mental health status</w:t>
            </w:r>
          </w:p>
        </w:tc>
        <w:tc>
          <w:tcPr>
            <w:tcW w:w="1130"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Suicidal ideation (%)</w:t>
            </w:r>
          </w:p>
        </w:tc>
        <w:tc>
          <w:tcPr>
            <w:tcW w:w="1131"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plan (%)</w:t>
            </w:r>
          </w:p>
        </w:tc>
        <w:tc>
          <w:tcPr>
            <w:tcW w:w="1131"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attempt (%)</w:t>
            </w:r>
          </w:p>
        </w:tc>
      </w:tr>
      <w:tr w:rsidR="00E30271" w:rsidRPr="00402828" w:rsidTr="00E30271">
        <w:trPr>
          <w:cantSplit/>
          <w:jc w:val="center"/>
        </w:trPr>
        <w:tc>
          <w:tcPr>
            <w:tcW w:w="891" w:type="dxa"/>
            <w:vMerge w:val="restart"/>
            <w:tcBorders>
              <w:top w:val="single" w:sz="2" w:space="0" w:color="000000"/>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sidRPr="00402828">
              <w:rPr>
                <w:lang w:eastAsia="en-AU"/>
              </w:rPr>
              <w:t>Males</w:t>
            </w: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29.2</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26.0</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13.8</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17.0</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13.5</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12.2</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5.2</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3.5</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4.4</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3.1</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1.6</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0.4</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All males</w:t>
            </w:r>
          </w:p>
        </w:tc>
        <w:tc>
          <w:tcPr>
            <w:tcW w:w="113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4.5</w:t>
            </w:r>
          </w:p>
        </w:tc>
        <w:tc>
          <w:tcPr>
            <w:tcW w:w="113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2.9</w:t>
            </w:r>
          </w:p>
        </w:tc>
        <w:tc>
          <w:tcPr>
            <w:tcW w:w="113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1.5</w:t>
            </w:r>
          </w:p>
        </w:tc>
      </w:tr>
      <w:tr w:rsidR="00E30271" w:rsidRPr="00402828" w:rsidTr="00E30271">
        <w:trPr>
          <w:cantSplit/>
          <w:jc w:val="center"/>
        </w:trPr>
        <w:tc>
          <w:tcPr>
            <w:tcW w:w="891" w:type="dxa"/>
            <w:vMerge w:val="restart"/>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sidRPr="00402828">
              <w:rPr>
                <w:lang w:eastAsia="en-AU"/>
              </w:rPr>
              <w:t>Females</w:t>
            </w: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56.4</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45.3</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22.1</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47.7</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36.0</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22.7</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17.5</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15.1</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7.5</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3.5</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1.9</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Pr>
                <w:lang w:eastAsia="en-AU"/>
              </w:rPr>
              <w:t>np</w:t>
            </w:r>
          </w:p>
        </w:tc>
      </w:tr>
      <w:tr w:rsidR="00E30271" w:rsidRPr="00402828" w:rsidTr="00E30271">
        <w:trPr>
          <w:cantSplit/>
          <w:jc w:val="center"/>
        </w:trPr>
        <w:tc>
          <w:tcPr>
            <w:tcW w:w="891" w:type="dxa"/>
            <w:vMerge/>
            <w:tcBorders>
              <w:top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BF4CEF" w:rsidRDefault="00E30271" w:rsidP="00E30271">
            <w:pPr>
              <w:pStyle w:val="TableRowHeadings"/>
              <w:rPr>
                <w:rStyle w:val="Strong"/>
              </w:rPr>
            </w:pPr>
            <w:r w:rsidRPr="00BF4CEF">
              <w:rPr>
                <w:rStyle w:val="Strong"/>
              </w:rPr>
              <w:t>All females</w:t>
            </w:r>
          </w:p>
        </w:tc>
        <w:tc>
          <w:tcPr>
            <w:tcW w:w="1130"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10.7</w:t>
            </w:r>
          </w:p>
        </w:tc>
        <w:tc>
          <w:tcPr>
            <w:tcW w:w="113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7.6</w:t>
            </w:r>
          </w:p>
        </w:tc>
        <w:tc>
          <w:tcPr>
            <w:tcW w:w="1131" w:type="dxa"/>
            <w:tcBorders>
              <w:top w:val="nil"/>
              <w:left w:val="nil"/>
              <w:bottom w:val="nil"/>
              <w:right w:val="nil"/>
            </w:tcBorders>
            <w:shd w:val="clear" w:color="auto" w:fill="FFFFFF"/>
            <w:tcMar>
              <w:left w:w="40" w:type="dxa"/>
              <w:right w:w="40" w:type="dxa"/>
            </w:tcMar>
            <w:vAlign w:val="bottom"/>
          </w:tcPr>
          <w:p w:rsidR="00E30271" w:rsidRPr="00BF4CEF" w:rsidRDefault="00E30271" w:rsidP="00E30271">
            <w:pPr>
              <w:pStyle w:val="TableDataCell"/>
              <w:rPr>
                <w:rStyle w:val="Strong"/>
              </w:rPr>
            </w:pPr>
            <w:r w:rsidRPr="00BF4CEF">
              <w:rPr>
                <w:rStyle w:val="Strong"/>
              </w:rPr>
              <w:t>3.4</w:t>
            </w:r>
          </w:p>
        </w:tc>
      </w:tr>
      <w:tr w:rsidR="00E30271" w:rsidRPr="00402828" w:rsidTr="00E30271">
        <w:trPr>
          <w:cantSplit/>
          <w:jc w:val="center"/>
        </w:trPr>
        <w:tc>
          <w:tcPr>
            <w:tcW w:w="891" w:type="dxa"/>
            <w:vMerge w:val="restart"/>
            <w:tcBorders>
              <w:top w:val="single" w:sz="2" w:space="0" w:color="FFFFFF"/>
              <w:bottom w:val="single" w:sz="6" w:space="0" w:color="auto"/>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Persons</w:t>
            </w: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w:t>
            </w:r>
            <w:r>
              <w:t>ajor depressive disorder based on adolescent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48.6</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39.8</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19.7</w:t>
            </w:r>
          </w:p>
        </w:tc>
      </w:tr>
      <w:tr w:rsidR="00E30271" w:rsidRPr="00402828" w:rsidTr="00E30271">
        <w:trPr>
          <w:cantSplit/>
          <w:jc w:val="center"/>
        </w:trPr>
        <w:tc>
          <w:tcPr>
            <w:tcW w:w="891" w:type="dxa"/>
            <w:vMerge/>
            <w:tcBorders>
              <w:top w:val="single" w:sz="12" w:space="0" w:color="000000"/>
              <w:bottom w:val="single" w:sz="6" w:space="0" w:color="auto"/>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Ma</w:t>
            </w:r>
            <w:r>
              <w:t>jor depressive disorder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34.9</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26.7</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18.4</w:t>
            </w:r>
          </w:p>
        </w:tc>
      </w:tr>
      <w:tr w:rsidR="00E30271" w:rsidRPr="00402828" w:rsidTr="00E30271">
        <w:trPr>
          <w:cantSplit/>
          <w:jc w:val="center"/>
        </w:trPr>
        <w:tc>
          <w:tcPr>
            <w:tcW w:w="891" w:type="dxa"/>
            <w:vMerge/>
            <w:tcBorders>
              <w:top w:val="single" w:sz="12" w:space="0" w:color="000000"/>
              <w:bottom w:val="single" w:sz="6" w:space="0" w:color="auto"/>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402828" w:rsidRDefault="00E30271" w:rsidP="00E30271">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9.8</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7.9</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lang w:eastAsia="en-AU"/>
              </w:rPr>
            </w:pPr>
            <w:r w:rsidRPr="00402828">
              <w:rPr>
                <w:lang w:eastAsia="en-AU"/>
              </w:rPr>
              <w:t>5.5</w:t>
            </w:r>
          </w:p>
        </w:tc>
      </w:tr>
      <w:tr w:rsidR="00E30271" w:rsidRPr="00402828" w:rsidTr="00E30271">
        <w:trPr>
          <w:cantSplit/>
          <w:jc w:val="center"/>
        </w:trPr>
        <w:tc>
          <w:tcPr>
            <w:tcW w:w="891" w:type="dxa"/>
            <w:vMerge/>
            <w:tcBorders>
              <w:top w:val="single" w:sz="12" w:space="0" w:color="000000"/>
              <w:bottom w:val="single" w:sz="6" w:space="0" w:color="auto"/>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2" w:space="0" w:color="FFFFFF"/>
              <w:right w:val="nil"/>
            </w:tcBorders>
            <w:shd w:val="clear" w:color="auto" w:fill="EFF3FF"/>
            <w:tcMar>
              <w:left w:w="40" w:type="dxa"/>
              <w:right w:w="40" w:type="dxa"/>
            </w:tcMar>
          </w:tcPr>
          <w:p w:rsidR="00E30271" w:rsidRPr="002308E6" w:rsidRDefault="00E30271" w:rsidP="00E30271">
            <w:pPr>
              <w:pStyle w:val="TableRowHeadings"/>
            </w:pPr>
            <w:r w:rsidRPr="002308E6">
              <w:t>No disorder</w:t>
            </w:r>
          </w:p>
        </w:tc>
        <w:tc>
          <w:tcPr>
            <w:tcW w:w="1130"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rFonts w:eastAsiaTheme="minorEastAsia"/>
                <w:szCs w:val="20"/>
                <w:lang w:eastAsia="en-AU"/>
              </w:rPr>
            </w:pPr>
            <w:r w:rsidRPr="00402828">
              <w:rPr>
                <w:rFonts w:eastAsiaTheme="minorEastAsia"/>
                <w:szCs w:val="20"/>
                <w:lang w:eastAsia="en-AU"/>
              </w:rPr>
              <w:t>3.3</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rFonts w:eastAsiaTheme="minorEastAsia"/>
                <w:szCs w:val="20"/>
                <w:lang w:eastAsia="en-AU"/>
              </w:rPr>
            </w:pPr>
            <w:r w:rsidRPr="00402828">
              <w:rPr>
                <w:rFonts w:eastAsiaTheme="minorEastAsia"/>
                <w:szCs w:val="20"/>
                <w:lang w:eastAsia="en-AU"/>
              </w:rPr>
              <w:t>1.8</w:t>
            </w:r>
          </w:p>
        </w:tc>
        <w:tc>
          <w:tcPr>
            <w:tcW w:w="1131" w:type="dxa"/>
            <w:tcBorders>
              <w:top w:val="nil"/>
              <w:left w:val="nil"/>
              <w:bottom w:val="nil"/>
              <w:right w:val="nil"/>
            </w:tcBorders>
            <w:shd w:val="clear" w:color="auto" w:fill="FFFFFF"/>
            <w:tcMar>
              <w:left w:w="40" w:type="dxa"/>
              <w:right w:w="40" w:type="dxa"/>
            </w:tcMar>
            <w:vAlign w:val="bottom"/>
          </w:tcPr>
          <w:p w:rsidR="00E30271" w:rsidRPr="00402828" w:rsidRDefault="00E30271" w:rsidP="00E30271">
            <w:pPr>
              <w:pStyle w:val="TableDataCell"/>
              <w:rPr>
                <w:rFonts w:eastAsiaTheme="minorEastAsia"/>
                <w:szCs w:val="20"/>
                <w:lang w:eastAsia="en-AU"/>
              </w:rPr>
            </w:pPr>
            <w:r w:rsidRPr="00402828">
              <w:rPr>
                <w:rFonts w:eastAsiaTheme="minorEastAsia"/>
                <w:szCs w:val="20"/>
                <w:lang w:eastAsia="en-AU"/>
              </w:rPr>
              <w:t>0.4</w:t>
            </w:r>
          </w:p>
        </w:tc>
      </w:tr>
      <w:tr w:rsidR="00E30271" w:rsidRPr="00402828" w:rsidTr="00E30271">
        <w:trPr>
          <w:cantSplit/>
          <w:jc w:val="center"/>
        </w:trPr>
        <w:tc>
          <w:tcPr>
            <w:tcW w:w="891" w:type="dxa"/>
            <w:vMerge/>
            <w:tcBorders>
              <w:top w:val="single" w:sz="12" w:space="0" w:color="000000"/>
              <w:bottom w:val="single" w:sz="6" w:space="0" w:color="auto"/>
              <w:right w:val="nil"/>
            </w:tcBorders>
            <w:shd w:val="clear" w:color="auto" w:fill="EFF3FF"/>
            <w:tcMar>
              <w:left w:w="40" w:type="dxa"/>
              <w:right w:w="40" w:type="dxa"/>
            </w:tcMar>
          </w:tcPr>
          <w:p w:rsidR="00E30271" w:rsidRPr="00402828" w:rsidRDefault="00E30271" w:rsidP="00E30271">
            <w:pPr>
              <w:pStyle w:val="TableRowHeadings"/>
              <w:rPr>
                <w:rFonts w:ascii="Times New Roman" w:hAnsi="Times New Roman" w:cs="Times New Roman"/>
                <w:sz w:val="24"/>
                <w:szCs w:val="24"/>
                <w:lang w:eastAsia="en-AU"/>
              </w:rPr>
            </w:pPr>
          </w:p>
        </w:tc>
        <w:tc>
          <w:tcPr>
            <w:tcW w:w="4816" w:type="dxa"/>
            <w:tcBorders>
              <w:top w:val="nil"/>
              <w:left w:val="single" w:sz="2" w:space="0" w:color="FFFFFF"/>
              <w:bottom w:val="single" w:sz="6" w:space="0" w:color="auto"/>
              <w:right w:val="nil"/>
            </w:tcBorders>
            <w:shd w:val="clear" w:color="auto" w:fill="EFF3FF"/>
            <w:tcMar>
              <w:left w:w="40" w:type="dxa"/>
              <w:right w:w="40" w:type="dxa"/>
            </w:tcMar>
          </w:tcPr>
          <w:p w:rsidR="00E30271" w:rsidRPr="00F31D61" w:rsidRDefault="00E30271" w:rsidP="00E30271">
            <w:pPr>
              <w:pStyle w:val="TableRowHeadings"/>
              <w:rPr>
                <w:rStyle w:val="Strong"/>
              </w:rPr>
            </w:pPr>
            <w:r w:rsidRPr="00F31D61">
              <w:rPr>
                <w:rStyle w:val="Strong"/>
              </w:rPr>
              <w:t>All persons</w:t>
            </w:r>
          </w:p>
        </w:tc>
        <w:tc>
          <w:tcPr>
            <w:tcW w:w="1130" w:type="dxa"/>
            <w:tcBorders>
              <w:top w:val="nil"/>
              <w:left w:val="nil"/>
              <w:bottom w:val="single" w:sz="6" w:space="0" w:color="auto"/>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7.5</w:t>
            </w:r>
          </w:p>
        </w:tc>
        <w:tc>
          <w:tcPr>
            <w:tcW w:w="1131" w:type="dxa"/>
            <w:tcBorders>
              <w:top w:val="nil"/>
              <w:left w:val="nil"/>
              <w:bottom w:val="single" w:sz="6" w:space="0" w:color="auto"/>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5.2</w:t>
            </w:r>
          </w:p>
        </w:tc>
        <w:tc>
          <w:tcPr>
            <w:tcW w:w="1131" w:type="dxa"/>
            <w:tcBorders>
              <w:top w:val="nil"/>
              <w:left w:val="nil"/>
              <w:bottom w:val="single" w:sz="6" w:space="0" w:color="auto"/>
              <w:right w:val="nil"/>
            </w:tcBorders>
            <w:shd w:val="clear" w:color="auto" w:fill="FFFFFF"/>
            <w:tcMar>
              <w:left w:w="40" w:type="dxa"/>
              <w:right w:w="40" w:type="dxa"/>
            </w:tcMar>
            <w:vAlign w:val="bottom"/>
          </w:tcPr>
          <w:p w:rsidR="00E30271" w:rsidRPr="00F31D61" w:rsidRDefault="00E30271" w:rsidP="00E30271">
            <w:pPr>
              <w:pStyle w:val="TableDataCell"/>
              <w:rPr>
                <w:rStyle w:val="Strong"/>
              </w:rPr>
            </w:pPr>
            <w:r w:rsidRPr="00F31D61">
              <w:rPr>
                <w:rStyle w:val="Strong"/>
              </w:rPr>
              <w:t>2.4</w:t>
            </w:r>
          </w:p>
        </w:tc>
      </w:tr>
    </w:tbl>
    <w:p w:rsidR="00E30271" w:rsidRDefault="00E30271" w:rsidP="00E30271">
      <w:pPr>
        <w:pStyle w:val="TableFootnote"/>
      </w:pPr>
      <w:proofErr w:type="gramStart"/>
      <w:r>
        <w:t>np</w:t>
      </w:r>
      <w:proofErr w:type="gramEnd"/>
      <w:r>
        <w:tab/>
        <w:t>Not available for publication because of small cell size, but included in totals where applicable.</w:t>
      </w:r>
    </w:p>
    <w:p w:rsidR="00E30271" w:rsidRDefault="00E30271" w:rsidP="00E30271">
      <w:pPr>
        <w:pStyle w:val="BodyText"/>
      </w:pPr>
      <w:r>
        <w:t>The DSM-IV criteria for major depressive disorder require a minimum of five symptoms of depression to be present in the same period. One of the symptoms is “recurrent thoughts of death (not just fear of dying), recurrent suicidal ideation without a specific plan, or a suicide attempt or a specific plan for committing suicide”. As such, suicidal behaviours contribute towards establishing the diagnosis of major depressive disorder.</w:t>
      </w:r>
    </w:p>
    <w:p w:rsidR="00E30271" w:rsidRDefault="00E30271" w:rsidP="00E30271">
      <w:pPr>
        <w:pStyle w:val="Heading3"/>
      </w:pPr>
      <w:r>
        <w:lastRenderedPageBreak/>
        <w:t>11.2.2</w:t>
      </w:r>
      <w:r>
        <w:tab/>
        <w:t>Suicidal behaviours and service use</w:t>
      </w:r>
    </w:p>
    <w:p w:rsidR="00E30271" w:rsidRDefault="00E30271" w:rsidP="00E30271">
      <w:pPr>
        <w:pStyle w:val="BodyText"/>
      </w:pPr>
      <w:r>
        <w:rPr>
          <w:lang w:eastAsia="en-AU"/>
        </w:rPr>
        <w:t>Seven in ten (70.9%) 13-17 year-olds who reported a suicide attempt in the previous 12 months had used services for emotional or behavioural problems in the previous 12 months (</w:t>
      </w:r>
      <w:r>
        <w:t>Table 11-</w:t>
      </w:r>
      <w:r>
        <w:rPr>
          <w:noProof/>
        </w:rPr>
        <w:t>6</w:t>
      </w:r>
      <w:r>
        <w:rPr>
          <w:lang w:eastAsia="en-AU"/>
        </w:rPr>
        <w:t xml:space="preserve">). Most of these had used health services (69.8%). Over half of 13-17 year-olds who reported a suicide attempt in the previous 12 months had used school services (57.9%), one fifth had used a telephone counselling service (21.9%) and one tenth (10.9%) had used an </w:t>
      </w:r>
      <w:r>
        <w:t xml:space="preserve">online personal support or counselling service such as those provided by </w:t>
      </w:r>
      <w:r w:rsidRPr="0054214D">
        <w:t xml:space="preserve">headspace, </w:t>
      </w:r>
      <w:proofErr w:type="spellStart"/>
      <w:r w:rsidRPr="0054214D">
        <w:t>Reachout</w:t>
      </w:r>
      <w:proofErr w:type="spellEnd"/>
      <w:r w:rsidRPr="0054214D">
        <w:t xml:space="preserve">, </w:t>
      </w:r>
      <w:r>
        <w:t xml:space="preserve">and </w:t>
      </w:r>
      <w:r w:rsidRPr="0054214D">
        <w:t xml:space="preserve">Youth </w:t>
      </w:r>
      <w:proofErr w:type="spellStart"/>
      <w:r w:rsidRPr="0054214D">
        <w:t>beyondb</w:t>
      </w:r>
      <w:r>
        <w:t>lue</w:t>
      </w:r>
      <w:proofErr w:type="spellEnd"/>
      <w:r>
        <w:t>. The proportion that had used services was higher for females than males (77.9% and 50.6% respectively).</w:t>
      </w:r>
    </w:p>
    <w:p w:rsidR="00E30271" w:rsidRDefault="00E30271" w:rsidP="00E30271">
      <w:pPr>
        <w:pStyle w:val="BodyText"/>
      </w:pPr>
      <w:r>
        <w:t>Around six in ten adolescents who had seriously considered attempting suicide or had made a suicide plan in the previous 12 months had used services in the previous 12 months (56.6% and 59.2% respectively).</w:t>
      </w:r>
    </w:p>
    <w:p w:rsidR="00E30271" w:rsidRDefault="00E30271" w:rsidP="00E30271">
      <w:pPr>
        <w:pStyle w:val="BodyText"/>
      </w:pPr>
      <w:r>
        <w:t>It is not possible to say from the survey whether the services were used before or after the time of the young person seriously considering suicide, making a plan or making a suicide attempt.</w:t>
      </w:r>
    </w:p>
    <w:p w:rsidR="00E30271" w:rsidRDefault="00E30271" w:rsidP="00E30271">
      <w:pPr>
        <w:pStyle w:val="Caption"/>
        <w:keepNext/>
      </w:pPr>
      <w:bookmarkStart w:id="230" w:name="_Ref406414531"/>
      <w:r>
        <w:t>Table 11-</w:t>
      </w:r>
      <w:r>
        <w:rPr>
          <w:noProof/>
        </w:rPr>
        <w:t>6</w:t>
      </w:r>
      <w:bookmarkEnd w:id="230"/>
      <w:r>
        <w:t>: Service use in past 12 months among 13-17 year-olds reporting suicidal ideation, a suicide plan, or suicide attempt in past 12 months by type of service</w:t>
      </w:r>
    </w:p>
    <w:tbl>
      <w:tblPr>
        <w:tblW w:w="9107" w:type="dxa"/>
        <w:jc w:val="center"/>
        <w:tblLayout w:type="fixed"/>
        <w:tblCellMar>
          <w:left w:w="0" w:type="dxa"/>
          <w:right w:w="0" w:type="dxa"/>
        </w:tblCellMar>
        <w:tblLook w:val="0000" w:firstRow="0" w:lastRow="0" w:firstColumn="0" w:lastColumn="0" w:noHBand="0" w:noVBand="0"/>
        <w:tblDescription w:val="In Table 11-6 the first column defines the type of service. Read across the column for the proportion of 13-17 year-olds who had thought about suicice, who had a suicide plan, or had made a suicide attempt in the past 12 months using services in the past 12 months."/>
      </w:tblPr>
      <w:tblGrid>
        <w:gridCol w:w="5003"/>
        <w:gridCol w:w="1368"/>
        <w:gridCol w:w="1368"/>
        <w:gridCol w:w="1368"/>
      </w:tblGrid>
      <w:tr w:rsidR="00E30271" w:rsidRPr="00734E2D" w:rsidTr="00E30271">
        <w:trPr>
          <w:cantSplit/>
          <w:tblHeader/>
          <w:jc w:val="center"/>
        </w:trPr>
        <w:tc>
          <w:tcPr>
            <w:tcW w:w="5003" w:type="dxa"/>
            <w:tcBorders>
              <w:top w:val="single" w:sz="6" w:space="0" w:color="000000"/>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jc w:val="left"/>
              <w:rPr>
                <w:rStyle w:val="Strong"/>
              </w:rPr>
            </w:pPr>
            <w:r w:rsidRPr="00BF4CEF">
              <w:rPr>
                <w:rStyle w:val="Strong"/>
              </w:rPr>
              <w:t>Type of service</w:t>
            </w:r>
          </w:p>
        </w:tc>
        <w:tc>
          <w:tcPr>
            <w:tcW w:w="136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Suicidal ideation (%)</w:t>
            </w:r>
          </w:p>
        </w:tc>
        <w:tc>
          <w:tcPr>
            <w:tcW w:w="136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plan (%)</w:t>
            </w:r>
          </w:p>
        </w:tc>
        <w:tc>
          <w:tcPr>
            <w:tcW w:w="136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E30271" w:rsidRPr="00BF4CEF" w:rsidRDefault="00E30271" w:rsidP="00E30271">
            <w:pPr>
              <w:pStyle w:val="TableColumnHeadings"/>
              <w:rPr>
                <w:rStyle w:val="Strong"/>
              </w:rPr>
            </w:pPr>
            <w:r w:rsidRPr="00BF4CEF">
              <w:rPr>
                <w:rStyle w:val="Strong"/>
              </w:rPr>
              <w:t>Suicide attempt (%)</w:t>
            </w:r>
          </w:p>
        </w:tc>
      </w:tr>
      <w:tr w:rsidR="00E30271" w:rsidRPr="00734E2D" w:rsidTr="00E30271">
        <w:trPr>
          <w:cantSplit/>
          <w:jc w:val="center"/>
        </w:trPr>
        <w:tc>
          <w:tcPr>
            <w:tcW w:w="5003" w:type="dxa"/>
            <w:tcBorders>
              <w:top w:val="nil"/>
              <w:bottom w:val="single" w:sz="4" w:space="0" w:color="FFFFFF"/>
              <w:right w:val="nil"/>
            </w:tcBorders>
            <w:shd w:val="clear" w:color="auto" w:fill="EFF3FF"/>
            <w:tcMar>
              <w:left w:w="40" w:type="dxa"/>
              <w:right w:w="40" w:type="dxa"/>
            </w:tcMar>
          </w:tcPr>
          <w:p w:rsidR="00E30271" w:rsidRPr="00734E2D" w:rsidRDefault="00E30271" w:rsidP="00E30271">
            <w:pPr>
              <w:pStyle w:val="TableRowHeadings"/>
              <w:rPr>
                <w:lang w:eastAsia="en-AU"/>
              </w:rPr>
            </w:pPr>
            <w:r w:rsidRPr="00734E2D">
              <w:rPr>
                <w:lang w:eastAsia="en-AU"/>
              </w:rPr>
              <w:t>Health service</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53.2</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57.2</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69.8</w:t>
            </w:r>
          </w:p>
        </w:tc>
      </w:tr>
      <w:tr w:rsidR="00E30271" w:rsidRPr="00734E2D" w:rsidTr="00E30271">
        <w:trPr>
          <w:cantSplit/>
          <w:jc w:val="center"/>
        </w:trPr>
        <w:tc>
          <w:tcPr>
            <w:tcW w:w="5003" w:type="dxa"/>
            <w:tcBorders>
              <w:top w:val="nil"/>
              <w:bottom w:val="single" w:sz="4" w:space="0" w:color="FFFFFF"/>
              <w:right w:val="nil"/>
            </w:tcBorders>
            <w:shd w:val="clear" w:color="auto" w:fill="EFF3FF"/>
            <w:tcMar>
              <w:left w:w="40" w:type="dxa"/>
              <w:right w:w="40" w:type="dxa"/>
            </w:tcMar>
          </w:tcPr>
          <w:p w:rsidR="00E30271" w:rsidRPr="00734E2D" w:rsidRDefault="00E30271" w:rsidP="00E30271">
            <w:pPr>
              <w:pStyle w:val="TableRowHeadings"/>
              <w:rPr>
                <w:lang w:eastAsia="en-AU"/>
              </w:rPr>
            </w:pPr>
            <w:r w:rsidRPr="00734E2D">
              <w:rPr>
                <w:lang w:eastAsia="en-AU"/>
              </w:rPr>
              <w:t>School service</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Pr>
                <w:lang w:eastAsia="en-AU"/>
              </w:rPr>
              <w:t>44.7</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Pr>
                <w:lang w:eastAsia="en-AU"/>
              </w:rPr>
              <w:t>50.0</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Pr>
                <w:lang w:eastAsia="en-AU"/>
              </w:rPr>
              <w:t>57.9</w:t>
            </w:r>
          </w:p>
        </w:tc>
      </w:tr>
      <w:tr w:rsidR="00E30271" w:rsidRPr="00734E2D" w:rsidTr="00E30271">
        <w:trPr>
          <w:cantSplit/>
          <w:jc w:val="center"/>
        </w:trPr>
        <w:tc>
          <w:tcPr>
            <w:tcW w:w="5003" w:type="dxa"/>
            <w:tcBorders>
              <w:top w:val="nil"/>
              <w:bottom w:val="single" w:sz="4" w:space="0" w:color="FFFFFF"/>
              <w:right w:val="nil"/>
            </w:tcBorders>
            <w:shd w:val="clear" w:color="auto" w:fill="EFF3FF"/>
            <w:tcMar>
              <w:left w:w="40" w:type="dxa"/>
              <w:right w:w="40" w:type="dxa"/>
            </w:tcMar>
          </w:tcPr>
          <w:p w:rsidR="00E30271" w:rsidRPr="00734E2D" w:rsidRDefault="00E30271" w:rsidP="00E30271">
            <w:pPr>
              <w:pStyle w:val="TableRowHeadings"/>
              <w:rPr>
                <w:lang w:eastAsia="en-AU"/>
              </w:rPr>
            </w:pPr>
            <w:r w:rsidRPr="00734E2D">
              <w:rPr>
                <w:lang w:eastAsia="en-AU"/>
              </w:rPr>
              <w:t>Telephone counselling</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17.3</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18.7</w:t>
            </w:r>
          </w:p>
        </w:tc>
        <w:tc>
          <w:tcPr>
            <w:tcW w:w="1368" w:type="dxa"/>
            <w:tcBorders>
              <w:top w:val="nil"/>
              <w:left w:val="nil"/>
              <w:bottom w:val="nil"/>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21.9</w:t>
            </w:r>
          </w:p>
        </w:tc>
      </w:tr>
      <w:tr w:rsidR="00E30271" w:rsidRPr="00734E2D" w:rsidTr="00E30271">
        <w:trPr>
          <w:cantSplit/>
          <w:jc w:val="center"/>
        </w:trPr>
        <w:tc>
          <w:tcPr>
            <w:tcW w:w="5003" w:type="dxa"/>
            <w:tcBorders>
              <w:top w:val="nil"/>
              <w:bottom w:val="single" w:sz="4" w:space="0" w:color="auto"/>
              <w:right w:val="nil"/>
            </w:tcBorders>
            <w:shd w:val="clear" w:color="auto" w:fill="EFF3FF"/>
            <w:tcMar>
              <w:left w:w="40" w:type="dxa"/>
              <w:right w:w="40" w:type="dxa"/>
            </w:tcMar>
          </w:tcPr>
          <w:p w:rsidR="00E30271" w:rsidRPr="00734E2D" w:rsidRDefault="00E30271" w:rsidP="00E30271">
            <w:pPr>
              <w:pStyle w:val="TableRowHeadings"/>
              <w:rPr>
                <w:lang w:eastAsia="en-AU"/>
              </w:rPr>
            </w:pPr>
            <w:r w:rsidRPr="00734E2D">
              <w:rPr>
                <w:lang w:eastAsia="en-AU"/>
              </w:rPr>
              <w:t>Online personal support or counselling</w:t>
            </w:r>
          </w:p>
        </w:tc>
        <w:tc>
          <w:tcPr>
            <w:tcW w:w="1368" w:type="dxa"/>
            <w:tcBorders>
              <w:top w:val="nil"/>
              <w:left w:val="nil"/>
              <w:bottom w:val="single" w:sz="4" w:space="0" w:color="auto"/>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8.8</w:t>
            </w:r>
          </w:p>
        </w:tc>
        <w:tc>
          <w:tcPr>
            <w:tcW w:w="1368" w:type="dxa"/>
            <w:tcBorders>
              <w:top w:val="nil"/>
              <w:left w:val="nil"/>
              <w:bottom w:val="single" w:sz="4" w:space="0" w:color="auto"/>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8.0</w:t>
            </w:r>
          </w:p>
        </w:tc>
        <w:tc>
          <w:tcPr>
            <w:tcW w:w="1368" w:type="dxa"/>
            <w:tcBorders>
              <w:top w:val="nil"/>
              <w:left w:val="nil"/>
              <w:bottom w:val="single" w:sz="4" w:space="0" w:color="auto"/>
              <w:right w:val="nil"/>
            </w:tcBorders>
            <w:shd w:val="clear" w:color="auto" w:fill="FFFFFF"/>
            <w:tcMar>
              <w:left w:w="40" w:type="dxa"/>
              <w:right w:w="40" w:type="dxa"/>
            </w:tcMar>
            <w:vAlign w:val="bottom"/>
          </w:tcPr>
          <w:p w:rsidR="00E30271" w:rsidRPr="00734E2D" w:rsidRDefault="00E30271" w:rsidP="00E30271">
            <w:pPr>
              <w:pStyle w:val="TableDataCell"/>
              <w:rPr>
                <w:lang w:eastAsia="en-AU"/>
              </w:rPr>
            </w:pPr>
            <w:r w:rsidRPr="00734E2D">
              <w:rPr>
                <w:lang w:eastAsia="en-AU"/>
              </w:rPr>
              <w:t>10.9</w:t>
            </w:r>
          </w:p>
        </w:tc>
      </w:tr>
      <w:tr w:rsidR="00E30271" w:rsidRPr="00734E2D" w:rsidTr="00E30271">
        <w:trPr>
          <w:cantSplit/>
          <w:jc w:val="center"/>
        </w:trPr>
        <w:tc>
          <w:tcPr>
            <w:tcW w:w="5003" w:type="dxa"/>
            <w:tcBorders>
              <w:top w:val="single" w:sz="4" w:space="0" w:color="auto"/>
              <w:bottom w:val="single" w:sz="6" w:space="0" w:color="000000"/>
              <w:right w:val="nil"/>
            </w:tcBorders>
            <w:shd w:val="clear" w:color="auto" w:fill="EFF3FF"/>
            <w:tcMar>
              <w:left w:w="40" w:type="dxa"/>
              <w:right w:w="40" w:type="dxa"/>
            </w:tcMar>
          </w:tcPr>
          <w:p w:rsidR="00E30271" w:rsidRPr="00BF4CEF" w:rsidRDefault="00E30271" w:rsidP="00E30271">
            <w:pPr>
              <w:autoSpaceDE w:val="0"/>
              <w:autoSpaceDN w:val="0"/>
              <w:adjustRightInd w:val="0"/>
              <w:spacing w:before="40" w:after="40" w:line="240" w:lineRule="auto"/>
              <w:rPr>
                <w:rStyle w:val="Strong"/>
                <w:sz w:val="20"/>
                <w:szCs w:val="20"/>
              </w:rPr>
            </w:pPr>
            <w:r w:rsidRPr="00BF4CEF">
              <w:rPr>
                <w:rStyle w:val="Strong"/>
                <w:sz w:val="20"/>
                <w:szCs w:val="20"/>
              </w:rPr>
              <w:t>Any service (a)</w:t>
            </w:r>
          </w:p>
        </w:tc>
        <w:tc>
          <w:tcPr>
            <w:tcW w:w="136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BF4CEF" w:rsidRDefault="00E30271" w:rsidP="00E30271">
            <w:pPr>
              <w:pStyle w:val="TableDataCell"/>
              <w:rPr>
                <w:rStyle w:val="Strong"/>
                <w:szCs w:val="20"/>
              </w:rPr>
            </w:pPr>
            <w:r w:rsidRPr="00BF4CEF">
              <w:rPr>
                <w:rStyle w:val="Strong"/>
                <w:szCs w:val="20"/>
              </w:rPr>
              <w:t>56.6</w:t>
            </w:r>
          </w:p>
        </w:tc>
        <w:tc>
          <w:tcPr>
            <w:tcW w:w="136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BF4CEF" w:rsidRDefault="00E30271" w:rsidP="00E30271">
            <w:pPr>
              <w:pStyle w:val="TableDataCell"/>
              <w:rPr>
                <w:rStyle w:val="Strong"/>
                <w:szCs w:val="20"/>
              </w:rPr>
            </w:pPr>
            <w:r w:rsidRPr="00BF4CEF">
              <w:rPr>
                <w:rStyle w:val="Strong"/>
                <w:szCs w:val="20"/>
              </w:rPr>
              <w:t>59.2</w:t>
            </w:r>
          </w:p>
        </w:tc>
        <w:tc>
          <w:tcPr>
            <w:tcW w:w="1368" w:type="dxa"/>
            <w:tcBorders>
              <w:top w:val="single" w:sz="4" w:space="0" w:color="auto"/>
              <w:left w:val="nil"/>
              <w:bottom w:val="single" w:sz="6" w:space="0" w:color="000000"/>
              <w:right w:val="nil"/>
            </w:tcBorders>
            <w:shd w:val="clear" w:color="auto" w:fill="FFFFFF"/>
            <w:tcMar>
              <w:left w:w="40" w:type="dxa"/>
              <w:right w:w="40" w:type="dxa"/>
            </w:tcMar>
            <w:vAlign w:val="bottom"/>
          </w:tcPr>
          <w:p w:rsidR="00E30271" w:rsidRPr="00BF4CEF" w:rsidRDefault="00E30271" w:rsidP="00E30271">
            <w:pPr>
              <w:pStyle w:val="TableDataCell"/>
              <w:rPr>
                <w:rStyle w:val="Strong"/>
                <w:szCs w:val="20"/>
              </w:rPr>
            </w:pPr>
            <w:r w:rsidRPr="00BF4CEF">
              <w:rPr>
                <w:rStyle w:val="Strong"/>
                <w:szCs w:val="20"/>
              </w:rPr>
              <w:t>70.9</w:t>
            </w:r>
          </w:p>
        </w:tc>
      </w:tr>
    </w:tbl>
    <w:p w:rsidR="00E30271" w:rsidRDefault="00E30271" w:rsidP="00E30271">
      <w:pPr>
        <w:pStyle w:val="TableFootnote"/>
      </w:pPr>
      <w:r w:rsidRPr="001B3ADE">
        <w:t>The proportion using school services is based on those who were at</w:t>
      </w:r>
      <w:r>
        <w:t>tending</w:t>
      </w:r>
      <w:r w:rsidRPr="001B3ADE">
        <w:t xml:space="preserve"> school at the time of the survey.</w:t>
      </w:r>
    </w:p>
    <w:p w:rsidR="00E30271" w:rsidRPr="00115D12" w:rsidRDefault="00E30271" w:rsidP="00E30271">
      <w:pPr>
        <w:pStyle w:val="TableFootnote"/>
      </w:pPr>
      <w:r w:rsidRPr="001B3ADE">
        <w:t>(a)</w:t>
      </w:r>
      <w:r w:rsidRPr="001B3ADE">
        <w:tab/>
        <w:t>Any service is not equal to the sum of individual services because adolescents may have used more than one type of service.</w:t>
      </w:r>
    </w:p>
    <w:p w:rsidR="00E30271" w:rsidRDefault="00E30271" w:rsidP="00E30271">
      <w:pPr>
        <w:pStyle w:val="BodyText"/>
        <w:rPr>
          <w:lang w:eastAsia="en-AU"/>
        </w:rPr>
      </w:pPr>
    </w:p>
    <w:p w:rsidR="0074764C" w:rsidRDefault="0074764C" w:rsidP="00DB066C">
      <w:pPr>
        <w:jc w:val="center"/>
        <w:sectPr w:rsidR="0074764C" w:rsidSect="003330E0">
          <w:headerReference w:type="even" r:id="rId122"/>
          <w:headerReference w:type="default" r:id="rId123"/>
          <w:footerReference w:type="default" r:id="rId124"/>
          <w:pgSz w:w="11906" w:h="16838" w:code="9"/>
          <w:pgMar w:top="1440" w:right="1440" w:bottom="1440" w:left="1440" w:header="567" w:footer="567" w:gutter="0"/>
          <w:pgNumType w:start="111"/>
          <w:cols w:space="720"/>
          <w:docGrid w:linePitch="360"/>
        </w:sectPr>
      </w:pPr>
    </w:p>
    <w:p w:rsidR="0074764C" w:rsidRDefault="0074764C" w:rsidP="0074764C">
      <w:pPr>
        <w:pStyle w:val="Heading1"/>
        <w:ind w:left="720" w:hanging="720"/>
      </w:pPr>
      <w:bookmarkStart w:id="231" w:name="_Toc401758828"/>
      <w:r>
        <w:lastRenderedPageBreak/>
        <w:t>12</w:t>
      </w:r>
      <w:r>
        <w:tab/>
        <w:t>Self-reported problems, behaviours and risk factors in young people</w:t>
      </w:r>
      <w:bookmarkEnd w:id="231"/>
    </w:p>
    <w:p w:rsidR="0074764C" w:rsidRDefault="0074764C" w:rsidP="0074764C">
      <w:pPr>
        <w:pStyle w:val="BodyText"/>
      </w:pPr>
      <w:r w:rsidRPr="002308E6">
        <w:t>This chapter describes what young people reported about</w:t>
      </w:r>
      <w:r>
        <w:t xml:space="preserve"> their mental health problems and behaviours that are generally considered to put them at risk. While all young people aged 11 years or older were asked to complete a self-report questionnaire, questions about smoking, alcohol and other drugs and about sexual behaviours were only asked of young people aged 13 years and older.</w:t>
      </w:r>
    </w:p>
    <w:p w:rsidR="0074764C" w:rsidRPr="007B0552" w:rsidRDefault="0074764C" w:rsidP="0074764C">
      <w:pPr>
        <w:pStyle w:val="Heading2"/>
      </w:pPr>
      <w:bookmarkStart w:id="232" w:name="_Toc401758831"/>
      <w:bookmarkStart w:id="233" w:name="_Toc401758829"/>
      <w:r>
        <w:t>12.1</w:t>
      </w:r>
      <w:r>
        <w:tab/>
      </w:r>
      <w:r w:rsidRPr="007B0552">
        <w:t>Smoking</w:t>
      </w:r>
      <w:bookmarkEnd w:id="232"/>
    </w:p>
    <w:p w:rsidR="0074764C" w:rsidRDefault="0074764C" w:rsidP="0074764C">
      <w:pPr>
        <w:pStyle w:val="BodyText"/>
      </w:pPr>
      <w:r>
        <w:t>Overall one tenth (9.9%) of young people aged 13-17 years had smoked at least once a week at some point in their lives and 7.2% had smoked in the last 30 days. Rates of smoking were higher in young people with major depressive disorder and in young people with other mental disorders compared with young people with no mental disorder. Some 29.9% of young people with major depressive disorder identified from adolescent report had ever smoked and 24.4% had smoked in the last 30 days. These rates compared with 29.6% ever smoked and 24.1% smoked in the past 30 days among young people with other mental disorders based on parent or carer report. The corresponding rates were 5.9% ever smoked and 4.1% smoked in the last 30 days among young people with no mental disorder (Table 12-</w:t>
      </w:r>
      <w:r>
        <w:rPr>
          <w:noProof/>
        </w:rPr>
        <w:t>1</w:t>
      </w:r>
      <w:r>
        <w:t>).</w:t>
      </w:r>
    </w:p>
    <w:p w:rsidR="0074764C" w:rsidRDefault="0074764C" w:rsidP="0074764C">
      <w:pPr>
        <w:pStyle w:val="Caption"/>
        <w:keepNext/>
      </w:pPr>
      <w:bookmarkStart w:id="234" w:name="_Ref402174278"/>
      <w:r>
        <w:t>Table 12-</w:t>
      </w:r>
      <w:r>
        <w:rPr>
          <w:noProof/>
        </w:rPr>
        <w:t>1</w:t>
      </w:r>
      <w:bookmarkEnd w:id="234"/>
      <w:r>
        <w:t>: Smoking among 13-17 year-olds by sex and mental health status</w:t>
      </w:r>
    </w:p>
    <w:tbl>
      <w:tblPr>
        <w:tblW w:w="0" w:type="auto"/>
        <w:jc w:val="center"/>
        <w:tblLayout w:type="fixed"/>
        <w:tblCellMar>
          <w:left w:w="0" w:type="dxa"/>
          <w:right w:w="0" w:type="dxa"/>
        </w:tblCellMar>
        <w:tblLook w:val="0020" w:firstRow="1" w:lastRow="0" w:firstColumn="0" w:lastColumn="0" w:noHBand="0" w:noVBand="0"/>
        <w:tblDescription w:val="In Table 12-1 the first column defines sex and the second column defines mental health status. Read across the rows to obtain the proportion who had ever smoked at least once a week and the proportion who had smoked in the last 30 days."/>
      </w:tblPr>
      <w:tblGrid>
        <w:gridCol w:w="1052"/>
        <w:gridCol w:w="4932"/>
        <w:gridCol w:w="1550"/>
        <w:gridCol w:w="1551"/>
      </w:tblGrid>
      <w:tr w:rsidR="0074764C" w:rsidRPr="000569B1" w:rsidTr="0074764C">
        <w:trPr>
          <w:cantSplit/>
          <w:tblHeader/>
          <w:jc w:val="center"/>
        </w:trPr>
        <w:tc>
          <w:tcPr>
            <w:tcW w:w="1052"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A55033" w:rsidRDefault="0074764C" w:rsidP="0074764C">
            <w:pPr>
              <w:pStyle w:val="TableColumnHeadings"/>
              <w:jc w:val="left"/>
              <w:rPr>
                <w:rStyle w:val="Strong"/>
              </w:rPr>
            </w:pPr>
            <w:r w:rsidRPr="00A55033">
              <w:rPr>
                <w:rStyle w:val="Strong"/>
              </w:rPr>
              <w:t>Sex</w:t>
            </w:r>
          </w:p>
        </w:tc>
        <w:tc>
          <w:tcPr>
            <w:tcW w:w="4932" w:type="dxa"/>
            <w:tcBorders>
              <w:top w:val="single" w:sz="6" w:space="0" w:color="000000"/>
              <w:left w:val="single" w:sz="4" w:space="0" w:color="FFFFFF"/>
              <w:bottom w:val="single" w:sz="4" w:space="0" w:color="000000"/>
              <w:right w:val="nil"/>
            </w:tcBorders>
            <w:shd w:val="clear" w:color="auto" w:fill="EFF3FF"/>
            <w:vAlign w:val="bottom"/>
          </w:tcPr>
          <w:p w:rsidR="0074764C" w:rsidRPr="00A55033" w:rsidRDefault="0074764C" w:rsidP="0074764C">
            <w:pPr>
              <w:pStyle w:val="TableColumnHeadings"/>
              <w:jc w:val="left"/>
              <w:rPr>
                <w:rStyle w:val="Strong"/>
              </w:rPr>
            </w:pPr>
            <w:r w:rsidRPr="00A55033">
              <w:rPr>
                <w:rStyle w:val="Strong"/>
              </w:rPr>
              <w:t>Mental health status</w:t>
            </w:r>
          </w:p>
        </w:tc>
        <w:tc>
          <w:tcPr>
            <w:tcW w:w="155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A55033" w:rsidRDefault="0074764C" w:rsidP="0074764C">
            <w:pPr>
              <w:pStyle w:val="TableColumnHeadings"/>
              <w:rPr>
                <w:rStyle w:val="Strong"/>
              </w:rPr>
            </w:pPr>
            <w:r w:rsidRPr="00A55033">
              <w:rPr>
                <w:rStyle w:val="Strong"/>
              </w:rPr>
              <w:t>Ever smoked at least once a week (%)</w:t>
            </w:r>
          </w:p>
        </w:tc>
        <w:tc>
          <w:tcPr>
            <w:tcW w:w="155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A55033" w:rsidRDefault="0074764C" w:rsidP="0074764C">
            <w:pPr>
              <w:pStyle w:val="TableColumnHeadings"/>
              <w:rPr>
                <w:rStyle w:val="Strong"/>
              </w:rPr>
            </w:pPr>
            <w:r w:rsidRPr="00A55033">
              <w:rPr>
                <w:rStyle w:val="Strong"/>
              </w:rPr>
              <w:t>Smoked in last 30 days (%)</w:t>
            </w:r>
          </w:p>
        </w:tc>
      </w:tr>
      <w:tr w:rsidR="0074764C" w:rsidRPr="000569B1" w:rsidTr="0074764C">
        <w:trPr>
          <w:cantSplit/>
          <w:jc w:val="center"/>
        </w:trPr>
        <w:tc>
          <w:tcPr>
            <w:tcW w:w="1052"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Males</w:t>
            </w: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adolescent</w:t>
            </w:r>
            <w:r w:rsidRPr="000569B1">
              <w:rPr>
                <w:lang w:eastAsia="en-AU"/>
              </w:rPr>
              <w:t xml:space="preserve">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22.5</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18.0</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20.6</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20.6</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21.9</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12.9</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6.0</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4.3</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males</w:t>
            </w:r>
          </w:p>
        </w:tc>
        <w:tc>
          <w:tcPr>
            <w:tcW w:w="1550"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8.6</w:t>
            </w:r>
          </w:p>
        </w:tc>
        <w:tc>
          <w:tcPr>
            <w:tcW w:w="1551"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6.2</w:t>
            </w:r>
          </w:p>
        </w:tc>
      </w:tr>
      <w:tr w:rsidR="0074764C" w:rsidRPr="000569B1" w:rsidTr="0074764C">
        <w:trPr>
          <w:cantSplit/>
          <w:jc w:val="center"/>
        </w:trPr>
        <w:tc>
          <w:tcPr>
            <w:tcW w:w="1052"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Females</w:t>
            </w: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adolescent</w:t>
            </w:r>
            <w:r w:rsidRPr="000569B1">
              <w:rPr>
                <w:lang w:eastAsia="en-AU"/>
              </w:rPr>
              <w:t xml:space="preserve">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32.7</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26.7</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34.7</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26.1</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28.1</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22.2</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5.8</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3.8</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tabs>
                <w:tab w:val="left" w:pos="1380"/>
              </w:tabs>
              <w:rPr>
                <w:rStyle w:val="Strong"/>
              </w:rPr>
            </w:pPr>
            <w:r w:rsidRPr="00A55033">
              <w:rPr>
                <w:rStyle w:val="Strong"/>
              </w:rPr>
              <w:t>All females</w:t>
            </w:r>
            <w:r w:rsidRPr="00A55033">
              <w:rPr>
                <w:rStyle w:val="Strong"/>
              </w:rPr>
              <w:tab/>
            </w:r>
          </w:p>
        </w:tc>
        <w:tc>
          <w:tcPr>
            <w:tcW w:w="1550"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11.2</w:t>
            </w:r>
          </w:p>
        </w:tc>
        <w:tc>
          <w:tcPr>
            <w:tcW w:w="1551"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8.2</w:t>
            </w:r>
          </w:p>
        </w:tc>
      </w:tr>
      <w:tr w:rsidR="0074764C" w:rsidRPr="000569B1" w:rsidTr="0074764C">
        <w:trPr>
          <w:cantSplit/>
          <w:jc w:val="center"/>
        </w:trPr>
        <w:tc>
          <w:tcPr>
            <w:tcW w:w="1052"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1661FE" w:rsidRDefault="0074764C" w:rsidP="0074764C">
            <w:pPr>
              <w:pStyle w:val="TableRowHeadings"/>
              <w:rPr>
                <w:rStyle w:val="Strong"/>
              </w:rPr>
            </w:pPr>
            <w:r w:rsidRPr="001661FE">
              <w:rPr>
                <w:rStyle w:val="Strong"/>
              </w:rPr>
              <w:t>Persons</w:t>
            </w: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adolescent</w:t>
            </w:r>
            <w:r w:rsidRPr="000569B1">
              <w:rPr>
                <w:lang w:eastAsia="en-AU"/>
              </w:rPr>
              <w:t xml:space="preserve">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29.9</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24.4</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29.6</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24.1</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24.4</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16.6</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50"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5.9</w:t>
            </w:r>
          </w:p>
        </w:tc>
        <w:tc>
          <w:tcPr>
            <w:tcW w:w="1551"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4.1</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4932" w:type="dxa"/>
            <w:tcBorders>
              <w:top w:val="nil"/>
              <w:left w:val="single" w:sz="4" w:space="0" w:color="FFFFFF"/>
              <w:bottom w:val="single" w:sz="6" w:space="0" w:color="000000"/>
              <w:right w:val="nil"/>
            </w:tcBorders>
            <w:shd w:val="clear" w:color="auto" w:fill="EFF3FF"/>
            <w:tcMar>
              <w:left w:w="40" w:type="dxa"/>
              <w:right w:w="40" w:type="dxa"/>
            </w:tcMar>
          </w:tcPr>
          <w:p w:rsidR="0074764C" w:rsidRPr="001661FE" w:rsidRDefault="0074764C" w:rsidP="0074764C">
            <w:pPr>
              <w:pStyle w:val="TableRowHeadings"/>
              <w:rPr>
                <w:rStyle w:val="Strong"/>
              </w:rPr>
            </w:pPr>
            <w:r w:rsidRPr="001661FE">
              <w:rPr>
                <w:rStyle w:val="Strong"/>
              </w:rPr>
              <w:t>All persons</w:t>
            </w:r>
          </w:p>
        </w:tc>
        <w:tc>
          <w:tcPr>
            <w:tcW w:w="1550" w:type="dxa"/>
            <w:tcBorders>
              <w:top w:val="nil"/>
              <w:left w:val="nil"/>
              <w:bottom w:val="single" w:sz="6" w:space="0" w:color="000000"/>
              <w:right w:val="nil"/>
            </w:tcBorders>
            <w:shd w:val="clear" w:color="auto" w:fill="FFFFFF"/>
            <w:tcMar>
              <w:left w:w="40" w:type="dxa"/>
              <w:right w:w="40" w:type="dxa"/>
            </w:tcMar>
            <w:vAlign w:val="bottom"/>
          </w:tcPr>
          <w:p w:rsidR="0074764C" w:rsidRPr="001661FE" w:rsidRDefault="0074764C" w:rsidP="0074764C">
            <w:pPr>
              <w:pStyle w:val="TableDataCell"/>
              <w:rPr>
                <w:rStyle w:val="Strong"/>
              </w:rPr>
            </w:pPr>
            <w:r w:rsidRPr="001661FE">
              <w:rPr>
                <w:rStyle w:val="Strong"/>
              </w:rPr>
              <w:t>9.9</w:t>
            </w:r>
          </w:p>
        </w:tc>
        <w:tc>
          <w:tcPr>
            <w:tcW w:w="1551" w:type="dxa"/>
            <w:tcBorders>
              <w:top w:val="nil"/>
              <w:left w:val="nil"/>
              <w:bottom w:val="single" w:sz="6" w:space="0" w:color="000000"/>
              <w:right w:val="nil"/>
            </w:tcBorders>
            <w:shd w:val="clear" w:color="auto" w:fill="FFFFFF"/>
            <w:tcMar>
              <w:left w:w="40" w:type="dxa"/>
              <w:right w:w="40" w:type="dxa"/>
            </w:tcMar>
            <w:vAlign w:val="bottom"/>
          </w:tcPr>
          <w:p w:rsidR="0074764C" w:rsidRPr="001661FE" w:rsidRDefault="0074764C" w:rsidP="0074764C">
            <w:pPr>
              <w:pStyle w:val="TableDataCell"/>
              <w:rPr>
                <w:rStyle w:val="Strong"/>
              </w:rPr>
            </w:pPr>
            <w:r w:rsidRPr="001661FE">
              <w:rPr>
                <w:rStyle w:val="Strong"/>
              </w:rPr>
              <w:t>7.2</w:t>
            </w:r>
          </w:p>
        </w:tc>
      </w:tr>
    </w:tbl>
    <w:p w:rsidR="0074764C" w:rsidRDefault="0074764C" w:rsidP="0074764C">
      <w:pPr>
        <w:pStyle w:val="Heading2"/>
        <w:rPr>
          <w:rFonts w:eastAsiaTheme="minorEastAsia"/>
          <w:lang w:eastAsia="en-AU"/>
        </w:rPr>
      </w:pPr>
      <w:r>
        <w:rPr>
          <w:rFonts w:eastAsiaTheme="minorEastAsia"/>
          <w:lang w:eastAsia="en-AU"/>
        </w:rPr>
        <w:lastRenderedPageBreak/>
        <w:t>12.2</w:t>
      </w:r>
      <w:r>
        <w:rPr>
          <w:rFonts w:eastAsiaTheme="minorEastAsia"/>
          <w:lang w:eastAsia="en-AU"/>
        </w:rPr>
        <w:tab/>
        <w:t>Alcohol</w:t>
      </w:r>
    </w:p>
    <w:p w:rsidR="0074764C" w:rsidRDefault="0074764C" w:rsidP="0074764C">
      <w:pPr>
        <w:pStyle w:val="BodyText"/>
        <w:rPr>
          <w:lang w:eastAsia="en-AU"/>
        </w:rPr>
      </w:pPr>
      <w:r>
        <w:rPr>
          <w:lang w:eastAsia="en-AU"/>
        </w:rPr>
        <w:t>Almost two in five (37.9%) young people 13-17 years had ever drunk alcohol, 18.1% had drunk alcohol in the past 30 days and 12.5% had drunk more than 4 drinks in a row in the last 30 days. Rates were essentially the same in males and females (</w:t>
      </w:r>
      <w:r>
        <w:t>Table 12-</w:t>
      </w:r>
      <w:r>
        <w:rPr>
          <w:noProof/>
        </w:rPr>
        <w:t>2</w:t>
      </w:r>
      <w:r>
        <w:rPr>
          <w:lang w:eastAsia="en-AU"/>
        </w:rPr>
        <w:t xml:space="preserve">). </w:t>
      </w:r>
    </w:p>
    <w:p w:rsidR="0074764C" w:rsidRDefault="0074764C" w:rsidP="0074764C">
      <w:pPr>
        <w:pStyle w:val="BodyText"/>
        <w:rPr>
          <w:lang w:eastAsia="en-AU"/>
        </w:rPr>
      </w:pPr>
      <w:r>
        <w:rPr>
          <w:lang w:eastAsia="en-AU"/>
        </w:rPr>
        <w:t>Young people with major depressive disorder had higher rates of drinking alcohol. Some two thirds (65.3%) of young people with major depressive disorder based on adolescent report had ever drunk alcohol compared with one third (33.8%) of young people with no mental disorder. Some 34.3% of young people with major depressive disorder based on adolescent report had drunk alcohol in the last 30 days compared with half as many (15.4%) young people with no mental disorder, and approximately one quarter (27.6%) of young people with major depressive disorder based on adolescent report had drunk more than 4 drinks in a row in the last 30 days compared with one in ten (10.1%) young people with no mental disorder. Higher rates of alcohol consumption were seen in young people with other mental disorders than in young people with no disorder, but these rates were less than in young people with major depressive disorder (</w:t>
      </w:r>
      <w:r>
        <w:t>Table 12-</w:t>
      </w:r>
      <w:r>
        <w:rPr>
          <w:noProof/>
        </w:rPr>
        <w:t>2</w:t>
      </w:r>
      <w:r>
        <w:rPr>
          <w:lang w:eastAsia="en-AU"/>
        </w:rPr>
        <w:t>).</w:t>
      </w:r>
    </w:p>
    <w:p w:rsidR="0074764C" w:rsidRDefault="0074764C" w:rsidP="0074764C">
      <w:pPr>
        <w:pStyle w:val="Caption"/>
        <w:keepNext/>
      </w:pPr>
      <w:bookmarkStart w:id="235" w:name="_Ref402175053"/>
      <w:r>
        <w:t>Table 12-</w:t>
      </w:r>
      <w:r>
        <w:rPr>
          <w:noProof/>
        </w:rPr>
        <w:t>2</w:t>
      </w:r>
      <w:bookmarkEnd w:id="235"/>
      <w:r>
        <w:t>: Alcohol consumption</w:t>
      </w:r>
      <w:r w:rsidRPr="007B116F">
        <w:t xml:space="preserve"> among 13-17 year-olds by sex and mental health status</w:t>
      </w:r>
    </w:p>
    <w:tbl>
      <w:tblPr>
        <w:tblW w:w="0" w:type="auto"/>
        <w:jc w:val="center"/>
        <w:tblLayout w:type="fixed"/>
        <w:tblCellMar>
          <w:left w:w="0" w:type="dxa"/>
          <w:right w:w="0" w:type="dxa"/>
        </w:tblCellMar>
        <w:tblLook w:val="0020" w:firstRow="1" w:lastRow="0" w:firstColumn="0" w:lastColumn="0" w:noHBand="0" w:noVBand="0"/>
        <w:tblDescription w:val="In Table 12-2 the first column defined sex and the second column defines mental health status. Read across the rows to obtain the proportion who had ever drunk alcohol, who had drunk alcohol in the last 30 days and the proportion who had drunk more than 4 drinks in a row in the last 30 days."/>
      </w:tblPr>
      <w:tblGrid>
        <w:gridCol w:w="1052"/>
        <w:gridCol w:w="3275"/>
        <w:gridCol w:w="1586"/>
        <w:gridCol w:w="1586"/>
        <w:gridCol w:w="1586"/>
      </w:tblGrid>
      <w:tr w:rsidR="0074764C" w:rsidRPr="000569B1" w:rsidTr="0074764C">
        <w:trPr>
          <w:cantSplit/>
          <w:tblHeader/>
          <w:jc w:val="center"/>
        </w:trPr>
        <w:tc>
          <w:tcPr>
            <w:tcW w:w="1052"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Sex</w:t>
            </w:r>
          </w:p>
        </w:tc>
        <w:tc>
          <w:tcPr>
            <w:tcW w:w="3275" w:type="dxa"/>
            <w:tcBorders>
              <w:top w:val="single" w:sz="6" w:space="0" w:color="000000"/>
              <w:left w:val="single" w:sz="4" w:space="0" w:color="FFFFFF"/>
              <w:bottom w:val="single" w:sz="4"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15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Ever drunk alcohol (%)</w:t>
            </w:r>
          </w:p>
        </w:tc>
        <w:tc>
          <w:tcPr>
            <w:tcW w:w="15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proofErr w:type="gramStart"/>
            <w:r w:rsidRPr="008C0B8B">
              <w:rPr>
                <w:rStyle w:val="Strong"/>
              </w:rPr>
              <w:t>Drunk</w:t>
            </w:r>
            <w:proofErr w:type="gramEnd"/>
            <w:r w:rsidRPr="008C0B8B">
              <w:rPr>
                <w:rStyle w:val="Strong"/>
              </w:rPr>
              <w:t xml:space="preserve"> alcohol in last 30 days (%)</w:t>
            </w:r>
          </w:p>
        </w:tc>
        <w:tc>
          <w:tcPr>
            <w:tcW w:w="158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 xml:space="preserve">More than 4 </w:t>
            </w:r>
            <w:proofErr w:type="gramStart"/>
            <w:r w:rsidRPr="008C0B8B">
              <w:rPr>
                <w:rStyle w:val="Strong"/>
              </w:rPr>
              <w:t>drinks</w:t>
            </w:r>
            <w:proofErr w:type="gramEnd"/>
            <w:r w:rsidRPr="008C0B8B">
              <w:rPr>
                <w:rStyle w:val="Strong"/>
              </w:rPr>
              <w:t xml:space="preserve"> in a row in last 30 days (%)</w:t>
            </w:r>
          </w:p>
        </w:tc>
      </w:tr>
      <w:tr w:rsidR="0074764C" w:rsidRPr="000569B1" w:rsidTr="0074764C">
        <w:trPr>
          <w:cantSplit/>
          <w:jc w:val="center"/>
        </w:trPr>
        <w:tc>
          <w:tcPr>
            <w:tcW w:w="1052"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Males</w:t>
            </w: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65.2</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25.0</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19.3</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51.0</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19.2</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18.3</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41.9</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24.8</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18.5</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35.0</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16.6</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11.3</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males</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37.1</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17.9</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12.6</w:t>
            </w:r>
          </w:p>
        </w:tc>
      </w:tr>
      <w:tr w:rsidR="0074764C" w:rsidRPr="000569B1" w:rsidTr="0074764C">
        <w:trPr>
          <w:cantSplit/>
          <w:jc w:val="center"/>
        </w:trPr>
        <w:tc>
          <w:tcPr>
            <w:tcW w:w="1052"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Females</w:t>
            </w: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65.3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37.8</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30.7</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66.3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36.3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27.2</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47.5</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21.3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12.9</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32.4</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13.9</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8.9</w:t>
            </w:r>
          </w:p>
        </w:tc>
      </w:tr>
      <w:tr w:rsidR="0074764C" w:rsidRPr="000569B1" w:rsidTr="0074764C">
        <w:trPr>
          <w:cantSplit/>
          <w:jc w:val="center"/>
        </w:trPr>
        <w:tc>
          <w:tcPr>
            <w:tcW w:w="105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females</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38.7</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18.3</w:t>
            </w:r>
          </w:p>
        </w:tc>
        <w:tc>
          <w:tcPr>
            <w:tcW w:w="1586"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12.5</w:t>
            </w:r>
          </w:p>
        </w:tc>
      </w:tr>
      <w:tr w:rsidR="0074764C" w:rsidRPr="000569B1" w:rsidTr="0074764C">
        <w:trPr>
          <w:cantSplit/>
          <w:jc w:val="center"/>
        </w:trPr>
        <w:tc>
          <w:tcPr>
            <w:tcW w:w="1052"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1661FE" w:rsidRDefault="0074764C" w:rsidP="0074764C">
            <w:pPr>
              <w:pStyle w:val="TableRowHeadings"/>
              <w:rPr>
                <w:rStyle w:val="Strong"/>
              </w:rPr>
            </w:pPr>
            <w:r w:rsidRPr="001661FE">
              <w:rPr>
                <w:rStyle w:val="Strong"/>
              </w:rPr>
              <w:t>Persons</w:t>
            </w: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65.3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34.3</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27.6</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60.8</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30.2</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24.0</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44.1</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23.4</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16.2</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33.8</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15.4</w:t>
            </w:r>
          </w:p>
        </w:tc>
        <w:tc>
          <w:tcPr>
            <w:tcW w:w="1586"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10.1</w:t>
            </w:r>
          </w:p>
        </w:tc>
      </w:tr>
      <w:tr w:rsidR="0074764C" w:rsidRPr="000569B1" w:rsidTr="0074764C">
        <w:trPr>
          <w:cantSplit/>
          <w:jc w:val="center"/>
        </w:trPr>
        <w:tc>
          <w:tcPr>
            <w:tcW w:w="105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275" w:type="dxa"/>
            <w:tcBorders>
              <w:top w:val="nil"/>
              <w:left w:val="single" w:sz="4" w:space="0" w:color="FFFFFF"/>
              <w:bottom w:val="single" w:sz="6" w:space="0" w:color="000000"/>
              <w:right w:val="nil"/>
            </w:tcBorders>
            <w:shd w:val="clear" w:color="auto" w:fill="EFF3FF"/>
            <w:tcMar>
              <w:left w:w="40" w:type="dxa"/>
              <w:right w:w="40" w:type="dxa"/>
            </w:tcMar>
          </w:tcPr>
          <w:p w:rsidR="0074764C" w:rsidRPr="001661FE" w:rsidRDefault="0074764C" w:rsidP="0074764C">
            <w:pPr>
              <w:pStyle w:val="TableRowHeadings"/>
              <w:rPr>
                <w:rStyle w:val="Strong"/>
              </w:rPr>
            </w:pPr>
            <w:r w:rsidRPr="001661FE">
              <w:rPr>
                <w:rStyle w:val="Strong"/>
              </w:rPr>
              <w:t>All persons</w:t>
            </w:r>
          </w:p>
        </w:tc>
        <w:tc>
          <w:tcPr>
            <w:tcW w:w="1586" w:type="dxa"/>
            <w:tcBorders>
              <w:top w:val="nil"/>
              <w:left w:val="nil"/>
              <w:bottom w:val="single" w:sz="6" w:space="0" w:color="000000"/>
              <w:right w:val="nil"/>
            </w:tcBorders>
            <w:shd w:val="clear" w:color="auto" w:fill="FFFFFF"/>
            <w:tcMar>
              <w:left w:w="40" w:type="dxa"/>
              <w:right w:w="40" w:type="dxa"/>
            </w:tcMar>
            <w:vAlign w:val="bottom"/>
          </w:tcPr>
          <w:p w:rsidR="0074764C" w:rsidRPr="001661FE" w:rsidRDefault="0074764C" w:rsidP="0074764C">
            <w:pPr>
              <w:pStyle w:val="TableDataCell"/>
              <w:rPr>
                <w:rStyle w:val="Strong"/>
              </w:rPr>
            </w:pPr>
            <w:r w:rsidRPr="001661FE">
              <w:rPr>
                <w:rStyle w:val="Strong"/>
              </w:rPr>
              <w:t>37.9</w:t>
            </w:r>
          </w:p>
        </w:tc>
        <w:tc>
          <w:tcPr>
            <w:tcW w:w="1586" w:type="dxa"/>
            <w:tcBorders>
              <w:top w:val="nil"/>
              <w:left w:val="nil"/>
              <w:bottom w:val="single" w:sz="6" w:space="0" w:color="000000"/>
              <w:right w:val="nil"/>
            </w:tcBorders>
            <w:shd w:val="clear" w:color="auto" w:fill="FFFFFF"/>
            <w:tcMar>
              <w:left w:w="40" w:type="dxa"/>
              <w:right w:w="40" w:type="dxa"/>
            </w:tcMar>
            <w:vAlign w:val="bottom"/>
          </w:tcPr>
          <w:p w:rsidR="0074764C" w:rsidRPr="001661FE" w:rsidRDefault="0074764C" w:rsidP="0074764C">
            <w:pPr>
              <w:pStyle w:val="TableDataCell"/>
              <w:rPr>
                <w:rStyle w:val="Strong"/>
              </w:rPr>
            </w:pPr>
            <w:r w:rsidRPr="001661FE">
              <w:rPr>
                <w:rStyle w:val="Strong"/>
              </w:rPr>
              <w:t>18.1</w:t>
            </w:r>
          </w:p>
        </w:tc>
        <w:tc>
          <w:tcPr>
            <w:tcW w:w="1586" w:type="dxa"/>
            <w:tcBorders>
              <w:top w:val="nil"/>
              <w:left w:val="nil"/>
              <w:bottom w:val="single" w:sz="6" w:space="0" w:color="000000"/>
              <w:right w:val="nil"/>
            </w:tcBorders>
            <w:shd w:val="clear" w:color="auto" w:fill="FFFFFF"/>
            <w:tcMar>
              <w:left w:w="40" w:type="dxa"/>
              <w:right w:w="40" w:type="dxa"/>
            </w:tcMar>
            <w:vAlign w:val="bottom"/>
          </w:tcPr>
          <w:p w:rsidR="0074764C" w:rsidRPr="001661FE" w:rsidRDefault="0074764C" w:rsidP="0074764C">
            <w:pPr>
              <w:pStyle w:val="TableDataCell"/>
              <w:rPr>
                <w:rStyle w:val="Strong"/>
              </w:rPr>
            </w:pPr>
            <w:r w:rsidRPr="001661FE">
              <w:rPr>
                <w:rStyle w:val="Strong"/>
              </w:rPr>
              <w:t>12.5</w:t>
            </w:r>
          </w:p>
        </w:tc>
      </w:tr>
    </w:tbl>
    <w:p w:rsidR="0074764C" w:rsidRDefault="0074764C" w:rsidP="0074764C">
      <w:pPr>
        <w:pStyle w:val="Heading2"/>
        <w:rPr>
          <w:rFonts w:eastAsiaTheme="minorEastAsia"/>
          <w:lang w:eastAsia="en-AU"/>
        </w:rPr>
      </w:pPr>
      <w:r>
        <w:rPr>
          <w:rFonts w:eastAsiaTheme="minorEastAsia"/>
          <w:lang w:eastAsia="en-AU"/>
        </w:rPr>
        <w:lastRenderedPageBreak/>
        <w:t>12.3</w:t>
      </w:r>
      <w:r>
        <w:rPr>
          <w:rFonts w:eastAsiaTheme="minorEastAsia"/>
          <w:lang w:eastAsia="en-AU"/>
        </w:rPr>
        <w:tab/>
        <w:t>Cannabis and other drugs</w:t>
      </w:r>
    </w:p>
    <w:p w:rsidR="0074764C" w:rsidRPr="008C0B8B" w:rsidRDefault="0074764C" w:rsidP="0074764C">
      <w:pPr>
        <w:pStyle w:val="BodyText"/>
        <w:rPr>
          <w:spacing w:val="-2"/>
          <w:lang w:eastAsia="en-AU"/>
        </w:rPr>
      </w:pPr>
      <w:r w:rsidRPr="008C0B8B">
        <w:rPr>
          <w:spacing w:val="-2"/>
          <w:lang w:eastAsia="en-AU"/>
        </w:rPr>
        <w:t xml:space="preserve">Overall one in ten (11.6%) young people aged 13-17 years had ever used cannabis, and one in </w:t>
      </w:r>
      <w:r w:rsidR="004713ED">
        <w:rPr>
          <w:spacing w:val="-2"/>
          <w:lang w:eastAsia="en-AU"/>
        </w:rPr>
        <w:t>twenty</w:t>
      </w:r>
      <w:r w:rsidRPr="008C0B8B">
        <w:rPr>
          <w:spacing w:val="-2"/>
          <w:lang w:eastAsia="en-AU"/>
        </w:rPr>
        <w:t xml:space="preserve"> (5.0%) had used cannabis in the last 30 days. Some 4.5% of young people had ever used other drugs and 1.6% had used other drugs in the last 30 days (e.g. prescription drugs for non-medical purposes, ecstasy, amphetamines, cocaine). Rates of drug use were broadly similar between males and females. Higher rates of drug use were seen in young people with major depressive disorder. Among young people with major depressive disorder identified from adolescent report 28.8% had ever used cannabis, and 13.1% had used cannabis in the last 30 days, while 16.1% had used other drugs, and 6.1% had used other drugs in the last 30 days. Among young people with other mental disorders identified from parent or carer report, rates of drug use were higher compared with young people with no mental disorder, but not as high as for young people with major depressive disorder. Among young people with other mental disorders 18.9% had ever used cannabis, 8.6% had used cannabis in the last 30 days, 9.8% had used other drugs and 3.7% had used other drugs in the last 30 days (</w:t>
      </w:r>
      <w:r w:rsidRPr="008C0B8B">
        <w:rPr>
          <w:spacing w:val="-2"/>
        </w:rPr>
        <w:t>Table 12-</w:t>
      </w:r>
      <w:r w:rsidRPr="008C0B8B">
        <w:rPr>
          <w:noProof/>
          <w:spacing w:val="-2"/>
        </w:rPr>
        <w:t>3</w:t>
      </w:r>
      <w:r w:rsidRPr="008C0B8B">
        <w:rPr>
          <w:spacing w:val="-2"/>
          <w:lang w:eastAsia="en-AU"/>
        </w:rPr>
        <w:t>).</w:t>
      </w:r>
    </w:p>
    <w:p w:rsidR="0074764C" w:rsidRDefault="0074764C" w:rsidP="0074764C">
      <w:pPr>
        <w:pStyle w:val="Caption"/>
        <w:keepNext/>
      </w:pPr>
      <w:bookmarkStart w:id="236" w:name="_Ref402258459"/>
      <w:bookmarkStart w:id="237" w:name="_Ref402258454"/>
      <w:r>
        <w:t>Table 12-</w:t>
      </w:r>
      <w:r>
        <w:rPr>
          <w:noProof/>
        </w:rPr>
        <w:t>3</w:t>
      </w:r>
      <w:bookmarkEnd w:id="236"/>
      <w:r>
        <w:t>: Use of cannabis and other drugs</w:t>
      </w:r>
      <w:r w:rsidRPr="005E28A4">
        <w:t xml:space="preserve"> among 13-17 year-olds by sex and mental health status</w:t>
      </w:r>
      <w:bookmarkEnd w:id="237"/>
    </w:p>
    <w:tbl>
      <w:tblPr>
        <w:tblW w:w="0" w:type="auto"/>
        <w:jc w:val="center"/>
        <w:tblLayout w:type="fixed"/>
        <w:tblCellMar>
          <w:left w:w="0" w:type="dxa"/>
          <w:right w:w="0" w:type="dxa"/>
        </w:tblCellMar>
        <w:tblLook w:val="0020" w:firstRow="1" w:lastRow="0" w:firstColumn="0" w:lastColumn="0" w:noHBand="0" w:noVBand="0"/>
        <w:tblDescription w:val="In Table 12-3 the first column defined sex and the second column defines mental health status. Read across the rows to obtain the proportion who had ever used cannabis, the proportion who had used cannabis in the last 30 days, the proportion who had ever used other drugs and the proportion who had used other drugs in the last 30 days."/>
      </w:tblPr>
      <w:tblGrid>
        <w:gridCol w:w="1042"/>
        <w:gridCol w:w="3103"/>
        <w:gridCol w:w="1237"/>
        <w:gridCol w:w="1237"/>
        <w:gridCol w:w="1237"/>
        <w:gridCol w:w="1238"/>
      </w:tblGrid>
      <w:tr w:rsidR="0074764C" w:rsidRPr="000569B1" w:rsidTr="0074764C">
        <w:trPr>
          <w:cantSplit/>
          <w:tblHeader/>
          <w:jc w:val="center"/>
        </w:trPr>
        <w:tc>
          <w:tcPr>
            <w:tcW w:w="1042"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Sex</w:t>
            </w:r>
          </w:p>
        </w:tc>
        <w:tc>
          <w:tcPr>
            <w:tcW w:w="3103" w:type="dxa"/>
            <w:tcBorders>
              <w:top w:val="single" w:sz="6" w:space="0" w:color="000000"/>
              <w:left w:val="single" w:sz="4" w:space="0" w:color="FFFFFF"/>
              <w:bottom w:val="single" w:sz="4"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12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Ever used cannabis (%)</w:t>
            </w:r>
          </w:p>
        </w:tc>
        <w:tc>
          <w:tcPr>
            <w:tcW w:w="12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Used cannabis in last 30 days (%)</w:t>
            </w:r>
          </w:p>
        </w:tc>
        <w:tc>
          <w:tcPr>
            <w:tcW w:w="12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Ever used other drugs (%)</w:t>
            </w:r>
          </w:p>
        </w:tc>
        <w:tc>
          <w:tcPr>
            <w:tcW w:w="123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Used other drugs in last 30 days (%)</w:t>
            </w:r>
          </w:p>
        </w:tc>
      </w:tr>
      <w:tr w:rsidR="0074764C" w:rsidRPr="000569B1" w:rsidTr="0074764C">
        <w:trPr>
          <w:cantSplit/>
          <w:jc w:val="center"/>
        </w:trPr>
        <w:tc>
          <w:tcPr>
            <w:tcW w:w="1042"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Males</w:t>
            </w: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28.9</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12.7</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12.3</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Pr>
                <w:lang w:eastAsia="en-AU"/>
              </w:rPr>
              <w:t>np</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23.5</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14.6</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6.9</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Pr>
                <w:lang w:eastAsia="en-AU"/>
              </w:rPr>
              <w:t>np</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17.8</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10.4</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7.9</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Pr>
                <w:lang w:eastAsia="en-AU"/>
              </w:rPr>
              <w:t>np</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10.3</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4.1</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2.9</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0.7</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males</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12.1</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5.5</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3.9</w:t>
            </w:r>
          </w:p>
        </w:tc>
        <w:tc>
          <w:tcPr>
            <w:tcW w:w="1238"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1.1</w:t>
            </w:r>
          </w:p>
        </w:tc>
      </w:tr>
      <w:tr w:rsidR="0074764C" w:rsidRPr="000569B1" w:rsidTr="0074764C">
        <w:trPr>
          <w:cantSplit/>
          <w:jc w:val="center"/>
        </w:trPr>
        <w:tc>
          <w:tcPr>
            <w:tcW w:w="1042"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Females</w:t>
            </w: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28.8</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13.3</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17.6</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6.9</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31.6</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13.1</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15.9</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7.6</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20.6</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Pr>
                <w:lang w:eastAsia="en-AU"/>
              </w:rPr>
              <w:t>np</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12.6</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Pr>
                <w:lang w:eastAsia="en-AU"/>
              </w:rPr>
              <w:t>np</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6.8</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2.5</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1.1</w:t>
            </w:r>
          </w:p>
        </w:tc>
      </w:tr>
      <w:tr w:rsidR="0074764C" w:rsidRPr="000569B1" w:rsidTr="0074764C">
        <w:trPr>
          <w:cantSplit/>
          <w:jc w:val="center"/>
        </w:trPr>
        <w:tc>
          <w:tcPr>
            <w:tcW w:w="1042" w:type="dxa"/>
            <w:vMerge/>
            <w:tcBorders>
              <w:top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females</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11.1</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4.4</w:t>
            </w:r>
          </w:p>
        </w:tc>
        <w:tc>
          <w:tcPr>
            <w:tcW w:w="1237"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5.2</w:t>
            </w:r>
          </w:p>
        </w:tc>
        <w:tc>
          <w:tcPr>
            <w:tcW w:w="1238"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2.1</w:t>
            </w:r>
          </w:p>
        </w:tc>
      </w:tr>
      <w:tr w:rsidR="0074764C" w:rsidRPr="000569B1" w:rsidTr="0074764C">
        <w:trPr>
          <w:cantSplit/>
          <w:jc w:val="center"/>
        </w:trPr>
        <w:tc>
          <w:tcPr>
            <w:tcW w:w="1042"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Persons</w:t>
            </w: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 xml:space="preserve">Major depressive disorder based on </w:t>
            </w:r>
            <w:r>
              <w:rPr>
                <w:lang w:eastAsia="en-AU"/>
              </w:rPr>
              <w:t xml:space="preserve">adolescent </w:t>
            </w:r>
            <w:r w:rsidRPr="000569B1">
              <w:rPr>
                <w:lang w:eastAsia="en-AU"/>
              </w:rPr>
              <w:t>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28.8</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13.1</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16.1</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6.1</w:t>
            </w:r>
          </w:p>
        </w:tc>
      </w:tr>
      <w:tr w:rsidR="0074764C" w:rsidRPr="000569B1" w:rsidTr="0074764C">
        <w:trPr>
          <w:cantSplit/>
          <w:jc w:val="center"/>
        </w:trPr>
        <w:tc>
          <w:tcPr>
            <w:tcW w:w="104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Major depressive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28.7</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13.6</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12.7</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6.4</w:t>
            </w:r>
          </w:p>
        </w:tc>
      </w:tr>
      <w:tr w:rsidR="0074764C" w:rsidRPr="000569B1" w:rsidTr="0074764C">
        <w:trPr>
          <w:cantSplit/>
          <w:jc w:val="center"/>
        </w:trPr>
        <w:tc>
          <w:tcPr>
            <w:tcW w:w="104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Other disorder based on parent or carer report</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18.9</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8.6</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9.8</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3.7</w:t>
            </w:r>
          </w:p>
        </w:tc>
      </w:tr>
      <w:tr w:rsidR="0074764C" w:rsidRPr="000569B1" w:rsidTr="0074764C">
        <w:trPr>
          <w:cantSplit/>
          <w:jc w:val="center"/>
        </w:trPr>
        <w:tc>
          <w:tcPr>
            <w:tcW w:w="104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4" w:space="0" w:color="FFFFFF"/>
              <w:right w:val="nil"/>
            </w:tcBorders>
            <w:shd w:val="clear" w:color="auto" w:fill="EFF3FF"/>
            <w:tcMar>
              <w:left w:w="40" w:type="dxa"/>
              <w:right w:w="40" w:type="dxa"/>
            </w:tcMar>
          </w:tcPr>
          <w:p w:rsidR="0074764C" w:rsidRPr="000569B1" w:rsidRDefault="0074764C" w:rsidP="0074764C">
            <w:pPr>
              <w:pStyle w:val="TableRowHeadings"/>
              <w:rPr>
                <w:lang w:eastAsia="en-AU"/>
              </w:rPr>
            </w:pPr>
            <w:r w:rsidRPr="000569B1">
              <w:rPr>
                <w:lang w:eastAsia="en-AU"/>
              </w:rPr>
              <w:t>No disorder</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8.7</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3.5</w:t>
            </w:r>
          </w:p>
        </w:tc>
        <w:tc>
          <w:tcPr>
            <w:tcW w:w="1237"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2.7</w:t>
            </w:r>
          </w:p>
        </w:tc>
        <w:tc>
          <w:tcPr>
            <w:tcW w:w="1238" w:type="dxa"/>
            <w:tcBorders>
              <w:top w:val="nil"/>
              <w:left w:val="nil"/>
              <w:bottom w:val="nil"/>
              <w:right w:val="nil"/>
            </w:tcBorders>
            <w:shd w:val="clear" w:color="auto" w:fill="FFFFFF"/>
            <w:tcMar>
              <w:left w:w="40" w:type="dxa"/>
              <w:right w:w="40" w:type="dxa"/>
            </w:tcMar>
            <w:vAlign w:val="bottom"/>
          </w:tcPr>
          <w:p w:rsidR="0074764C" w:rsidRPr="000569B1" w:rsidRDefault="0074764C" w:rsidP="0074764C">
            <w:pPr>
              <w:pStyle w:val="TableDataCell"/>
              <w:rPr>
                <w:lang w:eastAsia="en-AU"/>
              </w:rPr>
            </w:pPr>
            <w:r w:rsidRPr="000569B1">
              <w:rPr>
                <w:lang w:eastAsia="en-AU"/>
              </w:rPr>
              <w:t>0.9</w:t>
            </w:r>
          </w:p>
        </w:tc>
      </w:tr>
      <w:tr w:rsidR="0074764C" w:rsidRPr="000569B1" w:rsidTr="0074764C">
        <w:trPr>
          <w:cantSplit/>
          <w:jc w:val="center"/>
        </w:trPr>
        <w:tc>
          <w:tcPr>
            <w:tcW w:w="1042" w:type="dxa"/>
            <w:vMerge/>
            <w:tcBorders>
              <w:top w:val="single" w:sz="6" w:space="0" w:color="000000"/>
              <w:bottom w:val="single" w:sz="6" w:space="0" w:color="000000"/>
              <w:right w:val="nil"/>
            </w:tcBorders>
            <w:shd w:val="clear" w:color="auto" w:fill="EFF3FF"/>
            <w:tcMar>
              <w:left w:w="40" w:type="dxa"/>
              <w:right w:w="40" w:type="dxa"/>
            </w:tcMar>
          </w:tcPr>
          <w:p w:rsidR="0074764C" w:rsidRPr="000569B1" w:rsidRDefault="0074764C" w:rsidP="0074764C">
            <w:pPr>
              <w:pStyle w:val="TableRowHeadings"/>
              <w:rPr>
                <w:rFonts w:ascii="Times New Roman" w:hAnsi="Times New Roman" w:cs="Times New Roman"/>
                <w:sz w:val="24"/>
                <w:szCs w:val="24"/>
                <w:lang w:eastAsia="en-AU"/>
              </w:rPr>
            </w:pPr>
          </w:p>
        </w:tc>
        <w:tc>
          <w:tcPr>
            <w:tcW w:w="3103" w:type="dxa"/>
            <w:tcBorders>
              <w:top w:val="nil"/>
              <w:left w:val="single" w:sz="4" w:space="0" w:color="FFFFFF"/>
              <w:bottom w:val="single" w:sz="6" w:space="0" w:color="000000"/>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All persons</w:t>
            </w:r>
          </w:p>
        </w:tc>
        <w:tc>
          <w:tcPr>
            <w:tcW w:w="1237" w:type="dxa"/>
            <w:tcBorders>
              <w:top w:val="nil"/>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11.6</w:t>
            </w:r>
          </w:p>
        </w:tc>
        <w:tc>
          <w:tcPr>
            <w:tcW w:w="1237" w:type="dxa"/>
            <w:tcBorders>
              <w:top w:val="nil"/>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5.0</w:t>
            </w:r>
          </w:p>
        </w:tc>
        <w:tc>
          <w:tcPr>
            <w:tcW w:w="1237" w:type="dxa"/>
            <w:tcBorders>
              <w:top w:val="nil"/>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4.5</w:t>
            </w:r>
          </w:p>
        </w:tc>
        <w:tc>
          <w:tcPr>
            <w:tcW w:w="1238" w:type="dxa"/>
            <w:tcBorders>
              <w:top w:val="nil"/>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1.6</w:t>
            </w:r>
          </w:p>
        </w:tc>
      </w:tr>
    </w:tbl>
    <w:p w:rsidR="0074764C" w:rsidRPr="000569B1" w:rsidRDefault="0074764C" w:rsidP="0074764C">
      <w:pPr>
        <w:pStyle w:val="TableFootnote"/>
        <w:rPr>
          <w:rFonts w:cs="Source Sans Pro Light"/>
          <w:szCs w:val="20"/>
        </w:rPr>
      </w:pPr>
      <w:proofErr w:type="gramStart"/>
      <w:r>
        <w:t>np</w:t>
      </w:r>
      <w:proofErr w:type="gramEnd"/>
      <w:r>
        <w:t xml:space="preserve"> </w:t>
      </w:r>
      <w:r>
        <w:tab/>
        <w:t>Not available for publication because of small cell size, but included in totals where applicable.</w:t>
      </w:r>
    </w:p>
    <w:p w:rsidR="0074764C" w:rsidRPr="00793414" w:rsidRDefault="0074764C" w:rsidP="0074764C">
      <w:pPr>
        <w:pStyle w:val="Heading2"/>
      </w:pPr>
      <w:bookmarkStart w:id="238" w:name="_Toc401758830"/>
      <w:r>
        <w:lastRenderedPageBreak/>
        <w:t>12.4</w:t>
      </w:r>
      <w:r>
        <w:tab/>
        <w:t>Problem</w:t>
      </w:r>
      <w:r w:rsidRPr="00793414">
        <w:t xml:space="preserve"> eating behaviours</w:t>
      </w:r>
      <w:bookmarkEnd w:id="238"/>
    </w:p>
    <w:p w:rsidR="0074764C" w:rsidRDefault="0074764C" w:rsidP="0074764C">
      <w:pPr>
        <w:pStyle w:val="BodyText"/>
      </w:pPr>
      <w:r>
        <w:t>Based upon self-report of their heights and weights, 6.1% of 11-17 year-olds had a BMI that placed them in the underweight range, 19.4% were in the overweight range and 6.7% were in the obese range using established age-specific BMI cut-offs</w:t>
      </w:r>
      <w:r>
        <w:rPr>
          <w:rStyle w:val="FootnoteReference"/>
        </w:rPr>
        <w:footnoteReference w:id="1"/>
      </w:r>
      <w:r>
        <w:t xml:space="preserve"> (Table 12-</w:t>
      </w:r>
      <w:r>
        <w:rPr>
          <w:noProof/>
        </w:rPr>
        <w:t>4</w:t>
      </w:r>
      <w:r>
        <w:t xml:space="preserve"> ).</w:t>
      </w:r>
    </w:p>
    <w:p w:rsidR="0074764C" w:rsidRDefault="0074764C" w:rsidP="0074764C">
      <w:pPr>
        <w:pStyle w:val="Caption"/>
        <w:keepNext/>
      </w:pPr>
      <w:bookmarkStart w:id="239" w:name="_Ref401938255"/>
      <w:bookmarkStart w:id="240" w:name="_Ref401938248"/>
      <w:r>
        <w:t>Table 12-</w:t>
      </w:r>
      <w:r>
        <w:rPr>
          <w:noProof/>
        </w:rPr>
        <w:t>4</w:t>
      </w:r>
      <w:bookmarkEnd w:id="239"/>
      <w:r>
        <w:t>: Body m</w:t>
      </w:r>
      <w:r w:rsidRPr="009A7D1A">
        <w:t xml:space="preserve">ass </w:t>
      </w:r>
      <w:r>
        <w:t>i</w:t>
      </w:r>
      <w:r w:rsidRPr="009A7D1A">
        <w:t>ndex of 11-17 year-olds by sex</w:t>
      </w:r>
      <w:bookmarkEnd w:id="240"/>
    </w:p>
    <w:tbl>
      <w:tblPr>
        <w:tblW w:w="0" w:type="auto"/>
        <w:jc w:val="center"/>
        <w:tblLayout w:type="fixed"/>
        <w:tblCellMar>
          <w:left w:w="0" w:type="dxa"/>
          <w:right w:w="0" w:type="dxa"/>
        </w:tblCellMar>
        <w:tblLook w:val="0020" w:firstRow="1" w:lastRow="0" w:firstColumn="0" w:lastColumn="0" w:noHBand="0" w:noVBand="0"/>
        <w:tblDescription w:val="In Table 12-4 the first column defines BMI category. Read across the row for the proportion of males, females and then persons in each each grouping of BMI category."/>
      </w:tblPr>
      <w:tblGrid>
        <w:gridCol w:w="4225"/>
        <w:gridCol w:w="1626"/>
        <w:gridCol w:w="1626"/>
        <w:gridCol w:w="1626"/>
      </w:tblGrid>
      <w:tr w:rsidR="0074764C" w:rsidRPr="00CE5E99" w:rsidTr="0074764C">
        <w:trPr>
          <w:cantSplit/>
          <w:tblHeader/>
          <w:jc w:val="center"/>
        </w:trPr>
        <w:tc>
          <w:tcPr>
            <w:tcW w:w="422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BMI category</w:t>
            </w:r>
          </w:p>
        </w:tc>
        <w:tc>
          <w:tcPr>
            <w:tcW w:w="16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Males (%)</w:t>
            </w:r>
          </w:p>
        </w:tc>
        <w:tc>
          <w:tcPr>
            <w:tcW w:w="16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Females (%)</w:t>
            </w:r>
          </w:p>
        </w:tc>
        <w:tc>
          <w:tcPr>
            <w:tcW w:w="162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Persons (%)</w:t>
            </w:r>
          </w:p>
        </w:tc>
      </w:tr>
      <w:tr w:rsidR="0074764C" w:rsidRPr="00CE5E99" w:rsidTr="0074764C">
        <w:trPr>
          <w:cantSplit/>
          <w:jc w:val="center"/>
        </w:trPr>
        <w:tc>
          <w:tcPr>
            <w:tcW w:w="4225" w:type="dxa"/>
            <w:tcBorders>
              <w:top w:val="nil"/>
              <w:bottom w:val="single" w:sz="4" w:space="0" w:color="FFFFFF"/>
              <w:right w:val="nil"/>
            </w:tcBorders>
            <w:shd w:val="clear" w:color="auto" w:fill="EFF3FF"/>
            <w:tcMar>
              <w:left w:w="40" w:type="dxa"/>
              <w:right w:w="40" w:type="dxa"/>
            </w:tcMar>
          </w:tcPr>
          <w:p w:rsidR="0074764C" w:rsidRPr="00CE5E99" w:rsidRDefault="0074764C" w:rsidP="0074764C">
            <w:pPr>
              <w:pStyle w:val="TableRowHeadings"/>
              <w:rPr>
                <w:lang w:eastAsia="en-AU"/>
              </w:rPr>
            </w:pPr>
            <w:r>
              <w:rPr>
                <w:lang w:eastAsia="en-AU"/>
              </w:rPr>
              <w:t>Underweight</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5.8</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6.4</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6.1</w:t>
            </w:r>
          </w:p>
        </w:tc>
      </w:tr>
      <w:tr w:rsidR="0074764C" w:rsidRPr="00CE5E99" w:rsidTr="0074764C">
        <w:trPr>
          <w:cantSplit/>
          <w:jc w:val="center"/>
        </w:trPr>
        <w:tc>
          <w:tcPr>
            <w:tcW w:w="4225" w:type="dxa"/>
            <w:tcBorders>
              <w:top w:val="nil"/>
              <w:bottom w:val="single" w:sz="4" w:space="0" w:color="FFFFFF"/>
              <w:right w:val="nil"/>
            </w:tcBorders>
            <w:shd w:val="clear" w:color="auto" w:fill="EFF3FF"/>
            <w:tcMar>
              <w:left w:w="40" w:type="dxa"/>
              <w:right w:w="40" w:type="dxa"/>
            </w:tcMar>
          </w:tcPr>
          <w:p w:rsidR="0074764C" w:rsidRPr="00CE5E99" w:rsidRDefault="0074764C" w:rsidP="0074764C">
            <w:pPr>
              <w:pStyle w:val="TableRowHeadings"/>
              <w:rPr>
                <w:lang w:eastAsia="en-AU"/>
              </w:rPr>
            </w:pPr>
            <w:r w:rsidRPr="00CE5E99">
              <w:rPr>
                <w:lang w:eastAsia="en-AU"/>
              </w:rPr>
              <w:t>Normal</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66.3</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69.6</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67.9</w:t>
            </w:r>
          </w:p>
        </w:tc>
      </w:tr>
      <w:tr w:rsidR="0074764C" w:rsidRPr="00CE5E99" w:rsidTr="0074764C">
        <w:trPr>
          <w:cantSplit/>
          <w:jc w:val="center"/>
        </w:trPr>
        <w:tc>
          <w:tcPr>
            <w:tcW w:w="4225" w:type="dxa"/>
            <w:tcBorders>
              <w:top w:val="nil"/>
              <w:bottom w:val="single" w:sz="4" w:space="0" w:color="FFFFFF"/>
              <w:right w:val="nil"/>
            </w:tcBorders>
            <w:shd w:val="clear" w:color="auto" w:fill="EFF3FF"/>
            <w:tcMar>
              <w:left w:w="40" w:type="dxa"/>
              <w:right w:w="40" w:type="dxa"/>
            </w:tcMar>
          </w:tcPr>
          <w:p w:rsidR="0074764C" w:rsidRPr="00CE5E99" w:rsidRDefault="0074764C" w:rsidP="0074764C">
            <w:pPr>
              <w:pStyle w:val="TableRowHeadings"/>
              <w:rPr>
                <w:lang w:eastAsia="en-AU"/>
              </w:rPr>
            </w:pPr>
            <w:r w:rsidRPr="00CE5E99">
              <w:rPr>
                <w:lang w:eastAsia="en-AU"/>
              </w:rPr>
              <w:t>Overweight</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21.5</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17.1</w:t>
            </w:r>
          </w:p>
        </w:tc>
        <w:tc>
          <w:tcPr>
            <w:tcW w:w="1626" w:type="dxa"/>
            <w:tcBorders>
              <w:top w:val="nil"/>
              <w:left w:val="nil"/>
              <w:bottom w:val="nil"/>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19.4</w:t>
            </w:r>
          </w:p>
        </w:tc>
      </w:tr>
      <w:tr w:rsidR="0074764C" w:rsidRPr="00CE5E99" w:rsidTr="0074764C">
        <w:trPr>
          <w:cantSplit/>
          <w:jc w:val="center"/>
        </w:trPr>
        <w:tc>
          <w:tcPr>
            <w:tcW w:w="4225" w:type="dxa"/>
            <w:tcBorders>
              <w:top w:val="nil"/>
              <w:bottom w:val="single" w:sz="6" w:space="0" w:color="000000"/>
              <w:right w:val="nil"/>
            </w:tcBorders>
            <w:shd w:val="clear" w:color="auto" w:fill="EFF3FF"/>
            <w:tcMar>
              <w:left w:w="40" w:type="dxa"/>
              <w:right w:w="40" w:type="dxa"/>
            </w:tcMar>
          </w:tcPr>
          <w:p w:rsidR="0074764C" w:rsidRPr="00CE5E99" w:rsidRDefault="0074764C" w:rsidP="0074764C">
            <w:pPr>
              <w:pStyle w:val="TableRowHeadings"/>
              <w:rPr>
                <w:lang w:eastAsia="en-AU"/>
              </w:rPr>
            </w:pPr>
            <w:r w:rsidRPr="00CE5E99">
              <w:rPr>
                <w:lang w:eastAsia="en-AU"/>
              </w:rPr>
              <w:t>Obese</w:t>
            </w:r>
          </w:p>
        </w:tc>
        <w:tc>
          <w:tcPr>
            <w:tcW w:w="1626" w:type="dxa"/>
            <w:tcBorders>
              <w:top w:val="nil"/>
              <w:left w:val="nil"/>
              <w:bottom w:val="single" w:sz="6" w:space="0" w:color="000000"/>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6.5</w:t>
            </w:r>
          </w:p>
        </w:tc>
        <w:tc>
          <w:tcPr>
            <w:tcW w:w="1626" w:type="dxa"/>
            <w:tcBorders>
              <w:top w:val="nil"/>
              <w:left w:val="nil"/>
              <w:bottom w:val="single" w:sz="6" w:space="0" w:color="000000"/>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6.9</w:t>
            </w:r>
          </w:p>
        </w:tc>
        <w:tc>
          <w:tcPr>
            <w:tcW w:w="1626" w:type="dxa"/>
            <w:tcBorders>
              <w:top w:val="nil"/>
              <w:left w:val="nil"/>
              <w:bottom w:val="single" w:sz="6" w:space="0" w:color="000000"/>
              <w:right w:val="nil"/>
            </w:tcBorders>
            <w:shd w:val="clear" w:color="auto" w:fill="FFFFFF"/>
            <w:tcMar>
              <w:left w:w="40" w:type="dxa"/>
              <w:right w:w="40" w:type="dxa"/>
            </w:tcMar>
            <w:vAlign w:val="bottom"/>
          </w:tcPr>
          <w:p w:rsidR="0074764C" w:rsidRPr="00CE5E99" w:rsidRDefault="0074764C" w:rsidP="0074764C">
            <w:pPr>
              <w:pStyle w:val="TableDataCell"/>
              <w:rPr>
                <w:lang w:eastAsia="en-AU"/>
              </w:rPr>
            </w:pPr>
            <w:r w:rsidRPr="00CE5E99">
              <w:rPr>
                <w:lang w:eastAsia="en-AU"/>
              </w:rPr>
              <w:t>6.7</w:t>
            </w:r>
          </w:p>
        </w:tc>
      </w:tr>
    </w:tbl>
    <w:p w:rsidR="0074764C" w:rsidRPr="008C0B8B" w:rsidRDefault="0074764C" w:rsidP="009E2950">
      <w:pPr>
        <w:pStyle w:val="BodyText"/>
        <w:spacing w:before="240"/>
        <w:rPr>
          <w:spacing w:val="-4"/>
        </w:rPr>
      </w:pPr>
      <w:r w:rsidRPr="008C0B8B">
        <w:rPr>
          <w:spacing w:val="-4"/>
        </w:rPr>
        <w:t xml:space="preserve">Among young people with major depressive disorder based on self-report, 10.5% had a BMI in the obese range, compared with 5.9% of those with no mental disorder. The difference was largest for males with 16.7% of males with major depressive disorder based on self-report in the obese range compared with 5.8% of males with no disorder. A higher proportion of males with major depressive disorder were in the underweight range (10.6% compared with 5.3%) while a lower proportion of females with major depressive disorder were in the underweight range (4.2% compared with 6.7%) </w:t>
      </w:r>
      <w:proofErr w:type="gramStart"/>
      <w:r w:rsidRPr="008C0B8B">
        <w:rPr>
          <w:spacing w:val="-4"/>
        </w:rPr>
        <w:t>(Table 12-5).</w:t>
      </w:r>
      <w:proofErr w:type="gramEnd"/>
    </w:p>
    <w:p w:rsidR="0074764C" w:rsidRDefault="0074764C" w:rsidP="0074764C">
      <w:pPr>
        <w:pStyle w:val="Caption"/>
        <w:keepNext/>
      </w:pPr>
      <w:bookmarkStart w:id="241" w:name="_Ref402169252"/>
      <w:r>
        <w:t>Table 12-</w:t>
      </w:r>
      <w:r>
        <w:rPr>
          <w:noProof/>
        </w:rPr>
        <w:t>5</w:t>
      </w:r>
      <w:bookmarkEnd w:id="241"/>
      <w:r>
        <w:t>: Body mass index of 11-17 year-olds by sex and mental health status</w:t>
      </w:r>
    </w:p>
    <w:tbl>
      <w:tblPr>
        <w:tblW w:w="9155" w:type="dxa"/>
        <w:jc w:val="center"/>
        <w:tblLayout w:type="fixed"/>
        <w:tblCellMar>
          <w:left w:w="0" w:type="dxa"/>
          <w:right w:w="0" w:type="dxa"/>
        </w:tblCellMar>
        <w:tblLook w:val="0020" w:firstRow="1" w:lastRow="0" w:firstColumn="0" w:lastColumn="0" w:noHBand="0" w:noVBand="0"/>
        <w:tblDescription w:val="In Table 12-5 the first column defines mental disorder status and the second column defines BMI category. Read across the row for the proportion of males, females and then persons in each each grouping of BMI category."/>
      </w:tblPr>
      <w:tblGrid>
        <w:gridCol w:w="2347"/>
        <w:gridCol w:w="1918"/>
        <w:gridCol w:w="1630"/>
        <w:gridCol w:w="1630"/>
        <w:gridCol w:w="1630"/>
      </w:tblGrid>
      <w:tr w:rsidR="0074764C" w:rsidRPr="002F6A2B" w:rsidTr="0074764C">
        <w:trPr>
          <w:cantSplit/>
          <w:tblHeader/>
          <w:jc w:val="center"/>
        </w:trPr>
        <w:tc>
          <w:tcPr>
            <w:tcW w:w="2347"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1918" w:type="dxa"/>
            <w:tcBorders>
              <w:top w:val="single" w:sz="6" w:space="0" w:color="000000"/>
              <w:left w:val="single" w:sz="4" w:space="0" w:color="FFFFFF"/>
              <w:bottom w:val="single" w:sz="4"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BMI category</w:t>
            </w:r>
          </w:p>
        </w:tc>
        <w:tc>
          <w:tcPr>
            <w:tcW w:w="16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Males (%)</w:t>
            </w:r>
          </w:p>
        </w:tc>
        <w:tc>
          <w:tcPr>
            <w:tcW w:w="16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Females (%)</w:t>
            </w:r>
          </w:p>
        </w:tc>
        <w:tc>
          <w:tcPr>
            <w:tcW w:w="163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Persons (%)</w:t>
            </w:r>
          </w:p>
        </w:tc>
      </w:tr>
      <w:tr w:rsidR="0074764C" w:rsidRPr="002F6A2B" w:rsidTr="0074764C">
        <w:trPr>
          <w:cantSplit/>
          <w:jc w:val="center"/>
        </w:trPr>
        <w:tc>
          <w:tcPr>
            <w:tcW w:w="2347"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 xml:space="preserve">Major depressive disorder based on </w:t>
            </w:r>
            <w:r>
              <w:rPr>
                <w:lang w:eastAsia="en-AU"/>
              </w:rPr>
              <w:t xml:space="preserve">adolescent </w:t>
            </w:r>
            <w:r w:rsidRPr="002F6A2B">
              <w:rPr>
                <w:lang w:eastAsia="en-AU"/>
              </w:rPr>
              <w:t>report</w:t>
            </w: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Pr>
                <w:lang w:eastAsia="en-AU"/>
              </w:rPr>
              <w:t>Underweight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10.6</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4.2</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6.2</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Normal</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46.9</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65.0</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59.4</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Overweight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25.8</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23.0</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23.9</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Obese</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16.7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10.5</w:t>
            </w:r>
          </w:p>
        </w:tc>
      </w:tr>
      <w:tr w:rsidR="0074764C" w:rsidRPr="002F6A2B" w:rsidTr="0074764C">
        <w:trPr>
          <w:cantSplit/>
          <w:jc w:val="center"/>
        </w:trPr>
        <w:tc>
          <w:tcPr>
            <w:tcW w:w="2347"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Major depressive disorder based on parent or carer report</w:t>
            </w: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Pr>
                <w:lang w:eastAsia="en-AU"/>
              </w:rPr>
              <w:t>Underweight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2.0</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3.5</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Normal</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54.5</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49.5</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51.6</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Overweight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28.2</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37.8</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33.8</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Obese</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11.7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10.7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11.1</w:t>
            </w:r>
          </w:p>
        </w:tc>
      </w:tr>
      <w:tr w:rsidR="0074764C" w:rsidRPr="002F6A2B" w:rsidTr="0074764C">
        <w:trPr>
          <w:cantSplit/>
          <w:jc w:val="center"/>
        </w:trPr>
        <w:tc>
          <w:tcPr>
            <w:tcW w:w="2347"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Other disorder based on parent or carer report</w:t>
            </w: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Pr>
                <w:lang w:eastAsia="en-AU"/>
              </w:rPr>
              <w:t>Underweight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7.9</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7.4</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7.7</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Normal</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61.7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59.8</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61.0</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Overweight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23.9</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17.6</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21.7</w:t>
            </w:r>
          </w:p>
        </w:tc>
      </w:tr>
      <w:tr w:rsidR="0074764C" w:rsidRPr="002F6A2B" w:rsidTr="0074764C">
        <w:trPr>
          <w:cantSplit/>
          <w:jc w:val="center"/>
        </w:trPr>
        <w:tc>
          <w:tcPr>
            <w:tcW w:w="2347" w:type="dxa"/>
            <w:vMerge/>
            <w:tcBorders>
              <w:top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Obese</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6.5</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15.1</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9.6</w:t>
            </w:r>
          </w:p>
        </w:tc>
      </w:tr>
      <w:tr w:rsidR="0074764C" w:rsidRPr="002F6A2B" w:rsidTr="0074764C">
        <w:trPr>
          <w:cantSplit/>
          <w:jc w:val="center"/>
        </w:trPr>
        <w:tc>
          <w:tcPr>
            <w:tcW w:w="2347"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No disorder</w:t>
            </w: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Pr>
                <w:lang w:eastAsia="en-AU"/>
              </w:rPr>
              <w:t>Underweight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5.3</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6.7</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6.0</w:t>
            </w:r>
          </w:p>
        </w:tc>
      </w:tr>
      <w:tr w:rsidR="0074764C" w:rsidRPr="002F6A2B" w:rsidTr="0074764C">
        <w:trPr>
          <w:cantSplit/>
          <w:jc w:val="center"/>
        </w:trPr>
        <w:tc>
          <w:tcPr>
            <w:tcW w:w="2347" w:type="dxa"/>
            <w:vMerge/>
            <w:tcBorders>
              <w:top w:val="single" w:sz="6" w:space="0" w:color="000000"/>
              <w:bottom w:val="single" w:sz="6" w:space="0" w:color="000000"/>
              <w:right w:val="nil"/>
            </w:tcBorders>
            <w:shd w:val="clear" w:color="auto" w:fill="E7F1F0"/>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Normal</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68.4</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72.0</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70.1</w:t>
            </w:r>
          </w:p>
        </w:tc>
      </w:tr>
      <w:tr w:rsidR="0074764C" w:rsidRPr="002F6A2B" w:rsidTr="0074764C">
        <w:trPr>
          <w:cantSplit/>
          <w:jc w:val="center"/>
        </w:trPr>
        <w:tc>
          <w:tcPr>
            <w:tcW w:w="2347" w:type="dxa"/>
            <w:vMerge/>
            <w:tcBorders>
              <w:top w:val="single" w:sz="6" w:space="0" w:color="000000"/>
              <w:bottom w:val="single" w:sz="6" w:space="0" w:color="000000"/>
              <w:right w:val="nil"/>
            </w:tcBorders>
            <w:shd w:val="clear" w:color="auto" w:fill="E7F1F0"/>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4" w:space="0" w:color="FFFFFF"/>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Overweight</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20.5</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15.4</w:t>
            </w:r>
          </w:p>
        </w:tc>
        <w:tc>
          <w:tcPr>
            <w:tcW w:w="1630" w:type="dxa"/>
            <w:tcBorders>
              <w:top w:val="nil"/>
              <w:left w:val="nil"/>
              <w:bottom w:val="nil"/>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18.1</w:t>
            </w:r>
          </w:p>
        </w:tc>
      </w:tr>
      <w:tr w:rsidR="0074764C" w:rsidRPr="002F6A2B" w:rsidTr="0074764C">
        <w:trPr>
          <w:cantSplit/>
          <w:jc w:val="center"/>
        </w:trPr>
        <w:tc>
          <w:tcPr>
            <w:tcW w:w="2347" w:type="dxa"/>
            <w:vMerge/>
            <w:tcBorders>
              <w:top w:val="single" w:sz="6" w:space="0" w:color="000000"/>
              <w:bottom w:val="single" w:sz="6" w:space="0" w:color="000000"/>
              <w:right w:val="nil"/>
            </w:tcBorders>
            <w:shd w:val="clear" w:color="auto" w:fill="E7F1F0"/>
            <w:tcMar>
              <w:left w:w="40" w:type="dxa"/>
              <w:right w:w="40" w:type="dxa"/>
            </w:tcMar>
          </w:tcPr>
          <w:p w:rsidR="0074764C" w:rsidRPr="002F6A2B" w:rsidRDefault="0074764C" w:rsidP="0074764C">
            <w:pPr>
              <w:pStyle w:val="TableRowHeadings"/>
              <w:rPr>
                <w:rFonts w:ascii="Times New Roman" w:hAnsi="Times New Roman" w:cs="Times New Roman"/>
                <w:sz w:val="24"/>
                <w:szCs w:val="24"/>
                <w:lang w:eastAsia="en-AU"/>
              </w:rPr>
            </w:pPr>
          </w:p>
        </w:tc>
        <w:tc>
          <w:tcPr>
            <w:tcW w:w="1918" w:type="dxa"/>
            <w:tcBorders>
              <w:top w:val="nil"/>
              <w:left w:val="single" w:sz="4" w:space="0" w:color="FFFFFF"/>
              <w:bottom w:val="single" w:sz="6" w:space="0" w:color="000000"/>
              <w:right w:val="nil"/>
            </w:tcBorders>
            <w:shd w:val="clear" w:color="auto" w:fill="EFF3FF"/>
            <w:tcMar>
              <w:left w:w="40" w:type="dxa"/>
              <w:right w:w="40" w:type="dxa"/>
            </w:tcMar>
          </w:tcPr>
          <w:p w:rsidR="0074764C" w:rsidRPr="002F6A2B" w:rsidRDefault="0074764C" w:rsidP="0074764C">
            <w:pPr>
              <w:pStyle w:val="TableRowHeadings"/>
              <w:rPr>
                <w:lang w:eastAsia="en-AU"/>
              </w:rPr>
            </w:pPr>
            <w:r w:rsidRPr="002F6A2B">
              <w:rPr>
                <w:lang w:eastAsia="en-AU"/>
              </w:rPr>
              <w:t>Obese</w:t>
            </w:r>
          </w:p>
        </w:tc>
        <w:tc>
          <w:tcPr>
            <w:tcW w:w="1630" w:type="dxa"/>
            <w:tcBorders>
              <w:top w:val="nil"/>
              <w:left w:val="nil"/>
              <w:bottom w:val="single" w:sz="6" w:space="0" w:color="000000"/>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5.8</w:t>
            </w:r>
          </w:p>
        </w:tc>
        <w:tc>
          <w:tcPr>
            <w:tcW w:w="1630" w:type="dxa"/>
            <w:tcBorders>
              <w:top w:val="nil"/>
              <w:left w:val="nil"/>
              <w:bottom w:val="single" w:sz="6" w:space="0" w:color="000000"/>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5.9</w:t>
            </w:r>
          </w:p>
        </w:tc>
        <w:tc>
          <w:tcPr>
            <w:tcW w:w="1630" w:type="dxa"/>
            <w:tcBorders>
              <w:top w:val="nil"/>
              <w:left w:val="nil"/>
              <w:bottom w:val="single" w:sz="6" w:space="0" w:color="000000"/>
              <w:right w:val="nil"/>
            </w:tcBorders>
            <w:shd w:val="clear" w:color="auto" w:fill="FFFFFF"/>
            <w:tcMar>
              <w:left w:w="40" w:type="dxa"/>
              <w:right w:w="40" w:type="dxa"/>
            </w:tcMar>
            <w:vAlign w:val="bottom"/>
          </w:tcPr>
          <w:p w:rsidR="0074764C" w:rsidRPr="002F6A2B" w:rsidRDefault="0074764C" w:rsidP="0074764C">
            <w:pPr>
              <w:pStyle w:val="TableDataCell"/>
              <w:rPr>
                <w:lang w:eastAsia="en-AU"/>
              </w:rPr>
            </w:pPr>
            <w:r w:rsidRPr="002F6A2B">
              <w:rPr>
                <w:lang w:eastAsia="en-AU"/>
              </w:rPr>
              <w:t>5.9</w:t>
            </w:r>
          </w:p>
        </w:tc>
      </w:tr>
    </w:tbl>
    <w:p w:rsidR="0074764C" w:rsidRDefault="0074764C" w:rsidP="0074764C">
      <w:pPr>
        <w:pStyle w:val="BodyText"/>
      </w:pPr>
      <w:r>
        <w:lastRenderedPageBreak/>
        <w:t>Low weight problem eating behaviour (where the young person was assessed as underweight on the age-adjusted BMI scale and was practising weight controlling behaviours such as dieting, fasting, vomiting or using laxatives or regularly exercising when they were supposed to be doing other things) was identified in 1.1% of 11-17 year-olds. Differences between males and females and between younger and older adolescents were not statistically significant (Table 12-</w:t>
      </w:r>
      <w:r>
        <w:rPr>
          <w:noProof/>
        </w:rPr>
        <w:t>6</w:t>
      </w:r>
      <w:r>
        <w:t>).</w:t>
      </w:r>
    </w:p>
    <w:p w:rsidR="0074764C" w:rsidRDefault="0074764C" w:rsidP="0074764C">
      <w:pPr>
        <w:pStyle w:val="BodyText"/>
      </w:pPr>
      <w:r w:rsidRPr="009F5887">
        <w:t xml:space="preserve">Binge eating and purging </w:t>
      </w:r>
      <w:r>
        <w:t>problem</w:t>
      </w:r>
      <w:r w:rsidRPr="009F5887">
        <w:t xml:space="preserve"> eating behaviour </w:t>
      </w:r>
      <w:r>
        <w:t xml:space="preserve">(where a young person of normal weight BMI or higher was both binge eating and either vomiting or taking laxatives to control weight) </w:t>
      </w:r>
      <w:r w:rsidRPr="009F5887">
        <w:t>was identified in</w:t>
      </w:r>
      <w:r>
        <w:t xml:space="preserve"> 1.3% of 11-17 year-olds. Differences between males and females and between younger and older adolescents were not statistically significant (Table 12-</w:t>
      </w:r>
      <w:r>
        <w:rPr>
          <w:noProof/>
        </w:rPr>
        <w:t>6</w:t>
      </w:r>
      <w:r>
        <w:t xml:space="preserve">). Prevalence of the individual behaviours used to define low weight problem eating behaviour and binge eating and purging problem eating behaviour is shown in </w:t>
      </w:r>
      <w:r w:rsidRPr="008B2480">
        <w:t>Supplementary Table S-68</w:t>
      </w:r>
      <w:r>
        <w:t>.</w:t>
      </w:r>
    </w:p>
    <w:p w:rsidR="0074764C" w:rsidRDefault="0074764C" w:rsidP="0074764C">
      <w:pPr>
        <w:pStyle w:val="BodyText"/>
      </w:pPr>
      <w:r>
        <w:t>Taken together, 1.6% of males and 3.2% of females had either low weight or binge either and purging problem eating behaviours. Among 11-15 year-olds proportions were similar for males and females. However among 16-17 year-olds a higher proportion of females (4.9%) had either low weight or binge either and purging problem eating behaviours than males (0.7%).</w:t>
      </w:r>
    </w:p>
    <w:p w:rsidR="0074764C" w:rsidRDefault="0074764C" w:rsidP="0074764C">
      <w:pPr>
        <w:pStyle w:val="BodyText"/>
        <w:rPr>
          <w:rFonts w:cs="Myriad Pro"/>
          <w:bCs/>
          <w:color w:val="000000"/>
          <w:szCs w:val="24"/>
        </w:rPr>
      </w:pPr>
      <w:r>
        <w:rPr>
          <w:rFonts w:cs="Myriad Pro"/>
          <w:bCs/>
          <w:color w:val="000000"/>
          <w:szCs w:val="24"/>
        </w:rPr>
        <w:t>Not all young people identified with problem eating behaviours in these questions would be expected to receive a formal diagnosis of an eating disorder under DSM-IV.</w:t>
      </w:r>
    </w:p>
    <w:p w:rsidR="0074764C" w:rsidRDefault="0074764C" w:rsidP="0074764C">
      <w:pPr>
        <w:pStyle w:val="Caption"/>
        <w:keepNext/>
      </w:pPr>
      <w:bookmarkStart w:id="242" w:name="_Ref402169232"/>
      <w:r>
        <w:t>Table 12-</w:t>
      </w:r>
      <w:r>
        <w:rPr>
          <w:noProof/>
        </w:rPr>
        <w:t>6</w:t>
      </w:r>
      <w:bookmarkEnd w:id="242"/>
      <w:r>
        <w:t>: Problem eating behaviours among 11-17 year-olds by sex and age group</w:t>
      </w:r>
    </w:p>
    <w:tbl>
      <w:tblPr>
        <w:tblW w:w="9122" w:type="dxa"/>
        <w:jc w:val="center"/>
        <w:tblLayout w:type="fixed"/>
        <w:tblCellMar>
          <w:left w:w="0" w:type="dxa"/>
          <w:right w:w="0" w:type="dxa"/>
        </w:tblCellMar>
        <w:tblLook w:val="0020" w:firstRow="1" w:lastRow="0" w:firstColumn="0" w:lastColumn="0" w:noHBand="0" w:noVBand="0"/>
        <w:tblDescription w:val="In Table 12-6 the first column defines age group, the second column defines disordered eating behaviour. Read across the row for the proportion of males and then females and then persons in each age group who reported this eating behaviour."/>
      </w:tblPr>
      <w:tblGrid>
        <w:gridCol w:w="1363"/>
        <w:gridCol w:w="3643"/>
        <w:gridCol w:w="1372"/>
        <w:gridCol w:w="1372"/>
        <w:gridCol w:w="1372"/>
      </w:tblGrid>
      <w:tr w:rsidR="0074764C" w:rsidRPr="006233CF" w:rsidTr="0074764C">
        <w:trPr>
          <w:cantSplit/>
          <w:tblHeader/>
          <w:jc w:val="center"/>
        </w:trPr>
        <w:tc>
          <w:tcPr>
            <w:tcW w:w="1363"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Age group</w:t>
            </w:r>
          </w:p>
        </w:tc>
        <w:tc>
          <w:tcPr>
            <w:tcW w:w="3643" w:type="dxa"/>
            <w:tcBorders>
              <w:top w:val="single" w:sz="6" w:space="0" w:color="000000"/>
              <w:left w:val="single" w:sz="4" w:space="0" w:color="FFFFFF"/>
              <w:bottom w:val="single" w:sz="4"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Eating behaviour</w:t>
            </w:r>
          </w:p>
        </w:tc>
        <w:tc>
          <w:tcPr>
            <w:tcW w:w="137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Males (%)</w:t>
            </w:r>
          </w:p>
        </w:tc>
        <w:tc>
          <w:tcPr>
            <w:tcW w:w="137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Females (%)</w:t>
            </w:r>
          </w:p>
        </w:tc>
        <w:tc>
          <w:tcPr>
            <w:tcW w:w="13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Persons (%)</w:t>
            </w:r>
          </w:p>
        </w:tc>
      </w:tr>
      <w:tr w:rsidR="0074764C" w:rsidRPr="006233CF" w:rsidTr="0074764C">
        <w:trPr>
          <w:cantSplit/>
          <w:jc w:val="center"/>
        </w:trPr>
        <w:tc>
          <w:tcPr>
            <w:tcW w:w="1363"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11-15 years</w:t>
            </w: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Low weight </w:t>
            </w:r>
            <w:r>
              <w:rPr>
                <w:lang w:eastAsia="en-AU"/>
              </w:rPr>
              <w:t>problem eating behaviour</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0.9</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1.3</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r>
      <w:tr w:rsidR="0074764C" w:rsidRPr="006233CF" w:rsidTr="0074764C">
        <w:trPr>
          <w:cantSplit/>
          <w:jc w:val="center"/>
        </w:trPr>
        <w:tc>
          <w:tcPr>
            <w:tcW w:w="1363" w:type="dxa"/>
            <w:vMerge/>
            <w:tcBorders>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Binge eating and purging </w:t>
            </w:r>
            <w:r>
              <w:rPr>
                <w:lang w:eastAsia="en-AU"/>
              </w:rPr>
              <w:t>problem eating behaviour</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r>
      <w:tr w:rsidR="0074764C" w:rsidRPr="006233CF" w:rsidTr="0074764C">
        <w:trPr>
          <w:cantSplit/>
          <w:jc w:val="center"/>
        </w:trPr>
        <w:tc>
          <w:tcPr>
            <w:tcW w:w="1363" w:type="dxa"/>
            <w:vMerge/>
            <w:tcBorders>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Either low weight or binge eating and purging problem eating behaviours</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2.0</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2.4</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2.2</w:t>
            </w:r>
          </w:p>
        </w:tc>
      </w:tr>
      <w:tr w:rsidR="0074764C" w:rsidRPr="006233CF" w:rsidTr="0074764C">
        <w:trPr>
          <w:cantSplit/>
          <w:jc w:val="center"/>
        </w:trPr>
        <w:tc>
          <w:tcPr>
            <w:tcW w:w="1363"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16-17 years</w:t>
            </w: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Low weight </w:t>
            </w:r>
            <w:r>
              <w:rPr>
                <w:lang w:eastAsia="en-AU"/>
              </w:rPr>
              <w:t>problem eating behaviour</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np</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2.0</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r>
      <w:tr w:rsidR="0074764C" w:rsidRPr="006233CF" w:rsidTr="0074764C">
        <w:trPr>
          <w:cantSplit/>
          <w:jc w:val="center"/>
        </w:trPr>
        <w:tc>
          <w:tcPr>
            <w:tcW w:w="1363" w:type="dxa"/>
            <w:vMerge/>
            <w:tcBorders>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Binge eating and purging </w:t>
            </w:r>
            <w:r>
              <w:rPr>
                <w:lang w:eastAsia="en-AU"/>
              </w:rPr>
              <w:t>problem eating behaviour</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np</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3.0</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1.8</w:t>
            </w:r>
          </w:p>
        </w:tc>
      </w:tr>
      <w:tr w:rsidR="0074764C" w:rsidRPr="006233CF" w:rsidTr="0074764C">
        <w:trPr>
          <w:cantSplit/>
          <w:jc w:val="center"/>
        </w:trPr>
        <w:tc>
          <w:tcPr>
            <w:tcW w:w="1363" w:type="dxa"/>
            <w:vMerge/>
            <w:tcBorders>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Either low weight or binge eating and purging problem eating behaviours</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0.7</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4.9</w:t>
            </w:r>
          </w:p>
        </w:tc>
        <w:tc>
          <w:tcPr>
            <w:tcW w:w="1372" w:type="dxa"/>
            <w:tcBorders>
              <w:top w:val="nil"/>
              <w:left w:val="nil"/>
              <w:bottom w:val="nil"/>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2.9</w:t>
            </w:r>
          </w:p>
        </w:tc>
      </w:tr>
      <w:tr w:rsidR="0074764C" w:rsidRPr="006233CF" w:rsidTr="0074764C">
        <w:trPr>
          <w:cantSplit/>
          <w:jc w:val="center"/>
        </w:trPr>
        <w:tc>
          <w:tcPr>
            <w:tcW w:w="1363"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11-17 years</w:t>
            </w:r>
          </w:p>
        </w:tc>
        <w:tc>
          <w:tcPr>
            <w:tcW w:w="3643" w:type="dxa"/>
            <w:tcBorders>
              <w:top w:val="single" w:sz="4" w:space="0" w:color="FFFFFF"/>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Low weight </w:t>
            </w:r>
            <w:r>
              <w:rPr>
                <w:lang w:eastAsia="en-AU"/>
              </w:rPr>
              <w:t>problem eating behaviour</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sidRPr="006233CF">
              <w:rPr>
                <w:lang w:eastAsia="en-AU"/>
              </w:rPr>
              <w:t>0.7</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1.5</w:t>
            </w:r>
          </w:p>
        </w:tc>
        <w:tc>
          <w:tcPr>
            <w:tcW w:w="1372" w:type="dxa"/>
            <w:tcBorders>
              <w:top w:val="nil"/>
              <w:left w:val="nil"/>
              <w:bottom w:val="nil"/>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1.1</w:t>
            </w:r>
          </w:p>
        </w:tc>
      </w:tr>
      <w:tr w:rsidR="0074764C" w:rsidRPr="006233CF" w:rsidTr="0074764C">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single" w:sz="4" w:space="0" w:color="FFFFFF"/>
              <w:left w:val="single" w:sz="4" w:space="0" w:color="FFFFFF"/>
              <w:bottom w:val="single" w:sz="4" w:space="0" w:color="FFFFFF"/>
              <w:right w:val="nil"/>
            </w:tcBorders>
            <w:shd w:val="clear" w:color="auto" w:fill="EFF3FF"/>
            <w:tcMar>
              <w:left w:w="40" w:type="dxa"/>
              <w:right w:w="40" w:type="dxa"/>
            </w:tcMar>
          </w:tcPr>
          <w:p w:rsidR="0074764C" w:rsidRPr="006233CF" w:rsidRDefault="0074764C" w:rsidP="0074764C">
            <w:pPr>
              <w:pStyle w:val="TableRowHeadings"/>
              <w:rPr>
                <w:lang w:eastAsia="en-AU"/>
              </w:rPr>
            </w:pPr>
            <w:r w:rsidRPr="006233CF">
              <w:rPr>
                <w:lang w:eastAsia="en-AU"/>
              </w:rPr>
              <w:t xml:space="preserve">Binge eating and purging </w:t>
            </w:r>
            <w:r>
              <w:rPr>
                <w:lang w:eastAsia="en-AU"/>
              </w:rPr>
              <w:t>problem eating behaviour</w:t>
            </w:r>
          </w:p>
        </w:tc>
        <w:tc>
          <w:tcPr>
            <w:tcW w:w="1372" w:type="dxa"/>
            <w:tcBorders>
              <w:top w:val="nil"/>
              <w:left w:val="nil"/>
              <w:bottom w:val="single" w:sz="4" w:space="0" w:color="FFFFFF" w:themeColor="background1"/>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0.9</w:t>
            </w:r>
          </w:p>
        </w:tc>
        <w:tc>
          <w:tcPr>
            <w:tcW w:w="1372" w:type="dxa"/>
            <w:tcBorders>
              <w:top w:val="nil"/>
              <w:left w:val="nil"/>
              <w:bottom w:val="single" w:sz="4" w:space="0" w:color="FFFFFF" w:themeColor="background1"/>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1.7</w:t>
            </w:r>
          </w:p>
        </w:tc>
        <w:tc>
          <w:tcPr>
            <w:tcW w:w="1372" w:type="dxa"/>
            <w:tcBorders>
              <w:top w:val="nil"/>
              <w:left w:val="nil"/>
              <w:bottom w:val="single" w:sz="4" w:space="0" w:color="FFFFFF" w:themeColor="background1"/>
              <w:right w:val="nil"/>
            </w:tcBorders>
            <w:shd w:val="clear" w:color="auto" w:fill="FFFFFF"/>
            <w:tcMar>
              <w:left w:w="40" w:type="dxa"/>
              <w:right w:w="40" w:type="dxa"/>
            </w:tcMar>
            <w:vAlign w:val="bottom"/>
          </w:tcPr>
          <w:p w:rsidR="0074764C" w:rsidRPr="006233CF" w:rsidRDefault="0074764C" w:rsidP="0074764C">
            <w:pPr>
              <w:pStyle w:val="TableDataCell"/>
              <w:rPr>
                <w:lang w:eastAsia="en-AU"/>
              </w:rPr>
            </w:pPr>
            <w:r>
              <w:rPr>
                <w:lang w:eastAsia="en-AU"/>
              </w:rPr>
              <w:t>1.3</w:t>
            </w:r>
          </w:p>
        </w:tc>
      </w:tr>
      <w:tr w:rsidR="0074764C" w:rsidRPr="006233CF" w:rsidTr="0074764C">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74764C" w:rsidRPr="006233CF" w:rsidRDefault="0074764C" w:rsidP="0074764C">
            <w:pPr>
              <w:pStyle w:val="TableRowHeadings"/>
              <w:rPr>
                <w:rFonts w:ascii="Times New Roman" w:hAnsi="Times New Roman" w:cs="Times New Roman"/>
                <w:sz w:val="24"/>
                <w:szCs w:val="24"/>
                <w:lang w:eastAsia="en-AU"/>
              </w:rPr>
            </w:pPr>
          </w:p>
        </w:tc>
        <w:tc>
          <w:tcPr>
            <w:tcW w:w="3643" w:type="dxa"/>
            <w:tcBorders>
              <w:top w:val="single" w:sz="4" w:space="0" w:color="FFFFFF"/>
              <w:left w:val="single" w:sz="4" w:space="0" w:color="FFFFFF"/>
              <w:bottom w:val="single" w:sz="6" w:space="0" w:color="000000"/>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Either low weight or binge eating and purging problem eating behaviours</w:t>
            </w:r>
          </w:p>
        </w:tc>
        <w:tc>
          <w:tcPr>
            <w:tcW w:w="137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1.6</w:t>
            </w:r>
          </w:p>
        </w:tc>
        <w:tc>
          <w:tcPr>
            <w:tcW w:w="137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3.2</w:t>
            </w:r>
          </w:p>
        </w:tc>
        <w:tc>
          <w:tcPr>
            <w:tcW w:w="1372" w:type="dxa"/>
            <w:tcBorders>
              <w:top w:val="single" w:sz="4" w:space="0" w:color="FFFFFF" w:themeColor="background1"/>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2.4</w:t>
            </w:r>
          </w:p>
        </w:tc>
      </w:tr>
    </w:tbl>
    <w:p w:rsidR="0074764C" w:rsidRDefault="0074764C" w:rsidP="0074764C">
      <w:pPr>
        <w:pStyle w:val="TableFootnote"/>
        <w:rPr>
          <w:rFonts w:ascii="Myriad Pro" w:hAnsi="Myriad Pro" w:cs="Myriad Pro"/>
          <w:b/>
        </w:rPr>
      </w:pPr>
      <w:proofErr w:type="gramStart"/>
      <w:r>
        <w:t>np</w:t>
      </w:r>
      <w:proofErr w:type="gramEnd"/>
      <w:r>
        <w:t xml:space="preserve"> </w:t>
      </w:r>
      <w:r>
        <w:tab/>
        <w:t>Not available for publication because of small cell size, but included in totals where applicable.</w:t>
      </w:r>
    </w:p>
    <w:p w:rsidR="0074764C" w:rsidRPr="007B0552" w:rsidRDefault="0074764C" w:rsidP="0074764C">
      <w:pPr>
        <w:pStyle w:val="Heading2"/>
        <w:pageBreakBefore/>
      </w:pPr>
      <w:r>
        <w:lastRenderedPageBreak/>
        <w:t>12.5</w:t>
      </w:r>
      <w:r>
        <w:tab/>
      </w:r>
      <w:r w:rsidRPr="007B0552">
        <w:t>Sexual behaviours</w:t>
      </w:r>
      <w:bookmarkEnd w:id="233"/>
    </w:p>
    <w:p w:rsidR="0074764C" w:rsidRDefault="0074764C" w:rsidP="0074764C">
      <w:pPr>
        <w:pStyle w:val="BodyText"/>
      </w:pPr>
      <w:r>
        <w:t xml:space="preserve">Young people aged 13-17 years were asked several questions about their sexual activity. These questions were sourced from the </w:t>
      </w:r>
      <w:r w:rsidRPr="00117D2B">
        <w:rPr>
          <w:rStyle w:val="Emphasis"/>
        </w:rPr>
        <w:t xml:space="preserve">Youth Risk </w:t>
      </w:r>
      <w:proofErr w:type="spellStart"/>
      <w:r w:rsidRPr="00117D2B">
        <w:rPr>
          <w:rStyle w:val="Emphasis"/>
        </w:rPr>
        <w:t>Behavior</w:t>
      </w:r>
      <w:proofErr w:type="spellEnd"/>
      <w:r w:rsidRPr="00117D2B">
        <w:rPr>
          <w:rStyle w:val="Emphasis"/>
        </w:rPr>
        <w:t xml:space="preserve"> Surveillance System</w:t>
      </w:r>
      <w:r>
        <w:t xml:space="preserve"> questionnaire developed by the </w:t>
      </w:r>
      <w:proofErr w:type="spellStart"/>
      <w:r>
        <w:t>Centers</w:t>
      </w:r>
      <w:proofErr w:type="spellEnd"/>
      <w:r>
        <w:t xml:space="preserve"> for Disease Control and Prevention (CDC) in the United States. Overall, 14.9% of young people aged 13-17 years had ever had sexual intercourse and 4.2% reported having had sexual intercourse with 4 or more persons (Table 12-</w:t>
      </w:r>
      <w:r>
        <w:rPr>
          <w:noProof/>
        </w:rPr>
        <w:t>7</w:t>
      </w:r>
      <w:r>
        <w:t>).</w:t>
      </w:r>
    </w:p>
    <w:p w:rsidR="0074764C" w:rsidRDefault="0074764C" w:rsidP="0074764C">
      <w:pPr>
        <w:pStyle w:val="BodyText"/>
      </w:pPr>
      <w:r>
        <w:t xml:space="preserve">The proportion of young people who had ever had sexual intercourse was higher in adolescents who had mental disorders and highest in young people with major depressive disorder. Among young people with major depressive disorder based on </w:t>
      </w:r>
      <w:r>
        <w:rPr>
          <w:lang w:eastAsia="en-AU"/>
        </w:rPr>
        <w:t xml:space="preserve">adolescent </w:t>
      </w:r>
      <w:r>
        <w:t xml:space="preserve">report, 38.0% had ever had sexual intercourse, compared with 11.5% among young people with no mental disorder. Some 13.4% of young people with major depressive disorder based on </w:t>
      </w:r>
      <w:r>
        <w:rPr>
          <w:lang w:eastAsia="en-AU"/>
        </w:rPr>
        <w:t xml:space="preserve">adolescent </w:t>
      </w:r>
      <w:r>
        <w:t>report had had sexual intercourse with four or more persons during their life compared with 2.8% of young people with no mental disorder.</w:t>
      </w:r>
    </w:p>
    <w:p w:rsidR="0074764C" w:rsidRDefault="0074764C" w:rsidP="0074764C">
      <w:pPr>
        <w:pStyle w:val="Caption"/>
        <w:keepNext/>
      </w:pPr>
      <w:bookmarkStart w:id="243" w:name="_Ref401933441"/>
      <w:r>
        <w:t>Table 12-</w:t>
      </w:r>
      <w:r>
        <w:rPr>
          <w:noProof/>
        </w:rPr>
        <w:t>7</w:t>
      </w:r>
      <w:bookmarkEnd w:id="243"/>
      <w:r>
        <w:t xml:space="preserve">: </w:t>
      </w:r>
      <w:r w:rsidRPr="0015418F">
        <w:t>Sexual behaviours among 13-17 year-olds by mental health status</w:t>
      </w:r>
    </w:p>
    <w:tbl>
      <w:tblPr>
        <w:tblW w:w="0" w:type="auto"/>
        <w:jc w:val="center"/>
        <w:tblLayout w:type="fixed"/>
        <w:tblCellMar>
          <w:left w:w="0" w:type="dxa"/>
          <w:right w:w="0" w:type="dxa"/>
        </w:tblCellMar>
        <w:tblLook w:val="0020" w:firstRow="1" w:lastRow="0" w:firstColumn="0" w:lastColumn="0" w:noHBand="0" w:noVBand="0"/>
        <w:tblDescription w:val="In Table 12-7 the first column defines mental health status. Read across the row for the proportion who have ever had sexual intercourse and the proportion who have had sexual intercourse with four or more persons (during their life) for each grouping of mental health status."/>
      </w:tblPr>
      <w:tblGrid>
        <w:gridCol w:w="4995"/>
        <w:gridCol w:w="2048"/>
        <w:gridCol w:w="2048"/>
      </w:tblGrid>
      <w:tr w:rsidR="0074764C" w:rsidRPr="00CE1C31" w:rsidTr="0074764C">
        <w:trPr>
          <w:cantSplit/>
          <w:tblHeader/>
          <w:jc w:val="center"/>
        </w:trPr>
        <w:tc>
          <w:tcPr>
            <w:tcW w:w="499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204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Ever had sexual intercourse (%)</w:t>
            </w:r>
          </w:p>
        </w:tc>
        <w:tc>
          <w:tcPr>
            <w:tcW w:w="204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Had sexual intercourse with 4 or more persons (%)</w:t>
            </w:r>
          </w:p>
        </w:tc>
      </w:tr>
      <w:tr w:rsidR="0074764C" w:rsidRPr="00CE1C31" w:rsidTr="0074764C">
        <w:trPr>
          <w:cantSplit/>
          <w:jc w:val="center"/>
        </w:trPr>
        <w:tc>
          <w:tcPr>
            <w:tcW w:w="4995" w:type="dxa"/>
            <w:tcBorders>
              <w:top w:val="single" w:sz="4" w:space="0" w:color="000000"/>
              <w:bottom w:val="single" w:sz="4" w:space="0" w:color="FFFFFF"/>
              <w:right w:val="nil"/>
            </w:tcBorders>
            <w:shd w:val="clear" w:color="auto" w:fill="EFF3FF"/>
            <w:tcMar>
              <w:left w:w="40" w:type="dxa"/>
              <w:right w:w="40" w:type="dxa"/>
            </w:tcMar>
          </w:tcPr>
          <w:p w:rsidR="0074764C" w:rsidRPr="00CE1C31" w:rsidRDefault="0074764C" w:rsidP="0074764C">
            <w:pPr>
              <w:pStyle w:val="TableRowHeadings"/>
              <w:rPr>
                <w:lang w:eastAsia="en-AU"/>
              </w:rPr>
            </w:pPr>
            <w:r w:rsidRPr="00CE1C31">
              <w:rPr>
                <w:lang w:eastAsia="en-AU"/>
              </w:rPr>
              <w:t xml:space="preserve">Major depressive disorder based on </w:t>
            </w:r>
            <w:r>
              <w:rPr>
                <w:lang w:eastAsia="en-AU"/>
              </w:rPr>
              <w:t xml:space="preserve">adolescent </w:t>
            </w:r>
            <w:r w:rsidRPr="00CE1C31">
              <w:rPr>
                <w:lang w:eastAsia="en-AU"/>
              </w:rPr>
              <w:t>report</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38.0</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13.4</w:t>
            </w:r>
          </w:p>
        </w:tc>
      </w:tr>
      <w:tr w:rsidR="0074764C" w:rsidRPr="00CE1C31" w:rsidTr="0074764C">
        <w:trPr>
          <w:cantSplit/>
          <w:jc w:val="center"/>
        </w:trPr>
        <w:tc>
          <w:tcPr>
            <w:tcW w:w="4995" w:type="dxa"/>
            <w:tcBorders>
              <w:top w:val="nil"/>
              <w:bottom w:val="single" w:sz="4" w:space="0" w:color="FFFFFF"/>
              <w:right w:val="nil"/>
            </w:tcBorders>
            <w:shd w:val="clear" w:color="auto" w:fill="EFF3FF"/>
            <w:tcMar>
              <w:left w:w="40" w:type="dxa"/>
              <w:right w:w="40" w:type="dxa"/>
            </w:tcMar>
          </w:tcPr>
          <w:p w:rsidR="0074764C" w:rsidRPr="00CE1C31" w:rsidRDefault="0074764C" w:rsidP="0074764C">
            <w:pPr>
              <w:pStyle w:val="TableRowHeadings"/>
              <w:rPr>
                <w:lang w:eastAsia="en-AU"/>
              </w:rPr>
            </w:pPr>
            <w:r w:rsidRPr="00CE1C31">
              <w:rPr>
                <w:lang w:eastAsia="en-AU"/>
              </w:rPr>
              <w:t>Major depressive disorder based on parent or carer report</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41.4</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13.6</w:t>
            </w:r>
          </w:p>
        </w:tc>
      </w:tr>
      <w:tr w:rsidR="0074764C" w:rsidRPr="00CE1C31" w:rsidTr="0074764C">
        <w:trPr>
          <w:cantSplit/>
          <w:jc w:val="center"/>
        </w:trPr>
        <w:tc>
          <w:tcPr>
            <w:tcW w:w="4995" w:type="dxa"/>
            <w:tcBorders>
              <w:top w:val="nil"/>
              <w:bottom w:val="single" w:sz="4" w:space="0" w:color="FFFFFF"/>
              <w:right w:val="nil"/>
            </w:tcBorders>
            <w:shd w:val="clear" w:color="auto" w:fill="EFF3FF"/>
            <w:tcMar>
              <w:left w:w="40" w:type="dxa"/>
              <w:right w:w="40" w:type="dxa"/>
            </w:tcMar>
          </w:tcPr>
          <w:p w:rsidR="0074764C" w:rsidRPr="00CE1C31" w:rsidRDefault="0074764C" w:rsidP="0074764C">
            <w:pPr>
              <w:pStyle w:val="TableRowHeadings"/>
              <w:rPr>
                <w:lang w:eastAsia="en-AU"/>
              </w:rPr>
            </w:pPr>
            <w:r w:rsidRPr="00CE1C31">
              <w:rPr>
                <w:lang w:eastAsia="en-AU"/>
              </w:rPr>
              <w:t>Other disorder based on parent or carer report</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20.6</w:t>
            </w:r>
          </w:p>
        </w:tc>
        <w:tc>
          <w:tcPr>
            <w:tcW w:w="2048" w:type="dxa"/>
            <w:tcBorders>
              <w:top w:val="nil"/>
              <w:left w:val="nil"/>
              <w:bottom w:val="nil"/>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7.5</w:t>
            </w:r>
          </w:p>
        </w:tc>
      </w:tr>
      <w:tr w:rsidR="0074764C" w:rsidRPr="00CE1C31" w:rsidTr="0074764C">
        <w:trPr>
          <w:cantSplit/>
          <w:jc w:val="center"/>
        </w:trPr>
        <w:tc>
          <w:tcPr>
            <w:tcW w:w="4995" w:type="dxa"/>
            <w:tcBorders>
              <w:top w:val="nil"/>
              <w:bottom w:val="single" w:sz="4" w:space="0" w:color="auto"/>
              <w:right w:val="nil"/>
            </w:tcBorders>
            <w:shd w:val="clear" w:color="auto" w:fill="EFF3FF"/>
            <w:tcMar>
              <w:left w:w="40" w:type="dxa"/>
              <w:right w:w="40" w:type="dxa"/>
            </w:tcMar>
          </w:tcPr>
          <w:p w:rsidR="0074764C" w:rsidRPr="00CE1C31" w:rsidRDefault="0074764C" w:rsidP="0074764C">
            <w:pPr>
              <w:pStyle w:val="TableRowHeadings"/>
              <w:rPr>
                <w:lang w:eastAsia="en-AU"/>
              </w:rPr>
            </w:pPr>
            <w:r w:rsidRPr="00CE1C31">
              <w:rPr>
                <w:lang w:eastAsia="en-AU"/>
              </w:rPr>
              <w:t>No disorder</w:t>
            </w:r>
          </w:p>
        </w:tc>
        <w:tc>
          <w:tcPr>
            <w:tcW w:w="2048" w:type="dxa"/>
            <w:tcBorders>
              <w:top w:val="nil"/>
              <w:left w:val="nil"/>
              <w:bottom w:val="single" w:sz="4" w:space="0" w:color="auto"/>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11.5</w:t>
            </w:r>
          </w:p>
        </w:tc>
        <w:tc>
          <w:tcPr>
            <w:tcW w:w="2048" w:type="dxa"/>
            <w:tcBorders>
              <w:top w:val="nil"/>
              <w:left w:val="nil"/>
              <w:bottom w:val="single" w:sz="4" w:space="0" w:color="auto"/>
              <w:right w:val="nil"/>
            </w:tcBorders>
            <w:shd w:val="clear" w:color="auto" w:fill="FFFFFF"/>
            <w:tcMar>
              <w:left w:w="40" w:type="dxa"/>
              <w:right w:w="40" w:type="dxa"/>
            </w:tcMar>
            <w:vAlign w:val="bottom"/>
          </w:tcPr>
          <w:p w:rsidR="0074764C" w:rsidRPr="00CE1C31" w:rsidRDefault="0074764C" w:rsidP="0074764C">
            <w:pPr>
              <w:pStyle w:val="TableDataCell"/>
              <w:rPr>
                <w:lang w:eastAsia="en-AU"/>
              </w:rPr>
            </w:pPr>
            <w:r w:rsidRPr="00CE1C31">
              <w:rPr>
                <w:lang w:eastAsia="en-AU"/>
              </w:rPr>
              <w:t>2.8</w:t>
            </w:r>
          </w:p>
        </w:tc>
      </w:tr>
      <w:tr w:rsidR="0074764C" w:rsidRPr="00CE1C31" w:rsidTr="0074764C">
        <w:trPr>
          <w:cantSplit/>
          <w:jc w:val="center"/>
        </w:trPr>
        <w:tc>
          <w:tcPr>
            <w:tcW w:w="4995" w:type="dxa"/>
            <w:tcBorders>
              <w:top w:val="single" w:sz="4" w:space="0" w:color="auto"/>
              <w:bottom w:val="single" w:sz="6" w:space="0" w:color="000000"/>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persons</w:t>
            </w:r>
          </w:p>
        </w:tc>
        <w:tc>
          <w:tcPr>
            <w:tcW w:w="204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14.9</w:t>
            </w:r>
          </w:p>
        </w:tc>
        <w:tc>
          <w:tcPr>
            <w:tcW w:w="204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4.2</w:t>
            </w:r>
          </w:p>
        </w:tc>
      </w:tr>
    </w:tbl>
    <w:p w:rsidR="0074764C" w:rsidRDefault="0074764C" w:rsidP="009E2950">
      <w:pPr>
        <w:pStyle w:val="BodyText"/>
        <w:spacing w:before="240"/>
      </w:pPr>
      <w:r>
        <w:t xml:space="preserve">Two thirds of sexually active young people used a condom during last sexual intercourse (66.0%) and two fifths (39.7%) used birth control pills. Around one in </w:t>
      </w:r>
      <w:r w:rsidR="004713ED">
        <w:t>ten</w:t>
      </w:r>
      <w:r>
        <w:t xml:space="preserve"> young people did not use any method to prevent pregnancy or sexually transmitted infections during last sexual intercourse (11.5%). This was higher for young people with mental disorders other than major depressive disorder (19.1% compared with 9.6% among young people with no mental disorder). </w:t>
      </w:r>
    </w:p>
    <w:p w:rsidR="0074764C" w:rsidRDefault="0074764C" w:rsidP="0074764C">
      <w:pPr>
        <w:pStyle w:val="BodyText"/>
      </w:pPr>
      <w:r>
        <w:t xml:space="preserve">Young people with major depressive disorder were more likely to have drunk alcohol or used drugs before last sexual intercourse (27.8% based on </w:t>
      </w:r>
      <w:r>
        <w:rPr>
          <w:lang w:eastAsia="en-AU"/>
        </w:rPr>
        <w:t xml:space="preserve">adolescent </w:t>
      </w:r>
      <w:r>
        <w:t>report compared with 20.6% of young people with no mental disorder). Almost 40% of young people with mental disorders other than major depressive disorder drank alcohol or used drugs before last sexual intercourse (Table 12-</w:t>
      </w:r>
      <w:r>
        <w:rPr>
          <w:noProof/>
        </w:rPr>
        <w:t>8</w:t>
      </w:r>
      <w:r>
        <w:t>).</w:t>
      </w:r>
    </w:p>
    <w:p w:rsidR="0074764C" w:rsidRDefault="0074764C" w:rsidP="0074764C">
      <w:pPr>
        <w:pStyle w:val="Caption"/>
        <w:keepNext/>
        <w:pageBreakBefore/>
      </w:pPr>
      <w:bookmarkStart w:id="244" w:name="_Ref401937204"/>
      <w:r>
        <w:lastRenderedPageBreak/>
        <w:t>Table 12-</w:t>
      </w:r>
      <w:r>
        <w:rPr>
          <w:noProof/>
        </w:rPr>
        <w:t>8</w:t>
      </w:r>
      <w:bookmarkEnd w:id="244"/>
      <w:r>
        <w:t xml:space="preserve">: </w:t>
      </w:r>
      <w:r w:rsidRPr="00B73B1B">
        <w:t xml:space="preserve">Use of protection during last sexual intercourse </w:t>
      </w:r>
      <w:r>
        <w:t xml:space="preserve">or consumption of alcohol or drugs prior to last sexual intercourse </w:t>
      </w:r>
      <w:r w:rsidRPr="00B73B1B">
        <w:t>among 13-17 year-olds</w:t>
      </w:r>
      <w:r>
        <w:t xml:space="preserve"> who had ever had sexual intercourse</w:t>
      </w:r>
    </w:p>
    <w:tbl>
      <w:tblPr>
        <w:tblW w:w="0" w:type="auto"/>
        <w:jc w:val="center"/>
        <w:tblLayout w:type="fixed"/>
        <w:tblCellMar>
          <w:left w:w="0" w:type="dxa"/>
          <w:right w:w="0" w:type="dxa"/>
        </w:tblCellMar>
        <w:tblLook w:val="0020" w:firstRow="1" w:lastRow="0" w:firstColumn="0" w:lastColumn="0" w:noHBand="0" w:noVBand="0"/>
        <w:tblDescription w:val="In Table 12-8 the first column defines mental health status. Read across the row for the proportion who have used a condom during last sexual intercourse, used birth control pills before last sexual intercourse, did not use any method to prevent pregnancy during last sexual intercourse, and drank alcohol or used drugs before last sexual intercourse for each grouping of mental health status."/>
      </w:tblPr>
      <w:tblGrid>
        <w:gridCol w:w="2869"/>
        <w:gridCol w:w="1556"/>
        <w:gridCol w:w="1556"/>
        <w:gridCol w:w="1556"/>
        <w:gridCol w:w="1556"/>
      </w:tblGrid>
      <w:tr w:rsidR="0074764C" w:rsidRPr="00BB6423" w:rsidTr="0074764C">
        <w:trPr>
          <w:cantSplit/>
          <w:tblHeader/>
          <w:jc w:val="center"/>
        </w:trPr>
        <w:tc>
          <w:tcPr>
            <w:tcW w:w="2869"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15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Used a condom (%)</w:t>
            </w:r>
          </w:p>
        </w:tc>
        <w:tc>
          <w:tcPr>
            <w:tcW w:w="15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Used birth control pills (%)</w:t>
            </w:r>
          </w:p>
        </w:tc>
        <w:tc>
          <w:tcPr>
            <w:tcW w:w="15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Did not use any method to prevent pregnancy or sexually transmitted infections (%)</w:t>
            </w:r>
          </w:p>
        </w:tc>
        <w:tc>
          <w:tcPr>
            <w:tcW w:w="155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Drank alcohol or used drugs (%)</w:t>
            </w:r>
          </w:p>
        </w:tc>
      </w:tr>
      <w:tr w:rsidR="0074764C" w:rsidRPr="00BB6423" w:rsidTr="0074764C">
        <w:trPr>
          <w:cantSplit/>
          <w:jc w:val="center"/>
        </w:trPr>
        <w:tc>
          <w:tcPr>
            <w:tcW w:w="2869" w:type="dxa"/>
            <w:tcBorders>
              <w:top w:val="nil"/>
              <w:bottom w:val="single" w:sz="4" w:space="0" w:color="FFFFFF"/>
              <w:right w:val="nil"/>
            </w:tcBorders>
            <w:shd w:val="clear" w:color="auto" w:fill="EFF3FF"/>
            <w:tcMar>
              <w:left w:w="40" w:type="dxa"/>
              <w:right w:w="40" w:type="dxa"/>
            </w:tcMar>
          </w:tcPr>
          <w:p w:rsidR="0074764C" w:rsidRPr="00BB6423" w:rsidRDefault="0074764C" w:rsidP="0074764C">
            <w:pPr>
              <w:pStyle w:val="TableRowHeadings"/>
              <w:rPr>
                <w:lang w:eastAsia="en-AU"/>
              </w:rPr>
            </w:pPr>
            <w:r w:rsidRPr="00BB6423">
              <w:rPr>
                <w:lang w:eastAsia="en-AU"/>
              </w:rPr>
              <w:t xml:space="preserve">Major depressive disorder based on </w:t>
            </w:r>
            <w:r>
              <w:rPr>
                <w:lang w:eastAsia="en-AU"/>
              </w:rPr>
              <w:t xml:space="preserve">adolescent </w:t>
            </w:r>
            <w:r w:rsidRPr="00BB6423">
              <w:rPr>
                <w:lang w:eastAsia="en-AU"/>
              </w:rPr>
              <w:t>report</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48.7</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45.0</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17.0</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27.8</w:t>
            </w:r>
          </w:p>
        </w:tc>
      </w:tr>
      <w:tr w:rsidR="0074764C" w:rsidRPr="00BB6423" w:rsidTr="0074764C">
        <w:trPr>
          <w:cantSplit/>
          <w:jc w:val="center"/>
        </w:trPr>
        <w:tc>
          <w:tcPr>
            <w:tcW w:w="2869" w:type="dxa"/>
            <w:tcBorders>
              <w:top w:val="nil"/>
              <w:bottom w:val="single" w:sz="4" w:space="0" w:color="FFFFFF"/>
              <w:right w:val="nil"/>
            </w:tcBorders>
            <w:shd w:val="clear" w:color="auto" w:fill="EFF3FF"/>
            <w:tcMar>
              <w:left w:w="40" w:type="dxa"/>
              <w:right w:w="40" w:type="dxa"/>
            </w:tcMar>
          </w:tcPr>
          <w:p w:rsidR="0074764C" w:rsidRPr="00BB6423" w:rsidRDefault="0074764C" w:rsidP="0074764C">
            <w:pPr>
              <w:pStyle w:val="TableRowHeadings"/>
              <w:rPr>
                <w:lang w:eastAsia="en-AU"/>
              </w:rPr>
            </w:pPr>
            <w:r w:rsidRPr="00BB6423">
              <w:rPr>
                <w:lang w:eastAsia="en-AU"/>
              </w:rPr>
              <w:t>Major depressive disorder based on parent or carer report</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63.9</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43.9</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7.7</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26.2</w:t>
            </w:r>
          </w:p>
        </w:tc>
      </w:tr>
      <w:tr w:rsidR="0074764C" w:rsidRPr="00BB6423" w:rsidTr="0074764C">
        <w:trPr>
          <w:cantSplit/>
          <w:jc w:val="center"/>
        </w:trPr>
        <w:tc>
          <w:tcPr>
            <w:tcW w:w="2869" w:type="dxa"/>
            <w:tcBorders>
              <w:top w:val="nil"/>
              <w:bottom w:val="single" w:sz="4" w:space="0" w:color="FFFFFF"/>
              <w:right w:val="nil"/>
            </w:tcBorders>
            <w:shd w:val="clear" w:color="auto" w:fill="EFF3FF"/>
            <w:tcMar>
              <w:left w:w="40" w:type="dxa"/>
              <w:right w:w="40" w:type="dxa"/>
            </w:tcMar>
          </w:tcPr>
          <w:p w:rsidR="0074764C" w:rsidRPr="00BB6423" w:rsidRDefault="0074764C" w:rsidP="0074764C">
            <w:pPr>
              <w:pStyle w:val="TableRowHeadings"/>
              <w:rPr>
                <w:lang w:eastAsia="en-AU"/>
              </w:rPr>
            </w:pPr>
            <w:r w:rsidRPr="00BB6423">
              <w:rPr>
                <w:lang w:eastAsia="en-AU"/>
              </w:rPr>
              <w:t>Other disorder based on parent or carer report</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56.6</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24.1</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19.1</w:t>
            </w:r>
          </w:p>
        </w:tc>
        <w:tc>
          <w:tcPr>
            <w:tcW w:w="1556" w:type="dxa"/>
            <w:tcBorders>
              <w:top w:val="nil"/>
              <w:left w:val="nil"/>
              <w:bottom w:val="nil"/>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39.4</w:t>
            </w:r>
          </w:p>
        </w:tc>
      </w:tr>
      <w:tr w:rsidR="0074764C" w:rsidRPr="00BB6423" w:rsidTr="0074764C">
        <w:trPr>
          <w:cantSplit/>
          <w:jc w:val="center"/>
        </w:trPr>
        <w:tc>
          <w:tcPr>
            <w:tcW w:w="2869" w:type="dxa"/>
            <w:tcBorders>
              <w:top w:val="nil"/>
              <w:bottom w:val="single" w:sz="4" w:space="0" w:color="auto"/>
              <w:right w:val="nil"/>
            </w:tcBorders>
            <w:shd w:val="clear" w:color="auto" w:fill="EFF3FF"/>
            <w:tcMar>
              <w:left w:w="40" w:type="dxa"/>
              <w:right w:w="40" w:type="dxa"/>
            </w:tcMar>
          </w:tcPr>
          <w:p w:rsidR="0074764C" w:rsidRPr="00BB6423" w:rsidRDefault="0074764C" w:rsidP="0074764C">
            <w:pPr>
              <w:pStyle w:val="TableRowHeadings"/>
              <w:rPr>
                <w:lang w:eastAsia="en-AU"/>
              </w:rPr>
            </w:pPr>
            <w:r w:rsidRPr="00BB6423">
              <w:rPr>
                <w:lang w:eastAsia="en-AU"/>
              </w:rPr>
              <w:t>No disorder</w:t>
            </w:r>
          </w:p>
        </w:tc>
        <w:tc>
          <w:tcPr>
            <w:tcW w:w="1556" w:type="dxa"/>
            <w:tcBorders>
              <w:top w:val="nil"/>
              <w:left w:val="nil"/>
              <w:bottom w:val="single" w:sz="4" w:space="0" w:color="auto"/>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72.6</w:t>
            </w:r>
          </w:p>
        </w:tc>
        <w:tc>
          <w:tcPr>
            <w:tcW w:w="1556" w:type="dxa"/>
            <w:tcBorders>
              <w:top w:val="nil"/>
              <w:left w:val="nil"/>
              <w:bottom w:val="single" w:sz="4" w:space="0" w:color="auto"/>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40.0</w:t>
            </w:r>
          </w:p>
        </w:tc>
        <w:tc>
          <w:tcPr>
            <w:tcW w:w="1556" w:type="dxa"/>
            <w:tcBorders>
              <w:top w:val="nil"/>
              <w:left w:val="nil"/>
              <w:bottom w:val="single" w:sz="4" w:space="0" w:color="auto"/>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9.6</w:t>
            </w:r>
          </w:p>
        </w:tc>
        <w:tc>
          <w:tcPr>
            <w:tcW w:w="1556" w:type="dxa"/>
            <w:tcBorders>
              <w:top w:val="nil"/>
              <w:left w:val="nil"/>
              <w:bottom w:val="single" w:sz="4" w:space="0" w:color="auto"/>
              <w:right w:val="nil"/>
            </w:tcBorders>
            <w:shd w:val="clear" w:color="auto" w:fill="FFFFFF"/>
            <w:tcMar>
              <w:left w:w="40" w:type="dxa"/>
              <w:right w:w="40" w:type="dxa"/>
            </w:tcMar>
            <w:vAlign w:val="bottom"/>
          </w:tcPr>
          <w:p w:rsidR="0074764C" w:rsidRPr="00BB6423" w:rsidRDefault="0074764C" w:rsidP="0074764C">
            <w:pPr>
              <w:pStyle w:val="TableDataCell"/>
              <w:rPr>
                <w:lang w:eastAsia="en-AU"/>
              </w:rPr>
            </w:pPr>
            <w:r w:rsidRPr="00BB6423">
              <w:rPr>
                <w:lang w:eastAsia="en-AU"/>
              </w:rPr>
              <w:t>20.6</w:t>
            </w:r>
          </w:p>
        </w:tc>
      </w:tr>
      <w:tr w:rsidR="0074764C" w:rsidRPr="00BB6423" w:rsidTr="0074764C">
        <w:trPr>
          <w:cantSplit/>
          <w:jc w:val="center"/>
        </w:trPr>
        <w:tc>
          <w:tcPr>
            <w:tcW w:w="2869" w:type="dxa"/>
            <w:tcBorders>
              <w:top w:val="single" w:sz="4" w:space="0" w:color="auto"/>
              <w:bottom w:val="single" w:sz="6" w:space="0" w:color="000000"/>
              <w:right w:val="nil"/>
            </w:tcBorders>
            <w:shd w:val="clear" w:color="auto" w:fill="EFF3FF"/>
            <w:tcMar>
              <w:left w:w="40" w:type="dxa"/>
              <w:right w:w="40" w:type="dxa"/>
            </w:tcMar>
          </w:tcPr>
          <w:p w:rsidR="0074764C" w:rsidRPr="006977EE" w:rsidRDefault="0074764C" w:rsidP="0074764C">
            <w:pPr>
              <w:pStyle w:val="TableRowHeadings"/>
              <w:rPr>
                <w:rStyle w:val="Strong"/>
              </w:rPr>
            </w:pPr>
            <w:r w:rsidRPr="006977EE">
              <w:rPr>
                <w:rStyle w:val="Strong"/>
              </w:rPr>
              <w:t>All persons</w:t>
            </w:r>
          </w:p>
        </w:tc>
        <w:tc>
          <w:tcPr>
            <w:tcW w:w="155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66.0</w:t>
            </w:r>
          </w:p>
        </w:tc>
        <w:tc>
          <w:tcPr>
            <w:tcW w:w="155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39.7</w:t>
            </w:r>
          </w:p>
        </w:tc>
        <w:tc>
          <w:tcPr>
            <w:tcW w:w="155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11.5</w:t>
            </w:r>
          </w:p>
        </w:tc>
        <w:tc>
          <w:tcPr>
            <w:tcW w:w="155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6977EE" w:rsidRDefault="0074764C" w:rsidP="0074764C">
            <w:pPr>
              <w:pStyle w:val="TableDataCell"/>
              <w:rPr>
                <w:rStyle w:val="Strong"/>
              </w:rPr>
            </w:pPr>
            <w:r w:rsidRPr="006977EE">
              <w:rPr>
                <w:rStyle w:val="Strong"/>
              </w:rPr>
              <w:t>23.9</w:t>
            </w:r>
          </w:p>
        </w:tc>
      </w:tr>
    </w:tbl>
    <w:p w:rsidR="0074764C" w:rsidRDefault="0074764C" w:rsidP="0074764C">
      <w:pPr>
        <w:pStyle w:val="Heading2"/>
      </w:pPr>
      <w:bookmarkStart w:id="245" w:name="_Toc401758832"/>
      <w:r>
        <w:t>12.6</w:t>
      </w:r>
      <w:r>
        <w:tab/>
        <w:t>Bullying</w:t>
      </w:r>
      <w:bookmarkEnd w:id="245"/>
    </w:p>
    <w:p w:rsidR="0074764C" w:rsidRDefault="0074764C" w:rsidP="0074764C">
      <w:pPr>
        <w:pStyle w:val="BodyText"/>
      </w:pPr>
      <w:r>
        <w:t>Bullying covered both face-to-face teasing, threatening, spreading rumours and physically hurting another person, and cyber bullying when mobile phones and/or the internet were used to send emails or message</w:t>
      </w:r>
      <w:r w:rsidR="005A61DA">
        <w:t>s</w:t>
      </w:r>
      <w:r>
        <w:t>, post comments or pictures, or pretend to be someone online with the aim of hurting or threatening another person.</w:t>
      </w:r>
    </w:p>
    <w:p w:rsidR="0074764C" w:rsidRPr="00CA711F" w:rsidRDefault="0074764C" w:rsidP="0074764C">
      <w:pPr>
        <w:pStyle w:val="BodyText"/>
        <w:rPr>
          <w:spacing w:val="2"/>
        </w:rPr>
      </w:pPr>
      <w:r w:rsidRPr="00CA711F">
        <w:rPr>
          <w:spacing w:val="2"/>
        </w:rPr>
        <w:t>One quarter (24.3%) of young people aged 11-17 years had been bullied every few months or less often in the previous year and another 10.0% had been bullied every few weeks or more often (Table 12-9).</w:t>
      </w:r>
    </w:p>
    <w:p w:rsidR="0074764C" w:rsidRDefault="0074764C" w:rsidP="0074764C">
      <w:pPr>
        <w:pStyle w:val="BodyText"/>
      </w:pPr>
      <w:r>
        <w:t xml:space="preserve">Slightly </w:t>
      </w:r>
      <w:proofErr w:type="gramStart"/>
      <w:r>
        <w:t>more younger</w:t>
      </w:r>
      <w:proofErr w:type="gramEnd"/>
      <w:r>
        <w:t xml:space="preserve"> adolescents experienced bullying, with 11.2% of 11-15 year-olds and 7.1% of 16-17 year-olds being bullied every few weeks or more often. </w:t>
      </w:r>
    </w:p>
    <w:p w:rsidR="0074764C" w:rsidRDefault="0074764C" w:rsidP="0074764C">
      <w:pPr>
        <w:pStyle w:val="BodyText"/>
      </w:pPr>
      <w:r>
        <w:t xml:space="preserve">Three fifths of young people with major depressive disorder (62.8% based on self-report) had been bullied in the previous year. This was twice the proportion among those with no disorder (30.2%). The difference in proportions was greatest for those who were bullied more often, with 28.3% of 11-17 year-olds with major depressive disorder based on self-report having been bullied every few weeks or more often in the previous 12 months. This proportion was over three times higher the proportion of young people with no mental disorder (7.6%) </w:t>
      </w:r>
      <w:proofErr w:type="gramStart"/>
      <w:r>
        <w:t>(Table 12-</w:t>
      </w:r>
      <w:r>
        <w:rPr>
          <w:noProof/>
        </w:rPr>
        <w:t>9</w:t>
      </w:r>
      <w:r>
        <w:t>).</w:t>
      </w:r>
      <w:proofErr w:type="gramEnd"/>
    </w:p>
    <w:p w:rsidR="0074764C" w:rsidRDefault="0074764C" w:rsidP="0074764C">
      <w:pPr>
        <w:pStyle w:val="Caption"/>
        <w:keepNext/>
        <w:pageBreakBefore/>
        <w:spacing w:before="0"/>
      </w:pPr>
      <w:bookmarkStart w:id="246" w:name="_Ref403405125"/>
      <w:bookmarkStart w:id="247" w:name="_Ref403405121"/>
      <w:r>
        <w:lastRenderedPageBreak/>
        <w:t>Table 12-</w:t>
      </w:r>
      <w:r>
        <w:rPr>
          <w:noProof/>
        </w:rPr>
        <w:t>9</w:t>
      </w:r>
      <w:bookmarkEnd w:id="246"/>
      <w:r>
        <w:t>: Frequency of being bullied</w:t>
      </w:r>
      <w:r w:rsidRPr="009018AF">
        <w:t xml:space="preserve"> in past 12 months</w:t>
      </w:r>
      <w:r>
        <w:t xml:space="preserve"> among 11-17 year-olds </w:t>
      </w:r>
      <w:r w:rsidRPr="009018AF">
        <w:t>by mental health status and age group</w:t>
      </w:r>
      <w:bookmarkEnd w:id="247"/>
    </w:p>
    <w:tbl>
      <w:tblPr>
        <w:tblW w:w="9125" w:type="dxa"/>
        <w:jc w:val="center"/>
        <w:tblLayout w:type="fixed"/>
        <w:tblCellMar>
          <w:left w:w="0" w:type="dxa"/>
          <w:right w:w="0" w:type="dxa"/>
        </w:tblCellMar>
        <w:tblLook w:val="0020" w:firstRow="1" w:lastRow="0" w:firstColumn="0" w:lastColumn="0" w:noHBand="0" w:noVBand="0"/>
        <w:tblDescription w:val="In Table 12-9 the first column defines mental health status and the second column defines frequency of bullying. Read across the row for the proportion of11-15 year-olds and then proportion of 16-17 year-olds and then proportion of 11-17 year-olds in each group of mental health status who report this frequency of bullying."/>
      </w:tblPr>
      <w:tblGrid>
        <w:gridCol w:w="2460"/>
        <w:gridCol w:w="3323"/>
        <w:gridCol w:w="1114"/>
        <w:gridCol w:w="1114"/>
        <w:gridCol w:w="1114"/>
      </w:tblGrid>
      <w:tr w:rsidR="0074764C" w:rsidRPr="008E3D98" w:rsidTr="0074764C">
        <w:trPr>
          <w:cantSplit/>
          <w:tblHeader/>
          <w:jc w:val="center"/>
        </w:trPr>
        <w:tc>
          <w:tcPr>
            <w:tcW w:w="2460" w:type="dxa"/>
            <w:tcBorders>
              <w:top w:val="single" w:sz="6" w:space="0" w:color="auto"/>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3323" w:type="dxa"/>
            <w:tcBorders>
              <w:top w:val="single" w:sz="6" w:space="0" w:color="auto"/>
              <w:left w:val="single" w:sz="2" w:space="0" w:color="FFFFFF"/>
              <w:bottom w:val="single" w:sz="2"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Frequency of bullying</w:t>
            </w:r>
          </w:p>
        </w:tc>
        <w:tc>
          <w:tcPr>
            <w:tcW w:w="1114"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11-15 years (%)</w:t>
            </w:r>
          </w:p>
        </w:tc>
        <w:tc>
          <w:tcPr>
            <w:tcW w:w="1114"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16-17 years (%)</w:t>
            </w:r>
          </w:p>
        </w:tc>
        <w:tc>
          <w:tcPr>
            <w:tcW w:w="1114"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11-17 years (%)</w:t>
            </w:r>
          </w:p>
        </w:tc>
      </w:tr>
      <w:tr w:rsidR="0074764C" w:rsidRPr="008E3D98" w:rsidTr="0074764C">
        <w:trPr>
          <w:cantSplit/>
          <w:jc w:val="center"/>
        </w:trPr>
        <w:tc>
          <w:tcPr>
            <w:tcW w:w="2460" w:type="dxa"/>
            <w:vMerge w:val="restart"/>
            <w:tcBorders>
              <w:top w:val="single" w:sz="2" w:space="0" w:color="000000"/>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 xml:space="preserve">Major depressive disorder based on </w:t>
            </w:r>
            <w:r>
              <w:rPr>
                <w:lang w:eastAsia="en-AU"/>
              </w:rPr>
              <w:t xml:space="preserve">adolescent </w:t>
            </w:r>
            <w:r w:rsidRPr="00BB6423">
              <w:rPr>
                <w:lang w:eastAsia="en-AU"/>
              </w:rPr>
              <w:t>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35.4</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33.8</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34.5</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35.2</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22.3</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28.3</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Major depressive disorder based on parent or carer 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31.6</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22.9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29.7</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19.9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12.4</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18.2</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Other disorder based on parent or carer 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24.9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19.5</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23.4</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9.4</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5.5</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8.3</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No disorder</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24.4</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17.9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22.6</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8.9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4.1</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pPr>
            <w:r w:rsidRPr="008E3D98">
              <w:t>7.6</w:t>
            </w:r>
          </w:p>
        </w:tc>
      </w:tr>
      <w:tr w:rsidR="0074764C" w:rsidRPr="008E3D98" w:rsidTr="0074764C">
        <w:trPr>
          <w:cantSplit/>
          <w:jc w:val="center"/>
        </w:trPr>
        <w:tc>
          <w:tcPr>
            <w:tcW w:w="2460" w:type="dxa"/>
            <w:vMerge w:val="restart"/>
            <w:tcBorders>
              <w:top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persons</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25.7</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20.9</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24.3</w:t>
            </w:r>
          </w:p>
        </w:tc>
      </w:tr>
      <w:tr w:rsidR="0074764C" w:rsidRPr="008E3D98" w:rsidTr="0074764C">
        <w:trPr>
          <w:cantSplit/>
          <w:jc w:val="center"/>
        </w:trPr>
        <w:tc>
          <w:tcPr>
            <w:tcW w:w="2460" w:type="dxa"/>
            <w:vMerge/>
            <w:tcBorders>
              <w:top w:val="single" w:sz="12" w:space="0" w:color="000000"/>
              <w:bottom w:val="single" w:sz="6" w:space="0" w:color="auto"/>
              <w:right w:val="nil"/>
            </w:tcBorders>
            <w:shd w:val="clear" w:color="auto" w:fill="EFF3FF"/>
            <w:tcMar>
              <w:left w:w="40" w:type="dxa"/>
              <w:right w:w="40" w:type="dxa"/>
            </w:tcMar>
          </w:tcPr>
          <w:p w:rsidR="0074764C" w:rsidRPr="005A7557" w:rsidRDefault="0074764C" w:rsidP="0074764C">
            <w:pPr>
              <w:pStyle w:val="TableRowHeadings"/>
              <w:rPr>
                <w:rFonts w:ascii="Source Sans Pro" w:hAnsi="Source Sans Pro" w:cs="Times New Roman"/>
                <w:sz w:val="24"/>
                <w:szCs w:val="24"/>
                <w:lang w:eastAsia="en-AU"/>
              </w:rPr>
            </w:pPr>
          </w:p>
        </w:tc>
        <w:tc>
          <w:tcPr>
            <w:tcW w:w="3323" w:type="dxa"/>
            <w:tcBorders>
              <w:top w:val="nil"/>
              <w:left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Every few weeks, or more often</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11.2</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7.1</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10.0</w:t>
            </w:r>
          </w:p>
        </w:tc>
      </w:tr>
    </w:tbl>
    <w:p w:rsidR="0074764C" w:rsidRDefault="0074764C" w:rsidP="009E2950">
      <w:pPr>
        <w:pStyle w:val="BodyText"/>
        <w:spacing w:before="240"/>
      </w:pPr>
      <w:r>
        <w:t>Overall 11.3% of young people felt either ‘</w:t>
      </w:r>
      <w:r w:rsidRPr="00B16A44">
        <w:t>a lot’ or ‘extremely</w:t>
      </w:r>
      <w:r>
        <w:t>’</w:t>
      </w:r>
      <w:r w:rsidRPr="00B16A44">
        <w:t xml:space="preserve"> upset</w:t>
      </w:r>
      <w:r>
        <w:t xml:space="preserve"> as a result of bullying in the previous 12 months. The proportion who felt this way was far higher for young people with major depressive disorder, with 39.4% of those with major depressive disorder based on </w:t>
      </w:r>
      <w:r>
        <w:rPr>
          <w:lang w:eastAsia="en-AU"/>
        </w:rPr>
        <w:t xml:space="preserve">adolescent </w:t>
      </w:r>
      <w:r>
        <w:t>report</w:t>
      </w:r>
      <w:r w:rsidDel="00C319F0">
        <w:t xml:space="preserve"> </w:t>
      </w:r>
      <w:r>
        <w:t>feeling either ‘a lot’ or ‘extremely’ upset as a result of bullying (Table 12-</w:t>
      </w:r>
      <w:r>
        <w:rPr>
          <w:noProof/>
        </w:rPr>
        <w:t>10</w:t>
      </w:r>
      <w:r>
        <w:t>). It is not possible to establish if the depression was caused by or contributed to the bullying.</w:t>
      </w:r>
    </w:p>
    <w:p w:rsidR="0074764C" w:rsidRDefault="0074764C" w:rsidP="0074764C">
      <w:pPr>
        <w:pStyle w:val="Caption"/>
        <w:keepNext/>
      </w:pPr>
      <w:bookmarkStart w:id="248" w:name="_Ref403405735"/>
      <w:r>
        <w:t>Table 12-</w:t>
      </w:r>
      <w:r>
        <w:rPr>
          <w:noProof/>
        </w:rPr>
        <w:t>10</w:t>
      </w:r>
      <w:bookmarkEnd w:id="248"/>
      <w:r>
        <w:t>: Level of di</w:t>
      </w:r>
      <w:r w:rsidRPr="00701617">
        <w:t xml:space="preserve">stress caused by bullying in </w:t>
      </w:r>
      <w:r>
        <w:t>past</w:t>
      </w:r>
      <w:r w:rsidRPr="00701617">
        <w:t xml:space="preserve"> 12 months among 11-17 year-olds by mental health status and age group</w:t>
      </w:r>
    </w:p>
    <w:tbl>
      <w:tblPr>
        <w:tblW w:w="9123" w:type="dxa"/>
        <w:jc w:val="center"/>
        <w:tblLayout w:type="fixed"/>
        <w:tblCellMar>
          <w:left w:w="0" w:type="dxa"/>
          <w:right w:w="0" w:type="dxa"/>
        </w:tblCellMar>
        <w:tblLook w:val="0020" w:firstRow="1" w:lastRow="0" w:firstColumn="0" w:lastColumn="0" w:noHBand="0" w:noVBand="0"/>
        <w:tblDescription w:val="In Table 12-10 the first column defines mental health status and the second column defines level of distress caused by bullying. Read across the row for the proportion of11-15 year-olds and then proportion of 16-17 year-olds and then proportion of 11-17 year-olds in each group of mental health status who report this level of distress caused by bullying."/>
      </w:tblPr>
      <w:tblGrid>
        <w:gridCol w:w="2261"/>
        <w:gridCol w:w="3457"/>
        <w:gridCol w:w="1135"/>
        <w:gridCol w:w="1135"/>
        <w:gridCol w:w="1135"/>
      </w:tblGrid>
      <w:tr w:rsidR="0074764C" w:rsidRPr="008E3D98" w:rsidTr="0074764C">
        <w:trPr>
          <w:cantSplit/>
          <w:tblHeader/>
          <w:jc w:val="center"/>
        </w:trPr>
        <w:tc>
          <w:tcPr>
            <w:tcW w:w="2261" w:type="dxa"/>
            <w:tcBorders>
              <w:top w:val="single" w:sz="6" w:space="0" w:color="auto"/>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3457" w:type="dxa"/>
            <w:tcBorders>
              <w:top w:val="single" w:sz="6" w:space="0" w:color="auto"/>
              <w:left w:val="single" w:sz="2" w:space="0" w:color="FFFFFF"/>
              <w:bottom w:val="single" w:sz="2"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Distress level</w:t>
            </w:r>
          </w:p>
        </w:tc>
        <w:tc>
          <w:tcPr>
            <w:tcW w:w="1135"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11-15 years (%)</w:t>
            </w:r>
          </w:p>
        </w:tc>
        <w:tc>
          <w:tcPr>
            <w:tcW w:w="1135"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16-17 years (%)</w:t>
            </w:r>
          </w:p>
        </w:tc>
        <w:tc>
          <w:tcPr>
            <w:tcW w:w="1135"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11-17 years (%)</w:t>
            </w:r>
          </w:p>
        </w:tc>
      </w:tr>
      <w:tr w:rsidR="0074764C" w:rsidRPr="008E3D98" w:rsidTr="0074764C">
        <w:trPr>
          <w:cantSplit/>
          <w:jc w:val="center"/>
        </w:trPr>
        <w:tc>
          <w:tcPr>
            <w:tcW w:w="2261" w:type="dxa"/>
            <w:vMerge w:val="restart"/>
            <w:tcBorders>
              <w:top w:val="single" w:sz="2" w:space="0" w:color="000000"/>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 xml:space="preserve">Major depressive disorder based on </w:t>
            </w:r>
            <w:r>
              <w:rPr>
                <w:lang w:eastAsia="en-AU"/>
              </w:rPr>
              <w:t xml:space="preserve">adolescent </w:t>
            </w:r>
            <w:r w:rsidRPr="00BB6423">
              <w:rPr>
                <w:lang w:eastAsia="en-AU"/>
              </w:rPr>
              <w:t>report</w:t>
            </w: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Not bullied</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29.4</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43.8</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37.1</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None, a little bit or somewhat</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21.7</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25.0</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23.5</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A lot/extremely</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48.9</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31.2</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39.4</w:t>
            </w:r>
          </w:p>
        </w:tc>
      </w:tr>
      <w:tr w:rsidR="0074764C" w:rsidRPr="008E3D98" w:rsidTr="0074764C">
        <w:trPr>
          <w:cantSplit/>
          <w:jc w:val="center"/>
        </w:trPr>
        <w:tc>
          <w:tcPr>
            <w:tcW w:w="2261"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Major depressive disorder based on parent or carer report</w:t>
            </w: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Not bullied</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48.5</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64.7</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52.0</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None, a little bit or somewhat</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34.6</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21.6</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31.7</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A lot/extremely</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16.9</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13.6</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16.2</w:t>
            </w:r>
          </w:p>
        </w:tc>
      </w:tr>
      <w:tr w:rsidR="0074764C" w:rsidRPr="008E3D98" w:rsidTr="0074764C">
        <w:trPr>
          <w:cantSplit/>
          <w:jc w:val="center"/>
        </w:trPr>
        <w:tc>
          <w:tcPr>
            <w:tcW w:w="2261"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Other disorder based on parent or carer report</w:t>
            </w: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Not bullied</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65.6</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75.0</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68.3</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None, a little bit or somewhat</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23.9</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16.7</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21.8</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A lot/extremely</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10.5</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8.2</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9.9</w:t>
            </w:r>
          </w:p>
        </w:tc>
      </w:tr>
      <w:tr w:rsidR="0074764C" w:rsidRPr="008E3D98" w:rsidTr="0074764C">
        <w:trPr>
          <w:cantSplit/>
          <w:jc w:val="center"/>
        </w:trPr>
        <w:tc>
          <w:tcPr>
            <w:tcW w:w="2261"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No disorder</w:t>
            </w: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Not bullied</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66.7</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78.0</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69.8</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None, a little bit or somewhat</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23.8</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15.8</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21.6</w:t>
            </w:r>
          </w:p>
        </w:tc>
      </w:tr>
      <w:tr w:rsidR="0074764C" w:rsidRPr="008E3D98" w:rsidTr="0074764C">
        <w:trPr>
          <w:cantSplit/>
          <w:jc w:val="center"/>
        </w:trPr>
        <w:tc>
          <w:tcPr>
            <w:tcW w:w="2261"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A lot/extremely</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9.5</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6.2</w:t>
            </w:r>
          </w:p>
        </w:tc>
        <w:tc>
          <w:tcPr>
            <w:tcW w:w="1135"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8.6</w:t>
            </w:r>
          </w:p>
        </w:tc>
      </w:tr>
      <w:tr w:rsidR="0074764C" w:rsidRPr="008E3D98" w:rsidTr="0074764C">
        <w:trPr>
          <w:cantSplit/>
          <w:jc w:val="center"/>
        </w:trPr>
        <w:tc>
          <w:tcPr>
            <w:tcW w:w="2261" w:type="dxa"/>
            <w:vMerge w:val="restart"/>
            <w:tcBorders>
              <w:top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persons</w:t>
            </w: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Not bullied</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63.2</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72.0</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65.7</w:t>
            </w:r>
          </w:p>
        </w:tc>
      </w:tr>
      <w:tr w:rsidR="0074764C" w:rsidRPr="008E3D98" w:rsidTr="0074764C">
        <w:trPr>
          <w:cantSplit/>
          <w:jc w:val="center"/>
        </w:trPr>
        <w:tc>
          <w:tcPr>
            <w:tcW w:w="2261" w:type="dxa"/>
            <w:vMerge/>
            <w:tcBorders>
              <w:top w:val="single" w:sz="12" w:space="0" w:color="000000"/>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p>
        </w:tc>
        <w:tc>
          <w:tcPr>
            <w:tcW w:w="3457" w:type="dxa"/>
            <w:tcBorders>
              <w:top w:val="nil"/>
              <w:left w:val="single" w:sz="2" w:space="0" w:color="FFFFFF"/>
              <w:bottom w:val="single" w:sz="2"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None, a little bit or somewhat</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24.9</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18.2</w:t>
            </w:r>
          </w:p>
        </w:tc>
        <w:tc>
          <w:tcPr>
            <w:tcW w:w="1135"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22.9</w:t>
            </w:r>
          </w:p>
        </w:tc>
      </w:tr>
      <w:tr w:rsidR="0074764C" w:rsidRPr="008E3D98" w:rsidTr="0074764C">
        <w:trPr>
          <w:cantSplit/>
          <w:jc w:val="center"/>
        </w:trPr>
        <w:tc>
          <w:tcPr>
            <w:tcW w:w="2261" w:type="dxa"/>
            <w:vMerge/>
            <w:tcBorders>
              <w:top w:val="single" w:sz="12" w:space="0" w:color="000000"/>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p>
        </w:tc>
        <w:tc>
          <w:tcPr>
            <w:tcW w:w="3457" w:type="dxa"/>
            <w:tcBorders>
              <w:top w:val="nil"/>
              <w:left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 lot/extremely</w:t>
            </w:r>
          </w:p>
        </w:tc>
        <w:tc>
          <w:tcPr>
            <w:tcW w:w="1135"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12.0</w:t>
            </w:r>
          </w:p>
        </w:tc>
        <w:tc>
          <w:tcPr>
            <w:tcW w:w="1135"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9.8</w:t>
            </w:r>
          </w:p>
        </w:tc>
        <w:tc>
          <w:tcPr>
            <w:tcW w:w="1135"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11.3</w:t>
            </w:r>
          </w:p>
        </w:tc>
      </w:tr>
    </w:tbl>
    <w:p w:rsidR="0074764C" w:rsidRPr="00363D6A" w:rsidRDefault="0074764C" w:rsidP="0074764C">
      <w:pPr>
        <w:pStyle w:val="BodyText"/>
        <w:pageBreakBefore/>
        <w:rPr>
          <w:spacing w:val="2"/>
        </w:rPr>
      </w:pPr>
      <w:r w:rsidRPr="00363D6A">
        <w:rPr>
          <w:spacing w:val="2"/>
        </w:rPr>
        <w:lastRenderedPageBreak/>
        <w:t>One in eight (12.7%) young people bullied someone else every few months or less often and 2.0% did so at least every few weeks or more often. Young people with major depressive disorder were more likely to have bullied someone else than those with other disorders or no disorders (22.5% based on self-report compared with 13.8% with other disorders and 13.1% with no disorder) (Table 12-</w:t>
      </w:r>
      <w:r w:rsidRPr="00363D6A">
        <w:rPr>
          <w:noProof/>
          <w:spacing w:val="2"/>
        </w:rPr>
        <w:t>11</w:t>
      </w:r>
      <w:r w:rsidRPr="00363D6A">
        <w:rPr>
          <w:spacing w:val="2"/>
        </w:rPr>
        <w:t>).</w:t>
      </w:r>
    </w:p>
    <w:p w:rsidR="0074764C" w:rsidRDefault="0074764C" w:rsidP="0074764C">
      <w:pPr>
        <w:pStyle w:val="Caption"/>
        <w:keepNext/>
      </w:pPr>
      <w:bookmarkStart w:id="249" w:name="_Ref403405891"/>
      <w:r>
        <w:t>Table 12-</w:t>
      </w:r>
      <w:r>
        <w:rPr>
          <w:noProof/>
        </w:rPr>
        <w:t>11</w:t>
      </w:r>
      <w:bookmarkEnd w:id="249"/>
      <w:r>
        <w:t>: Perpetrator of bullying in the past 12 months among 11-17 year-olds by age group and mental health status</w:t>
      </w:r>
    </w:p>
    <w:tbl>
      <w:tblPr>
        <w:tblW w:w="9125" w:type="dxa"/>
        <w:jc w:val="center"/>
        <w:tblLayout w:type="fixed"/>
        <w:tblCellMar>
          <w:left w:w="0" w:type="dxa"/>
          <w:right w:w="0" w:type="dxa"/>
        </w:tblCellMar>
        <w:tblLook w:val="0020" w:firstRow="1" w:lastRow="0" w:firstColumn="0" w:lastColumn="0" w:noHBand="0" w:noVBand="0"/>
        <w:tblDescription w:val="In Table 12-11 the first column defines mental health status and the second column defines frequency of bullying. Read across the row for the proportion of11-15 year-olds and then proportion of 16-17 year-olds and then proportion of 11-17 year-olds in each group of mental health status who report this frequency of bullying."/>
      </w:tblPr>
      <w:tblGrid>
        <w:gridCol w:w="2460"/>
        <w:gridCol w:w="3323"/>
        <w:gridCol w:w="1114"/>
        <w:gridCol w:w="1114"/>
        <w:gridCol w:w="1114"/>
      </w:tblGrid>
      <w:tr w:rsidR="0074764C" w:rsidRPr="008E3D98" w:rsidTr="0074764C">
        <w:trPr>
          <w:cantSplit/>
          <w:tblHeader/>
          <w:jc w:val="center"/>
        </w:trPr>
        <w:tc>
          <w:tcPr>
            <w:tcW w:w="2460" w:type="dxa"/>
            <w:tcBorders>
              <w:top w:val="single" w:sz="6" w:space="0" w:color="auto"/>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Mental health status</w:t>
            </w:r>
          </w:p>
        </w:tc>
        <w:tc>
          <w:tcPr>
            <w:tcW w:w="3323" w:type="dxa"/>
            <w:tcBorders>
              <w:top w:val="single" w:sz="6" w:space="0" w:color="auto"/>
              <w:left w:val="single" w:sz="2" w:space="0" w:color="FFFFFF"/>
              <w:bottom w:val="single" w:sz="2"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Frequency of bullying</w:t>
            </w:r>
          </w:p>
        </w:tc>
        <w:tc>
          <w:tcPr>
            <w:tcW w:w="1114"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11-15 years (%)</w:t>
            </w:r>
          </w:p>
        </w:tc>
        <w:tc>
          <w:tcPr>
            <w:tcW w:w="1114"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16-17 years (%)</w:t>
            </w:r>
          </w:p>
        </w:tc>
        <w:tc>
          <w:tcPr>
            <w:tcW w:w="1114"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11-17 years (%)</w:t>
            </w:r>
          </w:p>
        </w:tc>
      </w:tr>
      <w:tr w:rsidR="0074764C" w:rsidRPr="008E3D98" w:rsidTr="0074764C">
        <w:trPr>
          <w:cantSplit/>
          <w:jc w:val="center"/>
        </w:trPr>
        <w:tc>
          <w:tcPr>
            <w:tcW w:w="2460" w:type="dxa"/>
            <w:vMerge w:val="restart"/>
            <w:tcBorders>
              <w:top w:val="single" w:sz="2" w:space="0" w:color="000000"/>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 xml:space="preserve">Major depressive disorder based on </w:t>
            </w:r>
            <w:r>
              <w:rPr>
                <w:lang w:eastAsia="en-AU"/>
              </w:rPr>
              <w:t xml:space="preserve">adolescent </w:t>
            </w:r>
            <w:r w:rsidRPr="00BB6423">
              <w:rPr>
                <w:lang w:eastAsia="en-AU"/>
              </w:rPr>
              <w:t>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19.8</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16.4</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18.0</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7.6</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Pr>
                <w:lang w:eastAsia="en-AU"/>
              </w:rPr>
              <w:t>np</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4.5</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Major depressive disorder based on parent or carer 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18.1</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14.3</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17.3</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Pr>
                <w:lang w:eastAsia="en-AU"/>
              </w:rPr>
              <w:t>np</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3.8</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BB6423">
              <w:rPr>
                <w:lang w:eastAsia="en-AU"/>
              </w:rPr>
              <w:t>Other disorder based on parent or carer report</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12.1</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11.9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12.0</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2.0</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Pr>
                <w:lang w:eastAsia="en-AU"/>
              </w:rPr>
              <w:t>1.1</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1.8</w:t>
            </w:r>
          </w:p>
        </w:tc>
      </w:tr>
      <w:tr w:rsidR="0074764C" w:rsidRPr="008E3D98" w:rsidTr="0074764C">
        <w:trPr>
          <w:cantSplit/>
          <w:jc w:val="center"/>
        </w:trPr>
        <w:tc>
          <w:tcPr>
            <w:tcW w:w="2460" w:type="dxa"/>
            <w:vMerge w:val="restart"/>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No disorder</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11.6</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11.5</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11.5</w:t>
            </w:r>
          </w:p>
        </w:tc>
      </w:tr>
      <w:tr w:rsidR="0074764C" w:rsidRPr="008E3D98" w:rsidTr="0074764C">
        <w:trPr>
          <w:cantSplit/>
          <w:jc w:val="center"/>
        </w:trPr>
        <w:tc>
          <w:tcPr>
            <w:tcW w:w="2460" w:type="dxa"/>
            <w:vMerge/>
            <w:tcBorders>
              <w:top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rFonts w:ascii="Times New Roman" w:hAnsi="Times New Roman" w:cs="Times New Roman"/>
                <w:sz w:val="24"/>
                <w:szCs w:val="24"/>
                <w:lang w:eastAsia="en-AU"/>
              </w:rPr>
            </w:pP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8E3D98" w:rsidRDefault="0074764C" w:rsidP="0074764C">
            <w:pPr>
              <w:pStyle w:val="TableRowHeadings"/>
              <w:rPr>
                <w:lang w:eastAsia="en-AU"/>
              </w:rPr>
            </w:pPr>
            <w:r w:rsidRPr="008E3D98">
              <w:rPr>
                <w:lang w:eastAsia="en-AU"/>
              </w:rPr>
              <w:t>Every few weeks, or more often</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1.9</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1.0</w:t>
            </w:r>
          </w:p>
        </w:tc>
        <w:tc>
          <w:tcPr>
            <w:tcW w:w="1114" w:type="dxa"/>
            <w:tcBorders>
              <w:top w:val="nil"/>
              <w:left w:val="nil"/>
              <w:bottom w:val="nil"/>
              <w:right w:val="nil"/>
            </w:tcBorders>
            <w:shd w:val="clear" w:color="auto" w:fill="FFFFFF"/>
            <w:tcMar>
              <w:left w:w="40" w:type="dxa"/>
              <w:right w:w="40" w:type="dxa"/>
            </w:tcMar>
            <w:vAlign w:val="bottom"/>
          </w:tcPr>
          <w:p w:rsidR="0074764C" w:rsidRPr="008E3D98" w:rsidRDefault="0074764C" w:rsidP="0074764C">
            <w:pPr>
              <w:pStyle w:val="TableDataCell"/>
              <w:rPr>
                <w:lang w:eastAsia="en-AU"/>
              </w:rPr>
            </w:pPr>
            <w:r w:rsidRPr="008E3D98">
              <w:rPr>
                <w:lang w:eastAsia="en-AU"/>
              </w:rPr>
              <w:t>1.6</w:t>
            </w:r>
          </w:p>
        </w:tc>
      </w:tr>
      <w:tr w:rsidR="0074764C" w:rsidRPr="008E3D98" w:rsidTr="0074764C">
        <w:trPr>
          <w:cantSplit/>
          <w:jc w:val="center"/>
        </w:trPr>
        <w:tc>
          <w:tcPr>
            <w:tcW w:w="2460" w:type="dxa"/>
            <w:vMerge w:val="restart"/>
            <w:tcBorders>
              <w:top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All persons</w:t>
            </w:r>
          </w:p>
        </w:tc>
        <w:tc>
          <w:tcPr>
            <w:tcW w:w="3323" w:type="dxa"/>
            <w:tcBorders>
              <w:top w:val="nil"/>
              <w:left w:val="single" w:sz="2" w:space="0" w:color="FFFFFF"/>
              <w:bottom w:val="single" w:sz="2" w:space="0" w:color="FFFFFF"/>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Every few months or less often</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12.8</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12.5</w:t>
            </w:r>
          </w:p>
        </w:tc>
        <w:tc>
          <w:tcPr>
            <w:tcW w:w="1114" w:type="dxa"/>
            <w:tcBorders>
              <w:top w:val="nil"/>
              <w:left w:val="nil"/>
              <w:bottom w:val="nil"/>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12.7</w:t>
            </w:r>
          </w:p>
        </w:tc>
      </w:tr>
      <w:tr w:rsidR="0074764C" w:rsidRPr="008E3D98" w:rsidTr="0074764C">
        <w:trPr>
          <w:cantSplit/>
          <w:jc w:val="center"/>
        </w:trPr>
        <w:tc>
          <w:tcPr>
            <w:tcW w:w="2460" w:type="dxa"/>
            <w:vMerge/>
            <w:tcBorders>
              <w:top w:val="single" w:sz="12" w:space="0" w:color="000000"/>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p>
        </w:tc>
        <w:tc>
          <w:tcPr>
            <w:tcW w:w="3323" w:type="dxa"/>
            <w:tcBorders>
              <w:top w:val="nil"/>
              <w:left w:val="single" w:sz="2" w:space="0" w:color="FFFFFF"/>
              <w:bottom w:val="single" w:sz="6" w:space="0" w:color="auto"/>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Every few weeks, or more often</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2.3</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1.4</w:t>
            </w:r>
          </w:p>
        </w:tc>
        <w:tc>
          <w:tcPr>
            <w:tcW w:w="1114" w:type="dxa"/>
            <w:tcBorders>
              <w:top w:val="nil"/>
              <w:left w:val="nil"/>
              <w:bottom w:val="single" w:sz="6" w:space="0" w:color="auto"/>
              <w:right w:val="nil"/>
            </w:tcBorders>
            <w:shd w:val="clear" w:color="auto" w:fill="FFFFFF"/>
            <w:tcMar>
              <w:left w:w="40" w:type="dxa"/>
              <w:right w:w="40" w:type="dxa"/>
            </w:tcMar>
            <w:vAlign w:val="bottom"/>
          </w:tcPr>
          <w:p w:rsidR="0074764C" w:rsidRPr="00A55033" w:rsidRDefault="0074764C" w:rsidP="0074764C">
            <w:pPr>
              <w:pStyle w:val="TableDataCell"/>
              <w:rPr>
                <w:rStyle w:val="Strong"/>
              </w:rPr>
            </w:pPr>
            <w:r w:rsidRPr="00A55033">
              <w:rPr>
                <w:rStyle w:val="Strong"/>
              </w:rPr>
              <w:t>2.0</w:t>
            </w:r>
          </w:p>
        </w:tc>
      </w:tr>
    </w:tbl>
    <w:p w:rsidR="0074764C" w:rsidRDefault="0074764C" w:rsidP="0074764C">
      <w:pPr>
        <w:pStyle w:val="TableFootnote"/>
      </w:pPr>
      <w:bookmarkStart w:id="250" w:name="_Toc401758833"/>
      <w:proofErr w:type="gramStart"/>
      <w:r>
        <w:t>np</w:t>
      </w:r>
      <w:proofErr w:type="gramEnd"/>
      <w:r>
        <w:t xml:space="preserve"> </w:t>
      </w:r>
      <w:r>
        <w:tab/>
        <w:t>Not available for publication because of small cell size, but included in totals where applicable.</w:t>
      </w:r>
    </w:p>
    <w:p w:rsidR="0074764C" w:rsidRDefault="0074764C" w:rsidP="0074764C">
      <w:pPr>
        <w:pStyle w:val="BodyText"/>
      </w:pPr>
      <w:r>
        <w:t xml:space="preserve">There was a strong relationship between being bullied and bullying another person. Just over one quarter (28.7%) of young people who were bullied in the previous 12 months had bullied another person. </w:t>
      </w:r>
      <w:proofErr w:type="gramStart"/>
      <w:r>
        <w:t>Whereas only 7.5% of young people who had not been bullied did so.</w:t>
      </w:r>
      <w:proofErr w:type="gramEnd"/>
    </w:p>
    <w:p w:rsidR="0074764C" w:rsidRPr="007B0552" w:rsidRDefault="0074764C" w:rsidP="0074764C">
      <w:pPr>
        <w:pStyle w:val="Heading2"/>
      </w:pPr>
      <w:r>
        <w:t>12.7</w:t>
      </w:r>
      <w:r>
        <w:tab/>
      </w:r>
      <w:r w:rsidRPr="007B0552">
        <w:t>Internet use and electronic games</w:t>
      </w:r>
      <w:bookmarkEnd w:id="250"/>
    </w:p>
    <w:p w:rsidR="0074764C" w:rsidRDefault="0074764C" w:rsidP="0074764C">
      <w:pPr>
        <w:pStyle w:val="BodyText"/>
      </w:pPr>
      <w:r>
        <w:t>Most young people spend several hours per day on the internet or playing electronic games, but a small proportion of young people spent much larger proportions of time on the internet or gaming. On average, males spent more time playing electronic games than females, even though males and females spend similar amounts of time using the internet. Some 5.3% of males didn’t use electronic games compared with 24.8% of females. Some 4.1% of males used electronic games for an average of 9 hours or more on an average weekday, and 7.8% used electronic games for an average of 9 hours or more on weekends, compared with 0.9% and 1.4% of females (Table 12-</w:t>
      </w:r>
      <w:r>
        <w:rPr>
          <w:noProof/>
        </w:rPr>
        <w:t>12</w:t>
      </w:r>
      <w:r>
        <w:t xml:space="preserve">). </w:t>
      </w:r>
    </w:p>
    <w:p w:rsidR="0074764C" w:rsidRDefault="0074764C" w:rsidP="0074764C">
      <w:pPr>
        <w:pStyle w:val="BodyText"/>
      </w:pPr>
      <w:r>
        <w:t xml:space="preserve">Only a small proportion of young people did not use the internet (1.1%). Among 11-15 year-olds, only 3.7% of males did not play electronic games while almost one fifth of females (19%) did not do so. The proportions rose to 9.4% of 16-17 year-old males and 37.6% of 16-17 year-old females (see </w:t>
      </w:r>
      <w:r w:rsidRPr="008B2480">
        <w:t>Supplementary Table S-70</w:t>
      </w:r>
      <w:r>
        <w:t>).</w:t>
      </w:r>
    </w:p>
    <w:p w:rsidR="0074764C" w:rsidRDefault="0074764C" w:rsidP="0074764C">
      <w:pPr>
        <w:pStyle w:val="Caption"/>
        <w:keepNext/>
        <w:pageBreakBefore/>
        <w:spacing w:before="0"/>
      </w:pPr>
      <w:bookmarkStart w:id="251" w:name="_Ref402797682"/>
      <w:r>
        <w:lastRenderedPageBreak/>
        <w:t>Table 12-</w:t>
      </w:r>
      <w:r>
        <w:rPr>
          <w:noProof/>
        </w:rPr>
        <w:t>12</w:t>
      </w:r>
      <w:bookmarkEnd w:id="251"/>
      <w:r>
        <w:t>: Time spent using the internet or playing electronic games among 11-17 year-olds by sex</w:t>
      </w:r>
    </w:p>
    <w:tbl>
      <w:tblPr>
        <w:tblW w:w="9125" w:type="dxa"/>
        <w:jc w:val="center"/>
        <w:tblLayout w:type="fixed"/>
        <w:tblCellMar>
          <w:left w:w="0" w:type="dxa"/>
          <w:right w:w="0" w:type="dxa"/>
        </w:tblCellMar>
        <w:tblLook w:val="0020" w:firstRow="1" w:lastRow="0" w:firstColumn="0" w:lastColumn="0" w:noHBand="0" w:noVBand="0"/>
        <w:tblDescription w:val="In Table 12-12 the first column defines sex, the second column defines the average time spent per day. Read across the rows for the proportion of 11-17 year olds spending each category of time on internet use on weekdays, internet use on weekends, electronic games on weekdays and finally electronic games on weekends."/>
      </w:tblPr>
      <w:tblGrid>
        <w:gridCol w:w="1225"/>
        <w:gridCol w:w="2461"/>
        <w:gridCol w:w="1347"/>
        <w:gridCol w:w="1366"/>
        <w:gridCol w:w="1360"/>
        <w:gridCol w:w="1366"/>
      </w:tblGrid>
      <w:tr w:rsidR="0074764C" w:rsidRPr="005E70E3" w:rsidTr="0074764C">
        <w:trPr>
          <w:cantSplit/>
          <w:tblHeader/>
          <w:jc w:val="center"/>
        </w:trPr>
        <w:tc>
          <w:tcPr>
            <w:tcW w:w="122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jc w:val="left"/>
              <w:rPr>
                <w:rStyle w:val="Strong"/>
              </w:rPr>
            </w:pPr>
            <w:r w:rsidRPr="008C0B8B">
              <w:rPr>
                <w:rStyle w:val="Strong"/>
              </w:rPr>
              <w:t>Sex</w:t>
            </w:r>
          </w:p>
        </w:tc>
        <w:tc>
          <w:tcPr>
            <w:tcW w:w="2461" w:type="dxa"/>
            <w:tcBorders>
              <w:top w:val="single" w:sz="6" w:space="0" w:color="000000"/>
              <w:left w:val="single" w:sz="4" w:space="0" w:color="FFFFFF"/>
              <w:bottom w:val="single" w:sz="4" w:space="0" w:color="000000"/>
              <w:right w:val="nil"/>
            </w:tcBorders>
            <w:shd w:val="clear" w:color="auto" w:fill="EFF3FF"/>
            <w:vAlign w:val="bottom"/>
          </w:tcPr>
          <w:p w:rsidR="0074764C" w:rsidRPr="008C0B8B" w:rsidRDefault="0074764C" w:rsidP="0074764C">
            <w:pPr>
              <w:pStyle w:val="TableColumnHeadings"/>
              <w:jc w:val="left"/>
              <w:rPr>
                <w:rStyle w:val="Strong"/>
              </w:rPr>
            </w:pPr>
            <w:r w:rsidRPr="008C0B8B">
              <w:rPr>
                <w:rStyle w:val="Strong"/>
              </w:rPr>
              <w:t>Average time spent per day</w:t>
            </w:r>
          </w:p>
        </w:tc>
        <w:tc>
          <w:tcPr>
            <w:tcW w:w="134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Internet use on weekdays (%)</w:t>
            </w:r>
          </w:p>
        </w:tc>
        <w:tc>
          <w:tcPr>
            <w:tcW w:w="136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Internet use on weekends (%)</w:t>
            </w:r>
          </w:p>
        </w:tc>
        <w:tc>
          <w:tcPr>
            <w:tcW w:w="13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Electronic games on weekdays (%)</w:t>
            </w:r>
          </w:p>
        </w:tc>
        <w:tc>
          <w:tcPr>
            <w:tcW w:w="136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C0B8B" w:rsidRDefault="0074764C" w:rsidP="0074764C">
            <w:pPr>
              <w:pStyle w:val="TableColumnHeadings"/>
              <w:rPr>
                <w:rStyle w:val="Strong"/>
              </w:rPr>
            </w:pPr>
            <w:r w:rsidRPr="008C0B8B">
              <w:rPr>
                <w:rStyle w:val="Strong"/>
              </w:rPr>
              <w:t>Electronic games on weekends (%)</w:t>
            </w:r>
          </w:p>
        </w:tc>
      </w:tr>
      <w:tr w:rsidR="0074764C" w:rsidRPr="005E70E3" w:rsidTr="0074764C">
        <w:trPr>
          <w:cantSplit/>
          <w:jc w:val="center"/>
        </w:trPr>
        <w:tc>
          <w:tcPr>
            <w:tcW w:w="1225"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Males</w:t>
            </w: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Doesn't use</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5.3</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5.3</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1-</w:t>
            </w:r>
            <w:r w:rsidRPr="005E70E3">
              <w:rPr>
                <w:lang w:eastAsia="en-AU"/>
              </w:rPr>
              <w:t>2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47.5</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37.9</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64.0</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41.5</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3-</w:t>
            </w:r>
            <w:r w:rsidRPr="005E70E3">
              <w:rPr>
                <w:lang w:eastAsia="en-AU"/>
              </w:rPr>
              <w:t>4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24.4</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25.6</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15.9</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26.4</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5-</w:t>
            </w:r>
            <w:r w:rsidRPr="005E70E3">
              <w:rPr>
                <w:lang w:eastAsia="en-AU"/>
              </w:rPr>
              <w:t>8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16.1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23.2</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10.7</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19.1</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9 hours or more</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12.2</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7.8</w:t>
            </w:r>
          </w:p>
        </w:tc>
      </w:tr>
      <w:tr w:rsidR="0074764C" w:rsidRPr="005E70E3" w:rsidTr="0074764C">
        <w:trPr>
          <w:cantSplit/>
          <w:jc w:val="center"/>
        </w:trPr>
        <w:tc>
          <w:tcPr>
            <w:tcW w:w="1225"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Females</w:t>
            </w: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Doesn't use</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24.8</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24.8</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1-</w:t>
            </w:r>
            <w:r w:rsidRPr="005E70E3">
              <w:rPr>
                <w:lang w:eastAsia="en-AU"/>
              </w:rPr>
              <w:t>2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44.8</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36.5</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63.0</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55.9</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3-</w:t>
            </w:r>
            <w:r w:rsidRPr="005E70E3">
              <w:rPr>
                <w:lang w:eastAsia="en-AU"/>
              </w:rPr>
              <w:t>4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25.5</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26.2</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8.4</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12.7</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5-</w:t>
            </w:r>
            <w:r w:rsidRPr="005E70E3">
              <w:rPr>
                <w:lang w:eastAsia="en-AU"/>
              </w:rPr>
              <w:t>8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19.2</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24.2</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2.9</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5.2</w:t>
            </w:r>
          </w:p>
        </w:tc>
      </w:tr>
      <w:tr w:rsidR="0074764C" w:rsidRPr="005E70E3" w:rsidTr="0074764C">
        <w:trPr>
          <w:cantSplit/>
          <w:jc w:val="center"/>
        </w:trPr>
        <w:tc>
          <w:tcPr>
            <w:tcW w:w="1225" w:type="dxa"/>
            <w:vMerge/>
            <w:tcBorders>
              <w:top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9 hours or more</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9.4</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12.0</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0.9</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1.4</w:t>
            </w:r>
          </w:p>
        </w:tc>
      </w:tr>
      <w:tr w:rsidR="0074764C" w:rsidRPr="005E70E3" w:rsidTr="0074764C">
        <w:trPr>
          <w:cantSplit/>
          <w:jc w:val="center"/>
        </w:trPr>
        <w:tc>
          <w:tcPr>
            <w:tcW w:w="1225"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A55033" w:rsidRDefault="0074764C" w:rsidP="0074764C">
            <w:pPr>
              <w:pStyle w:val="TableRowHeadings"/>
              <w:rPr>
                <w:rStyle w:val="Strong"/>
              </w:rPr>
            </w:pPr>
            <w:r w:rsidRPr="00A55033">
              <w:rPr>
                <w:rStyle w:val="Strong"/>
              </w:rPr>
              <w:t>Persons</w:t>
            </w: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Doesn't use</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1.1</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14.7</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14.7</w:t>
            </w:r>
          </w:p>
        </w:tc>
      </w:tr>
      <w:tr w:rsidR="0074764C" w:rsidRPr="005E70E3" w:rsidTr="0074764C">
        <w:trPr>
          <w:cantSplit/>
          <w:jc w:val="center"/>
        </w:trPr>
        <w:tc>
          <w:tcPr>
            <w:tcW w:w="1225" w:type="dxa"/>
            <w:vMerge/>
            <w:tcBorders>
              <w:top w:val="single" w:sz="6" w:space="0" w:color="000000"/>
              <w:bottom w:val="single" w:sz="6" w:space="0" w:color="000000"/>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1-</w:t>
            </w:r>
            <w:r w:rsidRPr="005E70E3">
              <w:rPr>
                <w:lang w:eastAsia="en-AU"/>
              </w:rPr>
              <w:t>2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46.2</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37.2</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63.6</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48.5</w:t>
            </w:r>
          </w:p>
        </w:tc>
      </w:tr>
      <w:tr w:rsidR="0074764C" w:rsidRPr="005E70E3" w:rsidTr="0074764C">
        <w:trPr>
          <w:cantSplit/>
          <w:jc w:val="center"/>
        </w:trPr>
        <w:tc>
          <w:tcPr>
            <w:tcW w:w="1225" w:type="dxa"/>
            <w:vMerge/>
            <w:tcBorders>
              <w:top w:val="single" w:sz="6" w:space="0" w:color="000000"/>
              <w:bottom w:val="single" w:sz="6" w:space="0" w:color="000000"/>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3-</w:t>
            </w:r>
            <w:r w:rsidRPr="005E70E3">
              <w:rPr>
                <w:lang w:eastAsia="en-AU"/>
              </w:rPr>
              <w:t>4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24.9</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25.9</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12.2</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19.7</w:t>
            </w:r>
          </w:p>
        </w:tc>
      </w:tr>
      <w:tr w:rsidR="0074764C" w:rsidRPr="005E70E3" w:rsidTr="0074764C">
        <w:trPr>
          <w:cantSplit/>
          <w:jc w:val="center"/>
        </w:trPr>
        <w:tc>
          <w:tcPr>
            <w:tcW w:w="1225" w:type="dxa"/>
            <w:vMerge/>
            <w:tcBorders>
              <w:top w:val="single" w:sz="6" w:space="0" w:color="000000"/>
              <w:bottom w:val="single" w:sz="6" w:space="0" w:color="000000"/>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4" w:space="0" w:color="FFFFFF"/>
              <w:right w:val="nil"/>
            </w:tcBorders>
            <w:shd w:val="clear" w:color="auto" w:fill="EFF3FF"/>
            <w:tcMar>
              <w:left w:w="40" w:type="dxa"/>
              <w:right w:w="40" w:type="dxa"/>
            </w:tcMar>
          </w:tcPr>
          <w:p w:rsidR="0074764C" w:rsidRPr="005E70E3" w:rsidRDefault="0074764C" w:rsidP="0074764C">
            <w:pPr>
              <w:pStyle w:val="TableRowHeadings"/>
              <w:rPr>
                <w:lang w:eastAsia="en-AU"/>
              </w:rPr>
            </w:pPr>
            <w:r>
              <w:rPr>
                <w:lang w:eastAsia="en-AU"/>
              </w:rPr>
              <w:t>5-</w:t>
            </w:r>
            <w:r w:rsidRPr="005E70E3">
              <w:rPr>
                <w:lang w:eastAsia="en-AU"/>
              </w:rPr>
              <w:t>8 hours</w:t>
            </w:r>
          </w:p>
        </w:tc>
        <w:tc>
          <w:tcPr>
            <w:tcW w:w="1347"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17.6</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23.7</w:t>
            </w:r>
          </w:p>
        </w:tc>
        <w:tc>
          <w:tcPr>
            <w:tcW w:w="1360"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6.9</w:t>
            </w:r>
          </w:p>
        </w:tc>
        <w:tc>
          <w:tcPr>
            <w:tcW w:w="1366" w:type="dxa"/>
            <w:tcBorders>
              <w:top w:val="nil"/>
              <w:left w:val="nil"/>
              <w:bottom w:val="nil"/>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12.3</w:t>
            </w:r>
          </w:p>
        </w:tc>
      </w:tr>
      <w:tr w:rsidR="0074764C" w:rsidRPr="005E70E3" w:rsidTr="0074764C">
        <w:trPr>
          <w:cantSplit/>
          <w:jc w:val="center"/>
        </w:trPr>
        <w:tc>
          <w:tcPr>
            <w:tcW w:w="1225" w:type="dxa"/>
            <w:vMerge/>
            <w:tcBorders>
              <w:top w:val="single" w:sz="6" w:space="0" w:color="000000"/>
              <w:bottom w:val="single" w:sz="6" w:space="0" w:color="000000"/>
              <w:right w:val="nil"/>
            </w:tcBorders>
            <w:shd w:val="clear" w:color="auto" w:fill="EFF3FF"/>
            <w:tcMar>
              <w:left w:w="40" w:type="dxa"/>
              <w:right w:w="40" w:type="dxa"/>
            </w:tcMar>
          </w:tcPr>
          <w:p w:rsidR="0074764C" w:rsidRPr="005E70E3" w:rsidRDefault="0074764C" w:rsidP="0074764C">
            <w:pPr>
              <w:pStyle w:val="TableRowHeadings"/>
              <w:rPr>
                <w:rFonts w:ascii="Times New Roman" w:hAnsi="Times New Roman" w:cs="Times New Roman"/>
                <w:sz w:val="24"/>
                <w:szCs w:val="24"/>
                <w:lang w:eastAsia="en-AU"/>
              </w:rPr>
            </w:pPr>
          </w:p>
        </w:tc>
        <w:tc>
          <w:tcPr>
            <w:tcW w:w="2461" w:type="dxa"/>
            <w:tcBorders>
              <w:top w:val="nil"/>
              <w:left w:val="single" w:sz="4" w:space="0" w:color="FFFFFF"/>
              <w:bottom w:val="single" w:sz="6" w:space="0" w:color="000000"/>
              <w:right w:val="nil"/>
            </w:tcBorders>
            <w:shd w:val="clear" w:color="auto" w:fill="EFF3FF"/>
            <w:tcMar>
              <w:left w:w="40" w:type="dxa"/>
              <w:right w:w="40" w:type="dxa"/>
            </w:tcMar>
          </w:tcPr>
          <w:p w:rsidR="0074764C" w:rsidRPr="005E70E3" w:rsidRDefault="0074764C" w:rsidP="0074764C">
            <w:pPr>
              <w:pStyle w:val="TableRowHeadings"/>
              <w:rPr>
                <w:lang w:eastAsia="en-AU"/>
              </w:rPr>
            </w:pPr>
            <w:r w:rsidRPr="005E70E3">
              <w:rPr>
                <w:lang w:eastAsia="en-AU"/>
              </w:rPr>
              <w:t>9 hours or more</w:t>
            </w:r>
          </w:p>
        </w:tc>
        <w:tc>
          <w:tcPr>
            <w:tcW w:w="1347" w:type="dxa"/>
            <w:tcBorders>
              <w:top w:val="nil"/>
              <w:left w:val="nil"/>
              <w:bottom w:val="single" w:sz="6" w:space="0" w:color="000000"/>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10.3</w:t>
            </w:r>
          </w:p>
        </w:tc>
        <w:tc>
          <w:tcPr>
            <w:tcW w:w="1366" w:type="dxa"/>
            <w:tcBorders>
              <w:top w:val="nil"/>
              <w:left w:val="nil"/>
              <w:bottom w:val="single" w:sz="6" w:space="0" w:color="000000"/>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12.1</w:t>
            </w:r>
          </w:p>
        </w:tc>
        <w:tc>
          <w:tcPr>
            <w:tcW w:w="1360" w:type="dxa"/>
            <w:tcBorders>
              <w:top w:val="nil"/>
              <w:left w:val="nil"/>
              <w:bottom w:val="single" w:sz="6" w:space="0" w:color="000000"/>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2.5</w:t>
            </w:r>
          </w:p>
        </w:tc>
        <w:tc>
          <w:tcPr>
            <w:tcW w:w="1366" w:type="dxa"/>
            <w:tcBorders>
              <w:top w:val="nil"/>
              <w:left w:val="nil"/>
              <w:bottom w:val="single" w:sz="6" w:space="0" w:color="000000"/>
              <w:right w:val="nil"/>
            </w:tcBorders>
            <w:shd w:val="clear" w:color="auto" w:fill="FFFFFF"/>
            <w:tcMar>
              <w:left w:w="40" w:type="dxa"/>
              <w:right w:w="40" w:type="dxa"/>
            </w:tcMar>
            <w:vAlign w:val="bottom"/>
          </w:tcPr>
          <w:p w:rsidR="0074764C" w:rsidRPr="005E70E3" w:rsidRDefault="0074764C" w:rsidP="0074764C">
            <w:pPr>
              <w:pStyle w:val="TableDataCell"/>
              <w:rPr>
                <w:lang w:eastAsia="en-AU"/>
              </w:rPr>
            </w:pPr>
            <w:r w:rsidRPr="005E70E3">
              <w:rPr>
                <w:lang w:eastAsia="en-AU"/>
              </w:rPr>
              <w:t>4.7</w:t>
            </w:r>
          </w:p>
        </w:tc>
      </w:tr>
    </w:tbl>
    <w:p w:rsidR="0074764C" w:rsidRDefault="0074764C" w:rsidP="009E2950">
      <w:pPr>
        <w:pStyle w:val="BodyText"/>
        <w:spacing w:before="240"/>
      </w:pPr>
      <w:bookmarkStart w:id="252" w:name="_Ref395611339"/>
      <w:r>
        <w:t xml:space="preserve">Young people were asked several questions that may be indicators of potential addictive behaviours such as going without eating or sleeping because of the internet or electronic games. The prevalence of these individual behaviours is shown in </w:t>
      </w:r>
      <w:r w:rsidRPr="008B2480">
        <w:t>Supplementary Table S-71</w:t>
      </w:r>
      <w:r>
        <w:t xml:space="preserve">. Significant proportions of young people reported one or more of these indicators. For this report, problem internet or electronic gaming behaviours have been defined as reporting four or five of these individual indicators. About 3.5% of males aged 11-15 years, 3.0% of females 11-15 years, 4.4% of males 16-17 years and 6.5% of females 16-17 years reported this level of problem behaviours. </w:t>
      </w:r>
    </w:p>
    <w:p w:rsidR="0074764C" w:rsidRDefault="0074764C" w:rsidP="0074764C">
      <w:pPr>
        <w:pStyle w:val="BodyText"/>
      </w:pPr>
      <w:bookmarkStart w:id="253" w:name="_Ref395624708"/>
      <w:bookmarkEnd w:id="252"/>
      <w:r>
        <w:t xml:space="preserve">Problem internet or gaming behaviour is more common in young people with mental disorders, particularly young people with major depressive disorder. Some 13.0% of young people with major depressive disorder identified through the </w:t>
      </w:r>
      <w:r>
        <w:rPr>
          <w:lang w:eastAsia="en-AU"/>
        </w:rPr>
        <w:t xml:space="preserve">adolescent </w:t>
      </w:r>
      <w:r>
        <w:t>self-report questionnaire reported four of five of these problem behaviours compared with 3.1% of young people with no identified mental disorder (Table 12-</w:t>
      </w:r>
      <w:r>
        <w:rPr>
          <w:noProof/>
        </w:rPr>
        <w:t>13</w:t>
      </w:r>
      <w:r>
        <w:t>).</w:t>
      </w:r>
    </w:p>
    <w:p w:rsidR="0074764C" w:rsidRPr="00A55033" w:rsidRDefault="0074764C" w:rsidP="0074764C">
      <w:pPr>
        <w:pStyle w:val="Caption"/>
        <w:keepNext/>
        <w:rPr>
          <w:rStyle w:val="Strong"/>
        </w:rPr>
      </w:pPr>
      <w:bookmarkStart w:id="254" w:name="_Ref403406232"/>
      <w:bookmarkEnd w:id="253"/>
      <w:r>
        <w:t>Table 12-</w:t>
      </w:r>
      <w:r>
        <w:rPr>
          <w:noProof/>
        </w:rPr>
        <w:t>13</w:t>
      </w:r>
      <w:bookmarkEnd w:id="254"/>
      <w:r>
        <w:rPr>
          <w:noProof/>
        </w:rPr>
        <w:t xml:space="preserve">: </w:t>
      </w:r>
      <w:r w:rsidRPr="009160EA">
        <w:rPr>
          <w:noProof/>
        </w:rPr>
        <w:t>Problem internet or electronic gaming behaviours among 11-17 year-olds by sex and mental health status</w:t>
      </w:r>
    </w:p>
    <w:tbl>
      <w:tblPr>
        <w:tblW w:w="9108" w:type="dxa"/>
        <w:jc w:val="center"/>
        <w:tblLayout w:type="fixed"/>
        <w:tblCellMar>
          <w:left w:w="0" w:type="dxa"/>
          <w:right w:w="0" w:type="dxa"/>
        </w:tblCellMar>
        <w:tblLook w:val="0020" w:firstRow="1" w:lastRow="0" w:firstColumn="0" w:lastColumn="0" w:noHBand="0" w:noVBand="0"/>
        <w:tblDescription w:val="In Table 12-13 the first column defines mental health status. Read across the rows for the proportion of males, females and then persons who have problem behaviours using the internet or playing electronic games."/>
      </w:tblPr>
      <w:tblGrid>
        <w:gridCol w:w="4788"/>
        <w:gridCol w:w="1440"/>
        <w:gridCol w:w="1440"/>
        <w:gridCol w:w="1440"/>
      </w:tblGrid>
      <w:tr w:rsidR="0074764C" w:rsidRPr="00A55033" w:rsidTr="0074764C">
        <w:trPr>
          <w:cantSplit/>
          <w:tblHeader/>
          <w:jc w:val="center"/>
        </w:trPr>
        <w:tc>
          <w:tcPr>
            <w:tcW w:w="4788" w:type="dxa"/>
            <w:tcBorders>
              <w:top w:val="single" w:sz="6" w:space="0" w:color="auto"/>
              <w:bottom w:val="single" w:sz="2" w:space="0" w:color="000000"/>
              <w:right w:val="nil"/>
            </w:tcBorders>
            <w:shd w:val="clear" w:color="auto" w:fill="EFF3FF"/>
            <w:tcMar>
              <w:left w:w="40" w:type="dxa"/>
              <w:right w:w="40" w:type="dxa"/>
            </w:tcMar>
            <w:vAlign w:val="bottom"/>
          </w:tcPr>
          <w:p w:rsidR="0074764C" w:rsidRPr="00A55033" w:rsidRDefault="0074764C" w:rsidP="0074764C">
            <w:pPr>
              <w:pStyle w:val="TableColumnHeadings"/>
              <w:jc w:val="left"/>
              <w:rPr>
                <w:rStyle w:val="Strong"/>
              </w:rPr>
            </w:pPr>
            <w:r w:rsidRPr="00A55033">
              <w:rPr>
                <w:rStyle w:val="Strong"/>
              </w:rPr>
              <w:t>Mental health status</w:t>
            </w:r>
          </w:p>
        </w:tc>
        <w:tc>
          <w:tcPr>
            <w:tcW w:w="1440"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A55033" w:rsidRDefault="0074764C" w:rsidP="0074764C">
            <w:pPr>
              <w:pStyle w:val="TableColumnHeadings"/>
              <w:rPr>
                <w:rStyle w:val="Strong"/>
              </w:rPr>
            </w:pPr>
            <w:r w:rsidRPr="00A55033">
              <w:rPr>
                <w:rStyle w:val="Strong"/>
              </w:rPr>
              <w:t>Males (%)</w:t>
            </w:r>
          </w:p>
        </w:tc>
        <w:tc>
          <w:tcPr>
            <w:tcW w:w="1440"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74764C" w:rsidRPr="00A55033" w:rsidRDefault="0074764C" w:rsidP="0074764C">
            <w:pPr>
              <w:pStyle w:val="TableColumnHeadings"/>
              <w:rPr>
                <w:rStyle w:val="Strong"/>
              </w:rPr>
            </w:pPr>
            <w:r w:rsidRPr="00A55033">
              <w:rPr>
                <w:rStyle w:val="Strong"/>
              </w:rPr>
              <w:t>Females (%)</w:t>
            </w:r>
          </w:p>
        </w:tc>
        <w:tc>
          <w:tcPr>
            <w:tcW w:w="1440"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74764C" w:rsidRPr="00A55033" w:rsidRDefault="0074764C" w:rsidP="0074764C">
            <w:pPr>
              <w:pStyle w:val="TableColumnHeadings"/>
              <w:rPr>
                <w:rStyle w:val="Strong"/>
              </w:rPr>
            </w:pPr>
            <w:r w:rsidRPr="00A55033">
              <w:rPr>
                <w:rStyle w:val="Strong"/>
              </w:rPr>
              <w:t>Persons (%)</w:t>
            </w:r>
          </w:p>
        </w:tc>
      </w:tr>
      <w:tr w:rsidR="0074764C" w:rsidTr="0074764C">
        <w:trPr>
          <w:cantSplit/>
          <w:jc w:val="center"/>
        </w:trPr>
        <w:tc>
          <w:tcPr>
            <w:tcW w:w="4788" w:type="dxa"/>
            <w:tcBorders>
              <w:top w:val="nil"/>
              <w:bottom w:val="single" w:sz="2" w:space="0" w:color="FFFFFF"/>
              <w:right w:val="nil"/>
            </w:tcBorders>
            <w:shd w:val="clear" w:color="auto" w:fill="EFF3FF"/>
            <w:tcMar>
              <w:left w:w="40" w:type="dxa"/>
              <w:right w:w="40" w:type="dxa"/>
            </w:tcMar>
          </w:tcPr>
          <w:p w:rsidR="0074764C" w:rsidRPr="00402828" w:rsidRDefault="0074764C" w:rsidP="0074764C">
            <w:pPr>
              <w:pStyle w:val="TableRowHeadings"/>
              <w:rPr>
                <w:lang w:eastAsia="en-AU"/>
              </w:rPr>
            </w:pPr>
            <w:r>
              <w:rPr>
                <w:lang w:eastAsia="en-AU"/>
              </w:rPr>
              <w:t>M</w:t>
            </w:r>
            <w:r>
              <w:t xml:space="preserve">ajor depressive disorder based on </w:t>
            </w:r>
            <w:r>
              <w:rPr>
                <w:lang w:eastAsia="en-AU"/>
              </w:rPr>
              <w:t xml:space="preserve">adolescent </w:t>
            </w:r>
            <w:r>
              <w:t>report</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11.5</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13.7</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13.0</w:t>
            </w:r>
          </w:p>
        </w:tc>
      </w:tr>
      <w:tr w:rsidR="0074764C" w:rsidTr="0074764C">
        <w:trPr>
          <w:cantSplit/>
          <w:jc w:val="center"/>
        </w:trPr>
        <w:tc>
          <w:tcPr>
            <w:tcW w:w="4788" w:type="dxa"/>
            <w:tcBorders>
              <w:top w:val="nil"/>
              <w:bottom w:val="single" w:sz="2" w:space="0" w:color="FFFFFF"/>
              <w:right w:val="nil"/>
            </w:tcBorders>
            <w:shd w:val="clear" w:color="auto" w:fill="EFF3FF"/>
            <w:tcMar>
              <w:left w:w="40" w:type="dxa"/>
              <w:right w:w="40" w:type="dxa"/>
            </w:tcMar>
          </w:tcPr>
          <w:p w:rsidR="0074764C" w:rsidRPr="00402828" w:rsidRDefault="0074764C" w:rsidP="0074764C">
            <w:pPr>
              <w:pStyle w:val="TableRowHeadings"/>
              <w:rPr>
                <w:lang w:eastAsia="en-AU"/>
              </w:rPr>
            </w:pPr>
            <w:r>
              <w:rPr>
                <w:lang w:eastAsia="en-AU"/>
              </w:rPr>
              <w:t>Ma</w:t>
            </w:r>
            <w:r>
              <w:t>jor depressive disorder based on parent or carer report</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11.5</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7.8</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9.3</w:t>
            </w:r>
          </w:p>
        </w:tc>
      </w:tr>
      <w:tr w:rsidR="0074764C" w:rsidTr="0074764C">
        <w:trPr>
          <w:cantSplit/>
          <w:jc w:val="center"/>
        </w:trPr>
        <w:tc>
          <w:tcPr>
            <w:tcW w:w="4788" w:type="dxa"/>
            <w:tcBorders>
              <w:top w:val="nil"/>
              <w:bottom w:val="single" w:sz="2" w:space="0" w:color="FFFFFF"/>
              <w:right w:val="nil"/>
            </w:tcBorders>
            <w:shd w:val="clear" w:color="auto" w:fill="EFF3FF"/>
            <w:tcMar>
              <w:left w:w="40" w:type="dxa"/>
              <w:right w:w="40" w:type="dxa"/>
            </w:tcMar>
          </w:tcPr>
          <w:p w:rsidR="0074764C" w:rsidRPr="00402828" w:rsidRDefault="0074764C" w:rsidP="0074764C">
            <w:pPr>
              <w:pStyle w:val="TableRowHeadings"/>
              <w:rPr>
                <w:lang w:eastAsia="en-AU"/>
              </w:rPr>
            </w:pPr>
            <w:r>
              <w:rPr>
                <w:lang w:eastAsia="en-AU"/>
              </w:rPr>
              <w:t>O</w:t>
            </w:r>
            <w:r w:rsidRPr="00402828">
              <w:rPr>
                <w:lang w:eastAsia="en-AU"/>
              </w:rPr>
              <w:t>ther disorder</w:t>
            </w:r>
            <w:r>
              <w:rPr>
                <w:lang w:eastAsia="en-AU"/>
              </w:rPr>
              <w:t xml:space="preserve"> based on parent or carer report</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4.1</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7.9</w:t>
            </w:r>
          </w:p>
        </w:tc>
        <w:tc>
          <w:tcPr>
            <w:tcW w:w="1440" w:type="dxa"/>
            <w:tcBorders>
              <w:top w:val="nil"/>
              <w:left w:val="nil"/>
              <w:bottom w:val="nil"/>
              <w:right w:val="nil"/>
            </w:tcBorders>
            <w:shd w:val="clear" w:color="auto" w:fill="FFFFFF"/>
            <w:tcMar>
              <w:left w:w="40" w:type="dxa"/>
              <w:right w:w="40" w:type="dxa"/>
            </w:tcMar>
            <w:vAlign w:val="bottom"/>
          </w:tcPr>
          <w:p w:rsidR="0074764C" w:rsidRDefault="0074764C" w:rsidP="0074764C">
            <w:pPr>
              <w:pStyle w:val="TableDataCell"/>
            </w:pPr>
            <w:r>
              <w:t>5.5</w:t>
            </w:r>
          </w:p>
        </w:tc>
      </w:tr>
      <w:tr w:rsidR="0074764C" w:rsidTr="0074764C">
        <w:trPr>
          <w:cantSplit/>
          <w:jc w:val="center"/>
        </w:trPr>
        <w:tc>
          <w:tcPr>
            <w:tcW w:w="4788" w:type="dxa"/>
            <w:tcBorders>
              <w:top w:val="nil"/>
              <w:bottom w:val="single" w:sz="6" w:space="0" w:color="auto"/>
              <w:right w:val="nil"/>
            </w:tcBorders>
            <w:shd w:val="clear" w:color="auto" w:fill="EFF3FF"/>
            <w:tcMar>
              <w:left w:w="40" w:type="dxa"/>
              <w:right w:w="40" w:type="dxa"/>
            </w:tcMar>
          </w:tcPr>
          <w:p w:rsidR="0074764C" w:rsidRPr="002308E6" w:rsidRDefault="0074764C" w:rsidP="0074764C">
            <w:pPr>
              <w:pStyle w:val="TableRowHeadings"/>
            </w:pPr>
            <w:r w:rsidRPr="002308E6">
              <w:t>No disorder</w:t>
            </w:r>
          </w:p>
        </w:tc>
        <w:tc>
          <w:tcPr>
            <w:tcW w:w="1440" w:type="dxa"/>
            <w:tcBorders>
              <w:top w:val="nil"/>
              <w:left w:val="nil"/>
              <w:bottom w:val="single" w:sz="6" w:space="0" w:color="auto"/>
              <w:right w:val="nil"/>
            </w:tcBorders>
            <w:shd w:val="clear" w:color="auto" w:fill="FFFFFF"/>
            <w:tcMar>
              <w:left w:w="40" w:type="dxa"/>
              <w:right w:w="40" w:type="dxa"/>
            </w:tcMar>
            <w:vAlign w:val="bottom"/>
          </w:tcPr>
          <w:p w:rsidR="0074764C" w:rsidRDefault="0074764C" w:rsidP="0074764C">
            <w:pPr>
              <w:pStyle w:val="TableDataCell"/>
            </w:pPr>
            <w:r>
              <w:t>3.3</w:t>
            </w:r>
          </w:p>
        </w:tc>
        <w:tc>
          <w:tcPr>
            <w:tcW w:w="1440" w:type="dxa"/>
            <w:tcBorders>
              <w:top w:val="nil"/>
              <w:left w:val="nil"/>
              <w:bottom w:val="single" w:sz="6" w:space="0" w:color="auto"/>
              <w:right w:val="nil"/>
            </w:tcBorders>
            <w:shd w:val="clear" w:color="auto" w:fill="FFFFFF"/>
            <w:tcMar>
              <w:left w:w="40" w:type="dxa"/>
              <w:right w:w="40" w:type="dxa"/>
            </w:tcMar>
            <w:vAlign w:val="bottom"/>
          </w:tcPr>
          <w:p w:rsidR="0074764C" w:rsidRDefault="0074764C" w:rsidP="0074764C">
            <w:pPr>
              <w:pStyle w:val="TableDataCell"/>
            </w:pPr>
            <w:r>
              <w:t>2.9</w:t>
            </w:r>
          </w:p>
        </w:tc>
        <w:tc>
          <w:tcPr>
            <w:tcW w:w="1440" w:type="dxa"/>
            <w:tcBorders>
              <w:top w:val="nil"/>
              <w:left w:val="nil"/>
              <w:bottom w:val="single" w:sz="6" w:space="0" w:color="auto"/>
              <w:right w:val="nil"/>
            </w:tcBorders>
            <w:shd w:val="clear" w:color="auto" w:fill="FFFFFF"/>
            <w:tcMar>
              <w:left w:w="40" w:type="dxa"/>
              <w:right w:w="40" w:type="dxa"/>
            </w:tcMar>
            <w:vAlign w:val="bottom"/>
          </w:tcPr>
          <w:p w:rsidR="0074764C" w:rsidRDefault="0074764C" w:rsidP="0074764C">
            <w:pPr>
              <w:pStyle w:val="TableDataCell"/>
            </w:pPr>
            <w:r>
              <w:t>3.1</w:t>
            </w:r>
          </w:p>
        </w:tc>
      </w:tr>
    </w:tbl>
    <w:p w:rsidR="0074764C" w:rsidRPr="009E2950" w:rsidRDefault="0074764C" w:rsidP="009E2950"/>
    <w:p w:rsidR="0074764C" w:rsidRDefault="0074764C" w:rsidP="00DB066C">
      <w:pPr>
        <w:jc w:val="center"/>
        <w:sectPr w:rsidR="0074764C" w:rsidSect="003330E0">
          <w:headerReference w:type="even" r:id="rId125"/>
          <w:headerReference w:type="default" r:id="rId126"/>
          <w:footerReference w:type="default" r:id="rId127"/>
          <w:pgSz w:w="11906" w:h="16838" w:code="9"/>
          <w:pgMar w:top="1440" w:right="1440" w:bottom="1440" w:left="1440" w:header="567" w:footer="567" w:gutter="0"/>
          <w:pgNumType w:start="118"/>
          <w:cols w:space="720"/>
          <w:docGrid w:linePitch="360"/>
        </w:sectPr>
      </w:pPr>
    </w:p>
    <w:p w:rsidR="0074764C" w:rsidRPr="00C97BCE" w:rsidRDefault="0074764C" w:rsidP="0074764C">
      <w:pPr>
        <w:pStyle w:val="Heading1"/>
        <w:ind w:left="720" w:hanging="720"/>
      </w:pPr>
      <w:bookmarkStart w:id="255" w:name="_Toc401758834"/>
      <w:r w:rsidRPr="00C97BCE">
        <w:lastRenderedPageBreak/>
        <w:t>13</w:t>
      </w:r>
      <w:r w:rsidRPr="00C97BCE">
        <w:tab/>
      </w:r>
      <w:r>
        <w:t>What adolescents told us about service use and seeking help</w:t>
      </w:r>
      <w:bookmarkEnd w:id="255"/>
    </w:p>
    <w:p w:rsidR="0074764C" w:rsidRDefault="0074764C" w:rsidP="0074764C">
      <w:pPr>
        <w:pStyle w:val="BodyText"/>
      </w:pPr>
      <w:r w:rsidRPr="00C97BCE">
        <w:t>This chapter reports on services and other help, both formal and informal, that young people used for emotional or behavioural problems as reported by 13-17 year-old</w:t>
      </w:r>
      <w:r>
        <w:t>s</w:t>
      </w:r>
      <w:r w:rsidRPr="00C97BCE">
        <w:t xml:space="preserve"> themselves</w:t>
      </w:r>
      <w:r>
        <w:t>.</w:t>
      </w:r>
    </w:p>
    <w:p w:rsidR="0074764C" w:rsidRPr="00C97BCE" w:rsidRDefault="0074764C" w:rsidP="0074764C">
      <w:pPr>
        <w:pStyle w:val="BodyText"/>
      </w:pPr>
      <w:r w:rsidRPr="00C97BCE">
        <w:t xml:space="preserve">Information about use of services, informal supports, and self-help strategies </w:t>
      </w:r>
      <w:r>
        <w:t>is</w:t>
      </w:r>
      <w:r w:rsidRPr="00C97BCE">
        <w:t xml:space="preserve"> presented for all 13-17 year-old adolescents and then by mental health status, that is, adolescents who:</w:t>
      </w:r>
    </w:p>
    <w:p w:rsidR="0074764C" w:rsidRPr="00682693" w:rsidRDefault="0074764C" w:rsidP="00590512">
      <w:pPr>
        <w:pStyle w:val="NumberedList2"/>
        <w:numPr>
          <w:ilvl w:val="0"/>
          <w:numId w:val="12"/>
        </w:numPr>
      </w:pPr>
      <w:r w:rsidRPr="00C97BCE">
        <w:t>m</w:t>
      </w:r>
      <w:r w:rsidRPr="00682693">
        <w:t xml:space="preserve">et diagnostic criteria identified in DSM-IV for major depressive disorder based on their own responses; </w:t>
      </w:r>
    </w:p>
    <w:p w:rsidR="0074764C" w:rsidRPr="00682693" w:rsidRDefault="0074764C" w:rsidP="00590512">
      <w:pPr>
        <w:pStyle w:val="NumberedList2"/>
        <w:numPr>
          <w:ilvl w:val="0"/>
          <w:numId w:val="12"/>
        </w:numPr>
      </w:pPr>
      <w:r w:rsidRPr="00682693">
        <w:t>met diagnostic criteria for any mental disorder identified in DSM-IV based on parent and carer report (</w:t>
      </w:r>
      <w:r>
        <w:t>including</w:t>
      </w:r>
      <w:r w:rsidRPr="00682693">
        <w:t xml:space="preserve"> major depressive disorder); and </w:t>
      </w:r>
    </w:p>
    <w:p w:rsidR="0074764C" w:rsidRPr="00C97BCE" w:rsidRDefault="0074764C" w:rsidP="00590512">
      <w:pPr>
        <w:pStyle w:val="NumberedList2"/>
        <w:numPr>
          <w:ilvl w:val="0"/>
          <w:numId w:val="12"/>
        </w:numPr>
      </w:pPr>
      <w:proofErr w:type="gramStart"/>
      <w:r w:rsidRPr="00682693">
        <w:t>had</w:t>
      </w:r>
      <w:proofErr w:type="gramEnd"/>
      <w:r w:rsidRPr="00682693">
        <w:t xml:space="preserve"> no men</w:t>
      </w:r>
      <w:r w:rsidRPr="00C97BCE">
        <w:t>tal disorder on the basis of their own</w:t>
      </w:r>
      <w:r>
        <w:t xml:space="preserve"> self-report</w:t>
      </w:r>
      <w:r w:rsidRPr="00C97BCE">
        <w:t>,</w:t>
      </w:r>
      <w:r>
        <w:t xml:space="preserve"> or</w:t>
      </w:r>
      <w:r w:rsidRPr="00C97BCE">
        <w:t xml:space="preserve"> parent or carer report. </w:t>
      </w:r>
    </w:p>
    <w:p w:rsidR="0074764C" w:rsidRPr="00C97BCE" w:rsidRDefault="0074764C" w:rsidP="0074764C">
      <w:pPr>
        <w:pStyle w:val="BodyText"/>
        <w:rPr>
          <w:lang w:eastAsia="en-AU"/>
        </w:rPr>
      </w:pPr>
      <w:r w:rsidRPr="00C97BCE">
        <w:rPr>
          <w:lang w:eastAsia="en-AU"/>
        </w:rPr>
        <w:t>This chapter also reports on adolescents’ perceived need for mental health care and the barriers that they identified to seeking help or getting more help for their emotional or behavioural problems</w:t>
      </w:r>
      <w:r>
        <w:rPr>
          <w:lang w:eastAsia="en-AU"/>
        </w:rPr>
        <w:t xml:space="preserve"> when they had a mental disorder on the basis of their own report, or from parent and carer reports</w:t>
      </w:r>
      <w:r w:rsidRPr="00C97BCE">
        <w:rPr>
          <w:lang w:eastAsia="en-AU"/>
        </w:rPr>
        <w:t>.</w:t>
      </w:r>
    </w:p>
    <w:p w:rsidR="0074764C" w:rsidRPr="00C97BCE" w:rsidRDefault="0074764C" w:rsidP="0074764C">
      <w:pPr>
        <w:pStyle w:val="Heading2"/>
      </w:pPr>
      <w:r w:rsidRPr="00C97BCE">
        <w:t>13.1</w:t>
      </w:r>
      <w:r w:rsidRPr="00C97BCE">
        <w:tab/>
        <w:t>Service use by all adolescents</w:t>
      </w:r>
    </w:p>
    <w:p w:rsidR="0074764C" w:rsidRDefault="0074764C" w:rsidP="0074764C">
      <w:pPr>
        <w:pStyle w:val="BodyText"/>
      </w:pPr>
      <w:r>
        <w:rPr>
          <w:color w:val="000000"/>
        </w:rPr>
        <w:t>For the purpose of reporting service use in this section, a</w:t>
      </w:r>
      <w:r w:rsidRPr="00C97BCE">
        <w:rPr>
          <w:color w:val="000000"/>
        </w:rPr>
        <w:t xml:space="preserve"> summary measure of 'service use' was created </w:t>
      </w:r>
      <w:r>
        <w:t xml:space="preserve">that included all health, school and telephone counselling services, but only those online services that provide structured or personalised assistance. While valuable in </w:t>
      </w:r>
      <w:proofErr w:type="gramStart"/>
      <w:r>
        <w:t>their own</w:t>
      </w:r>
      <w:proofErr w:type="gramEnd"/>
      <w:r>
        <w:t xml:space="preserve"> right, online services where information is accessed on the internet but no other service is provided were excluded from this composite measure.</w:t>
      </w:r>
    </w:p>
    <w:p w:rsidR="0074764C" w:rsidRPr="00C97BCE" w:rsidRDefault="0074764C" w:rsidP="0074764C">
      <w:pPr>
        <w:pStyle w:val="BodyText"/>
        <w:rPr>
          <w:rFonts w:ascii="Verdana" w:hAnsi="Verdana"/>
          <w:color w:val="000000"/>
          <w:sz w:val="20"/>
          <w:szCs w:val="20"/>
        </w:rPr>
      </w:pPr>
      <w:r>
        <w:rPr>
          <w:color w:val="000000"/>
        </w:rPr>
        <w:t xml:space="preserve"> ‘Services’</w:t>
      </w:r>
      <w:r w:rsidRPr="00C97BCE">
        <w:rPr>
          <w:color w:val="000000"/>
        </w:rPr>
        <w:t xml:space="preserve"> comprised the following: </w:t>
      </w:r>
    </w:p>
    <w:p w:rsidR="0074764C" w:rsidRPr="00682693" w:rsidRDefault="0074764C" w:rsidP="00590512">
      <w:pPr>
        <w:pStyle w:val="NumberedList2"/>
        <w:numPr>
          <w:ilvl w:val="0"/>
          <w:numId w:val="13"/>
        </w:numPr>
      </w:pPr>
      <w:r>
        <w:t xml:space="preserve">health services — </w:t>
      </w:r>
      <w:r w:rsidRPr="00682693">
        <w:t>any service provided by a qualified health professional regardless of w</w:t>
      </w:r>
      <w:r>
        <w:t xml:space="preserve">here that service was provided including in the </w:t>
      </w:r>
      <w:r w:rsidRPr="00682693">
        <w:t>community, hospital inpatient, outpatient a</w:t>
      </w:r>
      <w:r>
        <w:t>nd emergency, and private rooms</w:t>
      </w:r>
      <w:r w:rsidRPr="00682693">
        <w:t>;</w:t>
      </w:r>
    </w:p>
    <w:p w:rsidR="0074764C" w:rsidRPr="00682693" w:rsidRDefault="0074764C" w:rsidP="00590512">
      <w:pPr>
        <w:pStyle w:val="NumberedList2"/>
        <w:numPr>
          <w:ilvl w:val="0"/>
          <w:numId w:val="13"/>
        </w:numPr>
      </w:pPr>
      <w:r>
        <w:t xml:space="preserve">school services — </w:t>
      </w:r>
      <w:r w:rsidRPr="00682693">
        <w:t xml:space="preserve">any service provided by the school or other educational institution that a young person was attending; </w:t>
      </w:r>
    </w:p>
    <w:p w:rsidR="0074764C" w:rsidRPr="00682693" w:rsidRDefault="0074764C" w:rsidP="00590512">
      <w:pPr>
        <w:pStyle w:val="NumberedList2"/>
        <w:numPr>
          <w:ilvl w:val="0"/>
          <w:numId w:val="13"/>
        </w:numPr>
      </w:pPr>
      <w:r w:rsidRPr="00682693">
        <w:t xml:space="preserve">telephone </w:t>
      </w:r>
      <w:r>
        <w:t xml:space="preserve">counselling </w:t>
      </w:r>
      <w:r w:rsidRPr="00682693">
        <w:t xml:space="preserve">services; and </w:t>
      </w:r>
    </w:p>
    <w:p w:rsidR="0074764C" w:rsidRPr="00A70BB1" w:rsidRDefault="0074764C" w:rsidP="00590512">
      <w:pPr>
        <w:pStyle w:val="NumberedList2"/>
        <w:numPr>
          <w:ilvl w:val="0"/>
          <w:numId w:val="13"/>
        </w:numPr>
      </w:pPr>
      <w:proofErr w:type="gramStart"/>
      <w:r>
        <w:t>online</w:t>
      </w:r>
      <w:proofErr w:type="gramEnd"/>
      <w:r>
        <w:t xml:space="preserve"> services that provided personalised assessment, support, counselling or structured self-help programs.</w:t>
      </w:r>
    </w:p>
    <w:p w:rsidR="0074764C" w:rsidRPr="00C97BCE" w:rsidRDefault="0074764C" w:rsidP="0074764C">
      <w:pPr>
        <w:pStyle w:val="BodyText"/>
      </w:pPr>
      <w:r w:rsidRPr="00C97BCE">
        <w:t>Overall, 18.0% of 13-17 year-olds reported using services for emotional and behavioural problems in the previous 12 months (Table 13-</w:t>
      </w:r>
      <w:r>
        <w:rPr>
          <w:noProof/>
        </w:rPr>
        <w:t>1</w:t>
      </w:r>
      <w:r w:rsidRPr="00C97BCE">
        <w:t xml:space="preserve">). This figure of 18.0% is </w:t>
      </w:r>
      <w:r>
        <w:t xml:space="preserve">slightly </w:t>
      </w:r>
      <w:r w:rsidRPr="00C97BCE">
        <w:t>less than the 21.4% of all 12-17 year-olds reported to have used services by their parents and carers as discussed in Chapter 7. The proportion of females who reported using services was almost twice that of males (23.6% compared with 12.7%).</w:t>
      </w:r>
    </w:p>
    <w:p w:rsidR="0074764C" w:rsidRPr="00C97BCE" w:rsidRDefault="0074764C" w:rsidP="0074764C">
      <w:pPr>
        <w:pStyle w:val="Caption"/>
        <w:keepNext/>
      </w:pPr>
      <w:bookmarkStart w:id="256" w:name="_Ref407093563"/>
      <w:r w:rsidRPr="00C97BCE">
        <w:lastRenderedPageBreak/>
        <w:t>Table 13-</w:t>
      </w:r>
      <w:r>
        <w:rPr>
          <w:noProof/>
        </w:rPr>
        <w:t>1</w:t>
      </w:r>
      <w:bookmarkEnd w:id="256"/>
      <w:r w:rsidRPr="00C97BCE">
        <w:t>: Service use for emotional or behavioural problems in past 12 months among 13-17 year-olds by sex and type of service</w:t>
      </w:r>
    </w:p>
    <w:tbl>
      <w:tblPr>
        <w:tblW w:w="9136" w:type="dxa"/>
        <w:jc w:val="center"/>
        <w:tblLayout w:type="fixed"/>
        <w:tblCellMar>
          <w:left w:w="0" w:type="dxa"/>
          <w:right w:w="0" w:type="dxa"/>
        </w:tblCellMar>
        <w:tblLook w:val="0020" w:firstRow="1" w:lastRow="0" w:firstColumn="0" w:lastColumn="0" w:noHBand="0" w:noVBand="0"/>
        <w:tblDescription w:val="In Table 13-1 the first column describes the type of service used for emotional or behavioural problems in the past 12 months. Read across the rows for the proportion of males, females and persons who had used these types of services."/>
      </w:tblPr>
      <w:tblGrid>
        <w:gridCol w:w="3555"/>
        <w:gridCol w:w="1860"/>
        <w:gridCol w:w="1860"/>
        <w:gridCol w:w="1861"/>
      </w:tblGrid>
      <w:tr w:rsidR="0074764C" w:rsidRPr="00C97BCE" w:rsidTr="0074764C">
        <w:trPr>
          <w:cantSplit/>
          <w:tblHeader/>
          <w:jc w:val="center"/>
        </w:trPr>
        <w:tc>
          <w:tcPr>
            <w:tcW w:w="355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service</w:t>
            </w:r>
          </w:p>
        </w:tc>
        <w:tc>
          <w:tcPr>
            <w:tcW w:w="18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Males (%)</w:t>
            </w:r>
          </w:p>
        </w:tc>
        <w:tc>
          <w:tcPr>
            <w:tcW w:w="18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Females (%)</w:t>
            </w:r>
          </w:p>
        </w:tc>
        <w:tc>
          <w:tcPr>
            <w:tcW w:w="186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Persons (%)</w:t>
            </w:r>
          </w:p>
        </w:tc>
      </w:tr>
      <w:tr w:rsidR="0074764C" w:rsidRPr="00C97BCE" w:rsidTr="0074764C">
        <w:trPr>
          <w:cantSplit/>
          <w:jc w:val="center"/>
        </w:trPr>
        <w:tc>
          <w:tcPr>
            <w:tcW w:w="355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Health service</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9.6</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18.9</w:t>
            </w:r>
          </w:p>
        </w:tc>
        <w:tc>
          <w:tcPr>
            <w:tcW w:w="186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14.1</w:t>
            </w:r>
          </w:p>
        </w:tc>
      </w:tr>
      <w:tr w:rsidR="0074764C" w:rsidRPr="00C97BCE" w:rsidTr="0074764C">
        <w:trPr>
          <w:cantSplit/>
          <w:jc w:val="center"/>
        </w:trPr>
        <w:tc>
          <w:tcPr>
            <w:tcW w:w="355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School service</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8.8</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16.2</w:t>
            </w:r>
          </w:p>
        </w:tc>
        <w:tc>
          <w:tcPr>
            <w:tcW w:w="186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12.4</w:t>
            </w:r>
          </w:p>
        </w:tc>
      </w:tr>
      <w:tr w:rsidR="0074764C" w:rsidRPr="00C97BCE" w:rsidTr="0074764C">
        <w:trPr>
          <w:cantSplit/>
          <w:jc w:val="center"/>
        </w:trPr>
        <w:tc>
          <w:tcPr>
            <w:tcW w:w="355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Telephone counselling</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w:t>
            </w:r>
          </w:p>
        </w:tc>
        <w:tc>
          <w:tcPr>
            <w:tcW w:w="18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4.8</w:t>
            </w:r>
          </w:p>
        </w:tc>
        <w:tc>
          <w:tcPr>
            <w:tcW w:w="186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3.6</w:t>
            </w:r>
          </w:p>
        </w:tc>
      </w:tr>
      <w:tr w:rsidR="0074764C" w:rsidRPr="00C97BCE" w:rsidTr="0074764C">
        <w:trPr>
          <w:cantSplit/>
          <w:jc w:val="center"/>
        </w:trPr>
        <w:tc>
          <w:tcPr>
            <w:tcW w:w="3555"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Online personal support or counselling</w:t>
            </w:r>
          </w:p>
        </w:tc>
        <w:tc>
          <w:tcPr>
            <w:tcW w:w="186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1.5</w:t>
            </w:r>
          </w:p>
        </w:tc>
        <w:tc>
          <w:tcPr>
            <w:tcW w:w="186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2.7</w:t>
            </w:r>
          </w:p>
        </w:tc>
        <w:tc>
          <w:tcPr>
            <w:tcW w:w="1861"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2.1</w:t>
            </w:r>
          </w:p>
        </w:tc>
      </w:tr>
      <w:tr w:rsidR="0074764C" w:rsidRPr="00C97BCE" w:rsidTr="0074764C">
        <w:trPr>
          <w:cantSplit/>
          <w:jc w:val="center"/>
        </w:trPr>
        <w:tc>
          <w:tcPr>
            <w:tcW w:w="3555"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service (a)</w:t>
            </w:r>
          </w:p>
        </w:tc>
        <w:tc>
          <w:tcPr>
            <w:tcW w:w="186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12.7</w:t>
            </w:r>
          </w:p>
        </w:tc>
        <w:tc>
          <w:tcPr>
            <w:tcW w:w="186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23.6</w:t>
            </w:r>
          </w:p>
        </w:tc>
        <w:tc>
          <w:tcPr>
            <w:tcW w:w="1861"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18.0</w:t>
            </w:r>
          </w:p>
        </w:tc>
      </w:tr>
    </w:tbl>
    <w:p w:rsidR="0074764C" w:rsidRDefault="0074764C" w:rsidP="0074764C">
      <w:pPr>
        <w:pStyle w:val="TableFootnote"/>
      </w:pPr>
      <w:r w:rsidRPr="001B3ADE">
        <w:t>The proportion using school services is based on those who were at school at the time of the survey.</w:t>
      </w:r>
    </w:p>
    <w:p w:rsidR="0074764C" w:rsidRPr="001B3ADE" w:rsidRDefault="0074764C" w:rsidP="0074764C">
      <w:pPr>
        <w:pStyle w:val="TableFootnote"/>
      </w:pPr>
      <w:r w:rsidRPr="001B3ADE">
        <w:t>(a)</w:t>
      </w:r>
      <w:r w:rsidRPr="001B3ADE">
        <w:tab/>
        <w:t>Any service is not equal to the sum of individual services because adolescents may have used more than one type of service.</w:t>
      </w:r>
    </w:p>
    <w:p w:rsidR="0074764C" w:rsidRPr="00C97BCE" w:rsidRDefault="0074764C" w:rsidP="0074764C">
      <w:pPr>
        <w:pStyle w:val="Heading2"/>
      </w:pPr>
      <w:r w:rsidRPr="00C97BCE">
        <w:t>13.2</w:t>
      </w:r>
      <w:r w:rsidRPr="00C97BCE">
        <w:tab/>
        <w:t xml:space="preserve">headspace </w:t>
      </w:r>
    </w:p>
    <w:p w:rsidR="0074764C" w:rsidRPr="00C97BCE" w:rsidRDefault="0074764C" w:rsidP="0074764C">
      <w:pPr>
        <w:pStyle w:val="BodyText"/>
      </w:pPr>
      <w:proofErr w:type="gramStart"/>
      <w:r w:rsidRPr="00C97BCE">
        <w:t>headspace</w:t>
      </w:r>
      <w:proofErr w:type="gramEnd"/>
      <w:r w:rsidRPr="00C97BCE">
        <w:t xml:space="preserve"> is the </w:t>
      </w:r>
      <w:r>
        <w:t xml:space="preserve">Australian Government funded </w:t>
      </w:r>
      <w:r w:rsidRPr="00C97BCE">
        <w:t xml:space="preserve">National Youth Mental Health Foundation providing support to young people aged 12-25 years who are experiencing mild to moderate mental health concerns and/or substance use issues. </w:t>
      </w:r>
    </w:p>
    <w:p w:rsidR="0074764C" w:rsidRPr="00C97BCE" w:rsidRDefault="0074764C" w:rsidP="0074764C">
      <w:pPr>
        <w:pStyle w:val="Heading3"/>
      </w:pPr>
      <w:r w:rsidRPr="00C97BCE">
        <w:t>13.2.1</w:t>
      </w:r>
      <w:r w:rsidRPr="00C97BCE">
        <w:tab/>
        <w:t>All adolescents</w:t>
      </w:r>
    </w:p>
    <w:p w:rsidR="0074764C" w:rsidRPr="00C97BCE" w:rsidRDefault="0074764C" w:rsidP="0074764C">
      <w:pPr>
        <w:pStyle w:val="BodyText"/>
      </w:pPr>
      <w:r w:rsidRPr="00C97BCE">
        <w:t>Just over one third (37.2%) of all 13-17 year-olds had heard about headspace.</w:t>
      </w:r>
      <w:r>
        <w:t xml:space="preserve"> </w:t>
      </w:r>
    </w:p>
    <w:p w:rsidR="0074764C" w:rsidRPr="00C97BCE" w:rsidRDefault="0074764C" w:rsidP="0074764C">
      <w:pPr>
        <w:pStyle w:val="BodyText"/>
      </w:pPr>
      <w:r w:rsidRPr="00C97BCE">
        <w:t xml:space="preserve">Among all adolescents, 3.4% had either been in contact with a health professional by telephone or online (1.6%) or had visited a headspace centre (2.8%) </w:t>
      </w:r>
      <w:proofErr w:type="gramStart"/>
      <w:r w:rsidRPr="00C97BCE">
        <w:t>(Table 13-</w:t>
      </w:r>
      <w:r>
        <w:rPr>
          <w:noProof/>
        </w:rPr>
        <w:t>2</w:t>
      </w:r>
      <w:r w:rsidRPr="00C97BCE">
        <w:t>)</w:t>
      </w:r>
      <w:r>
        <w:t>.</w:t>
      </w:r>
      <w:proofErr w:type="gramEnd"/>
      <w:r>
        <w:t xml:space="preserve"> </w:t>
      </w:r>
      <w:r w:rsidRPr="00C97BCE">
        <w:t xml:space="preserve">A larger proportion of 13-17 year-olds had accessed information via the headspace </w:t>
      </w:r>
      <w:r>
        <w:t xml:space="preserve">or </w:t>
      </w:r>
      <w:proofErr w:type="spellStart"/>
      <w:r>
        <w:t>eheadspace</w:t>
      </w:r>
      <w:proofErr w:type="spellEnd"/>
      <w:r>
        <w:t xml:space="preserve"> websites (5.7%). </w:t>
      </w:r>
      <w:r w:rsidRPr="00C97BCE">
        <w:t>More females than males had accessed headspace services (10.2% versus 4.8%) largely due to higher proportions accessing information on the websites.</w:t>
      </w:r>
    </w:p>
    <w:p w:rsidR="0074764C" w:rsidRPr="00C97BCE" w:rsidRDefault="0074764C" w:rsidP="0074764C">
      <w:pPr>
        <w:pStyle w:val="Caption"/>
        <w:keepNext/>
      </w:pPr>
      <w:bookmarkStart w:id="257" w:name="_Ref407033326"/>
      <w:r w:rsidRPr="00C97BCE">
        <w:t>Table 13-</w:t>
      </w:r>
      <w:r>
        <w:rPr>
          <w:noProof/>
        </w:rPr>
        <w:t>2</w:t>
      </w:r>
      <w:bookmarkEnd w:id="257"/>
      <w:r w:rsidRPr="00C97BCE">
        <w:t>: headspace services used for emotional or behavioural problems in past 12 months among 13-17 year-olds by sex and type of service</w:t>
      </w:r>
    </w:p>
    <w:tbl>
      <w:tblPr>
        <w:tblW w:w="9142" w:type="dxa"/>
        <w:jc w:val="center"/>
        <w:tblLayout w:type="fixed"/>
        <w:tblCellMar>
          <w:left w:w="0" w:type="dxa"/>
          <w:right w:w="0" w:type="dxa"/>
        </w:tblCellMar>
        <w:tblLook w:val="0020" w:firstRow="1" w:lastRow="0" w:firstColumn="0" w:lastColumn="0" w:noHBand="0" w:noVBand="0"/>
        <w:tblDescription w:val="In Table 13-2 the first column describes the type of headspace service used for emotional or behavioural problems in the past 12 months. Read across the rows for the proportion of males, females and persons who had used these types of services."/>
      </w:tblPr>
      <w:tblGrid>
        <w:gridCol w:w="5728"/>
        <w:gridCol w:w="1138"/>
        <w:gridCol w:w="1138"/>
        <w:gridCol w:w="1138"/>
      </w:tblGrid>
      <w:tr w:rsidR="0074764C" w:rsidRPr="00C97BCE" w:rsidTr="0074764C">
        <w:trPr>
          <w:cantSplit/>
          <w:tblHeader/>
          <w:jc w:val="center"/>
        </w:trPr>
        <w:tc>
          <w:tcPr>
            <w:tcW w:w="5728"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service</w:t>
            </w:r>
          </w:p>
        </w:tc>
        <w:tc>
          <w:tcPr>
            <w:tcW w:w="113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Males (%)</w:t>
            </w:r>
          </w:p>
        </w:tc>
        <w:tc>
          <w:tcPr>
            <w:tcW w:w="113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Females (%)</w:t>
            </w:r>
          </w:p>
        </w:tc>
        <w:tc>
          <w:tcPr>
            <w:tcW w:w="113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Persons (%)</w:t>
            </w:r>
          </w:p>
        </w:tc>
      </w:tr>
      <w:tr w:rsidR="0074764C" w:rsidRPr="00C97BCE" w:rsidTr="0074764C">
        <w:trPr>
          <w:cantSplit/>
          <w:jc w:val="center"/>
        </w:trPr>
        <w:tc>
          <w:tcPr>
            <w:tcW w:w="5728"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 xml:space="preserve">Accessed information through headspace or </w:t>
            </w:r>
            <w:proofErr w:type="spellStart"/>
            <w:r w:rsidRPr="00C97BCE">
              <w:rPr>
                <w:lang w:eastAsia="en-AU"/>
              </w:rPr>
              <w:t>eheadspace</w:t>
            </w:r>
            <w:proofErr w:type="spellEnd"/>
            <w:r w:rsidRPr="00C97BCE">
              <w:rPr>
                <w:lang w:eastAsia="en-AU"/>
              </w:rPr>
              <w:t xml:space="preserve"> websites</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3.1</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8.4</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5.7</w:t>
            </w:r>
          </w:p>
        </w:tc>
      </w:tr>
      <w:tr w:rsidR="0074764C" w:rsidRPr="00C97BCE" w:rsidTr="0074764C">
        <w:trPr>
          <w:cantSplit/>
          <w:jc w:val="center"/>
        </w:trPr>
        <w:tc>
          <w:tcPr>
            <w:tcW w:w="5728"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Spoken to a mental health professional over the telephone or received online support</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1.1</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2.2</w:t>
            </w:r>
          </w:p>
        </w:tc>
        <w:tc>
          <w:tcPr>
            <w:tcW w:w="113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w:t>
            </w:r>
          </w:p>
        </w:tc>
      </w:tr>
      <w:tr w:rsidR="0074764C" w:rsidRPr="00C97BCE" w:rsidTr="0074764C">
        <w:trPr>
          <w:cantSplit/>
          <w:jc w:val="center"/>
        </w:trPr>
        <w:tc>
          <w:tcPr>
            <w:tcW w:w="5728"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Visited a headspace centre</w:t>
            </w:r>
          </w:p>
        </w:tc>
        <w:tc>
          <w:tcPr>
            <w:tcW w:w="113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w:t>
            </w:r>
          </w:p>
        </w:tc>
        <w:tc>
          <w:tcPr>
            <w:tcW w:w="113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3.3</w:t>
            </w:r>
          </w:p>
        </w:tc>
        <w:tc>
          <w:tcPr>
            <w:tcW w:w="113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2.8</w:t>
            </w:r>
          </w:p>
        </w:tc>
      </w:tr>
      <w:tr w:rsidR="0074764C" w:rsidRPr="00C97BCE" w:rsidTr="0074764C">
        <w:trPr>
          <w:cantSplit/>
          <w:jc w:val="center"/>
        </w:trPr>
        <w:tc>
          <w:tcPr>
            <w:tcW w:w="5728" w:type="dxa"/>
            <w:tcBorders>
              <w:top w:val="single" w:sz="4" w:space="0" w:color="auto"/>
              <w:bottom w:val="single" w:sz="6" w:space="0" w:color="000000"/>
              <w:right w:val="nil"/>
            </w:tcBorders>
            <w:shd w:val="clear" w:color="auto" w:fill="EFF3FF"/>
            <w:tcMar>
              <w:left w:w="40" w:type="dxa"/>
              <w:right w:w="40" w:type="dxa"/>
            </w:tcMar>
          </w:tcPr>
          <w:p w:rsidR="0074764C" w:rsidRPr="00D52CCF" w:rsidRDefault="0074764C" w:rsidP="0074764C">
            <w:pPr>
              <w:pStyle w:val="TableRowHeadings"/>
              <w:rPr>
                <w:rStyle w:val="Strong"/>
              </w:rPr>
            </w:pPr>
            <w:r w:rsidRPr="00D52CCF">
              <w:rPr>
                <w:rStyle w:val="Strong"/>
              </w:rPr>
              <w:t>Any headspace service (a)</w:t>
            </w:r>
          </w:p>
        </w:tc>
        <w:tc>
          <w:tcPr>
            <w:tcW w:w="113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D52CCF" w:rsidRDefault="0074764C" w:rsidP="0074764C">
            <w:pPr>
              <w:pStyle w:val="TableDataCell"/>
              <w:rPr>
                <w:rStyle w:val="Strong"/>
              </w:rPr>
            </w:pPr>
            <w:r w:rsidRPr="00D52CCF">
              <w:rPr>
                <w:rStyle w:val="Strong"/>
              </w:rPr>
              <w:t>4.8</w:t>
            </w:r>
          </w:p>
        </w:tc>
        <w:tc>
          <w:tcPr>
            <w:tcW w:w="113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D52CCF" w:rsidRDefault="0074764C" w:rsidP="0074764C">
            <w:pPr>
              <w:pStyle w:val="TableDataCell"/>
              <w:rPr>
                <w:rStyle w:val="Strong"/>
              </w:rPr>
            </w:pPr>
            <w:r w:rsidRPr="00D52CCF">
              <w:rPr>
                <w:rStyle w:val="Strong"/>
              </w:rPr>
              <w:t>10.2</w:t>
            </w:r>
          </w:p>
        </w:tc>
        <w:tc>
          <w:tcPr>
            <w:tcW w:w="113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D52CCF" w:rsidRDefault="0074764C" w:rsidP="0074764C">
            <w:pPr>
              <w:pStyle w:val="TableDataCell"/>
              <w:rPr>
                <w:rStyle w:val="Strong"/>
              </w:rPr>
            </w:pPr>
            <w:r w:rsidRPr="00D52CCF">
              <w:rPr>
                <w:rStyle w:val="Strong"/>
              </w:rPr>
              <w:t>7.4</w:t>
            </w:r>
          </w:p>
        </w:tc>
      </w:tr>
    </w:tbl>
    <w:p w:rsidR="0074764C" w:rsidRPr="00287B6D" w:rsidRDefault="0074764C" w:rsidP="0074764C">
      <w:pPr>
        <w:pStyle w:val="TableFootnote"/>
      </w:pPr>
      <w:r>
        <w:t>(a)</w:t>
      </w:r>
      <w:r>
        <w:tab/>
      </w:r>
      <w:r w:rsidRPr="00287B6D">
        <w:t xml:space="preserve">Any </w:t>
      </w:r>
      <w:r>
        <w:t xml:space="preserve">headspace </w:t>
      </w:r>
      <w:r w:rsidRPr="00287B6D">
        <w:t>service is not equal to the sum of individual</w:t>
      </w:r>
      <w:r>
        <w:t xml:space="preserve"> headspace</w:t>
      </w:r>
      <w:r w:rsidRPr="00287B6D">
        <w:t xml:space="preserve"> services because adolescents may have used more than one type of service</w:t>
      </w:r>
      <w:r>
        <w:t>.</w:t>
      </w:r>
    </w:p>
    <w:p w:rsidR="0074764C" w:rsidRPr="00C97BCE" w:rsidRDefault="0074764C" w:rsidP="0074764C">
      <w:pPr>
        <w:pStyle w:val="Heading3"/>
      </w:pPr>
      <w:r w:rsidRPr="00C97BCE">
        <w:t>13.2.2</w:t>
      </w:r>
      <w:r w:rsidRPr="00C97BCE">
        <w:tab/>
      </w:r>
      <w:r>
        <w:t>Adolescents with mental disorders</w:t>
      </w:r>
    </w:p>
    <w:p w:rsidR="0074764C" w:rsidRPr="00C97BCE" w:rsidRDefault="0074764C" w:rsidP="0074764C">
      <w:pPr>
        <w:pStyle w:val="BodyText"/>
      </w:pPr>
      <w:r w:rsidRPr="00C97BCE">
        <w:t xml:space="preserve">Half (54.4%) of those with major depressive disorder based on adolescent report and two fifths (43.6%) of those with mental disorders based on parent and carer report had heard about headspace. </w:t>
      </w:r>
    </w:p>
    <w:p w:rsidR="0074764C" w:rsidRPr="00C97BCE" w:rsidRDefault="0074764C" w:rsidP="0074764C">
      <w:pPr>
        <w:pStyle w:val="BodyText"/>
      </w:pPr>
      <w:r w:rsidRPr="00C97BCE">
        <w:lastRenderedPageBreak/>
        <w:t xml:space="preserve">One fifth (20.2%) of 13-17 year-olds with major depressive disorder reported using a service provided by headspace, with the majority of these accessing information on the headspace website or through </w:t>
      </w:r>
      <w:proofErr w:type="spellStart"/>
      <w:r w:rsidRPr="00C97BCE">
        <w:t>eheadspace</w:t>
      </w:r>
      <w:proofErr w:type="spellEnd"/>
      <w:r w:rsidRPr="00C97BCE">
        <w:t xml:space="preserve"> (14.8%). One twelfth (8.5%) spoke to a mental health professional on the telephone or received online support, and 11.0% visited a headspace centre (Table 13-</w:t>
      </w:r>
      <w:r>
        <w:rPr>
          <w:noProof/>
        </w:rPr>
        <w:t>3</w:t>
      </w:r>
      <w:r w:rsidRPr="00C97BCE">
        <w:t>).</w:t>
      </w:r>
    </w:p>
    <w:p w:rsidR="0074764C" w:rsidRPr="00C97BCE" w:rsidRDefault="0074764C" w:rsidP="0074764C">
      <w:pPr>
        <w:pStyle w:val="Caption"/>
        <w:keepNext/>
      </w:pPr>
      <w:bookmarkStart w:id="258" w:name="_Ref407033300"/>
      <w:r w:rsidRPr="00C97BCE">
        <w:t>Table 13-</w:t>
      </w:r>
      <w:r>
        <w:rPr>
          <w:noProof/>
        </w:rPr>
        <w:t>3</w:t>
      </w:r>
      <w:bookmarkEnd w:id="258"/>
      <w:r w:rsidRPr="00C97BCE">
        <w:t>: headspace services used for emotional or behavioural problems in past 12 months among 13-17 year-olds by mental health status and type of service</w:t>
      </w:r>
    </w:p>
    <w:tbl>
      <w:tblPr>
        <w:tblW w:w="9122" w:type="dxa"/>
        <w:jc w:val="center"/>
        <w:tblLayout w:type="fixed"/>
        <w:tblCellMar>
          <w:left w:w="0" w:type="dxa"/>
          <w:right w:w="0" w:type="dxa"/>
        </w:tblCellMar>
        <w:tblLook w:val="0020" w:firstRow="1" w:lastRow="0" w:firstColumn="0" w:lastColumn="0" w:noHBand="0" w:noVBand="0"/>
        <w:tblDescription w:val="In Table 13-3 the frst column describes the type of headspace service used for emotional or behavioural problems in the past 12 months. Read across the rows for the proportion of those with major depressive disorder based on adolescent report, with any disorder based on parent or carer report, and with no disorder from adolescent or parent or carer report that had used these services."/>
      </w:tblPr>
      <w:tblGrid>
        <w:gridCol w:w="3734"/>
        <w:gridCol w:w="1796"/>
        <w:gridCol w:w="1796"/>
        <w:gridCol w:w="1796"/>
      </w:tblGrid>
      <w:tr w:rsidR="0074764C" w:rsidRPr="00C97BCE" w:rsidTr="0074764C">
        <w:trPr>
          <w:cantSplit/>
          <w:tblHeader/>
          <w:jc w:val="center"/>
        </w:trPr>
        <w:tc>
          <w:tcPr>
            <w:tcW w:w="3734"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service</w:t>
            </w:r>
          </w:p>
        </w:tc>
        <w:tc>
          <w:tcPr>
            <w:tcW w:w="179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Major depressive disorder based on adolescent report (%)</w:t>
            </w:r>
          </w:p>
        </w:tc>
        <w:tc>
          <w:tcPr>
            <w:tcW w:w="179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Any mental disorder based on parent or carer </w:t>
            </w:r>
            <w:proofErr w:type="gramStart"/>
            <w:r w:rsidRPr="004F4047">
              <w:rPr>
                <w:rStyle w:val="Strong"/>
              </w:rPr>
              <w:t>report</w:t>
            </w:r>
            <w:proofErr w:type="gramEnd"/>
            <w:r w:rsidRPr="004F4047">
              <w:rPr>
                <w:rStyle w:val="Strong"/>
              </w:rPr>
              <w:br/>
              <w:t>(%)</w:t>
            </w:r>
          </w:p>
        </w:tc>
        <w:tc>
          <w:tcPr>
            <w:tcW w:w="179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No </w:t>
            </w:r>
            <w:proofErr w:type="gramStart"/>
            <w:r w:rsidRPr="004F4047">
              <w:rPr>
                <w:rStyle w:val="Strong"/>
              </w:rPr>
              <w:t>disorder</w:t>
            </w:r>
            <w:proofErr w:type="gramEnd"/>
            <w:r w:rsidRPr="004F4047">
              <w:rPr>
                <w:rStyle w:val="Strong"/>
              </w:rPr>
              <w:br/>
              <w:t>(%)</w:t>
            </w:r>
          </w:p>
        </w:tc>
      </w:tr>
      <w:tr w:rsidR="0074764C" w:rsidRPr="00C97BCE" w:rsidTr="0074764C">
        <w:trPr>
          <w:cantSplit/>
          <w:jc w:val="center"/>
        </w:trPr>
        <w:tc>
          <w:tcPr>
            <w:tcW w:w="373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 xml:space="preserve">Accessed information through headspace or </w:t>
            </w:r>
            <w:proofErr w:type="spellStart"/>
            <w:r w:rsidRPr="00C97BCE">
              <w:rPr>
                <w:lang w:eastAsia="en-AU"/>
              </w:rPr>
              <w:t>eheadspace</w:t>
            </w:r>
            <w:proofErr w:type="spellEnd"/>
            <w:r w:rsidRPr="00C97BCE">
              <w:rPr>
                <w:lang w:eastAsia="en-AU"/>
              </w:rPr>
              <w:t xml:space="preserve"> websites</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14.8</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7.8</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4.8</w:t>
            </w:r>
          </w:p>
        </w:tc>
      </w:tr>
      <w:tr w:rsidR="0074764C" w:rsidRPr="00C97BCE" w:rsidTr="0074764C">
        <w:trPr>
          <w:cantSplit/>
          <w:jc w:val="center"/>
        </w:trPr>
        <w:tc>
          <w:tcPr>
            <w:tcW w:w="373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Spoken to a mental health professional over the telephone or received online support</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8.5</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4.3</w:t>
            </w:r>
          </w:p>
        </w:tc>
        <w:tc>
          <w:tcPr>
            <w:tcW w:w="1796"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0.7</w:t>
            </w:r>
          </w:p>
        </w:tc>
      </w:tr>
      <w:tr w:rsidR="0074764C" w:rsidRPr="00C97BCE" w:rsidTr="0074764C">
        <w:trPr>
          <w:cantSplit/>
          <w:jc w:val="center"/>
        </w:trPr>
        <w:tc>
          <w:tcPr>
            <w:tcW w:w="3734"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Visited a headspace centre</w:t>
            </w:r>
          </w:p>
        </w:tc>
        <w:tc>
          <w:tcPr>
            <w:tcW w:w="1796"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11.0</w:t>
            </w:r>
          </w:p>
        </w:tc>
        <w:tc>
          <w:tcPr>
            <w:tcW w:w="1796"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8.2</w:t>
            </w:r>
          </w:p>
        </w:tc>
        <w:tc>
          <w:tcPr>
            <w:tcW w:w="1796"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w:t>
            </w:r>
          </w:p>
        </w:tc>
      </w:tr>
      <w:tr w:rsidR="0074764C" w:rsidRPr="00C97BCE" w:rsidTr="0074764C">
        <w:trPr>
          <w:cantSplit/>
          <w:jc w:val="center"/>
        </w:trPr>
        <w:tc>
          <w:tcPr>
            <w:tcW w:w="3734"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headspace service (a)</w:t>
            </w:r>
          </w:p>
        </w:tc>
        <w:tc>
          <w:tcPr>
            <w:tcW w:w="179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20.2</w:t>
            </w:r>
          </w:p>
        </w:tc>
        <w:tc>
          <w:tcPr>
            <w:tcW w:w="179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13.0</w:t>
            </w:r>
          </w:p>
        </w:tc>
        <w:tc>
          <w:tcPr>
            <w:tcW w:w="1796"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5.8</w:t>
            </w:r>
          </w:p>
        </w:tc>
      </w:tr>
    </w:tbl>
    <w:p w:rsidR="0074764C" w:rsidRPr="00287B6D" w:rsidRDefault="0074764C" w:rsidP="0074764C">
      <w:pPr>
        <w:pStyle w:val="TableFootnote"/>
      </w:pPr>
      <w:bookmarkStart w:id="259" w:name="_Toc401758844"/>
      <w:r>
        <w:t>(a)</w:t>
      </w:r>
      <w:r>
        <w:tab/>
      </w:r>
      <w:r w:rsidRPr="00287B6D">
        <w:t xml:space="preserve">Any </w:t>
      </w:r>
      <w:r>
        <w:t xml:space="preserve">headspace </w:t>
      </w:r>
      <w:r w:rsidRPr="00287B6D">
        <w:t>service is not equal to the sum of individual</w:t>
      </w:r>
      <w:r>
        <w:t xml:space="preserve"> headspace</w:t>
      </w:r>
      <w:r w:rsidRPr="00287B6D">
        <w:t xml:space="preserve"> services because adolescents may have used more than one type of service</w:t>
      </w:r>
      <w:r>
        <w:t>.</w:t>
      </w:r>
    </w:p>
    <w:p w:rsidR="0074764C" w:rsidRPr="00C97BCE" w:rsidRDefault="0074764C" w:rsidP="0074764C">
      <w:pPr>
        <w:pStyle w:val="BodyText"/>
      </w:pPr>
      <w:r w:rsidRPr="00C97BCE">
        <w:t xml:space="preserve">In contrast, compared to those with </w:t>
      </w:r>
      <w:r>
        <w:t xml:space="preserve">self-reported </w:t>
      </w:r>
      <w:r w:rsidRPr="00C97BCE">
        <w:t>major depressive disorder, fewer adolescents with mental disorders based on parent and carer report (13.0%) had used headspace services for emotional or behavioural problems in the previous 12 months although a similar proportion (8.2%) reported hav</w:t>
      </w:r>
      <w:r>
        <w:t>ing visited a headspace centre.</w:t>
      </w:r>
    </w:p>
    <w:p w:rsidR="0074764C" w:rsidRPr="00C97BCE" w:rsidRDefault="0074764C" w:rsidP="0074764C">
      <w:pPr>
        <w:pStyle w:val="BodyText"/>
      </w:pPr>
      <w:r>
        <w:t xml:space="preserve">A small proportion </w:t>
      </w:r>
      <w:r w:rsidRPr="00C97BCE">
        <w:t xml:space="preserve">of adolescents </w:t>
      </w:r>
      <w:r>
        <w:t xml:space="preserve">(5.8%) </w:t>
      </w:r>
      <w:r w:rsidRPr="00C97BCE">
        <w:t xml:space="preserve">with no mental disorders </w:t>
      </w:r>
      <w:r>
        <w:t xml:space="preserve">based on either adolescent or parent or </w:t>
      </w:r>
      <w:r w:rsidRPr="00C97BCE">
        <w:t xml:space="preserve">carer </w:t>
      </w:r>
      <w:r>
        <w:t>report had</w:t>
      </w:r>
      <w:r w:rsidRPr="00C97BCE">
        <w:t xml:space="preserve"> use</w:t>
      </w:r>
      <w:r>
        <w:t xml:space="preserve">d </w:t>
      </w:r>
      <w:r w:rsidRPr="00C97BCE">
        <w:t>headspace services in the previous 12 months.</w:t>
      </w:r>
    </w:p>
    <w:p w:rsidR="0074764C" w:rsidRPr="00C97BCE" w:rsidRDefault="0074764C" w:rsidP="0074764C">
      <w:pPr>
        <w:pStyle w:val="Heading2"/>
        <w:ind w:left="720" w:hanging="720"/>
      </w:pPr>
      <w:r w:rsidRPr="00C97BCE">
        <w:t>13.3</w:t>
      </w:r>
      <w:r w:rsidRPr="00C97BCE">
        <w:tab/>
        <w:t xml:space="preserve">Telephone </w:t>
      </w:r>
      <w:r>
        <w:t>counselling</w:t>
      </w:r>
      <w:r w:rsidRPr="00C97BCE">
        <w:t xml:space="preserve"> and </w:t>
      </w:r>
      <w:r>
        <w:t>online</w:t>
      </w:r>
      <w:r w:rsidRPr="00C97BCE">
        <w:t xml:space="preserve"> services</w:t>
      </w:r>
      <w:bookmarkEnd w:id="259"/>
    </w:p>
    <w:p w:rsidR="0074764C" w:rsidRPr="00C97BCE" w:rsidRDefault="0074764C" w:rsidP="0074764C">
      <w:pPr>
        <w:pStyle w:val="BodyText"/>
      </w:pPr>
      <w:r w:rsidRPr="00C97BCE">
        <w:t xml:space="preserve">This section reports on use of telephone helplines such as Kids Helpline and </w:t>
      </w:r>
      <w:r>
        <w:t>online</w:t>
      </w:r>
      <w:r w:rsidRPr="00C97BCE">
        <w:t xml:space="preserve"> services including </w:t>
      </w:r>
      <w:r w:rsidRPr="00C97BCE">
        <w:rPr>
          <w:rFonts w:eastAsia="Calibri" w:cs="Calibri"/>
        </w:rPr>
        <w:t xml:space="preserve">services provided by headspace, </w:t>
      </w:r>
      <w:proofErr w:type="spellStart"/>
      <w:r w:rsidRPr="00C97BCE">
        <w:rPr>
          <w:rFonts w:eastAsia="Calibri" w:cs="Calibri"/>
        </w:rPr>
        <w:t>Reachout</w:t>
      </w:r>
      <w:proofErr w:type="spellEnd"/>
      <w:r w:rsidRPr="00C97BCE">
        <w:rPr>
          <w:rFonts w:eastAsia="Calibri" w:cs="Calibri"/>
        </w:rPr>
        <w:t xml:space="preserve"> and Youth </w:t>
      </w:r>
      <w:proofErr w:type="spellStart"/>
      <w:r w:rsidRPr="00C97BCE">
        <w:rPr>
          <w:rFonts w:eastAsia="Calibri" w:cs="Calibri"/>
        </w:rPr>
        <w:t>beyondblue</w:t>
      </w:r>
      <w:proofErr w:type="spellEnd"/>
      <w:r w:rsidRPr="00C97BCE">
        <w:t xml:space="preserve"> for emotional and behavioural problems.</w:t>
      </w:r>
    </w:p>
    <w:p w:rsidR="0074764C" w:rsidRPr="00C97BCE" w:rsidRDefault="0074764C" w:rsidP="0074764C">
      <w:pPr>
        <w:pStyle w:val="Heading3"/>
        <w:rPr>
          <w:rFonts w:eastAsiaTheme="minorEastAsia"/>
          <w:lang w:eastAsia="en-AU"/>
        </w:rPr>
      </w:pPr>
      <w:r w:rsidRPr="00C97BCE">
        <w:rPr>
          <w:rFonts w:eastAsiaTheme="minorEastAsia"/>
          <w:lang w:eastAsia="en-AU"/>
        </w:rPr>
        <w:t xml:space="preserve">13.3.1 </w:t>
      </w:r>
      <w:r w:rsidRPr="00C97BCE">
        <w:rPr>
          <w:rFonts w:eastAsiaTheme="minorEastAsia"/>
          <w:lang w:eastAsia="en-AU"/>
        </w:rPr>
        <w:tab/>
        <w:t>All adolescents</w:t>
      </w:r>
    </w:p>
    <w:p w:rsidR="0074764C" w:rsidRPr="00C97BCE" w:rsidRDefault="0074764C" w:rsidP="0074764C">
      <w:pPr>
        <w:pStyle w:val="BodyText"/>
        <w:rPr>
          <w:lang w:eastAsia="en-AU"/>
        </w:rPr>
      </w:pPr>
      <w:r w:rsidRPr="00C97BCE">
        <w:rPr>
          <w:lang w:eastAsia="en-AU"/>
        </w:rPr>
        <w:t>Of all 13-17 year-olds</w:t>
      </w:r>
      <w:r>
        <w:rPr>
          <w:lang w:eastAsia="en-AU"/>
        </w:rPr>
        <w:t xml:space="preserve">, </w:t>
      </w:r>
      <w:r w:rsidRPr="00C97BCE">
        <w:rPr>
          <w:lang w:eastAsia="en-AU"/>
        </w:rPr>
        <w:t>3.</w:t>
      </w:r>
      <w:r>
        <w:rPr>
          <w:lang w:eastAsia="en-AU"/>
        </w:rPr>
        <w:t>6</w:t>
      </w:r>
      <w:r w:rsidRPr="00C97BCE">
        <w:rPr>
          <w:lang w:eastAsia="en-AU"/>
        </w:rPr>
        <w:t xml:space="preserve">% </w:t>
      </w:r>
      <w:r>
        <w:rPr>
          <w:lang w:eastAsia="en-AU"/>
        </w:rPr>
        <w:t>reported</w:t>
      </w:r>
      <w:r w:rsidRPr="00C97BCE">
        <w:rPr>
          <w:lang w:eastAsia="en-AU"/>
        </w:rPr>
        <w:t xml:space="preserve"> </w:t>
      </w:r>
      <w:r>
        <w:rPr>
          <w:lang w:eastAsia="en-AU"/>
        </w:rPr>
        <w:t xml:space="preserve">using </w:t>
      </w:r>
      <w:r w:rsidRPr="00C97BCE">
        <w:rPr>
          <w:lang w:eastAsia="en-AU"/>
        </w:rPr>
        <w:t xml:space="preserve">a telephone counselling line for help or information in the previous 12 months. The proportion was twice as high among females </w:t>
      </w:r>
      <w:proofErr w:type="gramStart"/>
      <w:r w:rsidRPr="00C97BCE">
        <w:rPr>
          <w:lang w:eastAsia="en-AU"/>
        </w:rPr>
        <w:t>than</w:t>
      </w:r>
      <w:proofErr w:type="gramEnd"/>
      <w:r w:rsidRPr="00C97BCE">
        <w:rPr>
          <w:lang w:eastAsia="en-AU"/>
        </w:rPr>
        <w:t xml:space="preserve"> males (4.</w:t>
      </w:r>
      <w:r>
        <w:rPr>
          <w:lang w:eastAsia="en-AU"/>
        </w:rPr>
        <w:t>8</w:t>
      </w:r>
      <w:r w:rsidRPr="00C97BCE">
        <w:rPr>
          <w:lang w:eastAsia="en-AU"/>
        </w:rPr>
        <w:t>% compared with 2.</w:t>
      </w:r>
      <w:r>
        <w:rPr>
          <w:lang w:eastAsia="en-AU"/>
        </w:rPr>
        <w:t>4</w:t>
      </w:r>
      <w:r w:rsidRPr="00C97BCE">
        <w:rPr>
          <w:lang w:eastAsia="en-AU"/>
        </w:rPr>
        <w:t>%).</w:t>
      </w:r>
    </w:p>
    <w:p w:rsidR="0074764C" w:rsidRPr="00C97BCE" w:rsidRDefault="0074764C" w:rsidP="0074764C">
      <w:pPr>
        <w:pStyle w:val="BodyText"/>
      </w:pPr>
      <w:r w:rsidRPr="00C97BCE">
        <w:t xml:space="preserve">Just over one fifth (22.2%) of 13-17 year-olds had used an </w:t>
      </w:r>
      <w:r>
        <w:t>online</w:t>
      </w:r>
      <w:r w:rsidRPr="00C97BCE">
        <w:t xml:space="preserve"> service in the previous 12 months for help or information about emotional or behavioural problems (Table 13-</w:t>
      </w:r>
      <w:r>
        <w:rPr>
          <w:noProof/>
        </w:rPr>
        <w:t>4</w:t>
      </w:r>
      <w:r w:rsidRPr="00C97BCE">
        <w:t xml:space="preserve">). The proportion was almost twice as high among females </w:t>
      </w:r>
      <w:proofErr w:type="gramStart"/>
      <w:r w:rsidRPr="00C97BCE">
        <w:t>than</w:t>
      </w:r>
      <w:proofErr w:type="gramEnd"/>
      <w:r w:rsidRPr="00C97BCE">
        <w:t xml:space="preserve"> males (28.9% compared with 15.9%). In particular, females were twice as likely to seek information about mental health issues, to use an online assessment tool or online personal support or counselling.</w:t>
      </w:r>
    </w:p>
    <w:p w:rsidR="0074764C" w:rsidRPr="00C97BCE" w:rsidRDefault="0074764C" w:rsidP="0074764C">
      <w:pPr>
        <w:pStyle w:val="Caption"/>
        <w:keepNext/>
      </w:pPr>
      <w:bookmarkStart w:id="260" w:name="_Ref407033397"/>
      <w:r w:rsidRPr="00C97BCE">
        <w:lastRenderedPageBreak/>
        <w:t>Table 13-</w:t>
      </w:r>
      <w:r>
        <w:rPr>
          <w:noProof/>
        </w:rPr>
        <w:t>4</w:t>
      </w:r>
      <w:bookmarkEnd w:id="260"/>
      <w:r w:rsidRPr="00C97BCE">
        <w:t xml:space="preserve">: </w:t>
      </w:r>
      <w:r>
        <w:t>Online</w:t>
      </w:r>
      <w:r w:rsidRPr="00C97BCE">
        <w:t xml:space="preserve"> service use for emotional or behavioural problems in past 12 months</w:t>
      </w:r>
      <w:r>
        <w:t xml:space="preserve"> among 13-17 year-olds by sex and</w:t>
      </w:r>
      <w:r w:rsidRPr="00C97BCE">
        <w:t xml:space="preserve"> type of service</w:t>
      </w:r>
    </w:p>
    <w:tbl>
      <w:tblPr>
        <w:tblW w:w="9140" w:type="dxa"/>
        <w:jc w:val="center"/>
        <w:tblLayout w:type="fixed"/>
        <w:tblCellMar>
          <w:left w:w="0" w:type="dxa"/>
          <w:right w:w="0" w:type="dxa"/>
        </w:tblCellMar>
        <w:tblLook w:val="0020" w:firstRow="1" w:lastRow="0" w:firstColumn="0" w:lastColumn="0" w:noHBand="0" w:noVBand="0"/>
        <w:tblDescription w:val="In Table 13-4 the first column describes the type of internet service used for emotional or behavioural problems in the past 12 months. Read across the rows for the proportion of males, females and persons who had used these types of services"/>
      </w:tblPr>
      <w:tblGrid>
        <w:gridCol w:w="5066"/>
        <w:gridCol w:w="1358"/>
        <w:gridCol w:w="1358"/>
        <w:gridCol w:w="1358"/>
      </w:tblGrid>
      <w:tr w:rsidR="0074764C" w:rsidRPr="00C97BCE" w:rsidTr="0074764C">
        <w:trPr>
          <w:cantSplit/>
          <w:tblHeader/>
          <w:jc w:val="center"/>
        </w:trPr>
        <w:tc>
          <w:tcPr>
            <w:tcW w:w="5066"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online service</w:t>
            </w:r>
          </w:p>
        </w:tc>
        <w:tc>
          <w:tcPr>
            <w:tcW w:w="135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Males (%)</w:t>
            </w:r>
          </w:p>
        </w:tc>
        <w:tc>
          <w:tcPr>
            <w:tcW w:w="135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Females (%)</w:t>
            </w:r>
          </w:p>
        </w:tc>
        <w:tc>
          <w:tcPr>
            <w:tcW w:w="135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Persons (%)</w:t>
            </w:r>
          </w:p>
        </w:tc>
      </w:tr>
      <w:tr w:rsidR="0074764C" w:rsidRPr="00C97BCE" w:rsidTr="0074764C">
        <w:trPr>
          <w:cantSplit/>
          <w:jc w:val="center"/>
        </w:trPr>
        <w:tc>
          <w:tcPr>
            <w:tcW w:w="5066"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Information about mental health issues</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9.3</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20.1</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14.5</w:t>
            </w:r>
          </w:p>
        </w:tc>
      </w:tr>
      <w:tr w:rsidR="0074764C" w:rsidRPr="00C97BCE" w:rsidTr="0074764C">
        <w:trPr>
          <w:cantSplit/>
          <w:jc w:val="center"/>
        </w:trPr>
        <w:tc>
          <w:tcPr>
            <w:tcW w:w="5066"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Information about services in the community</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4.2</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7.4</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5.8</w:t>
            </w:r>
          </w:p>
        </w:tc>
      </w:tr>
      <w:tr w:rsidR="0074764C" w:rsidRPr="00C97BCE" w:rsidTr="0074764C">
        <w:trPr>
          <w:cantSplit/>
          <w:jc w:val="center"/>
        </w:trPr>
        <w:tc>
          <w:tcPr>
            <w:tcW w:w="5066"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A</w:t>
            </w:r>
            <w:r w:rsidRPr="00C97BCE">
              <w:rPr>
                <w:lang w:eastAsia="en-AU"/>
              </w:rPr>
              <w:t>ssessment tool</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6.1</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14.0</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10.0</w:t>
            </w:r>
          </w:p>
        </w:tc>
      </w:tr>
      <w:tr w:rsidR="0074764C" w:rsidRPr="00C97BCE" w:rsidTr="0074764C">
        <w:trPr>
          <w:cantSplit/>
          <w:jc w:val="center"/>
        </w:trPr>
        <w:tc>
          <w:tcPr>
            <w:tcW w:w="5066"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S</w:t>
            </w:r>
            <w:r w:rsidRPr="00C97BCE">
              <w:rPr>
                <w:lang w:eastAsia="en-AU"/>
              </w:rPr>
              <w:t>elf-help</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3.7</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5.1</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4.4</w:t>
            </w:r>
          </w:p>
        </w:tc>
      </w:tr>
      <w:tr w:rsidR="0074764C" w:rsidRPr="00C97BCE" w:rsidTr="0074764C">
        <w:trPr>
          <w:cantSplit/>
          <w:jc w:val="center"/>
        </w:trPr>
        <w:tc>
          <w:tcPr>
            <w:tcW w:w="5066"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Chat room or support group</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2.6</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3.7</w:t>
            </w:r>
          </w:p>
        </w:tc>
        <w:tc>
          <w:tcPr>
            <w:tcW w:w="135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3.1</w:t>
            </w:r>
          </w:p>
        </w:tc>
      </w:tr>
      <w:tr w:rsidR="0074764C" w:rsidRPr="00C97BCE" w:rsidTr="0074764C">
        <w:trPr>
          <w:cantSplit/>
          <w:jc w:val="center"/>
        </w:trPr>
        <w:tc>
          <w:tcPr>
            <w:tcW w:w="5066"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P</w:t>
            </w:r>
            <w:r w:rsidRPr="00C97BCE">
              <w:rPr>
                <w:lang w:eastAsia="en-AU"/>
              </w:rPr>
              <w:t>ersonal support or counselling</w:t>
            </w:r>
          </w:p>
        </w:tc>
        <w:tc>
          <w:tcPr>
            <w:tcW w:w="135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w:t>
            </w:r>
            <w:r>
              <w:rPr>
                <w:lang w:eastAsia="en-AU"/>
              </w:rPr>
              <w:t>5</w:t>
            </w:r>
          </w:p>
        </w:tc>
        <w:tc>
          <w:tcPr>
            <w:tcW w:w="135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w:t>
            </w:r>
            <w:r>
              <w:rPr>
                <w:lang w:eastAsia="en-AU"/>
              </w:rPr>
              <w:t>7</w:t>
            </w:r>
          </w:p>
        </w:tc>
        <w:tc>
          <w:tcPr>
            <w:tcW w:w="135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Pr>
                <w:lang w:eastAsia="en-AU"/>
              </w:rPr>
              <w:t>2.1</w:t>
            </w:r>
          </w:p>
        </w:tc>
      </w:tr>
      <w:tr w:rsidR="0074764C" w:rsidRPr="00C97BCE" w:rsidTr="0074764C">
        <w:trPr>
          <w:cantSplit/>
          <w:jc w:val="center"/>
        </w:trPr>
        <w:tc>
          <w:tcPr>
            <w:tcW w:w="5066"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online service (a)</w:t>
            </w:r>
          </w:p>
        </w:tc>
        <w:tc>
          <w:tcPr>
            <w:tcW w:w="135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15.9</w:t>
            </w:r>
          </w:p>
        </w:tc>
        <w:tc>
          <w:tcPr>
            <w:tcW w:w="135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28.9</w:t>
            </w:r>
          </w:p>
        </w:tc>
        <w:tc>
          <w:tcPr>
            <w:tcW w:w="135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22.2</w:t>
            </w:r>
          </w:p>
        </w:tc>
      </w:tr>
    </w:tbl>
    <w:p w:rsidR="0074764C" w:rsidRPr="00287B6D" w:rsidRDefault="0074764C" w:rsidP="0074764C">
      <w:pPr>
        <w:pStyle w:val="TableFootnote"/>
      </w:pPr>
      <w:r>
        <w:t>(a)</w:t>
      </w:r>
      <w:r>
        <w:tab/>
      </w:r>
      <w:r w:rsidRPr="00287B6D">
        <w:t xml:space="preserve">Any </w:t>
      </w:r>
      <w:r>
        <w:t xml:space="preserve">online </w:t>
      </w:r>
      <w:r w:rsidRPr="00287B6D">
        <w:t>service is not equal to the sum of individual</w:t>
      </w:r>
      <w:r>
        <w:t xml:space="preserve"> online</w:t>
      </w:r>
      <w:r w:rsidRPr="00287B6D">
        <w:t xml:space="preserve"> services because adolescents may have used more than one type of service</w:t>
      </w:r>
      <w:r>
        <w:t>.</w:t>
      </w:r>
    </w:p>
    <w:p w:rsidR="0074764C" w:rsidRPr="00C97BCE" w:rsidRDefault="0074764C" w:rsidP="0074764C">
      <w:pPr>
        <w:pStyle w:val="Heading3"/>
      </w:pPr>
      <w:r w:rsidRPr="00C97BCE">
        <w:t>13.3.2</w:t>
      </w:r>
      <w:r w:rsidRPr="00C97BCE">
        <w:tab/>
      </w:r>
      <w:r>
        <w:t>Adolescents with mental disorders</w:t>
      </w:r>
    </w:p>
    <w:p w:rsidR="0074764C" w:rsidRPr="00C97BCE" w:rsidRDefault="0074764C" w:rsidP="0074764C">
      <w:pPr>
        <w:pStyle w:val="BodyText"/>
        <w:rPr>
          <w:lang w:eastAsia="en-AU"/>
        </w:rPr>
      </w:pPr>
      <w:r w:rsidRPr="00C97BCE">
        <w:rPr>
          <w:lang w:eastAsia="en-AU"/>
        </w:rPr>
        <w:t>Among all 13-17 year-olds with major depressive disorder based on adolescent report, 13.6% had used a telephone counselling service, such as Kids Helpline, in the previous 12 months. Less (7.1%) of those with mental disorders based on parent and carer report had used a telephone counselling service for emotional or behavioural problems in the previous 12 months.</w:t>
      </w:r>
    </w:p>
    <w:p w:rsidR="0074764C" w:rsidRDefault="0074764C" w:rsidP="0074764C">
      <w:pPr>
        <w:pStyle w:val="BodyText"/>
        <w:rPr>
          <w:lang w:eastAsia="en-AU"/>
        </w:rPr>
      </w:pPr>
      <w:r w:rsidRPr="00C97BCE">
        <w:rPr>
          <w:lang w:eastAsia="en-AU"/>
        </w:rPr>
        <w:t xml:space="preserve">Half (52.0%) of those with major depressive disorder based on adolescent report had used an </w:t>
      </w:r>
      <w:r>
        <w:rPr>
          <w:lang w:eastAsia="en-AU"/>
        </w:rPr>
        <w:t>online</w:t>
      </w:r>
      <w:r w:rsidRPr="00C97BCE">
        <w:rPr>
          <w:lang w:eastAsia="en-AU"/>
        </w:rPr>
        <w:t xml:space="preserve"> service </w:t>
      </w:r>
      <w:r w:rsidRPr="00C97BCE">
        <w:t xml:space="preserve">including </w:t>
      </w:r>
      <w:r w:rsidRPr="00C97BCE">
        <w:rPr>
          <w:rFonts w:eastAsia="Calibri" w:cs="Calibri"/>
        </w:rPr>
        <w:t xml:space="preserve">services provided by headspace, </w:t>
      </w:r>
      <w:proofErr w:type="spellStart"/>
      <w:r w:rsidRPr="00C97BCE">
        <w:rPr>
          <w:rFonts w:eastAsia="Calibri" w:cs="Calibri"/>
        </w:rPr>
        <w:t>Reachout</w:t>
      </w:r>
      <w:proofErr w:type="spellEnd"/>
      <w:r w:rsidRPr="00C97BCE">
        <w:rPr>
          <w:rFonts w:eastAsia="Calibri" w:cs="Calibri"/>
        </w:rPr>
        <w:t xml:space="preserve"> and Youth </w:t>
      </w:r>
      <w:proofErr w:type="spellStart"/>
      <w:r w:rsidRPr="00C97BCE">
        <w:rPr>
          <w:rFonts w:eastAsia="Calibri" w:cs="Calibri"/>
        </w:rPr>
        <w:t>beyondblue</w:t>
      </w:r>
      <w:proofErr w:type="spellEnd"/>
      <w:r w:rsidRPr="00C97BCE">
        <w:rPr>
          <w:rFonts w:eastAsia="Calibri" w:cs="Calibri"/>
        </w:rPr>
        <w:t>,</w:t>
      </w:r>
      <w:r w:rsidRPr="00C97BCE">
        <w:t xml:space="preserve"> to get help or information about emotional or behavioural problems in the previous 12 months (</w:t>
      </w:r>
      <w:r w:rsidRPr="002313E0">
        <w:t>Table 13-</w:t>
      </w:r>
      <w:r>
        <w:rPr>
          <w:noProof/>
        </w:rPr>
        <w:t>5</w:t>
      </w:r>
      <w:r w:rsidRPr="00C97BCE">
        <w:t>)</w:t>
      </w:r>
      <w:r w:rsidRPr="00C97BCE">
        <w:rPr>
          <w:lang w:eastAsia="en-AU"/>
        </w:rPr>
        <w:t xml:space="preserve">. </w:t>
      </w:r>
    </w:p>
    <w:p w:rsidR="0074764C" w:rsidRPr="00C97BCE" w:rsidRDefault="0074764C" w:rsidP="0074764C">
      <w:pPr>
        <w:pStyle w:val="BodyText"/>
        <w:rPr>
          <w:lang w:eastAsia="en-AU"/>
        </w:rPr>
      </w:pPr>
      <w:r w:rsidRPr="00C97BCE">
        <w:rPr>
          <w:lang w:eastAsia="en-AU"/>
        </w:rPr>
        <w:t xml:space="preserve">The main use of </w:t>
      </w:r>
      <w:r>
        <w:rPr>
          <w:lang w:eastAsia="en-AU"/>
        </w:rPr>
        <w:t>online services</w:t>
      </w:r>
      <w:r w:rsidRPr="00C97BCE">
        <w:rPr>
          <w:lang w:eastAsia="en-AU"/>
        </w:rPr>
        <w:t xml:space="preserve"> by 13-17 year-olds with major depressive disorder was to find information about mental health issues (40.2%). Some websites provide access to an online assessment tool and 29.6% of 13-17 year-olds with a major depressive disorder </w:t>
      </w:r>
      <w:r>
        <w:rPr>
          <w:lang w:eastAsia="en-AU"/>
        </w:rPr>
        <w:t xml:space="preserve">had </w:t>
      </w:r>
      <w:r w:rsidRPr="00C97BCE">
        <w:rPr>
          <w:lang w:eastAsia="en-AU"/>
        </w:rPr>
        <w:t xml:space="preserve">used such a tool (or questionnaire) to find </w:t>
      </w:r>
      <w:r>
        <w:rPr>
          <w:lang w:eastAsia="en-AU"/>
        </w:rPr>
        <w:t xml:space="preserve">out </w:t>
      </w:r>
      <w:r w:rsidRPr="00C97BCE">
        <w:rPr>
          <w:lang w:eastAsia="en-AU"/>
        </w:rPr>
        <w:t xml:space="preserve">if they needed help. Others </w:t>
      </w:r>
      <w:r>
        <w:rPr>
          <w:lang w:eastAsia="en-AU"/>
        </w:rPr>
        <w:t xml:space="preserve">had </w:t>
      </w:r>
      <w:r w:rsidRPr="00C97BCE">
        <w:rPr>
          <w:lang w:eastAsia="en-AU"/>
        </w:rPr>
        <w:t>participated in a chat room or support group (8.6%), received online personal support or counselling (</w:t>
      </w:r>
      <w:r>
        <w:rPr>
          <w:lang w:eastAsia="en-AU"/>
        </w:rPr>
        <w:t>7.4</w:t>
      </w:r>
      <w:r w:rsidRPr="00C97BCE">
        <w:rPr>
          <w:lang w:eastAsia="en-AU"/>
        </w:rPr>
        <w:t>%) or self</w:t>
      </w:r>
      <w:r w:rsidRPr="00C97BCE">
        <w:rPr>
          <w:lang w:eastAsia="en-AU"/>
        </w:rPr>
        <w:noBreakHyphen/>
        <w:t>help (14.8%).</w:t>
      </w:r>
    </w:p>
    <w:p w:rsidR="0074764C" w:rsidRPr="00C97BCE" w:rsidRDefault="0074764C" w:rsidP="0074764C">
      <w:pPr>
        <w:pStyle w:val="BodyText"/>
        <w:rPr>
          <w:lang w:eastAsia="en-AU"/>
        </w:rPr>
      </w:pPr>
      <w:r w:rsidRPr="00C97BCE">
        <w:rPr>
          <w:lang w:eastAsia="en-AU"/>
        </w:rPr>
        <w:t xml:space="preserve">Use of </w:t>
      </w:r>
      <w:r>
        <w:rPr>
          <w:lang w:eastAsia="en-AU"/>
        </w:rPr>
        <w:t>online services</w:t>
      </w:r>
      <w:r w:rsidRPr="00C97BCE">
        <w:rPr>
          <w:lang w:eastAsia="en-AU"/>
        </w:rPr>
        <w:t xml:space="preserve"> for emotional or behavioural problems was higher among adolescents with major depressive disorder than for those with mental disorders based on parent and carer report (29.9%). </w:t>
      </w:r>
      <w:r>
        <w:rPr>
          <w:lang w:eastAsia="en-AU"/>
        </w:rPr>
        <w:t>M</w:t>
      </w:r>
      <w:r w:rsidRPr="00C97BCE">
        <w:rPr>
          <w:lang w:eastAsia="en-AU"/>
        </w:rPr>
        <w:t xml:space="preserve">ore than twice the proportion of 13-17 year-olds with </w:t>
      </w:r>
      <w:r>
        <w:rPr>
          <w:lang w:eastAsia="en-AU"/>
        </w:rPr>
        <w:t xml:space="preserve">self-reported </w:t>
      </w:r>
      <w:r w:rsidRPr="00C97BCE">
        <w:rPr>
          <w:lang w:eastAsia="en-AU"/>
        </w:rPr>
        <w:t>major depressive disorder compared to those with mental disorder</w:t>
      </w:r>
      <w:r>
        <w:rPr>
          <w:lang w:eastAsia="en-AU"/>
        </w:rPr>
        <w:t>s</w:t>
      </w:r>
      <w:r w:rsidRPr="00C97BCE">
        <w:rPr>
          <w:lang w:eastAsia="en-AU"/>
        </w:rPr>
        <w:t xml:space="preserve"> </w:t>
      </w:r>
      <w:r>
        <w:rPr>
          <w:lang w:eastAsia="en-AU"/>
        </w:rPr>
        <w:t xml:space="preserve">as reported by parents and carers </w:t>
      </w:r>
      <w:r w:rsidRPr="00C97BCE">
        <w:rPr>
          <w:lang w:eastAsia="en-AU"/>
        </w:rPr>
        <w:t>had accessed information about mental health issues (40.2% compared with 20.9%)</w:t>
      </w:r>
      <w:r>
        <w:rPr>
          <w:lang w:eastAsia="en-AU"/>
        </w:rPr>
        <w:t>,</w:t>
      </w:r>
      <w:r w:rsidRPr="00C97BCE">
        <w:rPr>
          <w:lang w:eastAsia="en-AU"/>
        </w:rPr>
        <w:t xml:space="preserve"> used an online assessment tool (29.6% compared to 12.4%) or online self-help (14.8% compared with 6.3%) in the previous 12 months.</w:t>
      </w:r>
    </w:p>
    <w:p w:rsidR="0074764C" w:rsidRPr="00C97BCE" w:rsidRDefault="0074764C" w:rsidP="0074764C">
      <w:pPr>
        <w:pStyle w:val="BodyText"/>
        <w:rPr>
          <w:b/>
        </w:rPr>
      </w:pPr>
      <w:r w:rsidRPr="00C97BCE">
        <w:rPr>
          <w:lang w:eastAsia="en-AU"/>
        </w:rPr>
        <w:t xml:space="preserve">One fifth (18.7%) of adolescents with no mental disorder </w:t>
      </w:r>
      <w:r>
        <w:rPr>
          <w:lang w:eastAsia="en-AU"/>
        </w:rPr>
        <w:t xml:space="preserve">based on either </w:t>
      </w:r>
      <w:r w:rsidRPr="00C97BCE">
        <w:rPr>
          <w:lang w:eastAsia="en-AU"/>
        </w:rPr>
        <w:t xml:space="preserve">their own </w:t>
      </w:r>
      <w:r>
        <w:rPr>
          <w:lang w:eastAsia="en-AU"/>
        </w:rPr>
        <w:t xml:space="preserve">report or parent or </w:t>
      </w:r>
      <w:r w:rsidRPr="00C97BCE">
        <w:rPr>
          <w:lang w:eastAsia="en-AU"/>
        </w:rPr>
        <w:t xml:space="preserve">carer report had used an </w:t>
      </w:r>
      <w:r>
        <w:rPr>
          <w:lang w:eastAsia="en-AU"/>
        </w:rPr>
        <w:t>online</w:t>
      </w:r>
      <w:r w:rsidRPr="00C97BCE">
        <w:rPr>
          <w:lang w:eastAsia="en-AU"/>
        </w:rPr>
        <w:t xml:space="preserve"> service in the past 12 months. The main use of </w:t>
      </w:r>
      <w:r>
        <w:rPr>
          <w:lang w:eastAsia="en-AU"/>
        </w:rPr>
        <w:t>online services</w:t>
      </w:r>
      <w:r w:rsidRPr="00C97BCE">
        <w:rPr>
          <w:lang w:eastAsia="en-AU"/>
        </w:rPr>
        <w:t xml:space="preserve"> by this group without mental disorders was for information about mental health issues (11.5%) and for access to an online assessment tool (8.0%).</w:t>
      </w:r>
    </w:p>
    <w:p w:rsidR="0074764C" w:rsidRPr="002313E0" w:rsidRDefault="0074764C" w:rsidP="0074764C">
      <w:pPr>
        <w:pStyle w:val="Caption"/>
        <w:pageBreakBefore/>
        <w:spacing w:before="0"/>
      </w:pPr>
      <w:bookmarkStart w:id="261" w:name="_Ref407033457"/>
      <w:r w:rsidRPr="002313E0">
        <w:lastRenderedPageBreak/>
        <w:t>Table 13-</w:t>
      </w:r>
      <w:r>
        <w:rPr>
          <w:noProof/>
        </w:rPr>
        <w:t>5</w:t>
      </w:r>
      <w:bookmarkEnd w:id="261"/>
      <w:r w:rsidRPr="002313E0">
        <w:t xml:space="preserve">: </w:t>
      </w:r>
      <w:r>
        <w:t>Online</w:t>
      </w:r>
      <w:r w:rsidRPr="002313E0">
        <w:t xml:space="preserve"> service use for emotional or behavioural problems in past 12 months among 13-17 year</w:t>
      </w:r>
      <w:r>
        <w:t>-olds by mental health status and</w:t>
      </w:r>
      <w:r w:rsidRPr="002313E0">
        <w:t xml:space="preserve"> type of service</w:t>
      </w:r>
    </w:p>
    <w:tbl>
      <w:tblPr>
        <w:tblW w:w="9122" w:type="dxa"/>
        <w:jc w:val="center"/>
        <w:tblLayout w:type="fixed"/>
        <w:tblCellMar>
          <w:left w:w="0" w:type="dxa"/>
          <w:right w:w="0" w:type="dxa"/>
        </w:tblCellMar>
        <w:tblLook w:val="0020" w:firstRow="1" w:lastRow="0" w:firstColumn="0" w:lastColumn="0" w:noHBand="0" w:noVBand="0"/>
        <w:tblDescription w:val="In Table 13-5 the first column describes the type of internet service used for emotional or behavioural problems in the past 12 months. Read across the rows for the proportion of those with major depressive disorder based on adolescent report, with any disorder based on parent or carer report, and with no disorder from adolescent or parent or carer report that had used these services."/>
      </w:tblPr>
      <w:tblGrid>
        <w:gridCol w:w="3891"/>
        <w:gridCol w:w="1760"/>
        <w:gridCol w:w="1801"/>
        <w:gridCol w:w="1670"/>
      </w:tblGrid>
      <w:tr w:rsidR="0074764C" w:rsidRPr="00C97BCE" w:rsidTr="0074764C">
        <w:trPr>
          <w:cantSplit/>
          <w:tblHeader/>
          <w:jc w:val="center"/>
        </w:trPr>
        <w:tc>
          <w:tcPr>
            <w:tcW w:w="3891"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online service</w:t>
            </w:r>
          </w:p>
        </w:tc>
        <w:tc>
          <w:tcPr>
            <w:tcW w:w="17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Major depressive disorder based on adolescent report (%)</w:t>
            </w:r>
          </w:p>
        </w:tc>
        <w:tc>
          <w:tcPr>
            <w:tcW w:w="180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Any mental disorder based on parent or carer </w:t>
            </w:r>
            <w:proofErr w:type="gramStart"/>
            <w:r w:rsidRPr="004F4047">
              <w:rPr>
                <w:rStyle w:val="Strong"/>
              </w:rPr>
              <w:t>report</w:t>
            </w:r>
            <w:proofErr w:type="gramEnd"/>
            <w:r w:rsidRPr="004F4047">
              <w:rPr>
                <w:rStyle w:val="Strong"/>
              </w:rPr>
              <w:br/>
              <w:t>(%)</w:t>
            </w:r>
          </w:p>
        </w:tc>
        <w:tc>
          <w:tcPr>
            <w:tcW w:w="167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No disorder </w:t>
            </w:r>
            <w:r w:rsidRPr="004F4047">
              <w:rPr>
                <w:rStyle w:val="Strong"/>
              </w:rPr>
              <w:br/>
              <w:t>(%)</w:t>
            </w:r>
          </w:p>
        </w:tc>
      </w:tr>
      <w:tr w:rsidR="0074764C" w:rsidRPr="00C97BCE" w:rsidTr="0074764C">
        <w:trPr>
          <w:cantSplit/>
          <w:jc w:val="center"/>
        </w:trPr>
        <w:tc>
          <w:tcPr>
            <w:tcW w:w="3891"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Information about mental health issues</w:t>
            </w:r>
          </w:p>
        </w:tc>
        <w:tc>
          <w:tcPr>
            <w:tcW w:w="17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40.2</w:t>
            </w:r>
          </w:p>
        </w:tc>
        <w:tc>
          <w:tcPr>
            <w:tcW w:w="180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20.9</w:t>
            </w:r>
          </w:p>
        </w:tc>
        <w:tc>
          <w:tcPr>
            <w:tcW w:w="16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11.5</w:t>
            </w:r>
          </w:p>
        </w:tc>
      </w:tr>
      <w:tr w:rsidR="0074764C" w:rsidRPr="00C97BCE" w:rsidTr="0074764C">
        <w:trPr>
          <w:cantSplit/>
          <w:jc w:val="center"/>
        </w:trPr>
        <w:tc>
          <w:tcPr>
            <w:tcW w:w="3891"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Information about services in the community</w:t>
            </w:r>
          </w:p>
        </w:tc>
        <w:tc>
          <w:tcPr>
            <w:tcW w:w="17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13.3</w:t>
            </w:r>
          </w:p>
        </w:tc>
        <w:tc>
          <w:tcPr>
            <w:tcW w:w="180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8.6</w:t>
            </w:r>
          </w:p>
        </w:tc>
        <w:tc>
          <w:tcPr>
            <w:tcW w:w="16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4.8</w:t>
            </w:r>
          </w:p>
        </w:tc>
      </w:tr>
      <w:tr w:rsidR="0074764C" w:rsidRPr="00C97BCE" w:rsidTr="0074764C">
        <w:trPr>
          <w:cantSplit/>
          <w:jc w:val="center"/>
        </w:trPr>
        <w:tc>
          <w:tcPr>
            <w:tcW w:w="3891"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A</w:t>
            </w:r>
            <w:r w:rsidRPr="00C97BCE">
              <w:rPr>
                <w:lang w:eastAsia="en-AU"/>
              </w:rPr>
              <w:t>ssessment tool</w:t>
            </w:r>
          </w:p>
        </w:tc>
        <w:tc>
          <w:tcPr>
            <w:tcW w:w="17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29.6</w:t>
            </w:r>
          </w:p>
        </w:tc>
        <w:tc>
          <w:tcPr>
            <w:tcW w:w="180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12.4</w:t>
            </w:r>
          </w:p>
        </w:tc>
        <w:tc>
          <w:tcPr>
            <w:tcW w:w="16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8.0</w:t>
            </w:r>
          </w:p>
        </w:tc>
      </w:tr>
      <w:tr w:rsidR="0074764C" w:rsidRPr="00C97BCE" w:rsidTr="0074764C">
        <w:trPr>
          <w:cantSplit/>
          <w:jc w:val="center"/>
        </w:trPr>
        <w:tc>
          <w:tcPr>
            <w:tcW w:w="3891"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S</w:t>
            </w:r>
            <w:r w:rsidRPr="00C97BCE">
              <w:rPr>
                <w:lang w:eastAsia="en-AU"/>
              </w:rPr>
              <w:t>elf-help</w:t>
            </w:r>
          </w:p>
        </w:tc>
        <w:tc>
          <w:tcPr>
            <w:tcW w:w="17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14.8</w:t>
            </w:r>
          </w:p>
        </w:tc>
        <w:tc>
          <w:tcPr>
            <w:tcW w:w="180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6.3</w:t>
            </w:r>
          </w:p>
        </w:tc>
        <w:tc>
          <w:tcPr>
            <w:tcW w:w="16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3.4</w:t>
            </w:r>
          </w:p>
        </w:tc>
      </w:tr>
      <w:tr w:rsidR="0074764C" w:rsidRPr="00C97BCE" w:rsidTr="0074764C">
        <w:trPr>
          <w:cantSplit/>
          <w:jc w:val="center"/>
        </w:trPr>
        <w:tc>
          <w:tcPr>
            <w:tcW w:w="3891"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Chat room or support group</w:t>
            </w:r>
          </w:p>
        </w:tc>
        <w:tc>
          <w:tcPr>
            <w:tcW w:w="17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8.6</w:t>
            </w:r>
          </w:p>
        </w:tc>
        <w:tc>
          <w:tcPr>
            <w:tcW w:w="1801"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5.4</w:t>
            </w:r>
          </w:p>
        </w:tc>
        <w:tc>
          <w:tcPr>
            <w:tcW w:w="16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2.6</w:t>
            </w:r>
          </w:p>
        </w:tc>
      </w:tr>
      <w:tr w:rsidR="0074764C" w:rsidRPr="00C97BCE" w:rsidTr="0074764C">
        <w:trPr>
          <w:cantSplit/>
          <w:jc w:val="center"/>
        </w:trPr>
        <w:tc>
          <w:tcPr>
            <w:tcW w:w="3891"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Pr>
                <w:lang w:eastAsia="en-AU"/>
              </w:rPr>
              <w:t>P</w:t>
            </w:r>
            <w:r w:rsidRPr="00C97BCE">
              <w:rPr>
                <w:lang w:eastAsia="en-AU"/>
              </w:rPr>
              <w:t>ersonal support or counselling</w:t>
            </w:r>
          </w:p>
        </w:tc>
        <w:tc>
          <w:tcPr>
            <w:tcW w:w="176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Pr>
                <w:lang w:eastAsia="en-AU"/>
              </w:rPr>
              <w:t>7.4</w:t>
            </w:r>
          </w:p>
        </w:tc>
        <w:tc>
          <w:tcPr>
            <w:tcW w:w="1801"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Pr>
                <w:lang w:eastAsia="en-AU"/>
              </w:rPr>
              <w:t>4.7</w:t>
            </w:r>
          </w:p>
        </w:tc>
        <w:tc>
          <w:tcPr>
            <w:tcW w:w="167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w:t>
            </w:r>
            <w:r>
              <w:rPr>
                <w:lang w:eastAsia="en-AU"/>
              </w:rPr>
              <w:t>2</w:t>
            </w:r>
          </w:p>
        </w:tc>
      </w:tr>
      <w:tr w:rsidR="0074764C" w:rsidRPr="00C97BCE" w:rsidTr="0074764C">
        <w:trPr>
          <w:cantSplit/>
          <w:jc w:val="center"/>
        </w:trPr>
        <w:tc>
          <w:tcPr>
            <w:tcW w:w="3891"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online service (a)</w:t>
            </w:r>
          </w:p>
        </w:tc>
        <w:tc>
          <w:tcPr>
            <w:tcW w:w="176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52.0</w:t>
            </w:r>
          </w:p>
        </w:tc>
        <w:tc>
          <w:tcPr>
            <w:tcW w:w="1801"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29.9</w:t>
            </w:r>
          </w:p>
        </w:tc>
        <w:tc>
          <w:tcPr>
            <w:tcW w:w="167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18.7</w:t>
            </w:r>
          </w:p>
        </w:tc>
      </w:tr>
    </w:tbl>
    <w:p w:rsidR="0074764C" w:rsidRPr="00287B6D" w:rsidRDefault="0074764C" w:rsidP="0074764C">
      <w:pPr>
        <w:pStyle w:val="TableFootnote"/>
      </w:pPr>
      <w:r>
        <w:t>(a)</w:t>
      </w:r>
      <w:r>
        <w:tab/>
      </w:r>
      <w:r w:rsidRPr="00287B6D">
        <w:t xml:space="preserve">Any </w:t>
      </w:r>
      <w:r>
        <w:t xml:space="preserve">online </w:t>
      </w:r>
      <w:r w:rsidRPr="00287B6D">
        <w:t>service is not equal to the sum of individual</w:t>
      </w:r>
      <w:r>
        <w:t xml:space="preserve"> online</w:t>
      </w:r>
      <w:r w:rsidRPr="00287B6D">
        <w:t xml:space="preserve"> services because adolescents may have used more than one type of service</w:t>
      </w:r>
      <w:r>
        <w:t>.</w:t>
      </w:r>
    </w:p>
    <w:p w:rsidR="0074764C" w:rsidRPr="00C97BCE" w:rsidRDefault="0074764C" w:rsidP="0074764C">
      <w:pPr>
        <w:pStyle w:val="Heading2"/>
      </w:pPr>
      <w:bookmarkStart w:id="262" w:name="_Toc401758848"/>
      <w:r w:rsidRPr="00C97BCE">
        <w:t>13.4</w:t>
      </w:r>
      <w:r w:rsidRPr="00C97BCE">
        <w:tab/>
        <w:t>Informal help or support</w:t>
      </w:r>
      <w:bookmarkEnd w:id="262"/>
    </w:p>
    <w:p w:rsidR="0074764C" w:rsidRPr="00C97BCE" w:rsidRDefault="0074764C" w:rsidP="0074764C">
      <w:pPr>
        <w:pStyle w:val="BodyText"/>
      </w:pPr>
      <w:r w:rsidRPr="00C97BCE">
        <w:rPr>
          <w:lang w:eastAsia="en-AU"/>
        </w:rPr>
        <w:t xml:space="preserve">Adolescents may often receive help with their problems from family members, friends, </w:t>
      </w:r>
      <w:proofErr w:type="gramStart"/>
      <w:r w:rsidRPr="00C97BCE">
        <w:rPr>
          <w:lang w:eastAsia="en-AU"/>
        </w:rPr>
        <w:t>teachers</w:t>
      </w:r>
      <w:proofErr w:type="gramEnd"/>
      <w:r w:rsidRPr="00C97BCE">
        <w:rPr>
          <w:lang w:eastAsia="en-AU"/>
        </w:rPr>
        <w:t xml:space="preserve"> at school or other adults in their lives.</w:t>
      </w:r>
    </w:p>
    <w:p w:rsidR="0074764C" w:rsidRPr="00C97BCE" w:rsidRDefault="0074764C" w:rsidP="0074764C">
      <w:pPr>
        <w:pStyle w:val="Heading3"/>
        <w:rPr>
          <w:lang w:eastAsia="en-AU"/>
        </w:rPr>
      </w:pPr>
      <w:r w:rsidRPr="00C97BCE">
        <w:rPr>
          <w:lang w:eastAsia="en-AU"/>
        </w:rPr>
        <w:t xml:space="preserve">13.4.1 </w:t>
      </w:r>
      <w:r w:rsidRPr="00C97BCE">
        <w:rPr>
          <w:lang w:eastAsia="en-AU"/>
        </w:rPr>
        <w:tab/>
        <w:t>All adolescents</w:t>
      </w:r>
    </w:p>
    <w:p w:rsidR="0074764C" w:rsidRPr="00C97BCE" w:rsidRDefault="0074764C" w:rsidP="0074764C">
      <w:pPr>
        <w:pStyle w:val="BodyText"/>
        <w:rPr>
          <w:lang w:eastAsia="en-AU"/>
        </w:rPr>
      </w:pPr>
      <w:r w:rsidRPr="00C97BCE">
        <w:rPr>
          <w:lang w:eastAsia="en-AU"/>
        </w:rPr>
        <w:t>Nearly two thirds (62.9%) of all adolescents had received informal help or support for emotional or behavioural problems in the previous 12 months (</w:t>
      </w:r>
      <w:r w:rsidRPr="00C97BCE">
        <w:t>Table 13-</w:t>
      </w:r>
      <w:r>
        <w:rPr>
          <w:noProof/>
        </w:rPr>
        <w:t>6</w:t>
      </w:r>
      <w:r w:rsidRPr="00C97BCE">
        <w:rPr>
          <w:lang w:eastAsia="en-AU"/>
        </w:rPr>
        <w:t>). This proportion was higher among females than males (74.3% compared with 52.1%).</w:t>
      </w:r>
      <w:r>
        <w:rPr>
          <w:lang w:eastAsia="en-AU"/>
        </w:rPr>
        <w:t xml:space="preserve"> </w:t>
      </w:r>
      <w:r w:rsidRPr="00C97BCE">
        <w:rPr>
          <w:lang w:eastAsia="en-AU"/>
        </w:rPr>
        <w:t>Most commonly young people received informal help or support from a friend (48.5%), a parent (46.1%) or a boyfriend or girlfriend (32.7%).</w:t>
      </w:r>
    </w:p>
    <w:p w:rsidR="0074764C" w:rsidRPr="00C97BCE" w:rsidRDefault="0074764C" w:rsidP="0074764C">
      <w:pPr>
        <w:pStyle w:val="Caption"/>
        <w:keepNext/>
      </w:pPr>
      <w:bookmarkStart w:id="263" w:name="_Ref407033537"/>
      <w:r w:rsidRPr="00C97BCE">
        <w:t>Table 13-</w:t>
      </w:r>
      <w:r>
        <w:rPr>
          <w:noProof/>
        </w:rPr>
        <w:t>6</w:t>
      </w:r>
      <w:bookmarkEnd w:id="263"/>
      <w:r w:rsidRPr="00C97BCE">
        <w:t>: Informal help or support received for emotional or behavioural problems in past 12 months among 13-17 year-olds by sex</w:t>
      </w:r>
    </w:p>
    <w:tbl>
      <w:tblPr>
        <w:tblW w:w="9119" w:type="dxa"/>
        <w:jc w:val="center"/>
        <w:tblLayout w:type="fixed"/>
        <w:tblCellMar>
          <w:left w:w="0" w:type="dxa"/>
          <w:right w:w="0" w:type="dxa"/>
        </w:tblCellMar>
        <w:tblLook w:val="0020" w:firstRow="1" w:lastRow="0" w:firstColumn="0" w:lastColumn="0" w:noHBand="0" w:noVBand="0"/>
        <w:tblDescription w:val="In Table 13-6 the first column describes the type of informal help or support used for emotional or behavioural problems in the past 12 months. Read across the rows for the proportion of males, females and persons who had received this type of help or support"/>
      </w:tblPr>
      <w:tblGrid>
        <w:gridCol w:w="3495"/>
        <w:gridCol w:w="1874"/>
        <w:gridCol w:w="1875"/>
        <w:gridCol w:w="1875"/>
      </w:tblGrid>
      <w:tr w:rsidR="0074764C" w:rsidRPr="00C97BCE" w:rsidTr="0074764C">
        <w:trPr>
          <w:cantSplit/>
          <w:tblHeader/>
          <w:jc w:val="center"/>
        </w:trPr>
        <w:tc>
          <w:tcPr>
            <w:tcW w:w="349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Source of informal help or support</w:t>
            </w:r>
          </w:p>
        </w:tc>
        <w:tc>
          <w:tcPr>
            <w:tcW w:w="187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Males (%)</w:t>
            </w:r>
          </w:p>
        </w:tc>
        <w:tc>
          <w:tcPr>
            <w:tcW w:w="187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Females (%)</w:t>
            </w:r>
          </w:p>
        </w:tc>
        <w:tc>
          <w:tcPr>
            <w:tcW w:w="187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Persons (%)</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Parent</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37.7</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54.8</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46.1</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Brother or sister</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18.3</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32.1</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25.0</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family member</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14.1</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24.8</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19.3</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Boyfriend or girlfriend</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25.3</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40.8</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32.7</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Friend</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35.1</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62.2</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48.5</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Teacher</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14.4</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19.1</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16.7</w:t>
            </w:r>
          </w:p>
        </w:tc>
      </w:tr>
      <w:tr w:rsidR="0074764C" w:rsidRPr="00C97BCE" w:rsidTr="0074764C">
        <w:trPr>
          <w:cantSplit/>
          <w:jc w:val="center"/>
        </w:trPr>
        <w:tc>
          <w:tcPr>
            <w:tcW w:w="3495"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school staff</w:t>
            </w:r>
          </w:p>
        </w:tc>
        <w:tc>
          <w:tcPr>
            <w:tcW w:w="1874"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9.4</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17.0</w:t>
            </w:r>
          </w:p>
        </w:tc>
        <w:tc>
          <w:tcPr>
            <w:tcW w:w="1875"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13.1</w:t>
            </w:r>
          </w:p>
        </w:tc>
      </w:tr>
      <w:tr w:rsidR="0074764C" w:rsidRPr="00C97BCE" w:rsidTr="0074764C">
        <w:trPr>
          <w:cantSplit/>
          <w:jc w:val="center"/>
        </w:trPr>
        <w:tc>
          <w:tcPr>
            <w:tcW w:w="3495"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unrelated adult</w:t>
            </w:r>
          </w:p>
        </w:tc>
        <w:tc>
          <w:tcPr>
            <w:tcW w:w="1874"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11.8</w:t>
            </w:r>
          </w:p>
        </w:tc>
        <w:tc>
          <w:tcPr>
            <w:tcW w:w="1875"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20.3</w:t>
            </w:r>
          </w:p>
        </w:tc>
        <w:tc>
          <w:tcPr>
            <w:tcW w:w="1875"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15.9</w:t>
            </w:r>
          </w:p>
        </w:tc>
      </w:tr>
      <w:tr w:rsidR="0074764C" w:rsidRPr="00C97BCE" w:rsidTr="0074764C">
        <w:trPr>
          <w:cantSplit/>
          <w:jc w:val="center"/>
        </w:trPr>
        <w:tc>
          <w:tcPr>
            <w:tcW w:w="3495"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informal support</w:t>
            </w:r>
          </w:p>
        </w:tc>
        <w:tc>
          <w:tcPr>
            <w:tcW w:w="1874"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52.1</w:t>
            </w:r>
          </w:p>
        </w:tc>
        <w:tc>
          <w:tcPr>
            <w:tcW w:w="1875"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74.3</w:t>
            </w:r>
          </w:p>
        </w:tc>
        <w:tc>
          <w:tcPr>
            <w:tcW w:w="1875"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62.9</w:t>
            </w:r>
          </w:p>
        </w:tc>
      </w:tr>
    </w:tbl>
    <w:p w:rsidR="0074764C" w:rsidRPr="00287B6D" w:rsidRDefault="0074764C" w:rsidP="0074764C">
      <w:pPr>
        <w:pStyle w:val="TableFootnote"/>
      </w:pPr>
      <w:r>
        <w:t>(a)</w:t>
      </w:r>
      <w:r>
        <w:tab/>
      </w:r>
      <w:r w:rsidRPr="00287B6D">
        <w:t xml:space="preserve">Any </w:t>
      </w:r>
      <w:r>
        <w:t>type of informal support</w:t>
      </w:r>
      <w:r w:rsidRPr="00287B6D">
        <w:t xml:space="preserve"> is not equal to the sum of individual</w:t>
      </w:r>
      <w:r>
        <w:t xml:space="preserve"> types of informal support</w:t>
      </w:r>
      <w:r w:rsidRPr="00287B6D">
        <w:t xml:space="preserve"> because adolescents may have </w:t>
      </w:r>
      <w:r>
        <w:t>received more than one type of support.</w:t>
      </w:r>
    </w:p>
    <w:p w:rsidR="0074764C" w:rsidRPr="00C97BCE" w:rsidRDefault="0074764C" w:rsidP="0074764C">
      <w:pPr>
        <w:pStyle w:val="Heading3"/>
        <w:rPr>
          <w:lang w:eastAsia="en-AU"/>
        </w:rPr>
      </w:pPr>
      <w:r w:rsidRPr="00C97BCE">
        <w:rPr>
          <w:lang w:eastAsia="en-AU"/>
        </w:rPr>
        <w:lastRenderedPageBreak/>
        <w:t xml:space="preserve">13.4.2 </w:t>
      </w:r>
      <w:r w:rsidRPr="00C97BCE">
        <w:rPr>
          <w:lang w:eastAsia="en-AU"/>
        </w:rPr>
        <w:tab/>
      </w:r>
      <w:r>
        <w:t>Adolescents with mental disorders</w:t>
      </w:r>
    </w:p>
    <w:p w:rsidR="0074764C" w:rsidRPr="00C97BCE" w:rsidRDefault="0074764C" w:rsidP="0074764C">
      <w:pPr>
        <w:pStyle w:val="BodyText"/>
        <w:rPr>
          <w:lang w:eastAsia="en-AU"/>
        </w:rPr>
      </w:pPr>
      <w:r w:rsidRPr="00C97BCE">
        <w:rPr>
          <w:lang w:eastAsia="en-AU"/>
        </w:rPr>
        <w:t>Most 13-17 year-olds with major depressive disorder by adolescent report (93.9%) or with mental disorders by parent and carer report (80.3%) had received informal help or support for emotional or behavioural problems in the previous 12 months (</w:t>
      </w:r>
      <w:r w:rsidRPr="00C97BCE">
        <w:t>Table 13-</w:t>
      </w:r>
      <w:r>
        <w:rPr>
          <w:noProof/>
        </w:rPr>
        <w:t>7</w:t>
      </w:r>
      <w:r w:rsidRPr="00C97BCE">
        <w:rPr>
          <w:lang w:eastAsia="en-AU"/>
        </w:rPr>
        <w:t xml:space="preserve">). </w:t>
      </w:r>
    </w:p>
    <w:p w:rsidR="0074764C" w:rsidRPr="00C97BCE" w:rsidRDefault="0074764C" w:rsidP="0074764C">
      <w:pPr>
        <w:pStyle w:val="BodyText"/>
        <w:rPr>
          <w:lang w:eastAsia="en-AU"/>
        </w:rPr>
      </w:pPr>
      <w:r w:rsidRPr="00C97BCE">
        <w:rPr>
          <w:lang w:eastAsia="en-AU"/>
        </w:rPr>
        <w:t>Friends and parents were the most common sources of informal help or support for 13-17 year-old</w:t>
      </w:r>
      <w:r>
        <w:rPr>
          <w:lang w:eastAsia="en-AU"/>
        </w:rPr>
        <w:t>s with major depressive disorder</w:t>
      </w:r>
      <w:r w:rsidRPr="00C97BCE">
        <w:rPr>
          <w:lang w:eastAsia="en-AU"/>
        </w:rPr>
        <w:t xml:space="preserve">, with 78.5% receiving help from a friend and 64.1% from a parent. Just over a quarter had received informal support from a teacher and one third from another school staff member, such as a counsellor or nurse (28.7% and 35.8% respectively). </w:t>
      </w:r>
    </w:p>
    <w:p w:rsidR="0074764C" w:rsidRPr="00C97BCE" w:rsidRDefault="0074764C" w:rsidP="0074764C">
      <w:pPr>
        <w:pStyle w:val="BodyText"/>
        <w:rPr>
          <w:lang w:eastAsia="en-AU"/>
        </w:rPr>
      </w:pPr>
      <w:r w:rsidRPr="00C97BCE">
        <w:rPr>
          <w:lang w:eastAsia="en-AU"/>
        </w:rPr>
        <w:t xml:space="preserve">Sources of support were similar for those with mental disorders by parent and carer report compared to those with major depressive disorder by adolescent report. The exception was lower proportions among those with any mental disorder receiving support from a friend (57.2%) or boyfriend or girlfriend </w:t>
      </w:r>
      <w:r>
        <w:rPr>
          <w:lang w:eastAsia="en-AU"/>
        </w:rPr>
        <w:t xml:space="preserve">if applicable </w:t>
      </w:r>
      <w:r w:rsidRPr="00C97BCE">
        <w:rPr>
          <w:lang w:eastAsia="en-AU"/>
        </w:rPr>
        <w:t>(45.1%).</w:t>
      </w:r>
    </w:p>
    <w:p w:rsidR="0074764C" w:rsidRPr="00C97BCE" w:rsidRDefault="0074764C" w:rsidP="0074764C">
      <w:pPr>
        <w:pStyle w:val="BodyText"/>
        <w:rPr>
          <w:lang w:eastAsia="en-AU"/>
        </w:rPr>
      </w:pPr>
      <w:r w:rsidRPr="00C97BCE">
        <w:rPr>
          <w:lang w:eastAsia="en-AU"/>
        </w:rPr>
        <w:t>More than half (57.9%) of 13-17 year-olds without mental disorders had received informal support or help for emotional or behavioural problems in the previous 12 months.</w:t>
      </w:r>
    </w:p>
    <w:p w:rsidR="0074764C" w:rsidRPr="00C97BCE" w:rsidRDefault="0074764C" w:rsidP="0074764C">
      <w:pPr>
        <w:pStyle w:val="Caption"/>
        <w:keepNext/>
      </w:pPr>
      <w:bookmarkStart w:id="264" w:name="_Ref407033717"/>
      <w:r w:rsidRPr="00C97BCE">
        <w:t>Table 13-</w:t>
      </w:r>
      <w:r>
        <w:rPr>
          <w:noProof/>
        </w:rPr>
        <w:t>7</w:t>
      </w:r>
      <w:bookmarkEnd w:id="264"/>
      <w:r w:rsidRPr="00C97BCE">
        <w:t>: Informal help or support received for emotional or behavioural problems in past 12 months among 13-17 year-olds by mental health status</w:t>
      </w:r>
    </w:p>
    <w:tbl>
      <w:tblPr>
        <w:tblW w:w="9123" w:type="dxa"/>
        <w:jc w:val="center"/>
        <w:tblLayout w:type="fixed"/>
        <w:tblCellMar>
          <w:left w:w="0" w:type="dxa"/>
          <w:right w:w="0" w:type="dxa"/>
        </w:tblCellMar>
        <w:tblLook w:val="0020" w:firstRow="1" w:lastRow="0" w:firstColumn="0" w:lastColumn="0" w:noHBand="0" w:noVBand="0"/>
        <w:tblDescription w:val="In Table 13-7 the first column describes the type of informal help or support received for emotional or behavioural problems in the past 12 months. Read across the rows for the proportion of those with major depressive disorder based on adolescent report, with any disorder based on parent or carer report, and with no disorder from adolescent or parent or carer report that had received these types of help or support."/>
      </w:tblPr>
      <w:tblGrid>
        <w:gridCol w:w="3814"/>
        <w:gridCol w:w="1769"/>
        <w:gridCol w:w="1770"/>
        <w:gridCol w:w="1770"/>
      </w:tblGrid>
      <w:tr w:rsidR="0074764C" w:rsidRPr="00C97BCE" w:rsidTr="0074764C">
        <w:trPr>
          <w:cantSplit/>
          <w:tblHeader/>
          <w:jc w:val="center"/>
        </w:trPr>
        <w:tc>
          <w:tcPr>
            <w:tcW w:w="3814"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bookmarkStart w:id="265" w:name="_Toc401758849"/>
            <w:r w:rsidRPr="004F4047">
              <w:rPr>
                <w:rStyle w:val="Strong"/>
              </w:rPr>
              <w:t>Source of informal help or support</w:t>
            </w:r>
          </w:p>
        </w:tc>
        <w:tc>
          <w:tcPr>
            <w:tcW w:w="176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Major depressive disorder based on adolescent report (%)</w:t>
            </w:r>
          </w:p>
        </w:tc>
        <w:tc>
          <w:tcPr>
            <w:tcW w:w="177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Any mental disorder based on parent or carer </w:t>
            </w:r>
            <w:proofErr w:type="gramStart"/>
            <w:r w:rsidRPr="004F4047">
              <w:rPr>
                <w:rStyle w:val="Strong"/>
              </w:rPr>
              <w:t>report</w:t>
            </w:r>
            <w:proofErr w:type="gramEnd"/>
            <w:r w:rsidRPr="004F4047">
              <w:rPr>
                <w:rStyle w:val="Strong"/>
              </w:rPr>
              <w:br/>
              <w:t>(%)</w:t>
            </w:r>
          </w:p>
        </w:tc>
        <w:tc>
          <w:tcPr>
            <w:tcW w:w="177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No </w:t>
            </w:r>
            <w:proofErr w:type="gramStart"/>
            <w:r w:rsidRPr="004F4047">
              <w:rPr>
                <w:rStyle w:val="Strong"/>
              </w:rPr>
              <w:t>disorder</w:t>
            </w:r>
            <w:proofErr w:type="gramEnd"/>
            <w:r w:rsidRPr="004F4047">
              <w:rPr>
                <w:rStyle w:val="Strong"/>
              </w:rPr>
              <w:br/>
              <w:t>(%)</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Parent</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64.1</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67.4</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41.9</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Brother or sister</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36.8</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33.6</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22.9</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family member</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30.7</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29.9</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17.0</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Boyfriend or girlfriend</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67.4</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45.1</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27.4</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Friend</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78.5</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57.2</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44.8</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Teacher</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28.7</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24.1</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14.8</w:t>
            </w:r>
          </w:p>
        </w:tc>
      </w:tr>
      <w:tr w:rsidR="0074764C" w:rsidRPr="00C97BCE" w:rsidTr="0074764C">
        <w:trPr>
          <w:cantSplit/>
          <w:jc w:val="center"/>
        </w:trPr>
        <w:tc>
          <w:tcPr>
            <w:tcW w:w="381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school staff</w:t>
            </w:r>
          </w:p>
        </w:tc>
        <w:tc>
          <w:tcPr>
            <w:tcW w:w="176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35.8</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28.1</w:t>
            </w:r>
          </w:p>
        </w:tc>
        <w:tc>
          <w:tcPr>
            <w:tcW w:w="177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9.4</w:t>
            </w:r>
          </w:p>
        </w:tc>
      </w:tr>
      <w:tr w:rsidR="0074764C" w:rsidRPr="00C97BCE" w:rsidTr="0074764C">
        <w:trPr>
          <w:cantSplit/>
          <w:jc w:val="center"/>
        </w:trPr>
        <w:tc>
          <w:tcPr>
            <w:tcW w:w="3814"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Other unrelated adult</w:t>
            </w:r>
          </w:p>
        </w:tc>
        <w:tc>
          <w:tcPr>
            <w:tcW w:w="1769"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31.0</w:t>
            </w:r>
          </w:p>
        </w:tc>
        <w:tc>
          <w:tcPr>
            <w:tcW w:w="177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31.3</w:t>
            </w:r>
          </w:p>
        </w:tc>
        <w:tc>
          <w:tcPr>
            <w:tcW w:w="177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12.5</w:t>
            </w:r>
          </w:p>
        </w:tc>
      </w:tr>
      <w:tr w:rsidR="0074764C" w:rsidRPr="00C97BCE" w:rsidTr="0074764C">
        <w:trPr>
          <w:cantSplit/>
          <w:jc w:val="center"/>
        </w:trPr>
        <w:tc>
          <w:tcPr>
            <w:tcW w:w="3814"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informal support</w:t>
            </w:r>
          </w:p>
        </w:tc>
        <w:tc>
          <w:tcPr>
            <w:tcW w:w="1769"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93.9</w:t>
            </w:r>
          </w:p>
        </w:tc>
        <w:tc>
          <w:tcPr>
            <w:tcW w:w="177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80.3</w:t>
            </w:r>
          </w:p>
        </w:tc>
        <w:tc>
          <w:tcPr>
            <w:tcW w:w="177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57.9</w:t>
            </w:r>
          </w:p>
        </w:tc>
      </w:tr>
    </w:tbl>
    <w:p w:rsidR="0074764C" w:rsidRPr="00287B6D" w:rsidRDefault="0074764C" w:rsidP="0074764C">
      <w:pPr>
        <w:pStyle w:val="TableFootnote"/>
      </w:pPr>
      <w:r>
        <w:t>(a)</w:t>
      </w:r>
      <w:r>
        <w:tab/>
      </w:r>
      <w:r w:rsidRPr="00287B6D">
        <w:t xml:space="preserve">Any </w:t>
      </w:r>
      <w:r>
        <w:t>type of informal support</w:t>
      </w:r>
      <w:r w:rsidRPr="00287B6D">
        <w:t xml:space="preserve"> is not equal to the sum of individual</w:t>
      </w:r>
      <w:r>
        <w:t xml:space="preserve"> types of informal support</w:t>
      </w:r>
      <w:r w:rsidRPr="00287B6D">
        <w:t xml:space="preserve"> because adolescents may have </w:t>
      </w:r>
      <w:r>
        <w:t>received more than one type of support.</w:t>
      </w:r>
    </w:p>
    <w:p w:rsidR="0074764C" w:rsidRPr="00C97BCE" w:rsidRDefault="0074764C" w:rsidP="0074764C">
      <w:pPr>
        <w:pStyle w:val="Heading2"/>
      </w:pPr>
      <w:r w:rsidRPr="00C97BCE">
        <w:t>13.5</w:t>
      </w:r>
      <w:r w:rsidRPr="00C97BCE">
        <w:tab/>
        <w:t>Self-help strategies</w:t>
      </w:r>
      <w:bookmarkEnd w:id="265"/>
    </w:p>
    <w:p w:rsidR="0074764C" w:rsidRPr="00C97BCE" w:rsidRDefault="0074764C" w:rsidP="0074764C">
      <w:pPr>
        <w:pStyle w:val="BodyText"/>
      </w:pPr>
      <w:r w:rsidRPr="00C97BCE">
        <w:rPr>
          <w:lang w:eastAsia="en-AU"/>
        </w:rPr>
        <w:t>Adolescents also reported other strategies they adopted to help them manage any emotional or behavioural problems that they may have had or to avoid having such problems.</w:t>
      </w:r>
    </w:p>
    <w:p w:rsidR="0074764C" w:rsidRPr="00C97BCE" w:rsidRDefault="0074764C" w:rsidP="0074764C">
      <w:pPr>
        <w:pStyle w:val="Heading3"/>
        <w:rPr>
          <w:rFonts w:eastAsiaTheme="minorEastAsia"/>
          <w:lang w:eastAsia="en-AU"/>
        </w:rPr>
      </w:pPr>
      <w:r w:rsidRPr="00C97BCE">
        <w:rPr>
          <w:rFonts w:eastAsiaTheme="minorEastAsia"/>
          <w:lang w:eastAsia="en-AU"/>
        </w:rPr>
        <w:t>13.5.1</w:t>
      </w:r>
      <w:r w:rsidRPr="00C97BCE">
        <w:rPr>
          <w:rFonts w:eastAsiaTheme="minorEastAsia"/>
          <w:lang w:eastAsia="en-AU"/>
        </w:rPr>
        <w:tab/>
        <w:t>All adolescents</w:t>
      </w:r>
    </w:p>
    <w:p w:rsidR="0074764C" w:rsidRPr="00C97BCE" w:rsidRDefault="0074764C" w:rsidP="0074764C">
      <w:pPr>
        <w:pStyle w:val="BodyText"/>
        <w:rPr>
          <w:lang w:eastAsia="en-AU"/>
        </w:rPr>
      </w:pPr>
      <w:r w:rsidRPr="00C97BCE">
        <w:rPr>
          <w:lang w:eastAsia="en-AU"/>
        </w:rPr>
        <w:t>Two thirds (66.4%) of all adolescents had adopted some kind of strategy to help themselves manage or avoid emotional or behavioural problems in the previous 12 months (</w:t>
      </w:r>
      <w:r w:rsidRPr="00C97BCE">
        <w:t>Table 13-</w:t>
      </w:r>
      <w:r>
        <w:rPr>
          <w:noProof/>
        </w:rPr>
        <w:t>8</w:t>
      </w:r>
      <w:r w:rsidRPr="00C97BCE">
        <w:rPr>
          <w:lang w:eastAsia="en-AU"/>
        </w:rPr>
        <w:t xml:space="preserve">). This proportion </w:t>
      </w:r>
      <w:r w:rsidRPr="00C97BCE">
        <w:rPr>
          <w:lang w:eastAsia="en-AU"/>
        </w:rPr>
        <w:lastRenderedPageBreak/>
        <w:t>was higher among females than males (73.2% compared with 59.9%). Most commonly, adolescents did more of the things that they enjoyed (45.1%), did more exercise or took up a sport (37.9%), sought support from friends (24.4%) and improved their diet (23.2%).</w:t>
      </w:r>
    </w:p>
    <w:p w:rsidR="0074764C" w:rsidRPr="00C97BCE" w:rsidRDefault="0074764C" w:rsidP="0074764C">
      <w:pPr>
        <w:pStyle w:val="Caption"/>
        <w:keepNext/>
      </w:pPr>
      <w:bookmarkStart w:id="266" w:name="_Ref407033793"/>
      <w:r w:rsidRPr="00C97BCE">
        <w:t>Table 13-</w:t>
      </w:r>
      <w:r>
        <w:rPr>
          <w:noProof/>
        </w:rPr>
        <w:t>8</w:t>
      </w:r>
      <w:bookmarkEnd w:id="266"/>
      <w:r w:rsidRPr="00C97BCE">
        <w:t>: Self-help strategies used for emotional or behavioural problems in past 12 months among 13-17 year-olds by sex</w:t>
      </w:r>
    </w:p>
    <w:tbl>
      <w:tblPr>
        <w:tblW w:w="9143" w:type="dxa"/>
        <w:jc w:val="center"/>
        <w:tblLayout w:type="fixed"/>
        <w:tblCellMar>
          <w:left w:w="0" w:type="dxa"/>
          <w:right w:w="0" w:type="dxa"/>
        </w:tblCellMar>
        <w:tblLook w:val="0020" w:firstRow="1" w:lastRow="0" w:firstColumn="0" w:lastColumn="0" w:noHBand="0" w:noVBand="0"/>
        <w:tblDescription w:val="In Table 13-8 the first column describes the type of self-help strategy used for emotional or behavioural problems in the past 12 months. Read across the rows for the proportion of males, females and persons who had used these types of self-help strategies"/>
      </w:tblPr>
      <w:tblGrid>
        <w:gridCol w:w="5280"/>
        <w:gridCol w:w="1287"/>
        <w:gridCol w:w="1288"/>
        <w:gridCol w:w="1288"/>
      </w:tblGrid>
      <w:tr w:rsidR="0074764C" w:rsidRPr="00C97BCE" w:rsidTr="0074764C">
        <w:trPr>
          <w:cantSplit/>
          <w:tblHeader/>
          <w:jc w:val="center"/>
        </w:trPr>
        <w:tc>
          <w:tcPr>
            <w:tcW w:w="5280"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self-help strategy</w:t>
            </w:r>
          </w:p>
        </w:tc>
        <w:tc>
          <w:tcPr>
            <w:tcW w:w="128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Males (%)</w:t>
            </w:r>
          </w:p>
        </w:tc>
        <w:tc>
          <w:tcPr>
            <w:tcW w:w="12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Females (%)</w:t>
            </w:r>
          </w:p>
        </w:tc>
        <w:tc>
          <w:tcPr>
            <w:tcW w:w="128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Persons (%)</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Did more exercise or took up a sport</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35.3</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40.6</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37.9</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Improved your diet</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18.2</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28.4</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23.2</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Meditated or did relaxation therapy</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6.4</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12.1</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9.2</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Did more of the things you enjoy</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43.7</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46.6</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45.1</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Smoked cigarettes, or used alcohol or drugs</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6.2</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9.7</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7.9</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Stopped smoking, drinking alcohol or using drugs</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1.5</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1.6</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support from friends</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17.1</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32.0</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24.4</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support through social networking</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6.7</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5.6</w:t>
            </w:r>
          </w:p>
        </w:tc>
      </w:tr>
      <w:tr w:rsidR="0074764C" w:rsidRPr="00C97BCE" w:rsidTr="0074764C">
        <w:trPr>
          <w:cantSplit/>
          <w:jc w:val="center"/>
        </w:trPr>
        <w:tc>
          <w:tcPr>
            <w:tcW w:w="5280"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Joined a social group of some kind</w:t>
            </w:r>
          </w:p>
        </w:tc>
        <w:tc>
          <w:tcPr>
            <w:tcW w:w="128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4.8</w:t>
            </w:r>
          </w:p>
        </w:tc>
        <w:tc>
          <w:tcPr>
            <w:tcW w:w="1288"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4.7</w:t>
            </w:r>
          </w:p>
        </w:tc>
      </w:tr>
      <w:tr w:rsidR="0074764C" w:rsidRPr="00C97BCE" w:rsidTr="0074764C">
        <w:trPr>
          <w:cantSplit/>
          <w:jc w:val="center"/>
        </w:trPr>
        <w:tc>
          <w:tcPr>
            <w:tcW w:w="5280"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information in books, magazines or on TV</w:t>
            </w:r>
          </w:p>
        </w:tc>
        <w:tc>
          <w:tcPr>
            <w:tcW w:w="1287"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6.4</w:t>
            </w:r>
          </w:p>
        </w:tc>
        <w:tc>
          <w:tcPr>
            <w:tcW w:w="128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10.6</w:t>
            </w:r>
          </w:p>
        </w:tc>
        <w:tc>
          <w:tcPr>
            <w:tcW w:w="1288"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8.5</w:t>
            </w:r>
          </w:p>
        </w:tc>
      </w:tr>
      <w:tr w:rsidR="0074764C" w:rsidRPr="00C97BCE" w:rsidTr="0074764C">
        <w:trPr>
          <w:cantSplit/>
          <w:jc w:val="center"/>
        </w:trPr>
        <w:tc>
          <w:tcPr>
            <w:tcW w:w="5280"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type of self-help strategy (a)</w:t>
            </w:r>
          </w:p>
        </w:tc>
        <w:tc>
          <w:tcPr>
            <w:tcW w:w="1287"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59.9</w:t>
            </w:r>
          </w:p>
        </w:tc>
        <w:tc>
          <w:tcPr>
            <w:tcW w:w="128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73.2</w:t>
            </w:r>
          </w:p>
        </w:tc>
        <w:tc>
          <w:tcPr>
            <w:tcW w:w="1288"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66.4</w:t>
            </w:r>
          </w:p>
        </w:tc>
      </w:tr>
    </w:tbl>
    <w:p w:rsidR="0074764C" w:rsidRPr="00287B6D" w:rsidRDefault="0074764C" w:rsidP="0074764C">
      <w:pPr>
        <w:pStyle w:val="TableFootnote"/>
      </w:pPr>
      <w:r>
        <w:t>(a)</w:t>
      </w:r>
      <w:r>
        <w:tab/>
      </w:r>
      <w:r w:rsidRPr="00287B6D">
        <w:t xml:space="preserve">Any </w:t>
      </w:r>
      <w:r>
        <w:t>type of self-help strategy</w:t>
      </w:r>
      <w:r w:rsidRPr="00287B6D">
        <w:t xml:space="preserve"> is not equal to the sum of individual</w:t>
      </w:r>
      <w:r>
        <w:t xml:space="preserve"> self-help strategies</w:t>
      </w:r>
      <w:r w:rsidRPr="00287B6D">
        <w:t xml:space="preserve"> because adolescents may have used more than one type of </w:t>
      </w:r>
      <w:r>
        <w:t>strategy.</w:t>
      </w:r>
    </w:p>
    <w:p w:rsidR="0074764C" w:rsidRPr="00C97BCE" w:rsidRDefault="0074764C" w:rsidP="0074764C">
      <w:pPr>
        <w:pStyle w:val="Heading3"/>
        <w:rPr>
          <w:rFonts w:eastAsiaTheme="minorEastAsia"/>
          <w:lang w:eastAsia="en-AU"/>
        </w:rPr>
      </w:pPr>
      <w:r w:rsidRPr="00C97BCE">
        <w:rPr>
          <w:rFonts w:eastAsiaTheme="minorEastAsia"/>
          <w:lang w:eastAsia="en-AU"/>
        </w:rPr>
        <w:t>13.5.2</w:t>
      </w:r>
      <w:r w:rsidRPr="00C97BCE">
        <w:rPr>
          <w:rFonts w:eastAsiaTheme="minorEastAsia"/>
          <w:lang w:eastAsia="en-AU"/>
        </w:rPr>
        <w:tab/>
      </w:r>
      <w:r>
        <w:t>Adolescents with mental disorders</w:t>
      </w:r>
    </w:p>
    <w:p w:rsidR="0074764C" w:rsidRPr="00C97BCE" w:rsidRDefault="0074764C" w:rsidP="0074764C">
      <w:pPr>
        <w:pStyle w:val="BodyText"/>
        <w:rPr>
          <w:lang w:eastAsia="en-AU"/>
        </w:rPr>
      </w:pPr>
      <w:r w:rsidRPr="00C97BCE">
        <w:rPr>
          <w:lang w:eastAsia="en-AU"/>
        </w:rPr>
        <w:t>Among 13-17 year-olds with major depressive disorder</w:t>
      </w:r>
      <w:r>
        <w:rPr>
          <w:lang w:eastAsia="en-AU"/>
        </w:rPr>
        <w:t xml:space="preserve"> by adolescent report</w:t>
      </w:r>
      <w:r w:rsidRPr="00C97BCE">
        <w:rPr>
          <w:lang w:eastAsia="en-AU"/>
        </w:rPr>
        <w:t>, 84.2% had used some kind of strategy to help themselves with problems they were experiencing in the previous 12 months (</w:t>
      </w:r>
      <w:r w:rsidRPr="00C97BCE">
        <w:t>Table 13-</w:t>
      </w:r>
      <w:r>
        <w:rPr>
          <w:noProof/>
        </w:rPr>
        <w:t>9</w:t>
      </w:r>
      <w:r w:rsidRPr="00C97BCE">
        <w:rPr>
          <w:lang w:eastAsia="en-AU"/>
        </w:rPr>
        <w:t>).</w:t>
      </w:r>
    </w:p>
    <w:p w:rsidR="0074764C" w:rsidRPr="00C97BCE" w:rsidRDefault="0074764C" w:rsidP="0074764C">
      <w:pPr>
        <w:pStyle w:val="BodyText"/>
        <w:rPr>
          <w:lang w:eastAsia="en-AU"/>
        </w:rPr>
      </w:pPr>
      <w:r w:rsidRPr="00C97BCE">
        <w:rPr>
          <w:lang w:eastAsia="en-AU"/>
        </w:rPr>
        <w:t xml:space="preserve">To help manage their emotional or behavioural problems, adolescents with major depressive disorder most commonly did more exercise or took up a sport (44.3%), did more of the activities that they enjoyed (44.0%) and sought support from friends (42.5%). However, almost a third (31.5%) of adolescents with major depressive disorder smoked cigarettes or used alcohol or drugs to help manage their problems. </w:t>
      </w:r>
    </w:p>
    <w:p w:rsidR="0074764C" w:rsidRPr="00C97BCE" w:rsidRDefault="0074764C" w:rsidP="0074764C">
      <w:pPr>
        <w:pStyle w:val="BodyText"/>
        <w:rPr>
          <w:lang w:eastAsia="en-AU"/>
        </w:rPr>
      </w:pPr>
      <w:r w:rsidRPr="00C97BCE">
        <w:rPr>
          <w:lang w:eastAsia="en-AU"/>
        </w:rPr>
        <w:t>Three quarters (75.0%) of adolescents with mental disorders based on parent on carer report had adopted self-help strategies for emotional or behavioural problems. Mostly the types of strategies were similar although a higher proportion of those with major depressive disorder compared with those with any mental disorder had sought support from friends (42.5% compared with 24.6%) or smoked cigarettes, or used alcohol or drugs (31.5% compared with 19.1%) to help manage their own emotional or behavioural problems.</w:t>
      </w:r>
    </w:p>
    <w:p w:rsidR="0074764C" w:rsidRPr="00C97BCE" w:rsidRDefault="0074764C" w:rsidP="0074764C">
      <w:pPr>
        <w:pStyle w:val="BodyText"/>
        <w:rPr>
          <w:lang w:eastAsia="en-AU"/>
        </w:rPr>
      </w:pPr>
      <w:r w:rsidRPr="00C97BCE">
        <w:rPr>
          <w:lang w:eastAsia="en-AU"/>
        </w:rPr>
        <w:t>Nearly two thirds of those with</w:t>
      </w:r>
      <w:r>
        <w:rPr>
          <w:lang w:eastAsia="en-AU"/>
        </w:rPr>
        <w:t xml:space="preserve"> no</w:t>
      </w:r>
      <w:r w:rsidRPr="00C97BCE">
        <w:rPr>
          <w:lang w:eastAsia="en-AU"/>
        </w:rPr>
        <w:t xml:space="preserve"> mental disorder by their own</w:t>
      </w:r>
      <w:r>
        <w:rPr>
          <w:lang w:eastAsia="en-AU"/>
        </w:rPr>
        <w:t xml:space="preserve"> report or parent or </w:t>
      </w:r>
      <w:r w:rsidRPr="00C97BCE">
        <w:rPr>
          <w:lang w:eastAsia="en-AU"/>
        </w:rPr>
        <w:t>carer report had used some kind of self-help strategy in the previous 12 months (63.5%).</w:t>
      </w:r>
    </w:p>
    <w:p w:rsidR="0074764C" w:rsidRPr="00C97BCE" w:rsidRDefault="0074764C" w:rsidP="0074764C">
      <w:pPr>
        <w:pStyle w:val="Caption"/>
        <w:keepNext/>
      </w:pPr>
      <w:bookmarkStart w:id="267" w:name="_Ref407033864"/>
      <w:r w:rsidRPr="00C97BCE">
        <w:lastRenderedPageBreak/>
        <w:t>Table 13-</w:t>
      </w:r>
      <w:r>
        <w:rPr>
          <w:noProof/>
        </w:rPr>
        <w:t>9</w:t>
      </w:r>
      <w:bookmarkEnd w:id="267"/>
      <w:r w:rsidRPr="00C97BCE">
        <w:t>: Self-help strategies used for emotional or behavioural problems in past 12 months among 13-17 year-olds by mental health status</w:t>
      </w:r>
    </w:p>
    <w:tbl>
      <w:tblPr>
        <w:tblW w:w="9123" w:type="dxa"/>
        <w:jc w:val="center"/>
        <w:tblLayout w:type="fixed"/>
        <w:tblCellMar>
          <w:left w:w="0" w:type="dxa"/>
          <w:right w:w="0" w:type="dxa"/>
        </w:tblCellMar>
        <w:tblLook w:val="0020" w:firstRow="1" w:lastRow="0" w:firstColumn="0" w:lastColumn="0" w:noHBand="0" w:noVBand="0"/>
        <w:tblDescription w:val="In Table 13-9 the first column describes the type of self-help strategy used for emotional or behavioural problems in the past 12 months. Read across the rows for the proportion of those with major depressive disorder based on adolescent report, with any disorder based on parent or carer report, and with no disorder from adolescent or parent or carer report that had used this type of self-help strategy."/>
      </w:tblPr>
      <w:tblGrid>
        <w:gridCol w:w="4444"/>
        <w:gridCol w:w="1559"/>
        <w:gridCol w:w="1560"/>
        <w:gridCol w:w="1560"/>
      </w:tblGrid>
      <w:tr w:rsidR="0074764C" w:rsidRPr="00C97BCE" w:rsidTr="0074764C">
        <w:trPr>
          <w:cantSplit/>
          <w:tblHeader/>
          <w:jc w:val="center"/>
        </w:trPr>
        <w:tc>
          <w:tcPr>
            <w:tcW w:w="4444"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jc w:val="left"/>
              <w:rPr>
                <w:rStyle w:val="Strong"/>
              </w:rPr>
            </w:pPr>
            <w:r w:rsidRPr="004F4047">
              <w:rPr>
                <w:rStyle w:val="Strong"/>
              </w:rPr>
              <w:t>Type of self-help strategy</w:t>
            </w:r>
          </w:p>
        </w:tc>
        <w:tc>
          <w:tcPr>
            <w:tcW w:w="15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Major depressive disorder based on adolescent report (%)</w:t>
            </w:r>
          </w:p>
        </w:tc>
        <w:tc>
          <w:tcPr>
            <w:tcW w:w="15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Any mental disorder based on parent or carer report (%)</w:t>
            </w:r>
          </w:p>
        </w:tc>
        <w:tc>
          <w:tcPr>
            <w:tcW w:w="156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4F4047" w:rsidRDefault="0074764C" w:rsidP="0074764C">
            <w:pPr>
              <w:pStyle w:val="TableColumnHeadings"/>
              <w:rPr>
                <w:rStyle w:val="Strong"/>
              </w:rPr>
            </w:pPr>
            <w:r w:rsidRPr="004F4047">
              <w:rPr>
                <w:rStyle w:val="Strong"/>
              </w:rPr>
              <w:t xml:space="preserve">No </w:t>
            </w:r>
            <w:proofErr w:type="gramStart"/>
            <w:r w:rsidRPr="004F4047">
              <w:rPr>
                <w:rStyle w:val="Strong"/>
              </w:rPr>
              <w:t>disorder</w:t>
            </w:r>
            <w:proofErr w:type="gramEnd"/>
            <w:r w:rsidRPr="004F4047">
              <w:rPr>
                <w:rStyle w:val="Strong"/>
              </w:rPr>
              <w:br/>
              <w:t>(%)</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Did more exercise or took up a sport</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44.3</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38.3</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37.1</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Improved your diet</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25.8</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24.3</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22.7</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Meditated or did relaxation therapy</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20.7</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13.3</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7.5</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Did more of the things you enjoy</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44.0</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43.5</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45.3</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Smoked cigarettes, or used alcohol or drugs</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31.5</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19.1</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Stopped smoking, drinking alcohol or using drugs</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4.5</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4.9</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0.8</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support from friends</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42.5</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24.6</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22.7</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support through social networking</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12.4</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9.9</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w:t>
            </w:r>
          </w:p>
        </w:tc>
      </w:tr>
      <w:tr w:rsidR="0074764C" w:rsidRPr="00C97BCE" w:rsidTr="0074764C">
        <w:trPr>
          <w:cantSplit/>
          <w:jc w:val="center"/>
        </w:trPr>
        <w:tc>
          <w:tcPr>
            <w:tcW w:w="4444"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Joined a social group of some kind</w:t>
            </w:r>
          </w:p>
        </w:tc>
        <w:tc>
          <w:tcPr>
            <w:tcW w:w="1559"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6.3</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6.9</w:t>
            </w:r>
          </w:p>
        </w:tc>
        <w:tc>
          <w:tcPr>
            <w:tcW w:w="1560"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4.1</w:t>
            </w:r>
          </w:p>
        </w:tc>
      </w:tr>
      <w:tr w:rsidR="0074764C" w:rsidRPr="00C97BCE" w:rsidTr="0074764C">
        <w:trPr>
          <w:cantSplit/>
          <w:jc w:val="center"/>
        </w:trPr>
        <w:tc>
          <w:tcPr>
            <w:tcW w:w="4444" w:type="dxa"/>
            <w:tcBorders>
              <w:top w:val="nil"/>
              <w:bottom w:val="single" w:sz="4"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Sought information in books, magazines or on TV</w:t>
            </w:r>
          </w:p>
        </w:tc>
        <w:tc>
          <w:tcPr>
            <w:tcW w:w="1559"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14.9</w:t>
            </w:r>
          </w:p>
        </w:tc>
        <w:tc>
          <w:tcPr>
            <w:tcW w:w="156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8.4</w:t>
            </w:r>
          </w:p>
        </w:tc>
        <w:tc>
          <w:tcPr>
            <w:tcW w:w="1560" w:type="dxa"/>
            <w:tcBorders>
              <w:top w:val="nil"/>
              <w:left w:val="nil"/>
              <w:bottom w:val="single" w:sz="4"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8.0</w:t>
            </w:r>
          </w:p>
        </w:tc>
      </w:tr>
      <w:tr w:rsidR="0074764C" w:rsidRPr="00C97BCE" w:rsidTr="0074764C">
        <w:trPr>
          <w:cantSplit/>
          <w:jc w:val="center"/>
        </w:trPr>
        <w:tc>
          <w:tcPr>
            <w:tcW w:w="4444" w:type="dxa"/>
            <w:tcBorders>
              <w:top w:val="single" w:sz="4" w:space="0" w:color="auto"/>
              <w:bottom w:val="single" w:sz="6" w:space="0" w:color="000000"/>
              <w:right w:val="nil"/>
            </w:tcBorders>
            <w:shd w:val="clear" w:color="auto" w:fill="EFF3FF"/>
            <w:tcMar>
              <w:left w:w="40" w:type="dxa"/>
              <w:right w:w="40" w:type="dxa"/>
            </w:tcMar>
          </w:tcPr>
          <w:p w:rsidR="0074764C" w:rsidRPr="004F4047" w:rsidRDefault="0074764C" w:rsidP="0074764C">
            <w:pPr>
              <w:pStyle w:val="TableRowHeadings"/>
              <w:rPr>
                <w:rStyle w:val="Strong"/>
              </w:rPr>
            </w:pPr>
            <w:r w:rsidRPr="004F4047">
              <w:rPr>
                <w:rStyle w:val="Strong"/>
              </w:rPr>
              <w:t>Any type of self-help strategy (a)</w:t>
            </w:r>
          </w:p>
        </w:tc>
        <w:tc>
          <w:tcPr>
            <w:tcW w:w="1559"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84.2</w:t>
            </w:r>
          </w:p>
        </w:tc>
        <w:tc>
          <w:tcPr>
            <w:tcW w:w="156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75.0</w:t>
            </w:r>
          </w:p>
        </w:tc>
        <w:tc>
          <w:tcPr>
            <w:tcW w:w="1560"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4F4047" w:rsidRDefault="0074764C" w:rsidP="0074764C">
            <w:pPr>
              <w:pStyle w:val="TableDataCell"/>
              <w:rPr>
                <w:rStyle w:val="Strong"/>
              </w:rPr>
            </w:pPr>
            <w:r w:rsidRPr="004F4047">
              <w:rPr>
                <w:rStyle w:val="Strong"/>
              </w:rPr>
              <w:t>63.5</w:t>
            </w:r>
          </w:p>
        </w:tc>
      </w:tr>
    </w:tbl>
    <w:p w:rsidR="0074764C" w:rsidRPr="00287B6D" w:rsidRDefault="0074764C" w:rsidP="0074764C">
      <w:pPr>
        <w:pStyle w:val="TableFootnote"/>
      </w:pPr>
      <w:r>
        <w:t>(a)</w:t>
      </w:r>
      <w:r>
        <w:tab/>
      </w:r>
      <w:r w:rsidRPr="00287B6D">
        <w:t xml:space="preserve">Any </w:t>
      </w:r>
      <w:r>
        <w:t>type of self-help strategy</w:t>
      </w:r>
      <w:r w:rsidRPr="00287B6D">
        <w:t xml:space="preserve"> is not equal to the sum of individual</w:t>
      </w:r>
      <w:r>
        <w:t xml:space="preserve"> self-help strategies</w:t>
      </w:r>
      <w:r w:rsidRPr="00287B6D">
        <w:t xml:space="preserve"> because adolescents may have used more than one type of </w:t>
      </w:r>
      <w:r>
        <w:t>strategy.</w:t>
      </w:r>
    </w:p>
    <w:p w:rsidR="0074764C" w:rsidRPr="00C97BCE" w:rsidRDefault="0074764C" w:rsidP="0074764C">
      <w:pPr>
        <w:pStyle w:val="Heading2"/>
      </w:pPr>
      <w:bookmarkStart w:id="268" w:name="_Toc401758845"/>
      <w:r w:rsidRPr="00C97BCE">
        <w:t>13.6</w:t>
      </w:r>
      <w:r w:rsidRPr="00C97BCE">
        <w:tab/>
        <w:t xml:space="preserve">Perceived need for help and barriers to </w:t>
      </w:r>
      <w:bookmarkEnd w:id="268"/>
      <w:r>
        <w:t>receiving mental health care</w:t>
      </w:r>
    </w:p>
    <w:p w:rsidR="0074764C" w:rsidRPr="00C97BCE" w:rsidRDefault="0074764C" w:rsidP="0074764C">
      <w:pPr>
        <w:pStyle w:val="BodyText"/>
      </w:pPr>
      <w:r w:rsidRPr="00C97BCE">
        <w:t xml:space="preserve">Adolescents </w:t>
      </w:r>
      <w:r>
        <w:t xml:space="preserve">aged 13-17 years </w:t>
      </w:r>
      <w:r w:rsidRPr="00C97BCE">
        <w:t xml:space="preserve">were asked about what help they needed with their emotional or behavioural problems and whether their needs for this kind of help had been met. The help </w:t>
      </w:r>
      <w:r>
        <w:t>was categorised into four types</w:t>
      </w:r>
      <w:r w:rsidRPr="00C97BCE">
        <w:t xml:space="preserve">: </w:t>
      </w:r>
    </w:p>
    <w:p w:rsidR="0074764C" w:rsidRPr="00C97BCE" w:rsidRDefault="0074764C" w:rsidP="00590512">
      <w:pPr>
        <w:pStyle w:val="ListParagraph"/>
        <w:numPr>
          <w:ilvl w:val="0"/>
          <w:numId w:val="9"/>
        </w:numPr>
      </w:pPr>
      <w:r w:rsidRPr="00C97BCE">
        <w:t>Information about emotional or behavioural problems, treatment and available services;</w:t>
      </w:r>
    </w:p>
    <w:p w:rsidR="0074764C" w:rsidRPr="00C97BCE" w:rsidRDefault="0074764C" w:rsidP="00590512">
      <w:pPr>
        <w:pStyle w:val="ListParagraph"/>
        <w:numPr>
          <w:ilvl w:val="0"/>
          <w:numId w:val="9"/>
        </w:numPr>
      </w:pPr>
      <w:r w:rsidRPr="00C97BCE">
        <w:t>Prescribed medication for emotional or behavioural problems;</w:t>
      </w:r>
      <w:r>
        <w:t xml:space="preserve"> </w:t>
      </w:r>
    </w:p>
    <w:p w:rsidR="0074764C" w:rsidRPr="00C97BCE" w:rsidRDefault="0074764C" w:rsidP="00590512">
      <w:pPr>
        <w:pStyle w:val="ListParagraph"/>
        <w:numPr>
          <w:ilvl w:val="0"/>
          <w:numId w:val="9"/>
        </w:numPr>
      </w:pPr>
      <w:r w:rsidRPr="00C97BCE">
        <w:t>Counselling or a talking therapy about problems or difficulties (either one-on-one, as a family, or in a group); and</w:t>
      </w:r>
    </w:p>
    <w:p w:rsidR="0074764C" w:rsidRPr="00C97BCE" w:rsidRDefault="0074764C" w:rsidP="00590512">
      <w:pPr>
        <w:pStyle w:val="ListParagraph"/>
        <w:numPr>
          <w:ilvl w:val="0"/>
          <w:numId w:val="9"/>
        </w:numPr>
      </w:pPr>
      <w:r w:rsidRPr="00C97BCE">
        <w:t>Courses or other counselling for life skills, self-esteem or motivation.</w:t>
      </w:r>
    </w:p>
    <w:p w:rsidR="0074764C" w:rsidRPr="00C97BCE" w:rsidRDefault="0074764C" w:rsidP="0074764C">
      <w:pPr>
        <w:pStyle w:val="Heading3"/>
      </w:pPr>
      <w:bookmarkStart w:id="269" w:name="_Toc401758846"/>
      <w:r w:rsidRPr="00C97BCE">
        <w:t xml:space="preserve">13.6.1 </w:t>
      </w:r>
      <w:r w:rsidRPr="00C97BCE">
        <w:tab/>
        <w:t>Perceived need for help</w:t>
      </w:r>
      <w:bookmarkEnd w:id="269"/>
      <w:r>
        <w:t xml:space="preserve"> for young people with disorders</w:t>
      </w:r>
    </w:p>
    <w:p w:rsidR="0074764C" w:rsidRDefault="0074764C" w:rsidP="0074764C">
      <w:pPr>
        <w:pStyle w:val="BodyText"/>
      </w:pPr>
      <w:r>
        <w:t>Four fifths of adolescents with major depressive disorder (82.4%) reported a need for one or more types of help for emotional or behavioural problems in the previous 12 months (Table 13-</w:t>
      </w:r>
      <w:r>
        <w:rPr>
          <w:noProof/>
        </w:rPr>
        <w:t>10</w:t>
      </w:r>
      <w:r>
        <w:t>). Of those adolescents with major depressive disorder that reported a need for one or more types of help, three quarters (76.8%) reported that their needs were met either fully (28.1%) or partially (48.7%), while one quarter (23.2%) had needs that were unmet.</w:t>
      </w:r>
    </w:p>
    <w:p w:rsidR="0074764C" w:rsidRDefault="0074764C" w:rsidP="0074764C">
      <w:pPr>
        <w:pStyle w:val="BodyText"/>
      </w:pPr>
      <w:r>
        <w:t>The most common type of help adolescents with major depressive disorder felt that they needed in the previous 12 months was counselling or a talking therapy (68.8%) and of these, 70.4% reported that their needs were met either fully (39.0%) or partially (31.4%).</w:t>
      </w:r>
    </w:p>
    <w:p w:rsidR="0074764C" w:rsidRDefault="0074764C" w:rsidP="0074764C">
      <w:pPr>
        <w:pStyle w:val="BodyText"/>
      </w:pPr>
      <w:r>
        <w:lastRenderedPageBreak/>
        <w:t>More than half of adolescents with major depressive disorder (55.9%) reported a need for information about emotional or behavioural problems, treatment and available services of which one fifth (21.4%) reported that their needs were unmet.</w:t>
      </w:r>
    </w:p>
    <w:p w:rsidR="0074764C" w:rsidRDefault="0074764C" w:rsidP="0074764C">
      <w:pPr>
        <w:pStyle w:val="BodyText"/>
      </w:pPr>
      <w:r>
        <w:t>The greatest areas of unmet need according to adolescents with major depressive disorder who had reported a need for help were for courses or other counselling for life skills, self-esteem or motivation (51.5%) and for prescribed medication (44.2%).</w:t>
      </w:r>
    </w:p>
    <w:p w:rsidR="0074764C" w:rsidRDefault="0074764C" w:rsidP="0074764C">
      <w:pPr>
        <w:pStyle w:val="Caption"/>
        <w:keepNext/>
      </w:pPr>
      <w:bookmarkStart w:id="270" w:name="_Ref409077313"/>
      <w:r>
        <w:t>Table 13-</w:t>
      </w:r>
      <w:r>
        <w:rPr>
          <w:noProof/>
        </w:rPr>
        <w:t>10</w:t>
      </w:r>
      <w:bookmarkEnd w:id="270"/>
      <w:r>
        <w:t xml:space="preserve">: Perceived need for services </w:t>
      </w:r>
      <w:r w:rsidRPr="00C97BCE">
        <w:t>for emotional or behavioural problems</w:t>
      </w:r>
      <w:r>
        <w:t xml:space="preserve"> in past 12 months</w:t>
      </w:r>
      <w:r w:rsidRPr="00C97BCE">
        <w:t xml:space="preserve"> </w:t>
      </w:r>
      <w:r>
        <w:t>among 13-17 year-olds with major depressive disorder by type of help</w:t>
      </w:r>
    </w:p>
    <w:tbl>
      <w:tblPr>
        <w:tblW w:w="9139" w:type="dxa"/>
        <w:jc w:val="center"/>
        <w:tblLayout w:type="fixed"/>
        <w:tblCellMar>
          <w:left w:w="0" w:type="dxa"/>
          <w:right w:w="0" w:type="dxa"/>
        </w:tblCellMar>
        <w:tblLook w:val="0020" w:firstRow="1" w:lastRow="0" w:firstColumn="0" w:lastColumn="0" w:noHBand="0" w:noVBand="0"/>
        <w:tblDescription w:val="In Table 13-10 the first column describes the level of need for perceived need. Read across the rows for the level of need for those with major depressive disorder for information, medication, counselling, life skills, and for any type of help."/>
      </w:tblPr>
      <w:tblGrid>
        <w:gridCol w:w="2459"/>
        <w:gridCol w:w="1336"/>
        <w:gridCol w:w="1336"/>
        <w:gridCol w:w="1336"/>
        <w:gridCol w:w="1336"/>
        <w:gridCol w:w="1336"/>
      </w:tblGrid>
      <w:tr w:rsidR="0074764C" w:rsidRPr="00CB5D38" w:rsidTr="0074764C">
        <w:trPr>
          <w:cantSplit/>
          <w:tblHeader/>
          <w:jc w:val="center"/>
        </w:trPr>
        <w:tc>
          <w:tcPr>
            <w:tcW w:w="2459"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jc w:val="left"/>
              <w:rPr>
                <w:rStyle w:val="Strong"/>
              </w:rPr>
            </w:pPr>
            <w:r w:rsidRPr="00E4760A">
              <w:rPr>
                <w:rStyle w:val="Strong"/>
              </w:rPr>
              <w:t>Level of perceived need</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Information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Medication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Counselling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 xml:space="preserve">Life </w:t>
            </w:r>
            <w:proofErr w:type="gramStart"/>
            <w:r w:rsidRPr="00E4760A">
              <w:rPr>
                <w:rStyle w:val="Strong"/>
              </w:rPr>
              <w:t>skills</w:t>
            </w:r>
            <w:proofErr w:type="gramEnd"/>
            <w:r w:rsidRPr="00E4760A">
              <w:rPr>
                <w:rStyle w:val="Strong"/>
              </w:rPr>
              <w:br/>
              <w:t>(%)</w:t>
            </w:r>
          </w:p>
        </w:tc>
        <w:tc>
          <w:tcPr>
            <w:tcW w:w="13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Any type of help (%) (b)</w:t>
            </w:r>
          </w:p>
        </w:tc>
      </w:tr>
      <w:tr w:rsidR="0074764C" w:rsidRPr="00CB5D38"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AE2E6E" w:rsidRDefault="0074764C" w:rsidP="0074764C">
            <w:pPr>
              <w:pStyle w:val="TableRowHeadings"/>
              <w:tabs>
                <w:tab w:val="left" w:pos="277"/>
              </w:tabs>
            </w:pPr>
            <w:r w:rsidRPr="00AE2E6E">
              <w:t>No need</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44.1</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59.7</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31.2</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57.7</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17.6</w:t>
            </w:r>
          </w:p>
        </w:tc>
      </w:tr>
      <w:tr w:rsidR="0074764C" w:rsidRPr="00411D5B"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AE2E6E" w:rsidRDefault="0074764C" w:rsidP="0074764C">
            <w:pPr>
              <w:pStyle w:val="TableRowHeadings"/>
              <w:tabs>
                <w:tab w:val="left" w:pos="277"/>
              </w:tabs>
            </w:pPr>
            <w:r w:rsidRPr="00AE2E6E">
              <w:t>Any need—</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55.9</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40.3</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68.8</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42.3</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82.4</w:t>
            </w:r>
          </w:p>
        </w:tc>
      </w:tr>
      <w:tr w:rsidR="0074764C" w:rsidRPr="00CB5D38"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AE2E6E" w:rsidRDefault="0074764C" w:rsidP="0074764C">
            <w:pPr>
              <w:pStyle w:val="TableRowHeadings"/>
              <w:tabs>
                <w:tab w:val="left" w:pos="277"/>
              </w:tabs>
            </w:pPr>
            <w:r w:rsidRPr="00AE2E6E">
              <w:tab/>
              <w:t>Needs fully met (a)</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47.4</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28.6</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39.0</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25.6</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28.1</w:t>
            </w:r>
          </w:p>
        </w:tc>
      </w:tr>
      <w:tr w:rsidR="0074764C" w:rsidRPr="00CB5D38"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AE2E6E" w:rsidRDefault="0074764C" w:rsidP="0074764C">
            <w:pPr>
              <w:pStyle w:val="TableRowHeadings"/>
              <w:tabs>
                <w:tab w:val="left" w:pos="277"/>
              </w:tabs>
            </w:pPr>
            <w:r w:rsidRPr="00AE2E6E">
              <w:tab/>
              <w:t>Needs partially met (a)</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31.2</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27.2</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31.4</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22.9</w:t>
            </w:r>
          </w:p>
        </w:tc>
        <w:tc>
          <w:tcPr>
            <w:tcW w:w="1336" w:type="dxa"/>
            <w:tcBorders>
              <w:top w:val="nil"/>
              <w:left w:val="nil"/>
              <w:bottom w:val="nil"/>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48.7</w:t>
            </w:r>
          </w:p>
        </w:tc>
      </w:tr>
      <w:tr w:rsidR="0074764C" w:rsidRPr="00CB5D38" w:rsidTr="0074764C">
        <w:trPr>
          <w:cantSplit/>
          <w:jc w:val="center"/>
        </w:trPr>
        <w:tc>
          <w:tcPr>
            <w:tcW w:w="2459" w:type="dxa"/>
            <w:tcBorders>
              <w:top w:val="nil"/>
              <w:bottom w:val="single" w:sz="6" w:space="0" w:color="000000"/>
              <w:right w:val="nil"/>
            </w:tcBorders>
            <w:shd w:val="clear" w:color="auto" w:fill="EFF3FF"/>
            <w:tcMar>
              <w:left w:w="40" w:type="dxa"/>
              <w:right w:w="40" w:type="dxa"/>
            </w:tcMar>
          </w:tcPr>
          <w:p w:rsidR="0074764C" w:rsidRPr="00AE2E6E" w:rsidRDefault="0074764C" w:rsidP="0074764C">
            <w:pPr>
              <w:pStyle w:val="TableRowHeadings"/>
              <w:tabs>
                <w:tab w:val="left" w:pos="277"/>
              </w:tabs>
            </w:pPr>
            <w:r w:rsidRPr="00AE2E6E">
              <w:tab/>
              <w:t>Needs unmet (a)</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21.4</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44.2</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29.6</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51.5</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CB5D38" w:rsidRDefault="0074764C" w:rsidP="0074764C">
            <w:pPr>
              <w:pStyle w:val="TableDataCell"/>
              <w:rPr>
                <w:lang w:eastAsia="en-AU"/>
              </w:rPr>
            </w:pPr>
            <w:r w:rsidRPr="00CB5D38">
              <w:rPr>
                <w:lang w:eastAsia="en-AU"/>
              </w:rPr>
              <w:t>23.2</w:t>
            </w:r>
          </w:p>
        </w:tc>
      </w:tr>
    </w:tbl>
    <w:p w:rsidR="0074764C" w:rsidRDefault="0074764C" w:rsidP="0074764C">
      <w:pPr>
        <w:pStyle w:val="TableFootnote"/>
      </w:pPr>
      <w:r>
        <w:t>(a)</w:t>
      </w:r>
      <w:r>
        <w:tab/>
      </w:r>
      <w:r w:rsidRPr="00CB5D38">
        <w:t>The proportion of those reporting any need whose needs were fully met, partially met or unmet.</w:t>
      </w:r>
    </w:p>
    <w:p w:rsidR="0074764C" w:rsidRPr="00E34E18" w:rsidRDefault="0074764C" w:rsidP="0074764C">
      <w:pPr>
        <w:pStyle w:val="TableFootnote"/>
        <w:rPr>
          <w:rFonts w:cs="Source Sans Pro Light"/>
          <w:sz w:val="20"/>
          <w:szCs w:val="20"/>
        </w:rPr>
      </w:pPr>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74764C" w:rsidRDefault="0074764C" w:rsidP="0074764C">
      <w:pPr>
        <w:pStyle w:val="BodyText"/>
      </w:pPr>
      <w:r>
        <w:t>About half (56.4%) of adolescents with a mental disorder identified by parents and carers reported a need for one or more types of help for emotional or behavioural problems in the previous 12 months (Table 13-</w:t>
      </w:r>
      <w:r>
        <w:rPr>
          <w:noProof/>
        </w:rPr>
        <w:t>11</w:t>
      </w:r>
      <w:r>
        <w:t>).Of those adolescents with mental disorders that reported a need for one or more types of help, about nine out of ten (86.9%) reported that their needs were met either fully (47.5%) or partially (39.4%) while one tenth (13.1%) had needs that were unmet.</w:t>
      </w:r>
    </w:p>
    <w:p w:rsidR="0074764C" w:rsidRDefault="0074764C" w:rsidP="0074764C">
      <w:pPr>
        <w:pStyle w:val="BodyText"/>
      </w:pPr>
      <w:r>
        <w:t>Counselling was the type of need most commonly reported (41.6%) by adolescents with mental disorders based on parent and carer report. Of those adolescents reporting a need for counselling or talking therapy, 84.8% reported that their needs were either fully met (57.7%) or partially met (27.1%).</w:t>
      </w:r>
      <w:r w:rsidRPr="000E70A7">
        <w:t xml:space="preserve"> </w:t>
      </w:r>
    </w:p>
    <w:p w:rsidR="0074764C" w:rsidRDefault="0074764C" w:rsidP="0074764C">
      <w:pPr>
        <w:pStyle w:val="BodyText"/>
      </w:pPr>
      <w:r>
        <w:t xml:space="preserve">One third of adolescents with mental disorders identified by parents and carers (35.7%) reported a need for information about emotional or behavioural problems, treatment and available services, of which four fifths (81.8%) reported that their needs were met either fully (55.8%) or partially (26.0%). About three in ten (28.3%) identified a need for medication, of which just under a third (31.5%) had unmet need. One fifth (22.8%) reported a need for counselling for life skills, counselling for life skills, self-esteem or motivation, of which nearly two fifths (37.9%) had unmet need. </w:t>
      </w:r>
    </w:p>
    <w:p w:rsidR="0074764C" w:rsidRPr="00C97BCE" w:rsidRDefault="0074764C" w:rsidP="0074764C">
      <w:pPr>
        <w:pStyle w:val="BodyText"/>
      </w:pPr>
      <w:r w:rsidRPr="00C97BCE">
        <w:t xml:space="preserve">Compared to 13-17 year-olds with </w:t>
      </w:r>
      <w:r>
        <w:t xml:space="preserve">a </w:t>
      </w:r>
      <w:r w:rsidRPr="00C97BCE">
        <w:t>major depressive disorder by their own report, those with mental disorder</w:t>
      </w:r>
      <w:r>
        <w:t>s</w:t>
      </w:r>
      <w:r w:rsidRPr="00C97BCE">
        <w:t xml:space="preserve"> </w:t>
      </w:r>
      <w:r>
        <w:t xml:space="preserve">identified </w:t>
      </w:r>
      <w:r w:rsidRPr="00C97BCE">
        <w:t xml:space="preserve">by parent </w:t>
      </w:r>
      <w:r>
        <w:t>and</w:t>
      </w:r>
      <w:r w:rsidRPr="00C97BCE">
        <w:t xml:space="preserve"> carer report had lower levels of unmet need for all types of help.</w:t>
      </w:r>
    </w:p>
    <w:p w:rsidR="0074764C" w:rsidRDefault="0074764C" w:rsidP="0074764C">
      <w:pPr>
        <w:pStyle w:val="Caption"/>
        <w:keepNext/>
        <w:pageBreakBefore/>
        <w:spacing w:before="0"/>
      </w:pPr>
      <w:bookmarkStart w:id="271" w:name="_Ref409078531"/>
      <w:r>
        <w:lastRenderedPageBreak/>
        <w:t>Table 13-</w:t>
      </w:r>
      <w:r>
        <w:rPr>
          <w:noProof/>
        </w:rPr>
        <w:t>11</w:t>
      </w:r>
      <w:bookmarkEnd w:id="271"/>
      <w:r>
        <w:t xml:space="preserve">: Perceived need for services </w:t>
      </w:r>
      <w:r w:rsidRPr="00C97BCE">
        <w:t xml:space="preserve">for emotional or behavioural problems </w:t>
      </w:r>
      <w:r>
        <w:t>in past 12 months among 13-17 year-olds with mental disorders identified from parent or carer report by type of help</w:t>
      </w:r>
    </w:p>
    <w:tbl>
      <w:tblPr>
        <w:tblW w:w="9139" w:type="dxa"/>
        <w:jc w:val="center"/>
        <w:tblLayout w:type="fixed"/>
        <w:tblCellMar>
          <w:left w:w="0" w:type="dxa"/>
          <w:right w:w="0" w:type="dxa"/>
        </w:tblCellMar>
        <w:tblLook w:val="0020" w:firstRow="1" w:lastRow="0" w:firstColumn="0" w:lastColumn="0" w:noHBand="0" w:noVBand="0"/>
        <w:tblDescription w:val="In Table 13-11 the first column describes the level of perceived need for help. Read across the rows for the level of need for those with mental disorders for information, medication, counselling, life skills, and for any type of help."/>
      </w:tblPr>
      <w:tblGrid>
        <w:gridCol w:w="2459"/>
        <w:gridCol w:w="1336"/>
        <w:gridCol w:w="1336"/>
        <w:gridCol w:w="1336"/>
        <w:gridCol w:w="1336"/>
        <w:gridCol w:w="1336"/>
      </w:tblGrid>
      <w:tr w:rsidR="0074764C" w:rsidRPr="00291C89" w:rsidTr="0074764C">
        <w:trPr>
          <w:cantSplit/>
          <w:tblHeader/>
          <w:jc w:val="center"/>
        </w:trPr>
        <w:tc>
          <w:tcPr>
            <w:tcW w:w="2459"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jc w:val="left"/>
              <w:rPr>
                <w:rStyle w:val="Strong"/>
              </w:rPr>
            </w:pPr>
          </w:p>
          <w:p w:rsidR="0074764C" w:rsidRPr="00E4760A" w:rsidRDefault="0074764C" w:rsidP="0074764C">
            <w:pPr>
              <w:pStyle w:val="TableColumnHeadings"/>
              <w:jc w:val="left"/>
              <w:rPr>
                <w:rStyle w:val="Strong"/>
              </w:rPr>
            </w:pPr>
            <w:r w:rsidRPr="00E4760A">
              <w:rPr>
                <w:rStyle w:val="Strong"/>
              </w:rPr>
              <w:t>Level of perceived need</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Information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Medication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Counselling (%)</w:t>
            </w:r>
          </w:p>
        </w:tc>
        <w:tc>
          <w:tcPr>
            <w:tcW w:w="13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 xml:space="preserve">Life </w:t>
            </w:r>
            <w:proofErr w:type="gramStart"/>
            <w:r w:rsidRPr="00E4760A">
              <w:rPr>
                <w:rStyle w:val="Strong"/>
              </w:rPr>
              <w:t>skills</w:t>
            </w:r>
            <w:proofErr w:type="gramEnd"/>
            <w:r w:rsidRPr="00E4760A">
              <w:rPr>
                <w:rStyle w:val="Strong"/>
              </w:rPr>
              <w:br/>
              <w:t>(%)</w:t>
            </w:r>
          </w:p>
        </w:tc>
        <w:tc>
          <w:tcPr>
            <w:tcW w:w="13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Any type of help (%) (b)</w:t>
            </w:r>
          </w:p>
        </w:tc>
      </w:tr>
      <w:tr w:rsidR="0074764C" w:rsidRPr="00291C89"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291C89" w:rsidRDefault="0074764C" w:rsidP="0074764C">
            <w:pPr>
              <w:pStyle w:val="TableRowHeadings"/>
              <w:tabs>
                <w:tab w:val="left" w:pos="293"/>
              </w:tabs>
              <w:rPr>
                <w:lang w:eastAsia="en-AU"/>
              </w:rPr>
            </w:pPr>
            <w:r w:rsidRPr="00291C89">
              <w:rPr>
                <w:lang w:eastAsia="en-AU"/>
              </w:rPr>
              <w:t>No need</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64.3</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71.7</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58.4</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77.2</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43.6</w:t>
            </w:r>
          </w:p>
        </w:tc>
      </w:tr>
      <w:tr w:rsidR="0074764C" w:rsidRPr="00411D5B"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411D5B" w:rsidRDefault="0074764C" w:rsidP="0074764C">
            <w:pPr>
              <w:pStyle w:val="TableRowHeadings"/>
              <w:tabs>
                <w:tab w:val="left" w:pos="293"/>
              </w:tabs>
              <w:rPr>
                <w:lang w:eastAsia="en-AU"/>
              </w:rPr>
            </w:pPr>
            <w:r w:rsidRPr="00411D5B">
              <w:rPr>
                <w:lang w:eastAsia="en-AU"/>
              </w:rPr>
              <w:t>Any need—</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35.7</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28.3</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41.6</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22.8</w:t>
            </w:r>
          </w:p>
        </w:tc>
        <w:tc>
          <w:tcPr>
            <w:tcW w:w="133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56.4</w:t>
            </w:r>
          </w:p>
        </w:tc>
      </w:tr>
      <w:tr w:rsidR="0074764C" w:rsidRPr="00291C89"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291C89" w:rsidRDefault="0074764C" w:rsidP="0074764C">
            <w:pPr>
              <w:pStyle w:val="TableRowHeadings"/>
              <w:tabs>
                <w:tab w:val="left" w:pos="293"/>
              </w:tabs>
              <w:ind w:left="17"/>
              <w:rPr>
                <w:lang w:eastAsia="en-AU"/>
              </w:rPr>
            </w:pPr>
            <w:r>
              <w:rPr>
                <w:lang w:eastAsia="en-AU"/>
              </w:rPr>
              <w:tab/>
            </w:r>
            <w:r w:rsidRPr="00291C89">
              <w:rPr>
                <w:lang w:eastAsia="en-AU"/>
              </w:rPr>
              <w:t>Needs fully met (a)</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55.8</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47.5</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57.7</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43.5</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47.5</w:t>
            </w:r>
          </w:p>
        </w:tc>
      </w:tr>
      <w:tr w:rsidR="0074764C" w:rsidRPr="00291C89" w:rsidTr="0074764C">
        <w:trPr>
          <w:cantSplit/>
          <w:jc w:val="center"/>
        </w:trPr>
        <w:tc>
          <w:tcPr>
            <w:tcW w:w="2459" w:type="dxa"/>
            <w:tcBorders>
              <w:top w:val="nil"/>
              <w:bottom w:val="single" w:sz="4" w:space="0" w:color="FFFFFF"/>
              <w:right w:val="nil"/>
            </w:tcBorders>
            <w:shd w:val="clear" w:color="auto" w:fill="EFF3FF"/>
            <w:tcMar>
              <w:left w:w="40" w:type="dxa"/>
              <w:right w:w="40" w:type="dxa"/>
            </w:tcMar>
          </w:tcPr>
          <w:p w:rsidR="0074764C" w:rsidRPr="00291C89" w:rsidRDefault="0074764C" w:rsidP="0074764C">
            <w:pPr>
              <w:pStyle w:val="TableRowHeadings"/>
              <w:tabs>
                <w:tab w:val="left" w:pos="293"/>
              </w:tabs>
              <w:ind w:left="17"/>
              <w:rPr>
                <w:lang w:eastAsia="en-AU"/>
              </w:rPr>
            </w:pPr>
            <w:r>
              <w:rPr>
                <w:lang w:eastAsia="en-AU"/>
              </w:rPr>
              <w:tab/>
            </w:r>
            <w:r w:rsidRPr="00291C89">
              <w:rPr>
                <w:lang w:eastAsia="en-AU"/>
              </w:rPr>
              <w:t>Needs partially met (a)</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26.0</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20.9</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27.1</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18.6</w:t>
            </w:r>
          </w:p>
        </w:tc>
        <w:tc>
          <w:tcPr>
            <w:tcW w:w="1336" w:type="dxa"/>
            <w:tcBorders>
              <w:top w:val="nil"/>
              <w:left w:val="nil"/>
              <w:bottom w:val="nil"/>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39.4</w:t>
            </w:r>
          </w:p>
        </w:tc>
      </w:tr>
      <w:tr w:rsidR="0074764C" w:rsidRPr="00291C89" w:rsidTr="0074764C">
        <w:trPr>
          <w:cantSplit/>
          <w:jc w:val="center"/>
        </w:trPr>
        <w:tc>
          <w:tcPr>
            <w:tcW w:w="2459" w:type="dxa"/>
            <w:tcBorders>
              <w:top w:val="nil"/>
              <w:bottom w:val="single" w:sz="6" w:space="0" w:color="000000"/>
              <w:right w:val="nil"/>
            </w:tcBorders>
            <w:shd w:val="clear" w:color="auto" w:fill="EFF3FF"/>
            <w:tcMar>
              <w:left w:w="40" w:type="dxa"/>
              <w:right w:w="40" w:type="dxa"/>
            </w:tcMar>
          </w:tcPr>
          <w:p w:rsidR="0074764C" w:rsidRPr="00291C89" w:rsidRDefault="0074764C" w:rsidP="0074764C">
            <w:pPr>
              <w:pStyle w:val="TableRowHeadings"/>
              <w:tabs>
                <w:tab w:val="left" w:pos="293"/>
              </w:tabs>
              <w:ind w:left="17"/>
              <w:rPr>
                <w:lang w:eastAsia="en-AU"/>
              </w:rPr>
            </w:pPr>
            <w:r>
              <w:rPr>
                <w:lang w:eastAsia="en-AU"/>
              </w:rPr>
              <w:tab/>
            </w:r>
            <w:r w:rsidRPr="00291C89">
              <w:rPr>
                <w:lang w:eastAsia="en-AU"/>
              </w:rPr>
              <w:t>Needs unmet (a)</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18.3</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31.5</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15.2</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37.9</w:t>
            </w:r>
          </w:p>
        </w:tc>
        <w:tc>
          <w:tcPr>
            <w:tcW w:w="1336" w:type="dxa"/>
            <w:tcBorders>
              <w:top w:val="nil"/>
              <w:left w:val="nil"/>
              <w:bottom w:val="single" w:sz="6" w:space="0" w:color="000000"/>
              <w:right w:val="nil"/>
            </w:tcBorders>
            <w:shd w:val="clear" w:color="auto" w:fill="FFFFFF"/>
            <w:tcMar>
              <w:left w:w="40" w:type="dxa"/>
              <w:right w:w="40" w:type="dxa"/>
            </w:tcMar>
            <w:vAlign w:val="bottom"/>
          </w:tcPr>
          <w:p w:rsidR="0074764C" w:rsidRPr="00291C89" w:rsidRDefault="0074764C" w:rsidP="0074764C">
            <w:pPr>
              <w:pStyle w:val="TableDataCell"/>
              <w:rPr>
                <w:lang w:eastAsia="en-AU"/>
              </w:rPr>
            </w:pPr>
            <w:r w:rsidRPr="00291C89">
              <w:rPr>
                <w:lang w:eastAsia="en-AU"/>
              </w:rPr>
              <w:t>13.1</w:t>
            </w:r>
          </w:p>
        </w:tc>
      </w:tr>
    </w:tbl>
    <w:p w:rsidR="0074764C" w:rsidRDefault="0074764C" w:rsidP="0074764C">
      <w:pPr>
        <w:pStyle w:val="TableFootnote"/>
      </w:pPr>
      <w:r>
        <w:t>(a)</w:t>
      </w:r>
      <w:r>
        <w:tab/>
      </w:r>
      <w:r w:rsidRPr="00A40C58">
        <w:t>The proportion of those reporting any need whose needs were fully met, partially met or unmet.</w:t>
      </w:r>
    </w:p>
    <w:p w:rsidR="0074764C" w:rsidRPr="00E34E18" w:rsidRDefault="0074764C" w:rsidP="0074764C">
      <w:pPr>
        <w:pStyle w:val="TableFootnote"/>
        <w:rPr>
          <w:rFonts w:cs="Source Sans Pro Light"/>
          <w:sz w:val="20"/>
          <w:szCs w:val="20"/>
        </w:rPr>
      </w:pPr>
      <w:r w:rsidRPr="000D0AD7">
        <w:t>(b)</w:t>
      </w:r>
      <w:r w:rsidRPr="000D0AD7">
        <w:tab/>
      </w:r>
      <w:r>
        <w:t>Where need for more than one type of help was identified, level of perceived need for any type of help has been derived from the level of perceived need for each type of help needed</w:t>
      </w:r>
      <w:r w:rsidRPr="00EC38A3">
        <w:t xml:space="preserve"> (see glossary</w:t>
      </w:r>
      <w:r>
        <w:t xml:space="preserve"> for details</w:t>
      </w:r>
      <w:r w:rsidRPr="00EC38A3">
        <w:t>).</w:t>
      </w:r>
    </w:p>
    <w:p w:rsidR="0074764C" w:rsidRPr="00C97BCE" w:rsidRDefault="0074764C" w:rsidP="0074764C">
      <w:pPr>
        <w:pStyle w:val="Heading3"/>
      </w:pPr>
      <w:r w:rsidRPr="00C97BCE">
        <w:t xml:space="preserve">13.6.2 </w:t>
      </w:r>
      <w:r w:rsidRPr="00C97BCE">
        <w:tab/>
        <w:t xml:space="preserve">Perceived need by severity </w:t>
      </w:r>
      <w:r>
        <w:t>of impact</w:t>
      </w:r>
    </w:p>
    <w:p w:rsidR="0074764C" w:rsidRPr="00C220D6" w:rsidRDefault="0074764C" w:rsidP="0074764C">
      <w:pPr>
        <w:pStyle w:val="BodyText"/>
      </w:pPr>
      <w:r w:rsidRPr="00C220D6">
        <w:t>The extent to which 13-17 year-olds reported a perceived need for help with their emotional or behavioural problems increased with severity of disorder. Those with moderate and severe disorders had greater perceived need than those with mild disorders. For those with some need for assistance, the proportion of young people whose needs were fully or partially met also increased with the severity of their disorder, with more moderate and severe cases having these needs fully or partially met. These relationships were found regardless of whether the identification of mental disorders was based only on the young person’s self-report of major depressive disorder or on the information about a broader range of mental disorders provided by the parent or carer.</w:t>
      </w:r>
    </w:p>
    <w:p w:rsidR="0074764C" w:rsidRPr="00C97BCE" w:rsidRDefault="0074764C" w:rsidP="0074764C">
      <w:pPr>
        <w:pStyle w:val="BodyText"/>
      </w:pPr>
      <w:r>
        <w:t xml:space="preserve">For adolescents identified as having a </w:t>
      </w:r>
      <w:r w:rsidRPr="00C97BCE">
        <w:t xml:space="preserve">severe or moderate </w:t>
      </w:r>
      <w:r w:rsidRPr="00A53657">
        <w:t>major depressive disorder based on</w:t>
      </w:r>
      <w:r>
        <w:t xml:space="preserve"> their own</w:t>
      </w:r>
      <w:r w:rsidRPr="00A53657">
        <w:t xml:space="preserve"> </w:t>
      </w:r>
      <w:r>
        <w:t xml:space="preserve">self report, most indicated </w:t>
      </w:r>
      <w:r w:rsidRPr="00C97BCE">
        <w:t xml:space="preserve">that they had a need for help with emotional and behavioural problems (90.7% and 94.8% respectively). </w:t>
      </w:r>
      <w:r>
        <w:t xml:space="preserve">A lower proportion (65.4%) </w:t>
      </w:r>
      <w:r w:rsidRPr="00C97BCE">
        <w:t xml:space="preserve">of those with mild depressive disorder felt that they had </w:t>
      </w:r>
      <w:r>
        <w:t>a</w:t>
      </w:r>
      <w:r w:rsidRPr="00C97BCE">
        <w:t xml:space="preserve"> need for </w:t>
      </w:r>
      <w:r>
        <w:t xml:space="preserve">some type of </w:t>
      </w:r>
      <w:r w:rsidRPr="00C97BCE">
        <w:t>help (</w:t>
      </w:r>
      <w:r>
        <w:t>Table 13-</w:t>
      </w:r>
      <w:r>
        <w:rPr>
          <w:noProof/>
        </w:rPr>
        <w:t>12</w:t>
      </w:r>
      <w:r w:rsidRPr="00C97BCE">
        <w:t>).</w:t>
      </w:r>
    </w:p>
    <w:p w:rsidR="0074764C" w:rsidRDefault="0074764C" w:rsidP="0074764C">
      <w:pPr>
        <w:pStyle w:val="BodyText"/>
      </w:pPr>
      <w:r>
        <w:t>Around nine in ten (87.9%)</w:t>
      </w:r>
      <w:r w:rsidRPr="00A53657">
        <w:t xml:space="preserve"> adolescents with a severe major depressive disorder </w:t>
      </w:r>
      <w:r>
        <w:t xml:space="preserve">who reported some type of need for help indicated that their needs were either fully (24.9%) or partially (63.0%) met. Lower rates of fully or partially met need were reported by adolescents with moderate (69.4%) and mild </w:t>
      </w:r>
      <w:r w:rsidRPr="00A53657">
        <w:t>depressive disorder</w:t>
      </w:r>
      <w:r>
        <w:t>s (70.2%).</w:t>
      </w:r>
      <w:r w:rsidRPr="00A53657">
        <w:t xml:space="preserve"> </w:t>
      </w:r>
    </w:p>
    <w:p w:rsidR="0074764C" w:rsidRDefault="0074764C" w:rsidP="0074764C">
      <w:pPr>
        <w:pStyle w:val="Caption"/>
        <w:keepNext/>
      </w:pPr>
      <w:bookmarkStart w:id="272" w:name="_Ref409107598"/>
      <w:r>
        <w:t>Table 13-</w:t>
      </w:r>
      <w:r>
        <w:rPr>
          <w:noProof/>
        </w:rPr>
        <w:t>12</w:t>
      </w:r>
      <w:bookmarkEnd w:id="272"/>
      <w:r>
        <w:t xml:space="preserve">: Perceived need for any type of help </w:t>
      </w:r>
      <w:r w:rsidRPr="00C97BCE">
        <w:t xml:space="preserve">for emotional or behavioural problems </w:t>
      </w:r>
      <w:r>
        <w:t>in past 12 months among 13-17 year-olds with major depressive disorder by severity of impact</w:t>
      </w:r>
    </w:p>
    <w:tbl>
      <w:tblPr>
        <w:tblW w:w="9125" w:type="dxa"/>
        <w:jc w:val="center"/>
        <w:tblLayout w:type="fixed"/>
        <w:tblCellMar>
          <w:left w:w="0" w:type="dxa"/>
          <w:right w:w="0" w:type="dxa"/>
        </w:tblCellMar>
        <w:tblLook w:val="0020" w:firstRow="1" w:lastRow="0" w:firstColumn="0" w:lastColumn="0" w:noHBand="0" w:noVBand="0"/>
        <w:tblDescription w:val="In Table 13-12 the first column describes the level of perceived need for help.Read across the rows for the proportions of those with mild, moderate, severe and major depressive disorder that had this level of need."/>
      </w:tblPr>
      <w:tblGrid>
        <w:gridCol w:w="2318"/>
        <w:gridCol w:w="1701"/>
        <w:gridCol w:w="1702"/>
        <w:gridCol w:w="1702"/>
        <w:gridCol w:w="1702"/>
      </w:tblGrid>
      <w:tr w:rsidR="0074764C" w:rsidRPr="0061672B" w:rsidTr="0074764C">
        <w:trPr>
          <w:cantSplit/>
          <w:tblHeader/>
          <w:jc w:val="center"/>
        </w:trPr>
        <w:tc>
          <w:tcPr>
            <w:tcW w:w="2318"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jc w:val="left"/>
              <w:rPr>
                <w:rStyle w:val="Strong"/>
              </w:rPr>
            </w:pPr>
            <w:bookmarkStart w:id="273" w:name="_Toc401758847"/>
          </w:p>
          <w:p w:rsidR="0074764C" w:rsidRPr="00E4760A" w:rsidRDefault="0074764C" w:rsidP="0074764C">
            <w:pPr>
              <w:pStyle w:val="TableColumnHeadings"/>
              <w:jc w:val="left"/>
              <w:rPr>
                <w:rStyle w:val="Strong"/>
              </w:rPr>
            </w:pPr>
            <w:r w:rsidRPr="00E4760A">
              <w:rPr>
                <w:rStyle w:val="Strong"/>
              </w:rPr>
              <w:t>Level of perceived need</w:t>
            </w:r>
          </w:p>
        </w:tc>
        <w:tc>
          <w:tcPr>
            <w:tcW w:w="170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Mild (%)</w:t>
            </w:r>
          </w:p>
        </w:tc>
        <w:tc>
          <w:tcPr>
            <w:tcW w:w="170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Moderate (%)</w:t>
            </w:r>
          </w:p>
        </w:tc>
        <w:tc>
          <w:tcPr>
            <w:tcW w:w="170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Severe (%)</w:t>
            </w:r>
          </w:p>
        </w:tc>
        <w:tc>
          <w:tcPr>
            <w:tcW w:w="1702" w:type="dxa"/>
            <w:tcBorders>
              <w:top w:val="single" w:sz="6" w:space="0" w:color="000000"/>
              <w:left w:val="single" w:sz="4" w:space="0" w:color="FFFFFF"/>
              <w:bottom w:val="single" w:sz="4" w:space="0" w:color="000000"/>
            </w:tcBorders>
            <w:shd w:val="clear" w:color="auto" w:fill="EFF3FF"/>
            <w:tcMar>
              <w:left w:w="28" w:type="dxa"/>
              <w:right w:w="28" w:type="dxa"/>
            </w:tcMar>
            <w:vAlign w:val="bottom"/>
          </w:tcPr>
          <w:p w:rsidR="0074764C" w:rsidRPr="00E4760A" w:rsidRDefault="0074764C" w:rsidP="0074764C">
            <w:pPr>
              <w:pStyle w:val="TableColumnHeadings"/>
              <w:rPr>
                <w:rStyle w:val="Strong"/>
              </w:rPr>
            </w:pPr>
            <w:r w:rsidRPr="00E4760A">
              <w:rPr>
                <w:rStyle w:val="Strong"/>
              </w:rPr>
              <w:t>All major depressive disorder (%)</w:t>
            </w:r>
          </w:p>
        </w:tc>
      </w:tr>
      <w:tr w:rsidR="0074764C" w:rsidRPr="0061672B" w:rsidTr="0074764C">
        <w:trPr>
          <w:cantSplit/>
          <w:jc w:val="center"/>
        </w:trPr>
        <w:tc>
          <w:tcPr>
            <w:tcW w:w="2318" w:type="dxa"/>
            <w:tcBorders>
              <w:top w:val="nil"/>
              <w:bottom w:val="single" w:sz="4" w:space="0" w:color="FFFFFF"/>
              <w:right w:val="nil"/>
            </w:tcBorders>
            <w:shd w:val="clear" w:color="auto" w:fill="EFF3FF"/>
            <w:tcMar>
              <w:left w:w="40" w:type="dxa"/>
              <w:right w:w="40" w:type="dxa"/>
            </w:tcMar>
          </w:tcPr>
          <w:p w:rsidR="0074764C" w:rsidRPr="0061672B" w:rsidRDefault="0074764C" w:rsidP="0074764C">
            <w:pPr>
              <w:pStyle w:val="TableRowHeadings"/>
              <w:tabs>
                <w:tab w:val="left" w:pos="286"/>
              </w:tabs>
              <w:rPr>
                <w:lang w:eastAsia="en-AU"/>
              </w:rPr>
            </w:pPr>
            <w:r w:rsidRPr="0061672B">
              <w:rPr>
                <w:lang w:eastAsia="en-AU"/>
              </w:rPr>
              <w:t>No need</w:t>
            </w:r>
          </w:p>
        </w:tc>
        <w:tc>
          <w:tcPr>
            <w:tcW w:w="1701"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34.6</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Pr>
                <w:lang w:eastAsia="en-AU"/>
              </w:rPr>
              <w:t>5.2</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9.3</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17.6</w:t>
            </w:r>
          </w:p>
        </w:tc>
      </w:tr>
      <w:tr w:rsidR="0074764C" w:rsidRPr="00411D5B" w:rsidTr="0074764C">
        <w:trPr>
          <w:cantSplit/>
          <w:jc w:val="center"/>
        </w:trPr>
        <w:tc>
          <w:tcPr>
            <w:tcW w:w="2318" w:type="dxa"/>
            <w:tcBorders>
              <w:top w:val="nil"/>
              <w:bottom w:val="single" w:sz="4" w:space="0" w:color="FFFFFF"/>
              <w:right w:val="nil"/>
            </w:tcBorders>
            <w:shd w:val="clear" w:color="auto" w:fill="EFF3FF"/>
            <w:tcMar>
              <w:left w:w="40" w:type="dxa"/>
              <w:right w:w="40" w:type="dxa"/>
            </w:tcMar>
          </w:tcPr>
          <w:p w:rsidR="0074764C" w:rsidRPr="00411D5B" w:rsidRDefault="0074764C" w:rsidP="0074764C">
            <w:pPr>
              <w:pStyle w:val="TableRowHeadings"/>
              <w:tabs>
                <w:tab w:val="left" w:pos="286"/>
              </w:tabs>
              <w:rPr>
                <w:lang w:eastAsia="en-AU"/>
              </w:rPr>
            </w:pPr>
            <w:r w:rsidRPr="00411D5B">
              <w:rPr>
                <w:lang w:eastAsia="en-AU"/>
              </w:rPr>
              <w:t>Any need—</w:t>
            </w:r>
          </w:p>
        </w:tc>
        <w:tc>
          <w:tcPr>
            <w:tcW w:w="1701"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65.4</w:t>
            </w:r>
          </w:p>
        </w:tc>
        <w:tc>
          <w:tcPr>
            <w:tcW w:w="1702"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94.8</w:t>
            </w:r>
          </w:p>
        </w:tc>
        <w:tc>
          <w:tcPr>
            <w:tcW w:w="1702"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90.7</w:t>
            </w:r>
          </w:p>
        </w:tc>
        <w:tc>
          <w:tcPr>
            <w:tcW w:w="1702"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82.4</w:t>
            </w:r>
          </w:p>
        </w:tc>
      </w:tr>
      <w:tr w:rsidR="0074764C" w:rsidRPr="0061672B" w:rsidTr="0074764C">
        <w:trPr>
          <w:cantSplit/>
          <w:jc w:val="center"/>
        </w:trPr>
        <w:tc>
          <w:tcPr>
            <w:tcW w:w="2318" w:type="dxa"/>
            <w:tcBorders>
              <w:top w:val="nil"/>
              <w:bottom w:val="single" w:sz="4" w:space="0" w:color="FFFFFF"/>
              <w:right w:val="nil"/>
            </w:tcBorders>
            <w:shd w:val="clear" w:color="auto" w:fill="EFF3FF"/>
            <w:tcMar>
              <w:left w:w="40" w:type="dxa"/>
              <w:right w:w="40" w:type="dxa"/>
            </w:tcMar>
          </w:tcPr>
          <w:p w:rsidR="0074764C" w:rsidRPr="0061672B" w:rsidRDefault="0074764C" w:rsidP="0074764C">
            <w:pPr>
              <w:pStyle w:val="TableRowHeadings"/>
              <w:tabs>
                <w:tab w:val="left" w:pos="286"/>
              </w:tabs>
              <w:ind w:left="10"/>
              <w:rPr>
                <w:lang w:eastAsia="en-AU"/>
              </w:rPr>
            </w:pPr>
            <w:r>
              <w:rPr>
                <w:lang w:eastAsia="en-AU"/>
              </w:rPr>
              <w:tab/>
            </w:r>
            <w:r w:rsidRPr="0061672B">
              <w:rPr>
                <w:lang w:eastAsia="en-AU"/>
              </w:rPr>
              <w:t>Needs fully met (a)</w:t>
            </w:r>
          </w:p>
        </w:tc>
        <w:tc>
          <w:tcPr>
            <w:tcW w:w="1701"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32.5</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27.8</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24.9</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28.1</w:t>
            </w:r>
          </w:p>
        </w:tc>
      </w:tr>
      <w:tr w:rsidR="0074764C" w:rsidRPr="0061672B" w:rsidTr="0074764C">
        <w:trPr>
          <w:cantSplit/>
          <w:jc w:val="center"/>
        </w:trPr>
        <w:tc>
          <w:tcPr>
            <w:tcW w:w="2318" w:type="dxa"/>
            <w:tcBorders>
              <w:top w:val="nil"/>
              <w:bottom w:val="single" w:sz="4" w:space="0" w:color="FFFFFF"/>
              <w:right w:val="nil"/>
            </w:tcBorders>
            <w:shd w:val="clear" w:color="auto" w:fill="EFF3FF"/>
            <w:tcMar>
              <w:left w:w="40" w:type="dxa"/>
              <w:right w:w="40" w:type="dxa"/>
            </w:tcMar>
          </w:tcPr>
          <w:p w:rsidR="0074764C" w:rsidRPr="0061672B" w:rsidRDefault="0074764C" w:rsidP="0074764C">
            <w:pPr>
              <w:pStyle w:val="TableRowHeadings"/>
              <w:tabs>
                <w:tab w:val="left" w:pos="286"/>
              </w:tabs>
              <w:ind w:left="10"/>
              <w:rPr>
                <w:lang w:eastAsia="en-AU"/>
              </w:rPr>
            </w:pPr>
            <w:r>
              <w:rPr>
                <w:lang w:eastAsia="en-AU"/>
              </w:rPr>
              <w:tab/>
            </w:r>
            <w:r w:rsidRPr="0061672B">
              <w:rPr>
                <w:lang w:eastAsia="en-AU"/>
              </w:rPr>
              <w:t>Needs partially met (a)</w:t>
            </w:r>
          </w:p>
        </w:tc>
        <w:tc>
          <w:tcPr>
            <w:tcW w:w="1701"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37.7</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41.6</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63.0</w:t>
            </w:r>
          </w:p>
        </w:tc>
        <w:tc>
          <w:tcPr>
            <w:tcW w:w="1702" w:type="dxa"/>
            <w:tcBorders>
              <w:top w:val="nil"/>
              <w:left w:val="nil"/>
              <w:bottom w:val="nil"/>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48.7</w:t>
            </w:r>
          </w:p>
        </w:tc>
      </w:tr>
      <w:tr w:rsidR="0074764C" w:rsidRPr="0061672B" w:rsidTr="0074764C">
        <w:trPr>
          <w:cantSplit/>
          <w:jc w:val="center"/>
        </w:trPr>
        <w:tc>
          <w:tcPr>
            <w:tcW w:w="2318" w:type="dxa"/>
            <w:tcBorders>
              <w:top w:val="nil"/>
              <w:bottom w:val="single" w:sz="6" w:space="0" w:color="000000"/>
              <w:right w:val="nil"/>
            </w:tcBorders>
            <w:shd w:val="clear" w:color="auto" w:fill="EFF3FF"/>
            <w:tcMar>
              <w:left w:w="40" w:type="dxa"/>
              <w:right w:w="40" w:type="dxa"/>
            </w:tcMar>
          </w:tcPr>
          <w:p w:rsidR="0074764C" w:rsidRPr="0061672B" w:rsidRDefault="0074764C" w:rsidP="0074764C">
            <w:pPr>
              <w:pStyle w:val="TableRowHeadings"/>
              <w:tabs>
                <w:tab w:val="left" w:pos="286"/>
              </w:tabs>
              <w:ind w:left="10"/>
              <w:rPr>
                <w:lang w:eastAsia="en-AU"/>
              </w:rPr>
            </w:pPr>
            <w:r>
              <w:rPr>
                <w:lang w:eastAsia="en-AU"/>
              </w:rPr>
              <w:tab/>
            </w:r>
            <w:r w:rsidRPr="0061672B">
              <w:rPr>
                <w:lang w:eastAsia="en-AU"/>
              </w:rPr>
              <w:t>Needs unmet (a)</w:t>
            </w:r>
          </w:p>
        </w:tc>
        <w:tc>
          <w:tcPr>
            <w:tcW w:w="1701" w:type="dxa"/>
            <w:tcBorders>
              <w:top w:val="nil"/>
              <w:left w:val="nil"/>
              <w:bottom w:val="single" w:sz="6" w:space="0" w:color="000000"/>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29.8</w:t>
            </w:r>
          </w:p>
        </w:tc>
        <w:tc>
          <w:tcPr>
            <w:tcW w:w="1702" w:type="dxa"/>
            <w:tcBorders>
              <w:top w:val="nil"/>
              <w:left w:val="nil"/>
              <w:bottom w:val="single" w:sz="6" w:space="0" w:color="000000"/>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30.7</w:t>
            </w:r>
          </w:p>
        </w:tc>
        <w:tc>
          <w:tcPr>
            <w:tcW w:w="1702" w:type="dxa"/>
            <w:tcBorders>
              <w:top w:val="nil"/>
              <w:left w:val="nil"/>
              <w:bottom w:val="single" w:sz="6" w:space="0" w:color="000000"/>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12.1</w:t>
            </w:r>
          </w:p>
        </w:tc>
        <w:tc>
          <w:tcPr>
            <w:tcW w:w="1702" w:type="dxa"/>
            <w:tcBorders>
              <w:top w:val="nil"/>
              <w:left w:val="nil"/>
              <w:bottom w:val="single" w:sz="6" w:space="0" w:color="000000"/>
              <w:right w:val="nil"/>
            </w:tcBorders>
            <w:shd w:val="clear" w:color="auto" w:fill="FFFFFF"/>
            <w:tcMar>
              <w:left w:w="40" w:type="dxa"/>
              <w:right w:w="40" w:type="dxa"/>
            </w:tcMar>
            <w:vAlign w:val="bottom"/>
          </w:tcPr>
          <w:p w:rsidR="0074764C" w:rsidRPr="0061672B" w:rsidRDefault="0074764C" w:rsidP="0074764C">
            <w:pPr>
              <w:pStyle w:val="TableDataCell"/>
              <w:rPr>
                <w:lang w:eastAsia="en-AU"/>
              </w:rPr>
            </w:pPr>
            <w:r w:rsidRPr="0061672B">
              <w:rPr>
                <w:lang w:eastAsia="en-AU"/>
              </w:rPr>
              <w:t>23.2</w:t>
            </w:r>
          </w:p>
        </w:tc>
      </w:tr>
    </w:tbl>
    <w:p w:rsidR="0074764C" w:rsidRDefault="0074764C" w:rsidP="0074764C">
      <w:pPr>
        <w:pStyle w:val="TableFootnote"/>
        <w:tabs>
          <w:tab w:val="clear" w:pos="284"/>
          <w:tab w:val="left" w:pos="0"/>
        </w:tabs>
      </w:pPr>
      <w:r>
        <w:t>(a)</w:t>
      </w:r>
      <w:r>
        <w:tab/>
      </w:r>
      <w:r w:rsidRPr="00CB5D38">
        <w:t>The proportion of those reporting any need whose needs were fully met, partially met or unmet.</w:t>
      </w:r>
    </w:p>
    <w:p w:rsidR="0074764C" w:rsidRDefault="0074764C" w:rsidP="0074764C">
      <w:pPr>
        <w:pStyle w:val="BodyText"/>
      </w:pPr>
      <w:r>
        <w:lastRenderedPageBreak/>
        <w:t xml:space="preserve">For adolescents aged 13-17 years identified as having mental </w:t>
      </w:r>
      <w:r w:rsidRPr="00A53657">
        <w:t>disorder</w:t>
      </w:r>
      <w:r>
        <w:t>s</w:t>
      </w:r>
      <w:r w:rsidRPr="00A53657">
        <w:t xml:space="preserve"> based on</w:t>
      </w:r>
      <w:r>
        <w:t xml:space="preserve"> the information provided by parents and carers, a larger percentage of those with severe (70.0%) and moderate disorders (67.8%) indicated a need for help than those with mild disorders (41.1%) </w:t>
      </w:r>
      <w:proofErr w:type="gramStart"/>
      <w:r>
        <w:t>(Table 13-</w:t>
      </w:r>
      <w:r>
        <w:rPr>
          <w:noProof/>
        </w:rPr>
        <w:t>13</w:t>
      </w:r>
      <w:r>
        <w:t>).</w:t>
      </w:r>
      <w:proofErr w:type="gramEnd"/>
    </w:p>
    <w:p w:rsidR="0074764C" w:rsidRDefault="0074764C" w:rsidP="0074764C">
      <w:pPr>
        <w:pStyle w:val="BodyText"/>
      </w:pPr>
      <w:r w:rsidRPr="005F6395">
        <w:t>A</w:t>
      </w:r>
      <w:r>
        <w:t>bout nine in ten</w:t>
      </w:r>
      <w:r w:rsidRPr="005F6395">
        <w:t xml:space="preserve"> </w:t>
      </w:r>
      <w:r>
        <w:t xml:space="preserve">of those </w:t>
      </w:r>
      <w:r w:rsidRPr="005F6395">
        <w:t xml:space="preserve">with a severe </w:t>
      </w:r>
      <w:r>
        <w:t xml:space="preserve">or moderate </w:t>
      </w:r>
      <w:r w:rsidRPr="005F6395">
        <w:t xml:space="preserve">disorder </w:t>
      </w:r>
      <w:r>
        <w:t xml:space="preserve">(91.2% and 90.2% respectively) who reported </w:t>
      </w:r>
      <w:r w:rsidRPr="005F6395">
        <w:t xml:space="preserve">some type of need for help indicated that their needs were </w:t>
      </w:r>
      <w:r>
        <w:t xml:space="preserve">either </w:t>
      </w:r>
      <w:r w:rsidRPr="005F6395">
        <w:t xml:space="preserve">fully </w:t>
      </w:r>
      <w:r>
        <w:t xml:space="preserve">met (42.4% for severe disorders and 49.4% for moderate disorders) </w:t>
      </w:r>
      <w:r w:rsidRPr="005F6395">
        <w:t>or partially met</w:t>
      </w:r>
      <w:r>
        <w:t xml:space="preserve"> (48.8% for severe disorders and 40.8% for moderate disorders). Slightly l</w:t>
      </w:r>
      <w:r w:rsidRPr="005F6395">
        <w:t xml:space="preserve">ower rates </w:t>
      </w:r>
      <w:r>
        <w:t xml:space="preserve">(79.2%) </w:t>
      </w:r>
      <w:r w:rsidRPr="005F6395">
        <w:t xml:space="preserve">of met need </w:t>
      </w:r>
      <w:r>
        <w:t>(</w:t>
      </w:r>
      <w:r w:rsidRPr="005F6395">
        <w:t>fully or partially</w:t>
      </w:r>
      <w:r>
        <w:t>)</w:t>
      </w:r>
      <w:r w:rsidRPr="005F6395">
        <w:t xml:space="preserve"> were reported by adolescents </w:t>
      </w:r>
      <w:r>
        <w:t>identified as having mild disorders.</w:t>
      </w:r>
    </w:p>
    <w:p w:rsidR="0074764C" w:rsidRDefault="0074764C" w:rsidP="0074764C">
      <w:pPr>
        <w:pStyle w:val="Caption"/>
        <w:keepNext/>
      </w:pPr>
      <w:bookmarkStart w:id="274" w:name="_Ref409079742"/>
      <w:r>
        <w:t>Table 13-</w:t>
      </w:r>
      <w:r>
        <w:rPr>
          <w:noProof/>
        </w:rPr>
        <w:t>13</w:t>
      </w:r>
      <w:bookmarkEnd w:id="274"/>
      <w:r>
        <w:t xml:space="preserve">: Perceived need for any type of help </w:t>
      </w:r>
      <w:r w:rsidRPr="00C97BCE">
        <w:t xml:space="preserve">for emotional or behavioural problems </w:t>
      </w:r>
      <w:r>
        <w:t>in past 12 months among 13-17 year-olds with mental disorders by parent or carer report by severity of impact</w:t>
      </w:r>
    </w:p>
    <w:tbl>
      <w:tblPr>
        <w:tblW w:w="9126" w:type="dxa"/>
        <w:jc w:val="center"/>
        <w:tblLayout w:type="fixed"/>
        <w:tblCellMar>
          <w:left w:w="0" w:type="dxa"/>
          <w:right w:w="0" w:type="dxa"/>
        </w:tblCellMar>
        <w:tblLook w:val="0020" w:firstRow="1" w:lastRow="0" w:firstColumn="0" w:lastColumn="0" w:noHBand="0" w:noVBand="0"/>
        <w:tblDescription w:val="In Table 13-13 the first column describes the level of perceived need for help. Read across the rows for the proportions of those with mild, moderate, severe disorders and any mental disorder that had this level of need."/>
      </w:tblPr>
      <w:tblGrid>
        <w:gridCol w:w="3060"/>
        <w:gridCol w:w="1516"/>
        <w:gridCol w:w="1517"/>
        <w:gridCol w:w="1516"/>
        <w:gridCol w:w="1517"/>
      </w:tblGrid>
      <w:tr w:rsidR="0074764C" w:rsidRPr="00AA0F1E" w:rsidTr="0074764C">
        <w:trPr>
          <w:cantSplit/>
          <w:tblHeader/>
          <w:jc w:val="center"/>
        </w:trPr>
        <w:tc>
          <w:tcPr>
            <w:tcW w:w="3060"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jc w:val="left"/>
              <w:rPr>
                <w:rStyle w:val="Strong"/>
              </w:rPr>
            </w:pPr>
          </w:p>
          <w:p w:rsidR="0074764C" w:rsidRPr="00E4760A" w:rsidRDefault="0074764C" w:rsidP="0074764C">
            <w:pPr>
              <w:pStyle w:val="TableColumnHeadings"/>
              <w:jc w:val="left"/>
              <w:rPr>
                <w:rStyle w:val="Strong"/>
              </w:rPr>
            </w:pPr>
            <w:r w:rsidRPr="00E4760A">
              <w:rPr>
                <w:rStyle w:val="Strong"/>
              </w:rPr>
              <w:t>Level of perceived need</w:t>
            </w:r>
          </w:p>
        </w:tc>
        <w:tc>
          <w:tcPr>
            <w:tcW w:w="15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Mild (%)</w:t>
            </w:r>
          </w:p>
        </w:tc>
        <w:tc>
          <w:tcPr>
            <w:tcW w:w="151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Moderate (%)</w:t>
            </w:r>
          </w:p>
        </w:tc>
        <w:tc>
          <w:tcPr>
            <w:tcW w:w="151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Severe (%)</w:t>
            </w:r>
          </w:p>
        </w:tc>
        <w:tc>
          <w:tcPr>
            <w:tcW w:w="151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Any mental disorder (%)</w:t>
            </w:r>
          </w:p>
        </w:tc>
      </w:tr>
      <w:tr w:rsidR="0074764C" w:rsidRPr="00AA0F1E" w:rsidTr="0074764C">
        <w:trPr>
          <w:cantSplit/>
          <w:jc w:val="center"/>
        </w:trPr>
        <w:tc>
          <w:tcPr>
            <w:tcW w:w="3060" w:type="dxa"/>
            <w:tcBorders>
              <w:top w:val="nil"/>
              <w:bottom w:val="single" w:sz="4" w:space="0" w:color="FFFFFF"/>
              <w:right w:val="nil"/>
            </w:tcBorders>
            <w:shd w:val="clear" w:color="auto" w:fill="EFF3FF"/>
            <w:tcMar>
              <w:left w:w="40" w:type="dxa"/>
              <w:right w:w="40" w:type="dxa"/>
            </w:tcMar>
          </w:tcPr>
          <w:p w:rsidR="0074764C" w:rsidRPr="00AA0F1E" w:rsidRDefault="0074764C" w:rsidP="0074764C">
            <w:pPr>
              <w:pStyle w:val="TableRowHeadings"/>
              <w:tabs>
                <w:tab w:val="left" w:pos="275"/>
              </w:tabs>
              <w:rPr>
                <w:lang w:eastAsia="en-AU"/>
              </w:rPr>
            </w:pPr>
            <w:r w:rsidRPr="00AA0F1E">
              <w:rPr>
                <w:lang w:eastAsia="en-AU"/>
              </w:rPr>
              <w:t>No need</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58.9</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32.2</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30.0</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43.6</w:t>
            </w:r>
          </w:p>
        </w:tc>
      </w:tr>
      <w:tr w:rsidR="0074764C" w:rsidRPr="00411D5B" w:rsidTr="0074764C">
        <w:trPr>
          <w:cantSplit/>
          <w:jc w:val="center"/>
        </w:trPr>
        <w:tc>
          <w:tcPr>
            <w:tcW w:w="3060" w:type="dxa"/>
            <w:tcBorders>
              <w:top w:val="nil"/>
              <w:bottom w:val="single" w:sz="4" w:space="0" w:color="FFFFFF"/>
              <w:right w:val="nil"/>
            </w:tcBorders>
            <w:shd w:val="clear" w:color="auto" w:fill="EFF3FF"/>
            <w:tcMar>
              <w:left w:w="40" w:type="dxa"/>
              <w:right w:w="40" w:type="dxa"/>
            </w:tcMar>
          </w:tcPr>
          <w:p w:rsidR="0074764C" w:rsidRPr="00411D5B" w:rsidRDefault="0074764C" w:rsidP="0074764C">
            <w:pPr>
              <w:pStyle w:val="TableRowHeadings"/>
              <w:tabs>
                <w:tab w:val="left" w:pos="275"/>
              </w:tabs>
              <w:rPr>
                <w:lang w:eastAsia="en-AU"/>
              </w:rPr>
            </w:pPr>
            <w:r w:rsidRPr="00411D5B">
              <w:rPr>
                <w:lang w:eastAsia="en-AU"/>
              </w:rPr>
              <w:t>Any need—</w:t>
            </w:r>
          </w:p>
        </w:tc>
        <w:tc>
          <w:tcPr>
            <w:tcW w:w="151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41.1</w:t>
            </w:r>
          </w:p>
        </w:tc>
        <w:tc>
          <w:tcPr>
            <w:tcW w:w="1517"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67.8</w:t>
            </w:r>
          </w:p>
        </w:tc>
        <w:tc>
          <w:tcPr>
            <w:tcW w:w="1516"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70.0</w:t>
            </w:r>
          </w:p>
        </w:tc>
        <w:tc>
          <w:tcPr>
            <w:tcW w:w="1517" w:type="dxa"/>
            <w:tcBorders>
              <w:top w:val="nil"/>
              <w:left w:val="nil"/>
              <w:bottom w:val="nil"/>
              <w:right w:val="nil"/>
            </w:tcBorders>
            <w:shd w:val="clear" w:color="auto" w:fill="FFFFFF"/>
            <w:tcMar>
              <w:left w:w="40" w:type="dxa"/>
              <w:right w:w="40" w:type="dxa"/>
            </w:tcMar>
            <w:vAlign w:val="bottom"/>
          </w:tcPr>
          <w:p w:rsidR="0074764C" w:rsidRPr="00411D5B" w:rsidRDefault="0074764C" w:rsidP="0074764C">
            <w:pPr>
              <w:pStyle w:val="TableDataCell"/>
              <w:rPr>
                <w:lang w:eastAsia="en-AU"/>
              </w:rPr>
            </w:pPr>
            <w:r w:rsidRPr="00411D5B">
              <w:rPr>
                <w:lang w:eastAsia="en-AU"/>
              </w:rPr>
              <w:t>56.4</w:t>
            </w:r>
          </w:p>
        </w:tc>
      </w:tr>
      <w:tr w:rsidR="0074764C" w:rsidRPr="00AA0F1E" w:rsidTr="0074764C">
        <w:trPr>
          <w:cantSplit/>
          <w:jc w:val="center"/>
        </w:trPr>
        <w:tc>
          <w:tcPr>
            <w:tcW w:w="3060" w:type="dxa"/>
            <w:tcBorders>
              <w:top w:val="nil"/>
              <w:bottom w:val="single" w:sz="4" w:space="0" w:color="FFFFFF"/>
              <w:right w:val="nil"/>
            </w:tcBorders>
            <w:shd w:val="clear" w:color="auto" w:fill="EFF3FF"/>
            <w:tcMar>
              <w:left w:w="40" w:type="dxa"/>
              <w:right w:w="40" w:type="dxa"/>
            </w:tcMar>
          </w:tcPr>
          <w:p w:rsidR="0074764C" w:rsidRPr="00AA0F1E" w:rsidRDefault="0074764C" w:rsidP="0074764C">
            <w:pPr>
              <w:pStyle w:val="TableRowHeadings"/>
              <w:tabs>
                <w:tab w:val="left" w:pos="275"/>
              </w:tabs>
              <w:rPr>
                <w:lang w:eastAsia="en-AU"/>
              </w:rPr>
            </w:pPr>
            <w:r>
              <w:rPr>
                <w:lang w:eastAsia="en-AU"/>
              </w:rPr>
              <w:tab/>
            </w:r>
            <w:r w:rsidRPr="00AA0F1E">
              <w:rPr>
                <w:lang w:eastAsia="en-AU"/>
              </w:rPr>
              <w:t>Needs fully met (a)</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49.3</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49.4</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42.4</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47.5</w:t>
            </w:r>
          </w:p>
        </w:tc>
      </w:tr>
      <w:tr w:rsidR="0074764C" w:rsidRPr="00AA0F1E" w:rsidTr="0074764C">
        <w:trPr>
          <w:cantSplit/>
          <w:jc w:val="center"/>
        </w:trPr>
        <w:tc>
          <w:tcPr>
            <w:tcW w:w="3060" w:type="dxa"/>
            <w:tcBorders>
              <w:top w:val="nil"/>
              <w:bottom w:val="single" w:sz="4" w:space="0" w:color="FFFFFF"/>
              <w:right w:val="nil"/>
            </w:tcBorders>
            <w:shd w:val="clear" w:color="auto" w:fill="EFF3FF"/>
            <w:tcMar>
              <w:left w:w="40" w:type="dxa"/>
              <w:right w:w="40" w:type="dxa"/>
            </w:tcMar>
          </w:tcPr>
          <w:p w:rsidR="0074764C" w:rsidRPr="00AA0F1E" w:rsidRDefault="0074764C" w:rsidP="0074764C">
            <w:pPr>
              <w:pStyle w:val="TableRowHeadings"/>
              <w:tabs>
                <w:tab w:val="left" w:pos="275"/>
              </w:tabs>
              <w:rPr>
                <w:lang w:eastAsia="en-AU"/>
              </w:rPr>
            </w:pPr>
            <w:r>
              <w:rPr>
                <w:lang w:eastAsia="en-AU"/>
              </w:rPr>
              <w:tab/>
            </w:r>
            <w:r w:rsidRPr="00AA0F1E">
              <w:rPr>
                <w:lang w:eastAsia="en-AU"/>
              </w:rPr>
              <w:t>Needs partially met (a)</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29.9</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40.8</w:t>
            </w:r>
          </w:p>
        </w:tc>
        <w:tc>
          <w:tcPr>
            <w:tcW w:w="1516"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48.8</w:t>
            </w:r>
          </w:p>
        </w:tc>
        <w:tc>
          <w:tcPr>
            <w:tcW w:w="1517" w:type="dxa"/>
            <w:tcBorders>
              <w:top w:val="nil"/>
              <w:left w:val="nil"/>
              <w:bottom w:val="nil"/>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39.4</w:t>
            </w:r>
          </w:p>
        </w:tc>
      </w:tr>
      <w:tr w:rsidR="0074764C" w:rsidRPr="00AA0F1E" w:rsidTr="0074764C">
        <w:trPr>
          <w:cantSplit/>
          <w:jc w:val="center"/>
        </w:trPr>
        <w:tc>
          <w:tcPr>
            <w:tcW w:w="3060" w:type="dxa"/>
            <w:tcBorders>
              <w:top w:val="nil"/>
              <w:bottom w:val="single" w:sz="6" w:space="0" w:color="000000"/>
              <w:right w:val="nil"/>
            </w:tcBorders>
            <w:shd w:val="clear" w:color="auto" w:fill="EFF3FF"/>
            <w:tcMar>
              <w:left w:w="40" w:type="dxa"/>
              <w:right w:w="40" w:type="dxa"/>
            </w:tcMar>
          </w:tcPr>
          <w:p w:rsidR="0074764C" w:rsidRPr="00AA0F1E" w:rsidRDefault="0074764C" w:rsidP="0074764C">
            <w:pPr>
              <w:pStyle w:val="TableRowHeadings"/>
              <w:tabs>
                <w:tab w:val="left" w:pos="275"/>
              </w:tabs>
              <w:rPr>
                <w:lang w:eastAsia="en-AU"/>
              </w:rPr>
            </w:pPr>
            <w:r>
              <w:rPr>
                <w:lang w:eastAsia="en-AU"/>
              </w:rPr>
              <w:tab/>
            </w:r>
            <w:r w:rsidRPr="00AA0F1E">
              <w:rPr>
                <w:lang w:eastAsia="en-AU"/>
              </w:rPr>
              <w:t>Needs unmet (a)</w:t>
            </w:r>
          </w:p>
        </w:tc>
        <w:tc>
          <w:tcPr>
            <w:tcW w:w="1516" w:type="dxa"/>
            <w:tcBorders>
              <w:top w:val="nil"/>
              <w:left w:val="nil"/>
              <w:bottom w:val="single" w:sz="6" w:space="0" w:color="000000"/>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20.8</w:t>
            </w:r>
          </w:p>
        </w:tc>
        <w:tc>
          <w:tcPr>
            <w:tcW w:w="1517" w:type="dxa"/>
            <w:tcBorders>
              <w:top w:val="nil"/>
              <w:left w:val="nil"/>
              <w:bottom w:val="single" w:sz="6" w:space="0" w:color="000000"/>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9.8</w:t>
            </w:r>
          </w:p>
        </w:tc>
        <w:tc>
          <w:tcPr>
            <w:tcW w:w="1516" w:type="dxa"/>
            <w:tcBorders>
              <w:top w:val="nil"/>
              <w:left w:val="nil"/>
              <w:bottom w:val="single" w:sz="6" w:space="0" w:color="000000"/>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8.8</w:t>
            </w:r>
          </w:p>
        </w:tc>
        <w:tc>
          <w:tcPr>
            <w:tcW w:w="1517" w:type="dxa"/>
            <w:tcBorders>
              <w:top w:val="nil"/>
              <w:left w:val="nil"/>
              <w:bottom w:val="single" w:sz="6" w:space="0" w:color="000000"/>
              <w:right w:val="nil"/>
            </w:tcBorders>
            <w:shd w:val="clear" w:color="auto" w:fill="FFFFFF"/>
            <w:tcMar>
              <w:left w:w="40" w:type="dxa"/>
              <w:right w:w="40" w:type="dxa"/>
            </w:tcMar>
            <w:vAlign w:val="bottom"/>
          </w:tcPr>
          <w:p w:rsidR="0074764C" w:rsidRPr="00AA0F1E" w:rsidRDefault="0074764C" w:rsidP="0074764C">
            <w:pPr>
              <w:pStyle w:val="TableDataCell"/>
              <w:rPr>
                <w:lang w:eastAsia="en-AU"/>
              </w:rPr>
            </w:pPr>
            <w:r w:rsidRPr="00AA0F1E">
              <w:rPr>
                <w:lang w:eastAsia="en-AU"/>
              </w:rPr>
              <w:t>13.1</w:t>
            </w:r>
          </w:p>
        </w:tc>
      </w:tr>
    </w:tbl>
    <w:p w:rsidR="0074764C" w:rsidRPr="00BD154B" w:rsidRDefault="0074764C" w:rsidP="0074764C">
      <w:pPr>
        <w:pStyle w:val="TableFootnote"/>
      </w:pPr>
      <w:r w:rsidRPr="00CB5D38">
        <w:t>(a)</w:t>
      </w:r>
      <w:r>
        <w:tab/>
      </w:r>
      <w:r w:rsidRPr="00CB5D38">
        <w:t>The proportion of those reporting any need whose needs were fully met, partially met or unmet.</w:t>
      </w:r>
    </w:p>
    <w:p w:rsidR="0074764C" w:rsidRDefault="0074764C" w:rsidP="0074764C">
      <w:pPr>
        <w:pStyle w:val="Heading3"/>
      </w:pPr>
      <w:r w:rsidRPr="00C97BCE">
        <w:t>13.6.</w:t>
      </w:r>
      <w:r>
        <w:t>3</w:t>
      </w:r>
      <w:r w:rsidRPr="00C97BCE">
        <w:t xml:space="preserve"> </w:t>
      </w:r>
      <w:r w:rsidRPr="00C97BCE">
        <w:tab/>
      </w:r>
      <w:r>
        <w:t>Comparing adolescent and parent or carer views about perceived need for help</w:t>
      </w:r>
    </w:p>
    <w:p w:rsidR="0074764C" w:rsidRPr="0056102E" w:rsidRDefault="0074764C" w:rsidP="0074764C">
      <w:pPr>
        <w:pStyle w:val="BodyText"/>
      </w:pPr>
      <w:r>
        <w:t xml:space="preserve">Adolescents aged 13-17 years with mental disorders </w:t>
      </w:r>
      <w:r w:rsidRPr="00A53657">
        <w:t>based on</w:t>
      </w:r>
      <w:r>
        <w:t xml:space="preserve"> the information provided by their parent or carer were less likely to report a need for any help than parents and carers (56.4% compared to 84.</w:t>
      </w:r>
      <w:r w:rsidR="00335A0E">
        <w:t>8</w:t>
      </w:r>
      <w:r>
        <w:t>%) (Table 13-</w:t>
      </w:r>
      <w:r>
        <w:rPr>
          <w:noProof/>
        </w:rPr>
        <w:t>14</w:t>
      </w:r>
      <w:r>
        <w:t>). Parents and carers were more likely to report a need for help for all types of help except for prescribed medication were a similar proportion of adolescents reported a need for help.</w:t>
      </w:r>
    </w:p>
    <w:p w:rsidR="0074764C" w:rsidRDefault="0074764C" w:rsidP="0074764C">
      <w:pPr>
        <w:pStyle w:val="Caption"/>
        <w:keepNext/>
      </w:pPr>
      <w:bookmarkStart w:id="275" w:name="_Ref409080225"/>
      <w:r>
        <w:t>Table 13-</w:t>
      </w:r>
      <w:r>
        <w:rPr>
          <w:noProof/>
        </w:rPr>
        <w:t>14</w:t>
      </w:r>
      <w:bookmarkEnd w:id="275"/>
      <w:r>
        <w:t xml:space="preserve">: Perceived need for help </w:t>
      </w:r>
      <w:r w:rsidRPr="00C97BCE">
        <w:t xml:space="preserve">for emotional or behavioural problems </w:t>
      </w:r>
      <w:r>
        <w:t>in past 12 months by parent or carer report and adolescent report among 13-17 year-olds with mental disorders by parent or carer report</w:t>
      </w:r>
    </w:p>
    <w:tbl>
      <w:tblPr>
        <w:tblW w:w="9116" w:type="dxa"/>
        <w:jc w:val="center"/>
        <w:tblLayout w:type="fixed"/>
        <w:tblCellMar>
          <w:left w:w="0" w:type="dxa"/>
          <w:right w:w="0" w:type="dxa"/>
        </w:tblCellMar>
        <w:tblLook w:val="0020" w:firstRow="1" w:lastRow="0" w:firstColumn="0" w:lastColumn="0" w:noHBand="0" w:noVBand="0"/>
        <w:tblDescription w:val="In Table 13-14 the first column describes the type of help needed for emotional or behavioural problems. Read across the rows for the proportion of parents or carers, and adolescents who perceived any need for this type of help."/>
      </w:tblPr>
      <w:tblGrid>
        <w:gridCol w:w="4799"/>
        <w:gridCol w:w="2158"/>
        <w:gridCol w:w="2159"/>
      </w:tblGrid>
      <w:tr w:rsidR="0074764C" w:rsidRPr="001C1812" w:rsidTr="0074764C">
        <w:trPr>
          <w:cantSplit/>
          <w:tblHeader/>
          <w:jc w:val="center"/>
        </w:trPr>
        <w:tc>
          <w:tcPr>
            <w:tcW w:w="4799"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jc w:val="left"/>
              <w:rPr>
                <w:rStyle w:val="Strong"/>
              </w:rPr>
            </w:pPr>
          </w:p>
          <w:p w:rsidR="0074764C" w:rsidRPr="00E4760A" w:rsidRDefault="0074764C" w:rsidP="0074764C">
            <w:pPr>
              <w:pStyle w:val="TableColumnHeadings"/>
              <w:jc w:val="left"/>
              <w:rPr>
                <w:rStyle w:val="Strong"/>
              </w:rPr>
            </w:pPr>
            <w:r w:rsidRPr="00E4760A">
              <w:rPr>
                <w:rStyle w:val="Strong"/>
              </w:rPr>
              <w:t>Type of help</w:t>
            </w:r>
          </w:p>
        </w:tc>
        <w:tc>
          <w:tcPr>
            <w:tcW w:w="215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Proportion with a need as reported by parent or carer (%)</w:t>
            </w:r>
          </w:p>
        </w:tc>
        <w:tc>
          <w:tcPr>
            <w:tcW w:w="215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E4760A" w:rsidRDefault="0074764C" w:rsidP="0074764C">
            <w:pPr>
              <w:pStyle w:val="TableColumnHeadings"/>
              <w:rPr>
                <w:rStyle w:val="Strong"/>
              </w:rPr>
            </w:pPr>
            <w:r w:rsidRPr="00E4760A">
              <w:rPr>
                <w:rStyle w:val="Strong"/>
              </w:rPr>
              <w:t>Proportion with a need as reported by the adolescent (%)</w:t>
            </w:r>
          </w:p>
        </w:tc>
      </w:tr>
      <w:tr w:rsidR="0074764C" w:rsidRPr="001C1812" w:rsidTr="0074764C">
        <w:trPr>
          <w:cantSplit/>
          <w:jc w:val="center"/>
        </w:trPr>
        <w:tc>
          <w:tcPr>
            <w:tcW w:w="4799" w:type="dxa"/>
            <w:tcBorders>
              <w:top w:val="nil"/>
              <w:bottom w:val="single" w:sz="4" w:space="0" w:color="FFFFFF"/>
              <w:right w:val="nil"/>
            </w:tcBorders>
            <w:shd w:val="clear" w:color="auto" w:fill="EFF3FF"/>
            <w:tcMar>
              <w:left w:w="40" w:type="dxa"/>
              <w:right w:w="40" w:type="dxa"/>
            </w:tcMar>
          </w:tcPr>
          <w:p w:rsidR="0074764C" w:rsidRPr="001C1812" w:rsidRDefault="0074764C" w:rsidP="0074764C">
            <w:pPr>
              <w:pStyle w:val="TableRowHeadings"/>
              <w:rPr>
                <w:lang w:eastAsia="en-AU"/>
              </w:rPr>
            </w:pPr>
            <w:r w:rsidRPr="001C1812">
              <w:rPr>
                <w:lang w:eastAsia="en-AU"/>
              </w:rPr>
              <w:t>Information</w:t>
            </w:r>
          </w:p>
        </w:tc>
        <w:tc>
          <w:tcPr>
            <w:tcW w:w="2158" w:type="dxa"/>
            <w:tcBorders>
              <w:top w:val="nil"/>
              <w:left w:val="nil"/>
              <w:bottom w:val="nil"/>
              <w:right w:val="nil"/>
            </w:tcBorders>
            <w:shd w:val="clear" w:color="auto" w:fill="FFFFFF"/>
            <w:tcMar>
              <w:left w:w="40" w:type="dxa"/>
              <w:right w:w="40" w:type="dxa"/>
            </w:tcMar>
          </w:tcPr>
          <w:p w:rsidR="0074764C" w:rsidRPr="00260086" w:rsidRDefault="0074764C" w:rsidP="0074764C">
            <w:pPr>
              <w:pStyle w:val="TableDataCell"/>
            </w:pPr>
            <w:r w:rsidRPr="00260086">
              <w:t>50.6</w:t>
            </w:r>
          </w:p>
        </w:tc>
        <w:tc>
          <w:tcPr>
            <w:tcW w:w="2159" w:type="dxa"/>
            <w:tcBorders>
              <w:top w:val="nil"/>
              <w:left w:val="nil"/>
              <w:bottom w:val="nil"/>
              <w:right w:val="nil"/>
            </w:tcBorders>
            <w:shd w:val="clear" w:color="auto" w:fill="FFFFFF"/>
            <w:tcMar>
              <w:left w:w="40" w:type="dxa"/>
              <w:right w:w="40" w:type="dxa"/>
            </w:tcMar>
            <w:vAlign w:val="bottom"/>
          </w:tcPr>
          <w:p w:rsidR="0074764C" w:rsidRPr="001C1812" w:rsidRDefault="0074764C" w:rsidP="0074764C">
            <w:pPr>
              <w:pStyle w:val="TableDataCell"/>
              <w:rPr>
                <w:lang w:eastAsia="en-AU"/>
              </w:rPr>
            </w:pPr>
            <w:r w:rsidRPr="001C1812">
              <w:rPr>
                <w:lang w:eastAsia="en-AU"/>
              </w:rPr>
              <w:t>35.7</w:t>
            </w:r>
          </w:p>
        </w:tc>
      </w:tr>
      <w:tr w:rsidR="0074764C" w:rsidRPr="001C1812" w:rsidTr="0074764C">
        <w:trPr>
          <w:cantSplit/>
          <w:jc w:val="center"/>
        </w:trPr>
        <w:tc>
          <w:tcPr>
            <w:tcW w:w="4799" w:type="dxa"/>
            <w:tcBorders>
              <w:top w:val="nil"/>
              <w:bottom w:val="single" w:sz="4" w:space="0" w:color="FFFFFF"/>
              <w:right w:val="nil"/>
            </w:tcBorders>
            <w:shd w:val="clear" w:color="auto" w:fill="EFF3FF"/>
            <w:tcMar>
              <w:left w:w="40" w:type="dxa"/>
              <w:right w:w="40" w:type="dxa"/>
            </w:tcMar>
          </w:tcPr>
          <w:p w:rsidR="0074764C" w:rsidRPr="001C1812" w:rsidRDefault="0074764C" w:rsidP="0074764C">
            <w:pPr>
              <w:pStyle w:val="TableRowHeadings"/>
              <w:rPr>
                <w:lang w:eastAsia="en-AU"/>
              </w:rPr>
            </w:pPr>
            <w:r w:rsidRPr="001C1812">
              <w:rPr>
                <w:lang w:eastAsia="en-AU"/>
              </w:rPr>
              <w:t>Medication</w:t>
            </w:r>
          </w:p>
        </w:tc>
        <w:tc>
          <w:tcPr>
            <w:tcW w:w="2158" w:type="dxa"/>
            <w:tcBorders>
              <w:top w:val="nil"/>
              <w:left w:val="nil"/>
              <w:bottom w:val="nil"/>
              <w:right w:val="nil"/>
            </w:tcBorders>
            <w:shd w:val="clear" w:color="auto" w:fill="FFFFFF"/>
            <w:tcMar>
              <w:left w:w="40" w:type="dxa"/>
              <w:right w:w="40" w:type="dxa"/>
            </w:tcMar>
          </w:tcPr>
          <w:p w:rsidR="0074764C" w:rsidRPr="00260086" w:rsidRDefault="0074764C" w:rsidP="0074764C">
            <w:pPr>
              <w:pStyle w:val="TableDataCell"/>
            </w:pPr>
            <w:r w:rsidRPr="00260086">
              <w:t>28.9</w:t>
            </w:r>
          </w:p>
        </w:tc>
        <w:tc>
          <w:tcPr>
            <w:tcW w:w="2159" w:type="dxa"/>
            <w:tcBorders>
              <w:top w:val="nil"/>
              <w:left w:val="nil"/>
              <w:bottom w:val="nil"/>
              <w:right w:val="nil"/>
            </w:tcBorders>
            <w:shd w:val="clear" w:color="auto" w:fill="FFFFFF"/>
            <w:tcMar>
              <w:left w:w="40" w:type="dxa"/>
              <w:right w:w="40" w:type="dxa"/>
            </w:tcMar>
            <w:vAlign w:val="bottom"/>
          </w:tcPr>
          <w:p w:rsidR="0074764C" w:rsidRPr="001C1812" w:rsidRDefault="0074764C" w:rsidP="0074764C">
            <w:pPr>
              <w:pStyle w:val="TableDataCell"/>
              <w:rPr>
                <w:lang w:eastAsia="en-AU"/>
              </w:rPr>
            </w:pPr>
            <w:r w:rsidRPr="001C1812">
              <w:rPr>
                <w:lang w:eastAsia="en-AU"/>
              </w:rPr>
              <w:t>28.3</w:t>
            </w:r>
          </w:p>
        </w:tc>
      </w:tr>
      <w:tr w:rsidR="0074764C" w:rsidRPr="001C1812" w:rsidTr="0074764C">
        <w:trPr>
          <w:cantSplit/>
          <w:jc w:val="center"/>
        </w:trPr>
        <w:tc>
          <w:tcPr>
            <w:tcW w:w="4799" w:type="dxa"/>
            <w:tcBorders>
              <w:top w:val="nil"/>
              <w:bottom w:val="single" w:sz="4" w:space="0" w:color="FFFFFF"/>
              <w:right w:val="nil"/>
            </w:tcBorders>
            <w:shd w:val="clear" w:color="auto" w:fill="EFF3FF"/>
            <w:tcMar>
              <w:left w:w="40" w:type="dxa"/>
              <w:right w:w="40" w:type="dxa"/>
            </w:tcMar>
          </w:tcPr>
          <w:p w:rsidR="0074764C" w:rsidRPr="001C1812" w:rsidRDefault="0074764C" w:rsidP="0074764C">
            <w:pPr>
              <w:pStyle w:val="TableRowHeadings"/>
              <w:rPr>
                <w:lang w:eastAsia="en-AU"/>
              </w:rPr>
            </w:pPr>
            <w:r w:rsidRPr="001C1812">
              <w:rPr>
                <w:lang w:eastAsia="en-AU"/>
              </w:rPr>
              <w:t>Counselling</w:t>
            </w:r>
          </w:p>
        </w:tc>
        <w:tc>
          <w:tcPr>
            <w:tcW w:w="2158" w:type="dxa"/>
            <w:tcBorders>
              <w:top w:val="nil"/>
              <w:left w:val="nil"/>
              <w:bottom w:val="nil"/>
              <w:right w:val="nil"/>
            </w:tcBorders>
            <w:shd w:val="clear" w:color="auto" w:fill="FFFFFF"/>
            <w:tcMar>
              <w:left w:w="40" w:type="dxa"/>
              <w:right w:w="40" w:type="dxa"/>
            </w:tcMar>
          </w:tcPr>
          <w:p w:rsidR="0074764C" w:rsidRPr="00260086" w:rsidRDefault="0074764C" w:rsidP="0074764C">
            <w:pPr>
              <w:pStyle w:val="TableDataCell"/>
            </w:pPr>
            <w:r w:rsidRPr="00260086">
              <w:t>76.1</w:t>
            </w:r>
          </w:p>
        </w:tc>
        <w:tc>
          <w:tcPr>
            <w:tcW w:w="2159" w:type="dxa"/>
            <w:tcBorders>
              <w:top w:val="nil"/>
              <w:left w:val="nil"/>
              <w:bottom w:val="nil"/>
              <w:right w:val="nil"/>
            </w:tcBorders>
            <w:shd w:val="clear" w:color="auto" w:fill="FFFFFF"/>
            <w:tcMar>
              <w:left w:w="40" w:type="dxa"/>
              <w:right w:w="40" w:type="dxa"/>
            </w:tcMar>
            <w:vAlign w:val="bottom"/>
          </w:tcPr>
          <w:p w:rsidR="0074764C" w:rsidRPr="001C1812" w:rsidRDefault="0074764C" w:rsidP="0074764C">
            <w:pPr>
              <w:pStyle w:val="TableDataCell"/>
              <w:rPr>
                <w:lang w:eastAsia="en-AU"/>
              </w:rPr>
            </w:pPr>
            <w:r w:rsidRPr="001C1812">
              <w:rPr>
                <w:lang w:eastAsia="en-AU"/>
              </w:rPr>
              <w:t>41.6</w:t>
            </w:r>
          </w:p>
        </w:tc>
      </w:tr>
      <w:tr w:rsidR="0074764C" w:rsidRPr="001C1812" w:rsidTr="0074764C">
        <w:trPr>
          <w:cantSplit/>
          <w:jc w:val="center"/>
        </w:trPr>
        <w:tc>
          <w:tcPr>
            <w:tcW w:w="4799" w:type="dxa"/>
            <w:tcBorders>
              <w:top w:val="nil"/>
              <w:bottom w:val="single" w:sz="4" w:space="0" w:color="auto"/>
              <w:right w:val="nil"/>
            </w:tcBorders>
            <w:shd w:val="clear" w:color="auto" w:fill="EFF3FF"/>
            <w:tcMar>
              <w:left w:w="40" w:type="dxa"/>
              <w:right w:w="40" w:type="dxa"/>
            </w:tcMar>
          </w:tcPr>
          <w:p w:rsidR="0074764C" w:rsidRPr="001C1812" w:rsidRDefault="0074764C" w:rsidP="0074764C">
            <w:pPr>
              <w:pStyle w:val="TableRowHeadings"/>
              <w:rPr>
                <w:lang w:eastAsia="en-AU"/>
              </w:rPr>
            </w:pPr>
            <w:r w:rsidRPr="001C1812">
              <w:rPr>
                <w:lang w:eastAsia="en-AU"/>
              </w:rPr>
              <w:t>Life skills</w:t>
            </w:r>
          </w:p>
        </w:tc>
        <w:tc>
          <w:tcPr>
            <w:tcW w:w="2158" w:type="dxa"/>
            <w:tcBorders>
              <w:top w:val="nil"/>
              <w:left w:val="nil"/>
              <w:bottom w:val="single" w:sz="4" w:space="0" w:color="auto"/>
              <w:right w:val="nil"/>
            </w:tcBorders>
            <w:shd w:val="clear" w:color="auto" w:fill="FFFFFF"/>
            <w:tcMar>
              <w:left w:w="40" w:type="dxa"/>
              <w:right w:w="40" w:type="dxa"/>
            </w:tcMar>
          </w:tcPr>
          <w:p w:rsidR="0074764C" w:rsidRPr="00260086" w:rsidRDefault="0074764C" w:rsidP="0074764C">
            <w:pPr>
              <w:pStyle w:val="TableDataCell"/>
            </w:pPr>
            <w:r w:rsidRPr="00260086">
              <w:t>41.8</w:t>
            </w:r>
          </w:p>
        </w:tc>
        <w:tc>
          <w:tcPr>
            <w:tcW w:w="2159" w:type="dxa"/>
            <w:tcBorders>
              <w:top w:val="nil"/>
              <w:left w:val="nil"/>
              <w:bottom w:val="single" w:sz="4" w:space="0" w:color="auto"/>
              <w:right w:val="nil"/>
            </w:tcBorders>
            <w:shd w:val="clear" w:color="auto" w:fill="FFFFFF"/>
            <w:tcMar>
              <w:left w:w="40" w:type="dxa"/>
              <w:right w:w="40" w:type="dxa"/>
            </w:tcMar>
            <w:vAlign w:val="bottom"/>
          </w:tcPr>
          <w:p w:rsidR="0074764C" w:rsidRPr="001C1812" w:rsidRDefault="0074764C" w:rsidP="0074764C">
            <w:pPr>
              <w:pStyle w:val="TableDataCell"/>
              <w:rPr>
                <w:lang w:eastAsia="en-AU"/>
              </w:rPr>
            </w:pPr>
            <w:r w:rsidRPr="001C1812">
              <w:rPr>
                <w:lang w:eastAsia="en-AU"/>
              </w:rPr>
              <w:t>22.8</w:t>
            </w:r>
          </w:p>
        </w:tc>
      </w:tr>
      <w:tr w:rsidR="0074764C" w:rsidRPr="001C1812" w:rsidTr="0074764C">
        <w:trPr>
          <w:cantSplit/>
          <w:jc w:val="center"/>
        </w:trPr>
        <w:tc>
          <w:tcPr>
            <w:tcW w:w="4799" w:type="dxa"/>
            <w:tcBorders>
              <w:top w:val="single" w:sz="4" w:space="0" w:color="auto"/>
              <w:bottom w:val="single" w:sz="6" w:space="0" w:color="000000"/>
              <w:right w:val="nil"/>
            </w:tcBorders>
            <w:shd w:val="clear" w:color="auto" w:fill="EFF3FF"/>
            <w:tcMar>
              <w:left w:w="40" w:type="dxa"/>
              <w:right w:w="40" w:type="dxa"/>
            </w:tcMar>
          </w:tcPr>
          <w:p w:rsidR="0074764C" w:rsidRPr="00CB201B" w:rsidRDefault="0074764C" w:rsidP="0074764C">
            <w:pPr>
              <w:pStyle w:val="TableRowHeadings"/>
              <w:rPr>
                <w:rStyle w:val="Strong"/>
              </w:rPr>
            </w:pPr>
            <w:r w:rsidRPr="00CB201B">
              <w:rPr>
                <w:rStyle w:val="Strong"/>
              </w:rPr>
              <w:t>Any type of help</w:t>
            </w:r>
          </w:p>
        </w:tc>
        <w:tc>
          <w:tcPr>
            <w:tcW w:w="2158" w:type="dxa"/>
            <w:tcBorders>
              <w:top w:val="single" w:sz="4" w:space="0" w:color="auto"/>
              <w:left w:val="nil"/>
              <w:bottom w:val="single" w:sz="6" w:space="0" w:color="000000"/>
              <w:right w:val="nil"/>
            </w:tcBorders>
            <w:shd w:val="clear" w:color="auto" w:fill="FFFFFF"/>
            <w:tcMar>
              <w:left w:w="40" w:type="dxa"/>
              <w:right w:w="40" w:type="dxa"/>
            </w:tcMar>
          </w:tcPr>
          <w:p w:rsidR="0074764C" w:rsidRPr="00E4760A" w:rsidRDefault="0074764C" w:rsidP="0074764C">
            <w:pPr>
              <w:pStyle w:val="TableDataCell"/>
              <w:rPr>
                <w:rStyle w:val="Strong"/>
              </w:rPr>
            </w:pPr>
            <w:r w:rsidRPr="00E4760A">
              <w:rPr>
                <w:rStyle w:val="Strong"/>
              </w:rPr>
              <w:t>84.8</w:t>
            </w:r>
          </w:p>
        </w:tc>
        <w:tc>
          <w:tcPr>
            <w:tcW w:w="2159" w:type="dxa"/>
            <w:tcBorders>
              <w:top w:val="single" w:sz="4" w:space="0" w:color="auto"/>
              <w:left w:val="nil"/>
              <w:bottom w:val="single" w:sz="6" w:space="0" w:color="000000"/>
              <w:right w:val="nil"/>
            </w:tcBorders>
            <w:shd w:val="clear" w:color="auto" w:fill="FFFFFF"/>
            <w:tcMar>
              <w:left w:w="40" w:type="dxa"/>
              <w:right w:w="40" w:type="dxa"/>
            </w:tcMar>
            <w:vAlign w:val="bottom"/>
          </w:tcPr>
          <w:p w:rsidR="0074764C" w:rsidRPr="00E4760A" w:rsidRDefault="0074764C" w:rsidP="0074764C">
            <w:pPr>
              <w:pStyle w:val="TableDataCell"/>
              <w:rPr>
                <w:rStyle w:val="Strong"/>
              </w:rPr>
            </w:pPr>
            <w:r w:rsidRPr="00E4760A">
              <w:rPr>
                <w:rStyle w:val="Strong"/>
              </w:rPr>
              <w:t>56.4</w:t>
            </w:r>
          </w:p>
        </w:tc>
      </w:tr>
    </w:tbl>
    <w:p w:rsidR="0074764C" w:rsidRPr="00C97BCE" w:rsidRDefault="0074764C" w:rsidP="0074764C">
      <w:pPr>
        <w:pStyle w:val="Heading3"/>
      </w:pPr>
      <w:r w:rsidRPr="00C97BCE">
        <w:t>13.6.</w:t>
      </w:r>
      <w:r>
        <w:t>4</w:t>
      </w:r>
      <w:r w:rsidRPr="00C97BCE">
        <w:t xml:space="preserve"> </w:t>
      </w:r>
      <w:r w:rsidRPr="00C97BCE">
        <w:tab/>
        <w:t xml:space="preserve">Barriers to seeking </w:t>
      </w:r>
      <w:r>
        <w:t>and</w:t>
      </w:r>
      <w:r w:rsidRPr="00C97BCE">
        <w:t xml:space="preserve"> receiving help</w:t>
      </w:r>
      <w:bookmarkEnd w:id="273"/>
    </w:p>
    <w:p w:rsidR="0074764C" w:rsidRPr="00C97BCE" w:rsidRDefault="0074764C" w:rsidP="0074764C">
      <w:pPr>
        <w:pStyle w:val="BodyText"/>
        <w:rPr>
          <w:lang w:eastAsia="en-AU"/>
        </w:rPr>
      </w:pPr>
      <w:r w:rsidRPr="00C97BCE">
        <w:rPr>
          <w:lang w:eastAsia="en-AU"/>
        </w:rPr>
        <w:t xml:space="preserve">The most commonly </w:t>
      </w:r>
      <w:r>
        <w:rPr>
          <w:lang w:eastAsia="en-AU"/>
        </w:rPr>
        <w:t>identified</w:t>
      </w:r>
      <w:r w:rsidRPr="00C97BCE">
        <w:rPr>
          <w:lang w:eastAsia="en-AU"/>
        </w:rPr>
        <w:t xml:space="preserve"> reasons given by 13-17 year-old</w:t>
      </w:r>
      <w:r>
        <w:rPr>
          <w:lang w:eastAsia="en-AU"/>
        </w:rPr>
        <w:t>s</w:t>
      </w:r>
      <w:r w:rsidRPr="00C97BCE">
        <w:rPr>
          <w:lang w:eastAsia="en-AU"/>
        </w:rPr>
        <w:t xml:space="preserve"> with major depressive disorder </w:t>
      </w:r>
      <w:r>
        <w:rPr>
          <w:lang w:eastAsia="en-AU"/>
        </w:rPr>
        <w:t xml:space="preserve">by adolescent report </w:t>
      </w:r>
      <w:r w:rsidRPr="00C97BCE">
        <w:rPr>
          <w:lang w:eastAsia="en-AU"/>
        </w:rPr>
        <w:t xml:space="preserve">for not seeking help or receiving more help for emotional or behavioural problems were being worried about what other people might think or not wanting to talk to a stranger </w:t>
      </w:r>
      <w:r w:rsidRPr="00C97BCE">
        <w:rPr>
          <w:lang w:eastAsia="en-AU"/>
        </w:rPr>
        <w:lastRenderedPageBreak/>
        <w:t>(62.9%), thinking the problem would get better by itself (61.7%) and wanting to work out the problem on their own or with help from family or friends (57.1%) (</w:t>
      </w:r>
      <w:r w:rsidRPr="00C97BCE">
        <w:t>Table 13-</w:t>
      </w:r>
      <w:r>
        <w:rPr>
          <w:noProof/>
        </w:rPr>
        <w:t>15</w:t>
      </w:r>
      <w:r w:rsidRPr="00C97BCE">
        <w:rPr>
          <w:lang w:eastAsia="en-AU"/>
        </w:rPr>
        <w:t>).</w:t>
      </w:r>
    </w:p>
    <w:p w:rsidR="0074764C" w:rsidRPr="00C97BCE" w:rsidRDefault="0074764C" w:rsidP="0074764C">
      <w:pPr>
        <w:pStyle w:val="BodyText"/>
        <w:rPr>
          <w:lang w:eastAsia="en-AU"/>
        </w:rPr>
      </w:pPr>
      <w:r w:rsidRPr="00C97BCE">
        <w:rPr>
          <w:lang w:eastAsia="en-AU"/>
        </w:rPr>
        <w:t xml:space="preserve">Among adolescents with mental disorders </w:t>
      </w:r>
      <w:r>
        <w:rPr>
          <w:lang w:eastAsia="en-AU"/>
        </w:rPr>
        <w:t xml:space="preserve">based on information provided </w:t>
      </w:r>
      <w:r w:rsidRPr="00C97BCE">
        <w:rPr>
          <w:lang w:eastAsia="en-AU"/>
        </w:rPr>
        <w:t xml:space="preserve">by </w:t>
      </w:r>
      <w:r>
        <w:rPr>
          <w:lang w:eastAsia="en-AU"/>
        </w:rPr>
        <w:t xml:space="preserve">their </w:t>
      </w:r>
      <w:r w:rsidRPr="00C97BCE">
        <w:rPr>
          <w:lang w:eastAsia="en-AU"/>
        </w:rPr>
        <w:t>parent</w:t>
      </w:r>
      <w:r>
        <w:rPr>
          <w:lang w:eastAsia="en-AU"/>
        </w:rPr>
        <w:t>s</w:t>
      </w:r>
      <w:r w:rsidRPr="00C97BCE">
        <w:rPr>
          <w:lang w:eastAsia="en-AU"/>
        </w:rPr>
        <w:t xml:space="preserve"> and carer</w:t>
      </w:r>
      <w:r>
        <w:rPr>
          <w:lang w:eastAsia="en-AU"/>
        </w:rPr>
        <w:t>s</w:t>
      </w:r>
      <w:r w:rsidRPr="00C97BCE">
        <w:rPr>
          <w:lang w:eastAsia="en-AU"/>
        </w:rPr>
        <w:t xml:space="preserve">, the most common reasons cited for not seeking help or receiving more help were similar to those with major depressive disorder but proportions </w:t>
      </w:r>
      <w:r>
        <w:rPr>
          <w:lang w:eastAsia="en-AU"/>
        </w:rPr>
        <w:t>identifying</w:t>
      </w:r>
      <w:r w:rsidRPr="00C97BCE">
        <w:rPr>
          <w:lang w:eastAsia="en-AU"/>
        </w:rPr>
        <w:t xml:space="preserve"> these reasons were lower</w:t>
      </w:r>
      <w:r>
        <w:rPr>
          <w:lang w:eastAsia="en-AU"/>
        </w:rPr>
        <w:t xml:space="preserve"> for most categories.</w:t>
      </w:r>
    </w:p>
    <w:p w:rsidR="0074764C" w:rsidRPr="00C97BCE" w:rsidRDefault="0074764C" w:rsidP="0074764C">
      <w:pPr>
        <w:pStyle w:val="Caption"/>
        <w:keepNext/>
      </w:pPr>
      <w:bookmarkStart w:id="276" w:name="_Ref407104858"/>
      <w:r w:rsidRPr="00C97BCE">
        <w:t>Table 13-</w:t>
      </w:r>
      <w:r>
        <w:rPr>
          <w:noProof/>
        </w:rPr>
        <w:t>15</w:t>
      </w:r>
      <w:bookmarkEnd w:id="276"/>
      <w:r w:rsidRPr="00C97BCE">
        <w:t>: Barriers to help seeking or receiving more help for emotional or behavioural problems in past 12 months among 13-17 year-olds with major depressive disorder by adolescent report or any mental disord</w:t>
      </w:r>
      <w:r>
        <w:t xml:space="preserve">er by parent or </w:t>
      </w:r>
      <w:r w:rsidRPr="00C97BCE">
        <w:t>carer report</w:t>
      </w:r>
    </w:p>
    <w:tbl>
      <w:tblPr>
        <w:tblW w:w="9116" w:type="dxa"/>
        <w:jc w:val="center"/>
        <w:tblLayout w:type="fixed"/>
        <w:tblCellMar>
          <w:left w:w="0" w:type="dxa"/>
          <w:right w:w="0" w:type="dxa"/>
        </w:tblCellMar>
        <w:tblLook w:val="0020" w:firstRow="1" w:lastRow="0" w:firstColumn="0" w:lastColumn="0" w:noHBand="0" w:noVBand="0"/>
        <w:tblDescription w:val="In Table 13-15 the first column describes barriers to help seeking or receiving more help in the past 12 months. Read across therows for the proportion of adolescents with major depressive disorder, and of adolescents with any mental disorder that reported this type of barrier."/>
      </w:tblPr>
      <w:tblGrid>
        <w:gridCol w:w="4762"/>
        <w:gridCol w:w="2177"/>
        <w:gridCol w:w="2177"/>
      </w:tblGrid>
      <w:tr w:rsidR="0074764C" w:rsidRPr="00C97BCE" w:rsidTr="0074764C">
        <w:trPr>
          <w:cantSplit/>
          <w:tblHeader/>
          <w:jc w:val="center"/>
        </w:trPr>
        <w:tc>
          <w:tcPr>
            <w:tcW w:w="4762"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CB201B" w:rsidRDefault="0074764C" w:rsidP="0074764C">
            <w:pPr>
              <w:pStyle w:val="TableColumnHeadings"/>
              <w:jc w:val="left"/>
              <w:rPr>
                <w:rStyle w:val="Strong"/>
              </w:rPr>
            </w:pPr>
            <w:r w:rsidRPr="00CB201B">
              <w:rPr>
                <w:rStyle w:val="Strong"/>
              </w:rPr>
              <w:t>Barriers</w:t>
            </w:r>
          </w:p>
        </w:tc>
        <w:tc>
          <w:tcPr>
            <w:tcW w:w="217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CB201B" w:rsidRDefault="0074764C" w:rsidP="0074764C">
            <w:pPr>
              <w:pStyle w:val="TableColumnHeadings"/>
              <w:rPr>
                <w:rStyle w:val="Strong"/>
              </w:rPr>
            </w:pPr>
            <w:r w:rsidRPr="00CB201B">
              <w:rPr>
                <w:rStyle w:val="Strong"/>
              </w:rPr>
              <w:t>Major depressive disorder based on adolescent report (%)</w:t>
            </w:r>
          </w:p>
        </w:tc>
        <w:tc>
          <w:tcPr>
            <w:tcW w:w="217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CB201B" w:rsidRDefault="0074764C" w:rsidP="0074764C">
            <w:pPr>
              <w:pStyle w:val="TableColumnHeadings"/>
              <w:rPr>
                <w:rStyle w:val="Strong"/>
              </w:rPr>
            </w:pPr>
            <w:r w:rsidRPr="00CB201B">
              <w:rPr>
                <w:rStyle w:val="Strong"/>
              </w:rPr>
              <w:t>Any mental disorder based on parent or carer report (%)</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Preferred to handle by self or with family/friends</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57.1</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43.6</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Not sure if they needed help</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49.9</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44.1</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Not sure where to get help</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25.8</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18.9</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Thought problem would get better</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61.7</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47.1</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Asked for help at school but didn't get it</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9.2</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13.8</w:t>
            </w:r>
          </w:p>
        </w:tc>
      </w:tr>
      <w:tr w:rsidR="0074764C" w:rsidRPr="00C97BCE"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Problem getting to a service that could help</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4.6</w:t>
            </w:r>
          </w:p>
        </w:tc>
        <w:tc>
          <w:tcPr>
            <w:tcW w:w="2177" w:type="dxa"/>
            <w:tcBorders>
              <w:top w:val="nil"/>
              <w:left w:val="nil"/>
              <w:bottom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7.6</w:t>
            </w:r>
          </w:p>
        </w:tc>
      </w:tr>
      <w:tr w:rsidR="0074764C" w:rsidRPr="00C97BCE" w:rsidTr="0074764C">
        <w:trPr>
          <w:cantSplit/>
          <w:jc w:val="center"/>
        </w:trPr>
        <w:tc>
          <w:tcPr>
            <w:tcW w:w="4762" w:type="dxa"/>
            <w:tcBorders>
              <w:top w:val="single" w:sz="4" w:space="0" w:color="FFFFFF"/>
              <w:bottom w:val="single" w:sz="4" w:space="0" w:color="FFFFFF" w:themeColor="background1"/>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Couldn't afford it</w:t>
            </w:r>
          </w:p>
        </w:tc>
        <w:tc>
          <w:tcPr>
            <w:tcW w:w="2177" w:type="dxa"/>
            <w:tcBorders>
              <w:top w:val="nil"/>
              <w:left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28.2</w:t>
            </w:r>
          </w:p>
        </w:tc>
        <w:tc>
          <w:tcPr>
            <w:tcW w:w="2177" w:type="dxa"/>
            <w:tcBorders>
              <w:top w:val="nil"/>
              <w:left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21.2</w:t>
            </w:r>
          </w:p>
        </w:tc>
      </w:tr>
      <w:tr w:rsidR="0074764C" w:rsidRPr="00C97BCE" w:rsidTr="0074764C">
        <w:trPr>
          <w:cantSplit/>
          <w:jc w:val="center"/>
        </w:trPr>
        <w:tc>
          <w:tcPr>
            <w:tcW w:w="4762" w:type="dxa"/>
            <w:tcBorders>
              <w:top w:val="single" w:sz="4" w:space="0" w:color="FFFFFF" w:themeColor="background1"/>
              <w:bottom w:val="single" w:sz="4" w:space="0" w:color="FFFFFF" w:themeColor="background1"/>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Couldn't get an appointment</w:t>
            </w:r>
          </w:p>
        </w:tc>
        <w:tc>
          <w:tcPr>
            <w:tcW w:w="2177" w:type="dxa"/>
            <w:tcBorders>
              <w:top w:val="nil"/>
              <w:left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6.9</w:t>
            </w:r>
          </w:p>
        </w:tc>
        <w:tc>
          <w:tcPr>
            <w:tcW w:w="2177" w:type="dxa"/>
            <w:tcBorders>
              <w:top w:val="nil"/>
              <w:left w:val="nil"/>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5.9</w:t>
            </w:r>
          </w:p>
        </w:tc>
      </w:tr>
      <w:tr w:rsidR="0074764C" w:rsidRPr="00C97BCE" w:rsidTr="0074764C">
        <w:trPr>
          <w:cantSplit/>
          <w:jc w:val="center"/>
        </w:trPr>
        <w:tc>
          <w:tcPr>
            <w:tcW w:w="4762" w:type="dxa"/>
            <w:tcBorders>
              <w:top w:val="single" w:sz="4" w:space="0" w:color="FFFFFF" w:themeColor="background1"/>
              <w:bottom w:val="single" w:sz="6" w:space="0" w:color="auto"/>
              <w:right w:val="nil"/>
            </w:tcBorders>
            <w:shd w:val="clear" w:color="auto" w:fill="EFF3FF"/>
            <w:tcMar>
              <w:left w:w="40" w:type="dxa"/>
              <w:right w:w="40" w:type="dxa"/>
            </w:tcMar>
          </w:tcPr>
          <w:p w:rsidR="0074764C" w:rsidRPr="00C97BCE" w:rsidRDefault="0074764C" w:rsidP="0074764C">
            <w:pPr>
              <w:pStyle w:val="TableRowHeadings"/>
              <w:rPr>
                <w:lang w:eastAsia="en-AU"/>
              </w:rPr>
            </w:pPr>
            <w:r w:rsidRPr="00C97BCE">
              <w:rPr>
                <w:lang w:eastAsia="en-AU"/>
              </w:rPr>
              <w:t>Concerned about what people might think or didn’t want to talk to a stranger</w:t>
            </w:r>
          </w:p>
        </w:tc>
        <w:tc>
          <w:tcPr>
            <w:tcW w:w="2177" w:type="dxa"/>
            <w:tcBorders>
              <w:left w:val="nil"/>
              <w:bottom w:val="single" w:sz="6"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62.9</w:t>
            </w:r>
          </w:p>
        </w:tc>
        <w:tc>
          <w:tcPr>
            <w:tcW w:w="2177" w:type="dxa"/>
            <w:tcBorders>
              <w:left w:val="nil"/>
              <w:bottom w:val="single" w:sz="6" w:space="0" w:color="auto"/>
              <w:right w:val="nil"/>
            </w:tcBorders>
            <w:shd w:val="clear" w:color="auto" w:fill="FFFFFF"/>
            <w:tcMar>
              <w:left w:w="40" w:type="dxa"/>
              <w:right w:w="40" w:type="dxa"/>
            </w:tcMar>
            <w:vAlign w:val="bottom"/>
          </w:tcPr>
          <w:p w:rsidR="0074764C" w:rsidRPr="00C97BCE" w:rsidRDefault="0074764C" w:rsidP="0074764C">
            <w:pPr>
              <w:pStyle w:val="TableDataCell"/>
              <w:rPr>
                <w:lang w:eastAsia="en-AU"/>
              </w:rPr>
            </w:pPr>
            <w:r w:rsidRPr="00C97BCE">
              <w:rPr>
                <w:lang w:eastAsia="en-AU"/>
              </w:rPr>
              <w:t>43.9</w:t>
            </w:r>
          </w:p>
        </w:tc>
      </w:tr>
    </w:tbl>
    <w:p w:rsidR="0074764C" w:rsidRPr="00C97BCE" w:rsidRDefault="0074764C" w:rsidP="009E2950">
      <w:pPr>
        <w:pStyle w:val="BodyText"/>
        <w:spacing w:before="240"/>
        <w:rPr>
          <w:lang w:eastAsia="en-AU"/>
        </w:rPr>
      </w:pPr>
      <w:r>
        <w:rPr>
          <w:lang w:eastAsia="en-AU"/>
        </w:rPr>
        <w:t>If a</w:t>
      </w:r>
      <w:r w:rsidRPr="00C97BCE">
        <w:rPr>
          <w:lang w:eastAsia="en-AU"/>
        </w:rPr>
        <w:t xml:space="preserve">dolescents </w:t>
      </w:r>
      <w:r>
        <w:rPr>
          <w:lang w:eastAsia="en-AU"/>
        </w:rPr>
        <w:t>reported</w:t>
      </w:r>
      <w:r w:rsidRPr="00C97BCE">
        <w:rPr>
          <w:lang w:eastAsia="en-AU"/>
        </w:rPr>
        <w:t xml:space="preserve"> more than one reason for not seeking help or receiving more help, </w:t>
      </w:r>
      <w:r>
        <w:rPr>
          <w:lang w:eastAsia="en-AU"/>
        </w:rPr>
        <w:t xml:space="preserve">they </w:t>
      </w:r>
      <w:r w:rsidRPr="00C97BCE">
        <w:rPr>
          <w:lang w:eastAsia="en-AU"/>
        </w:rPr>
        <w:t>were</w:t>
      </w:r>
      <w:r>
        <w:rPr>
          <w:lang w:eastAsia="en-AU"/>
        </w:rPr>
        <w:t xml:space="preserve"> also</w:t>
      </w:r>
      <w:r w:rsidRPr="00C97BCE">
        <w:rPr>
          <w:lang w:eastAsia="en-AU"/>
        </w:rPr>
        <w:t xml:space="preserve"> asked to identify the main reason</w:t>
      </w:r>
      <w:r>
        <w:rPr>
          <w:lang w:eastAsia="en-AU"/>
        </w:rPr>
        <w:t xml:space="preserve">. </w:t>
      </w:r>
      <w:r w:rsidRPr="00C97BCE">
        <w:rPr>
          <w:lang w:eastAsia="en-AU"/>
        </w:rPr>
        <w:t xml:space="preserve">The most common main </w:t>
      </w:r>
      <w:r>
        <w:rPr>
          <w:lang w:eastAsia="en-AU"/>
        </w:rPr>
        <w:t xml:space="preserve">reasons </w:t>
      </w:r>
      <w:r w:rsidRPr="00C97BCE">
        <w:rPr>
          <w:lang w:eastAsia="en-AU"/>
        </w:rPr>
        <w:t xml:space="preserve">for </w:t>
      </w:r>
      <w:r>
        <w:rPr>
          <w:lang w:eastAsia="en-AU"/>
        </w:rPr>
        <w:t xml:space="preserve">adolescents </w:t>
      </w:r>
      <w:r w:rsidRPr="00C97BCE">
        <w:rPr>
          <w:lang w:eastAsia="en-AU"/>
        </w:rPr>
        <w:t>with major depressive disorder</w:t>
      </w:r>
      <w:r>
        <w:rPr>
          <w:lang w:eastAsia="en-AU"/>
        </w:rPr>
        <w:t xml:space="preserve"> not seeking help or not receiving more help included </w:t>
      </w:r>
      <w:r w:rsidRPr="00C97BCE">
        <w:rPr>
          <w:lang w:eastAsia="en-AU"/>
        </w:rPr>
        <w:t>not being sure if they needed help, where to get help or thinking that the problem would get better by itself</w:t>
      </w:r>
      <w:r>
        <w:rPr>
          <w:lang w:eastAsia="en-AU"/>
        </w:rPr>
        <w:t>, issues</w:t>
      </w:r>
      <w:r w:rsidRPr="00C97BCE">
        <w:rPr>
          <w:lang w:eastAsia="en-AU"/>
        </w:rPr>
        <w:t xml:space="preserve"> </w:t>
      </w:r>
      <w:r>
        <w:rPr>
          <w:lang w:eastAsia="en-AU"/>
        </w:rPr>
        <w:t xml:space="preserve">which could be </w:t>
      </w:r>
      <w:r w:rsidRPr="00C97BCE">
        <w:rPr>
          <w:lang w:eastAsia="en-AU"/>
        </w:rPr>
        <w:t>broadly classified as mental health literacy</w:t>
      </w:r>
      <w:r>
        <w:rPr>
          <w:lang w:eastAsia="en-AU"/>
        </w:rPr>
        <w:t xml:space="preserve"> </w:t>
      </w:r>
      <w:r w:rsidRPr="00C97BCE">
        <w:rPr>
          <w:lang w:eastAsia="en-AU"/>
        </w:rPr>
        <w:t>(33.1%) (</w:t>
      </w:r>
      <w:r>
        <w:t>Table 13-</w:t>
      </w:r>
      <w:r>
        <w:rPr>
          <w:noProof/>
        </w:rPr>
        <w:t>16</w:t>
      </w:r>
      <w:r w:rsidRPr="00C97BCE">
        <w:rPr>
          <w:lang w:eastAsia="en-AU"/>
        </w:rPr>
        <w:t>).</w:t>
      </w:r>
    </w:p>
    <w:p w:rsidR="0074764C" w:rsidRDefault="0074764C" w:rsidP="0074764C">
      <w:pPr>
        <w:pStyle w:val="BodyText"/>
        <w:rPr>
          <w:lang w:eastAsia="en-AU"/>
        </w:rPr>
      </w:pPr>
      <w:r w:rsidRPr="00C97BCE">
        <w:rPr>
          <w:lang w:eastAsia="en-AU"/>
        </w:rPr>
        <w:t>Just over one quarter</w:t>
      </w:r>
      <w:r>
        <w:rPr>
          <w:lang w:eastAsia="en-AU"/>
        </w:rPr>
        <w:t xml:space="preserve"> of adolescents with major depressive disorder</w:t>
      </w:r>
      <w:r w:rsidRPr="00C97BCE">
        <w:rPr>
          <w:lang w:eastAsia="en-AU"/>
        </w:rPr>
        <w:t xml:space="preserve"> (26.2%) </w:t>
      </w:r>
      <w:r>
        <w:rPr>
          <w:lang w:eastAsia="en-AU"/>
        </w:rPr>
        <w:t>identified</w:t>
      </w:r>
      <w:r w:rsidRPr="00C97BCE">
        <w:rPr>
          <w:lang w:eastAsia="en-AU"/>
        </w:rPr>
        <w:t xml:space="preserve"> reasons related to them wishing to manage their problems themselves</w:t>
      </w:r>
      <w:r>
        <w:rPr>
          <w:lang w:eastAsia="en-AU"/>
        </w:rPr>
        <w:t>,</w:t>
      </w:r>
      <w:r w:rsidRPr="00C97BCE">
        <w:rPr>
          <w:lang w:eastAsia="en-AU"/>
        </w:rPr>
        <w:t xml:space="preserve"> and another quarter (27.9%) </w:t>
      </w:r>
      <w:r>
        <w:rPr>
          <w:lang w:eastAsia="en-AU"/>
        </w:rPr>
        <w:t>reported</w:t>
      </w:r>
      <w:r w:rsidRPr="00C97BCE">
        <w:rPr>
          <w:lang w:eastAsia="en-AU"/>
        </w:rPr>
        <w:t xml:space="preserve"> </w:t>
      </w:r>
      <w:r>
        <w:rPr>
          <w:lang w:eastAsia="en-AU"/>
        </w:rPr>
        <w:t>being</w:t>
      </w:r>
      <w:r w:rsidRPr="00C97BCE">
        <w:rPr>
          <w:lang w:eastAsia="en-AU"/>
        </w:rPr>
        <w:t xml:space="preserve"> worried about what other people might think or not wanting to talk about it with a stranger, as the main </w:t>
      </w:r>
      <w:r>
        <w:rPr>
          <w:lang w:eastAsia="en-AU"/>
        </w:rPr>
        <w:t>reason for not</w:t>
      </w:r>
      <w:r w:rsidRPr="00C97BCE">
        <w:rPr>
          <w:lang w:eastAsia="en-AU"/>
        </w:rPr>
        <w:t xml:space="preserve"> seeking help or receiving more help for emotional and behavioural problems. One eighth (12.8%) </w:t>
      </w:r>
      <w:r>
        <w:rPr>
          <w:lang w:eastAsia="en-AU"/>
        </w:rPr>
        <w:t>identified</w:t>
      </w:r>
      <w:r w:rsidRPr="00C97BCE">
        <w:rPr>
          <w:lang w:eastAsia="en-AU"/>
        </w:rPr>
        <w:t xml:space="preserve"> reasons that related to accessibility of services, such as thinking it might cost too much, having </w:t>
      </w:r>
      <w:r>
        <w:rPr>
          <w:lang w:eastAsia="en-AU"/>
        </w:rPr>
        <w:t xml:space="preserve">a </w:t>
      </w:r>
      <w:r w:rsidRPr="00C97BCE">
        <w:rPr>
          <w:lang w:eastAsia="en-AU"/>
        </w:rPr>
        <w:t>problem getting to a service that could help or not being able to get an appointment when needed.</w:t>
      </w:r>
    </w:p>
    <w:p w:rsidR="0074764C" w:rsidRDefault="0074764C" w:rsidP="0074764C">
      <w:pPr>
        <w:pStyle w:val="BodyText"/>
        <w:rPr>
          <w:lang w:eastAsia="en-AU"/>
        </w:rPr>
      </w:pPr>
      <w:r>
        <w:rPr>
          <w:lang w:eastAsia="en-AU"/>
        </w:rPr>
        <w:t xml:space="preserve">Among adolescents with a mental disorder </w:t>
      </w:r>
      <w:r>
        <w:t xml:space="preserve">identified by parents and carers, the main reason identified for not seeking help or receiving more help </w:t>
      </w:r>
      <w:r>
        <w:rPr>
          <w:lang w:eastAsia="en-AU"/>
        </w:rPr>
        <w:t xml:space="preserve">included </w:t>
      </w:r>
      <w:r w:rsidRPr="00C97BCE">
        <w:rPr>
          <w:lang w:eastAsia="en-AU"/>
        </w:rPr>
        <w:t>not being sure if they needed help, where to get help or thinking that the problem would get better by itself</w:t>
      </w:r>
      <w:r>
        <w:rPr>
          <w:lang w:eastAsia="en-AU"/>
        </w:rPr>
        <w:t xml:space="preserve">, </w:t>
      </w:r>
      <w:r>
        <w:t>primarily to do with issues of mental health literacy (42.3%).  One quarter (26.7%) of adolescents with mental disorders identified the desire to manage their problem by themselves or with help from family or friends as being the main reason for not seeking help or receiving more help.</w:t>
      </w:r>
    </w:p>
    <w:p w:rsidR="0074764C" w:rsidRDefault="0074764C" w:rsidP="0074764C">
      <w:pPr>
        <w:pStyle w:val="Caption"/>
        <w:keepNext/>
      </w:pPr>
      <w:bookmarkStart w:id="277" w:name="_Ref409594336"/>
      <w:r>
        <w:lastRenderedPageBreak/>
        <w:t>Table 13-</w:t>
      </w:r>
      <w:r>
        <w:rPr>
          <w:noProof/>
        </w:rPr>
        <w:t>16</w:t>
      </w:r>
      <w:bookmarkEnd w:id="277"/>
      <w:r>
        <w:t>: Main barriers to seeking help or for receiving more help for emotional or behavioural problems in past 12 months among 13-17 year-olds with mental disorders</w:t>
      </w:r>
    </w:p>
    <w:tbl>
      <w:tblPr>
        <w:tblW w:w="9116" w:type="dxa"/>
        <w:jc w:val="center"/>
        <w:tblLayout w:type="fixed"/>
        <w:tblCellMar>
          <w:left w:w="0" w:type="dxa"/>
          <w:right w:w="0" w:type="dxa"/>
        </w:tblCellMar>
        <w:tblLook w:val="0020" w:firstRow="1" w:lastRow="0" w:firstColumn="0" w:lastColumn="0" w:noHBand="0" w:noVBand="0"/>
        <w:tblDescription w:val="In Table 13-16 the first column describes main barriers to help seeking or receiving more help in the past 12 months. Read across the rows for the proportion of adolescents with major depressive disorder, and of adolescents with any mental disorder that identified these main barriers."/>
      </w:tblPr>
      <w:tblGrid>
        <w:gridCol w:w="4762"/>
        <w:gridCol w:w="2152"/>
        <w:gridCol w:w="2202"/>
      </w:tblGrid>
      <w:tr w:rsidR="0074764C" w:rsidRPr="005A6729" w:rsidTr="0074764C">
        <w:trPr>
          <w:cantSplit/>
          <w:tblHeader/>
          <w:jc w:val="center"/>
        </w:trPr>
        <w:tc>
          <w:tcPr>
            <w:tcW w:w="4762"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CB201B" w:rsidRDefault="0074764C" w:rsidP="0074764C">
            <w:pPr>
              <w:pStyle w:val="TableColumnHeadings"/>
              <w:jc w:val="left"/>
              <w:rPr>
                <w:rStyle w:val="Strong"/>
              </w:rPr>
            </w:pPr>
            <w:r w:rsidRPr="00CB201B">
              <w:rPr>
                <w:rStyle w:val="Strong"/>
              </w:rPr>
              <w:t>Main barrier</w:t>
            </w:r>
          </w:p>
        </w:tc>
        <w:tc>
          <w:tcPr>
            <w:tcW w:w="215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CB201B" w:rsidRDefault="0074764C" w:rsidP="0074764C">
            <w:pPr>
              <w:pStyle w:val="TableColumnHeadings"/>
              <w:rPr>
                <w:rStyle w:val="Strong"/>
              </w:rPr>
            </w:pPr>
            <w:r w:rsidRPr="00CB201B">
              <w:rPr>
                <w:rStyle w:val="Strong"/>
              </w:rPr>
              <w:t>Major depressive disorder based on adolescent report (%)</w:t>
            </w:r>
          </w:p>
        </w:tc>
        <w:tc>
          <w:tcPr>
            <w:tcW w:w="220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CB201B" w:rsidRDefault="0074764C" w:rsidP="0074764C">
            <w:pPr>
              <w:pStyle w:val="TableColumnHeadings"/>
              <w:rPr>
                <w:rStyle w:val="Strong"/>
              </w:rPr>
            </w:pPr>
            <w:r w:rsidRPr="00CB201B">
              <w:rPr>
                <w:rStyle w:val="Strong"/>
              </w:rPr>
              <w:t>Any mental disorder based on parent or carer report (%)</w:t>
            </w:r>
          </w:p>
        </w:tc>
      </w:tr>
      <w:tr w:rsidR="0074764C" w:rsidRPr="005A6729"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5A6729" w:rsidRDefault="0074764C" w:rsidP="0074764C">
            <w:pPr>
              <w:pStyle w:val="TableRowHeadings"/>
              <w:rPr>
                <w:lang w:eastAsia="en-AU"/>
              </w:rPr>
            </w:pPr>
            <w:r w:rsidRPr="005A6729">
              <w:rPr>
                <w:lang w:eastAsia="en-AU"/>
              </w:rPr>
              <w:t>Self-management</w:t>
            </w:r>
          </w:p>
        </w:tc>
        <w:tc>
          <w:tcPr>
            <w:tcW w:w="215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26.2</w:t>
            </w:r>
          </w:p>
        </w:tc>
        <w:tc>
          <w:tcPr>
            <w:tcW w:w="220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26.7</w:t>
            </w:r>
          </w:p>
        </w:tc>
      </w:tr>
      <w:tr w:rsidR="0074764C" w:rsidRPr="005A6729"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5A6729" w:rsidRDefault="0074764C" w:rsidP="0074764C">
            <w:pPr>
              <w:pStyle w:val="TableRowHeadings"/>
              <w:rPr>
                <w:lang w:eastAsia="en-AU"/>
              </w:rPr>
            </w:pPr>
            <w:r w:rsidRPr="005A6729">
              <w:rPr>
                <w:lang w:eastAsia="en-AU"/>
              </w:rPr>
              <w:t>Mental health literacy</w:t>
            </w:r>
          </w:p>
        </w:tc>
        <w:tc>
          <w:tcPr>
            <w:tcW w:w="215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33.1</w:t>
            </w:r>
          </w:p>
        </w:tc>
        <w:tc>
          <w:tcPr>
            <w:tcW w:w="220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42.3</w:t>
            </w:r>
          </w:p>
        </w:tc>
      </w:tr>
      <w:tr w:rsidR="0074764C" w:rsidRPr="005A6729" w:rsidTr="0074764C">
        <w:trPr>
          <w:cantSplit/>
          <w:jc w:val="center"/>
        </w:trPr>
        <w:tc>
          <w:tcPr>
            <w:tcW w:w="4762" w:type="dxa"/>
            <w:tcBorders>
              <w:top w:val="nil"/>
              <w:bottom w:val="single" w:sz="4" w:space="0" w:color="FFFFFF"/>
              <w:right w:val="nil"/>
            </w:tcBorders>
            <w:shd w:val="clear" w:color="auto" w:fill="EFF3FF"/>
            <w:tcMar>
              <w:left w:w="40" w:type="dxa"/>
              <w:right w:w="40" w:type="dxa"/>
            </w:tcMar>
          </w:tcPr>
          <w:p w:rsidR="0074764C" w:rsidRPr="005A6729" w:rsidRDefault="0074764C" w:rsidP="0074764C">
            <w:pPr>
              <w:pStyle w:val="TableRowHeadings"/>
              <w:rPr>
                <w:lang w:eastAsia="en-AU"/>
              </w:rPr>
            </w:pPr>
            <w:r w:rsidRPr="005A6729">
              <w:rPr>
                <w:lang w:eastAsia="en-AU"/>
              </w:rPr>
              <w:t>Accessibility</w:t>
            </w:r>
          </w:p>
        </w:tc>
        <w:tc>
          <w:tcPr>
            <w:tcW w:w="215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12.8</w:t>
            </w:r>
          </w:p>
        </w:tc>
        <w:tc>
          <w:tcPr>
            <w:tcW w:w="2202" w:type="dxa"/>
            <w:tcBorders>
              <w:top w:val="nil"/>
              <w:left w:val="nil"/>
              <w:bottom w:val="nil"/>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14.2</w:t>
            </w:r>
          </w:p>
        </w:tc>
      </w:tr>
      <w:tr w:rsidR="0074764C" w:rsidRPr="005A6729" w:rsidTr="0074764C">
        <w:trPr>
          <w:cantSplit/>
          <w:jc w:val="center"/>
        </w:trPr>
        <w:tc>
          <w:tcPr>
            <w:tcW w:w="4762" w:type="dxa"/>
            <w:tcBorders>
              <w:top w:val="nil"/>
              <w:bottom w:val="single" w:sz="6" w:space="0" w:color="000000"/>
              <w:right w:val="nil"/>
            </w:tcBorders>
            <w:shd w:val="clear" w:color="auto" w:fill="EFF3FF"/>
            <w:tcMar>
              <w:left w:w="40" w:type="dxa"/>
              <w:right w:w="40" w:type="dxa"/>
            </w:tcMar>
          </w:tcPr>
          <w:p w:rsidR="0074764C" w:rsidRPr="005A6729" w:rsidRDefault="0074764C" w:rsidP="0074764C">
            <w:pPr>
              <w:pStyle w:val="TableRowHeadings"/>
              <w:rPr>
                <w:lang w:eastAsia="en-AU"/>
              </w:rPr>
            </w:pPr>
            <w:r w:rsidRPr="005A6729">
              <w:rPr>
                <w:lang w:eastAsia="en-AU"/>
              </w:rPr>
              <w:t>Stigma</w:t>
            </w:r>
            <w:r>
              <w:rPr>
                <w:lang w:eastAsia="en-AU"/>
              </w:rPr>
              <w:t>/not wanting to talk to a stranger</w:t>
            </w:r>
          </w:p>
        </w:tc>
        <w:tc>
          <w:tcPr>
            <w:tcW w:w="2152" w:type="dxa"/>
            <w:tcBorders>
              <w:top w:val="nil"/>
              <w:left w:val="nil"/>
              <w:bottom w:val="single" w:sz="6" w:space="0" w:color="000000"/>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27.9</w:t>
            </w:r>
          </w:p>
        </w:tc>
        <w:tc>
          <w:tcPr>
            <w:tcW w:w="2202" w:type="dxa"/>
            <w:tcBorders>
              <w:top w:val="nil"/>
              <w:left w:val="nil"/>
              <w:bottom w:val="single" w:sz="6" w:space="0" w:color="000000"/>
              <w:right w:val="nil"/>
            </w:tcBorders>
            <w:shd w:val="clear" w:color="auto" w:fill="FFFFFF"/>
            <w:tcMar>
              <w:left w:w="40" w:type="dxa"/>
              <w:right w:w="40" w:type="dxa"/>
            </w:tcMar>
            <w:vAlign w:val="bottom"/>
          </w:tcPr>
          <w:p w:rsidR="0074764C" w:rsidRPr="005A6729" w:rsidRDefault="0074764C" w:rsidP="0074764C">
            <w:pPr>
              <w:pStyle w:val="TableDataCell"/>
              <w:rPr>
                <w:lang w:eastAsia="en-AU"/>
              </w:rPr>
            </w:pPr>
            <w:r w:rsidRPr="005A6729">
              <w:rPr>
                <w:lang w:eastAsia="en-AU"/>
              </w:rPr>
              <w:t>16.7</w:t>
            </w:r>
          </w:p>
        </w:tc>
      </w:tr>
    </w:tbl>
    <w:p w:rsidR="0074764C" w:rsidRPr="00C97BCE" w:rsidRDefault="0074764C" w:rsidP="0074764C">
      <w:pPr>
        <w:pStyle w:val="BodyText"/>
        <w:rPr>
          <w:lang w:eastAsia="en-AU"/>
        </w:rPr>
      </w:pPr>
    </w:p>
    <w:p w:rsidR="0074764C" w:rsidRDefault="0074764C" w:rsidP="00DB066C">
      <w:pPr>
        <w:jc w:val="center"/>
        <w:sectPr w:rsidR="0074764C" w:rsidSect="003330E0">
          <w:headerReference w:type="even" r:id="rId128"/>
          <w:headerReference w:type="default" r:id="rId129"/>
          <w:footerReference w:type="default" r:id="rId130"/>
          <w:pgSz w:w="11906" w:h="16838" w:code="9"/>
          <w:pgMar w:top="1440" w:right="1440" w:bottom="1440" w:left="1440" w:header="567" w:footer="567" w:gutter="0"/>
          <w:pgNumType w:start="129"/>
          <w:cols w:space="720"/>
          <w:docGrid w:linePitch="360"/>
        </w:sectPr>
      </w:pPr>
    </w:p>
    <w:p w:rsidR="0074764C" w:rsidRPr="00DC7881" w:rsidRDefault="0074764C" w:rsidP="0074764C">
      <w:pPr>
        <w:spacing w:after="0" w:line="276" w:lineRule="auto"/>
        <w:jc w:val="center"/>
        <w:rPr>
          <w:b/>
          <w:color w:val="2171B5"/>
          <w:sz w:val="40"/>
          <w:szCs w:val="40"/>
        </w:rPr>
      </w:pPr>
      <w:r w:rsidRPr="00DC7881">
        <w:rPr>
          <w:b/>
          <w:noProof/>
          <w:color w:val="2171B5"/>
          <w:sz w:val="40"/>
          <w:szCs w:val="40"/>
          <w:lang w:eastAsia="en-AU"/>
        </w:rPr>
        <w:lastRenderedPageBreak/>
        <mc:AlternateContent>
          <mc:Choice Requires="wps">
            <w:drawing>
              <wp:anchor distT="0" distB="0" distL="114300" distR="114300" simplePos="0" relativeHeight="251669504" behindDoc="1" locked="0" layoutInCell="1" allowOverlap="1" wp14:anchorId="08B5AD6F" wp14:editId="3CCB2B6E">
                <wp:simplePos x="0" y="0"/>
                <wp:positionH relativeFrom="column">
                  <wp:posOffset>-1508418</wp:posOffset>
                </wp:positionH>
                <wp:positionV relativeFrom="paragraph">
                  <wp:posOffset>-968991</wp:posOffset>
                </wp:positionV>
                <wp:extent cx="8252128" cy="11252200"/>
                <wp:effectExtent l="0" t="0" r="0" b="6350"/>
                <wp:wrapNone/>
                <wp:docPr id="32" name="Rectangle 32"/>
                <wp:cNvGraphicFramePr/>
                <a:graphic xmlns:a="http://schemas.openxmlformats.org/drawingml/2006/main">
                  <a:graphicData uri="http://schemas.microsoft.com/office/word/2010/wordprocessingShape">
                    <wps:wsp>
                      <wps:cNvSpPr/>
                      <wps:spPr>
                        <a:xfrm>
                          <a:off x="0" y="0"/>
                          <a:ext cx="8252128"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74764C">
                            <w:pPr>
                              <w:pStyle w:val="Body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left:0;text-align:left;margin-left:-118.75pt;margin-top:-76.3pt;width:649.75pt;height:8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" fillcolor="#eff3ff" stroked="f" strokeweight="2pt">
                <v:fill opacity="56283f"/>
                <v:textbox>
                  <w:txbxContent>
                    <w:p w:rsidR="00711229" w:rsidRDefault="00711229" w:rsidP="0074764C">
                      <w:pPr>
                        <w:pStyle w:val="BodyText"/>
                      </w:pPr>
                      <w:r>
                        <w:softHyphen/>
                      </w:r>
                      <w:r>
                        <w:softHyphen/>
                      </w:r>
                    </w:p>
                  </w:txbxContent>
                </v:textbox>
              </v:rect>
            </w:pict>
          </mc:Fallback>
        </mc:AlternateContent>
      </w:r>
      <w:r w:rsidRPr="00DC7881">
        <w:rPr>
          <w:b/>
          <w:color w:val="2171B5"/>
          <w:sz w:val="40"/>
          <w:szCs w:val="40"/>
        </w:rPr>
        <w:t>PART 5</w:t>
      </w:r>
    </w:p>
    <w:p w:rsidR="0074764C" w:rsidRPr="00DC7881" w:rsidRDefault="0074764C" w:rsidP="0074764C">
      <w:pPr>
        <w:pStyle w:val="PartHeading"/>
      </w:pPr>
      <w:r w:rsidRPr="00DC7881">
        <w:t>Changes over time</w:t>
      </w:r>
    </w:p>
    <w:p w:rsidR="0074764C" w:rsidRPr="00DC7881" w:rsidRDefault="0074764C" w:rsidP="0074764C">
      <w:pPr>
        <w:spacing w:after="0" w:line="276" w:lineRule="auto"/>
        <w:jc w:val="center"/>
        <w:rPr>
          <w:b/>
          <w:color w:val="2171B5"/>
          <w:sz w:val="34"/>
          <w:szCs w:val="34"/>
        </w:rPr>
      </w:pPr>
      <w:r w:rsidRPr="00DC7881">
        <w:rPr>
          <w:b/>
          <w:color w:val="2171B5"/>
          <w:sz w:val="34"/>
          <w:szCs w:val="34"/>
        </w:rPr>
        <w:t>Changes in the prevalence of mental disorders and service use among children and adolescents since 1998</w:t>
      </w:r>
    </w:p>
    <w:p w:rsidR="0074764C" w:rsidRPr="00DC7881" w:rsidRDefault="0074764C" w:rsidP="0074764C">
      <w:pPr>
        <w:spacing w:before="900"/>
        <w:rPr>
          <w:sz w:val="24"/>
          <w:szCs w:val="24"/>
        </w:rPr>
      </w:pPr>
      <w:r w:rsidRPr="00DC7881">
        <w:rPr>
          <w:i/>
          <w:sz w:val="24"/>
          <w:szCs w:val="24"/>
        </w:rPr>
        <w:t>Young Minds Matter</w:t>
      </w:r>
      <w:r w:rsidRPr="00DC7881">
        <w:rPr>
          <w:sz w:val="24"/>
          <w:szCs w:val="24"/>
        </w:rPr>
        <w:t xml:space="preserve"> was the second national child and adolescent survey of mental health and wellbeing conducted in Australia. The first survey was conducted in 1998. It was led by a consortium from the University of Adelaide and provided the first national data on the prevalence of mental disorders and service use in Australian children and adolescents.</w:t>
      </w:r>
    </w:p>
    <w:p w:rsidR="0074764C" w:rsidRPr="00DC7881" w:rsidRDefault="0074764C" w:rsidP="0074764C">
      <w:pPr>
        <w:rPr>
          <w:sz w:val="24"/>
          <w:szCs w:val="24"/>
        </w:rPr>
      </w:pPr>
      <w:r w:rsidRPr="00DC7881">
        <w:rPr>
          <w:sz w:val="24"/>
          <w:szCs w:val="24"/>
        </w:rPr>
        <w:t xml:space="preserve">Although there are a number of significant differences between the first and second surveys, many of the essential elements remain the same. Both surveys used the </w:t>
      </w:r>
      <w:r w:rsidRPr="00DC7881">
        <w:rPr>
          <w:i/>
          <w:sz w:val="24"/>
          <w:szCs w:val="24"/>
        </w:rPr>
        <w:t>Diagnostic Interview Schedule for Children Version IV</w:t>
      </w:r>
      <w:r w:rsidRPr="00DC7881">
        <w:rPr>
          <w:sz w:val="24"/>
          <w:szCs w:val="24"/>
        </w:rPr>
        <w:t xml:space="preserve"> (DISC-IV) to assess mental disorders. Three disorders were common to both surveys and data on the prevalence of these disorders are compared.</w:t>
      </w:r>
    </w:p>
    <w:p w:rsidR="0074764C" w:rsidRPr="00DC7881" w:rsidRDefault="0074764C" w:rsidP="0074764C">
      <w:pPr>
        <w:rPr>
          <w:sz w:val="24"/>
          <w:szCs w:val="24"/>
        </w:rPr>
      </w:pPr>
      <w:r w:rsidRPr="00DC7881">
        <w:rPr>
          <w:sz w:val="24"/>
          <w:szCs w:val="24"/>
        </w:rPr>
        <w:t>Each survey determined the use of services by children and adolescents for their emotional and behavioural problems and, more specifically, the use by young people with mental disorders. The timeframe over which this was collected differed between the surveys and make comparisons difficult, but these data are explored further.</w:t>
      </w:r>
    </w:p>
    <w:p w:rsidR="0074764C" w:rsidRPr="009E2950" w:rsidRDefault="0074764C" w:rsidP="009E2950"/>
    <w:p w:rsidR="0074764C" w:rsidRDefault="0074764C" w:rsidP="0074764C">
      <w:pPr>
        <w:rPr>
          <w:rFonts w:ascii="Source Sans Pro" w:hAnsi="Source Sans Pro"/>
          <w:sz w:val="24"/>
          <w:szCs w:val="24"/>
        </w:rPr>
        <w:sectPr w:rsidR="0074764C" w:rsidSect="003330E0">
          <w:headerReference w:type="even" r:id="rId131"/>
          <w:headerReference w:type="default" r:id="rId132"/>
          <w:footerReference w:type="even" r:id="rId133"/>
          <w:footerReference w:type="default" r:id="rId134"/>
          <w:headerReference w:type="first" r:id="rId135"/>
          <w:footerReference w:type="first" r:id="rId136"/>
          <w:pgSz w:w="11906" w:h="16838" w:code="9"/>
          <w:pgMar w:top="1440" w:right="2268" w:bottom="1440" w:left="2268" w:header="567" w:footer="567" w:gutter="0"/>
          <w:pgNumType w:start="135"/>
          <w:cols w:space="720"/>
          <w:titlePg/>
          <w:docGrid w:linePitch="360"/>
        </w:sectPr>
      </w:pPr>
    </w:p>
    <w:p w:rsidR="0074764C" w:rsidRPr="009E2950" w:rsidRDefault="0074764C" w:rsidP="009E2950"/>
    <w:p w:rsidR="0074764C" w:rsidRDefault="0074764C" w:rsidP="00DB066C">
      <w:pPr>
        <w:jc w:val="center"/>
        <w:sectPr w:rsidR="0074764C" w:rsidSect="003330E0">
          <w:headerReference w:type="first" r:id="rId137"/>
          <w:pgSz w:w="11906" w:h="16838" w:code="9"/>
          <w:pgMar w:top="1440" w:right="1440" w:bottom="1440" w:left="1440" w:header="567" w:footer="567" w:gutter="0"/>
          <w:pgNumType w:start="143"/>
          <w:cols w:space="720"/>
          <w:titlePg/>
          <w:docGrid w:linePitch="360"/>
        </w:sectPr>
      </w:pPr>
    </w:p>
    <w:p w:rsidR="0074764C" w:rsidRDefault="0074764C" w:rsidP="0074764C">
      <w:pPr>
        <w:pStyle w:val="Heading1"/>
        <w:ind w:left="720" w:hanging="720"/>
      </w:pPr>
      <w:bookmarkStart w:id="278" w:name="_Toc401758851"/>
      <w:r>
        <w:lastRenderedPageBreak/>
        <w:t>14</w:t>
      </w:r>
      <w:r>
        <w:tab/>
        <w:t>Comparison with 1998 National Survey of Mental Health and Wellbeing</w:t>
      </w:r>
      <w:bookmarkEnd w:id="278"/>
    </w:p>
    <w:p w:rsidR="0074764C" w:rsidRDefault="0074764C" w:rsidP="0074764C">
      <w:pPr>
        <w:pStyle w:val="BodyText"/>
      </w:pPr>
      <w:r w:rsidRPr="00DD57C6">
        <w:rPr>
          <w:rStyle w:val="Emphasis"/>
        </w:rPr>
        <w:t>Young Minds Matter</w:t>
      </w:r>
      <w:r>
        <w:t xml:space="preserve"> was the second national Child and Adolescent Survey of Mental Health and Wellbeing conducted in Australia. The first survey was conducted in 1998. </w:t>
      </w:r>
    </w:p>
    <w:p w:rsidR="0074764C" w:rsidRDefault="0074764C" w:rsidP="0074764C">
      <w:pPr>
        <w:pStyle w:val="BodyText"/>
      </w:pPr>
      <w:r>
        <w:t xml:space="preserve">While it is possible to make some comparisons between the 1998 and 2013-14 surveys, these need to take into account the similarities and differences between the two surveys. </w:t>
      </w:r>
    </w:p>
    <w:p w:rsidR="0074764C" w:rsidRDefault="0074764C" w:rsidP="0074764C">
      <w:pPr>
        <w:pStyle w:val="BodyText"/>
      </w:pPr>
      <w:r>
        <w:t xml:space="preserve">When the 1998 Child and Adolescent Survey of Mental Health and Wellbeing was conducted it was the first national survey of its type conducted anywhere in the world. The survey assessed five common disorders using the DISC version IV, namely — major depressive disorder, dysthymic disorder, attention-deficit /hyperactivity disorder, conduct disorder, and eating disorders. The DISC-IV was a recognised diagnostic tool developed under the auspices of the National Institute of Mental Health in the United States to assess whether children and adolescents had mental disorders according to the criteria of the standard diagnostic classification, the DSM-IV. In addition mental health problems were assessed using the </w:t>
      </w:r>
      <w:r w:rsidRPr="00DD57C6">
        <w:rPr>
          <w:rStyle w:val="Emphasis"/>
        </w:rPr>
        <w:t xml:space="preserve">Child </w:t>
      </w:r>
      <w:proofErr w:type="spellStart"/>
      <w:r w:rsidRPr="00DD57C6">
        <w:rPr>
          <w:rStyle w:val="Emphasis"/>
        </w:rPr>
        <w:t>Behavior</w:t>
      </w:r>
      <w:proofErr w:type="spellEnd"/>
      <w:r w:rsidRPr="00DD57C6">
        <w:rPr>
          <w:rStyle w:val="Emphasis"/>
        </w:rPr>
        <w:t xml:space="preserve"> Checklist</w:t>
      </w:r>
      <w:r>
        <w:t xml:space="preserve"> (CBCL).</w:t>
      </w:r>
    </w:p>
    <w:p w:rsidR="0074764C" w:rsidRDefault="0074764C" w:rsidP="0074764C">
      <w:pPr>
        <w:pStyle w:val="BodyText"/>
      </w:pPr>
      <w:r w:rsidRPr="00DD57C6">
        <w:rPr>
          <w:rStyle w:val="Emphasis"/>
        </w:rPr>
        <w:t>Young Minds Matter</w:t>
      </w:r>
      <w:r>
        <w:t xml:space="preserve"> also used the DISC-IV to assess mental disorders. However, there were some changes to the list of disorders that were assessed. Major depressive disorder, ADHD, and conduct disorder were assessed as well as four anxiety disorders, that is — social phobia, separation anxiety, generalised anxiety and obsessive-compulsive disorder. In addition, the Strengths and Difficulties Questionnaire (SDQ) was used in </w:t>
      </w:r>
      <w:r w:rsidRPr="00DD57C6">
        <w:rPr>
          <w:rStyle w:val="Emphasis"/>
        </w:rPr>
        <w:t>Young Minds Matter</w:t>
      </w:r>
      <w:r>
        <w:rPr>
          <w:i/>
        </w:rPr>
        <w:t xml:space="preserve"> </w:t>
      </w:r>
      <w:r>
        <w:t xml:space="preserve">rather than the </w:t>
      </w:r>
      <w:r w:rsidRPr="00DD57C6">
        <w:rPr>
          <w:rStyle w:val="Emphasis"/>
        </w:rPr>
        <w:t xml:space="preserve">Child </w:t>
      </w:r>
      <w:proofErr w:type="spellStart"/>
      <w:r w:rsidRPr="00DD57C6">
        <w:rPr>
          <w:rStyle w:val="Emphasis"/>
        </w:rPr>
        <w:t>Behavior</w:t>
      </w:r>
      <w:proofErr w:type="spellEnd"/>
      <w:r w:rsidRPr="00DD57C6">
        <w:rPr>
          <w:rStyle w:val="Emphasis"/>
        </w:rPr>
        <w:t xml:space="preserve"> Checklist</w:t>
      </w:r>
      <w:r>
        <w:t>.</w:t>
      </w:r>
    </w:p>
    <w:p w:rsidR="0074764C" w:rsidRDefault="0074764C" w:rsidP="0074764C">
      <w:pPr>
        <w:pStyle w:val="BodyText"/>
      </w:pPr>
      <w:r>
        <w:t>This chapter reports on changes in prevalence of mental disorders between 1998 and 2013-14 for the three mental disorders common to both surveys (major depressive disorder, ADHD, and conduct disorder). Comparisons were restricted to children and adolescents aged 6-17 years as the first survey did not administer the DISC-IV modules to parents and carers of children aged 4-5 years. This chapter also makes some comparison between use of services in 1998 and 2013-14, although this comparison needs to be interpreted with caution as the 1998 survey collected information on use of services in the 6 months prior to the survey while the 2013-14 survey collected information on use of services in the 12 months prior to the survey.</w:t>
      </w:r>
    </w:p>
    <w:p w:rsidR="0074764C" w:rsidRDefault="0074764C" w:rsidP="0074764C">
      <w:pPr>
        <w:pStyle w:val="Heading2"/>
        <w:rPr>
          <w:rStyle w:val="Heading1Char"/>
          <w:b/>
          <w:bCs/>
          <w:caps w:val="0"/>
          <w:sz w:val="26"/>
          <w:szCs w:val="26"/>
        </w:rPr>
      </w:pPr>
      <w:bookmarkStart w:id="279" w:name="_Toc401758852"/>
      <w:r>
        <w:rPr>
          <w:rStyle w:val="Heading1Char"/>
          <w:b/>
          <w:bCs/>
          <w:caps w:val="0"/>
          <w:sz w:val="26"/>
          <w:szCs w:val="26"/>
        </w:rPr>
        <w:t>14.1</w:t>
      </w:r>
      <w:r w:rsidRPr="00F542D3">
        <w:rPr>
          <w:rStyle w:val="Heading1Char"/>
          <w:b/>
          <w:bCs/>
          <w:caps w:val="0"/>
          <w:sz w:val="26"/>
          <w:szCs w:val="26"/>
        </w:rPr>
        <w:tab/>
      </w:r>
      <w:r>
        <w:rPr>
          <w:rStyle w:val="Heading1Char"/>
          <w:b/>
          <w:bCs/>
          <w:caps w:val="0"/>
          <w:sz w:val="26"/>
          <w:szCs w:val="26"/>
        </w:rPr>
        <w:t>Prevalence of selected mental disorders by sex and age group</w:t>
      </w:r>
      <w:bookmarkEnd w:id="279"/>
    </w:p>
    <w:p w:rsidR="0074764C" w:rsidRDefault="0074764C" w:rsidP="0074764C">
      <w:pPr>
        <w:pStyle w:val="BodyText"/>
      </w:pPr>
      <w:r>
        <w:t>Between 1998 and 2013-14, the prevalence of major depressive disorder increased (from 2.1% to 3.2%), while the prevalence of conduct disorder and ADHD decreased (from 2.7% to 2.1% for conduct disorder and from 9.8% to 7.8% for ADHD). The proportion of 6-17 year-olds who had any of these three disorders decreased slightly from 12.2% to 11.1% (Table 14-</w:t>
      </w:r>
      <w:r>
        <w:rPr>
          <w:noProof/>
        </w:rPr>
        <w:t>1</w:t>
      </w:r>
      <w:r>
        <w:t>).</w:t>
      </w:r>
    </w:p>
    <w:p w:rsidR="0074764C" w:rsidRDefault="0074764C" w:rsidP="0074764C">
      <w:pPr>
        <w:pStyle w:val="BodyText"/>
      </w:pPr>
      <w:r>
        <w:t>Although there was very little difference between the two surveys in the prevalence of the three disorders for females, the prevalences of ADHD and conduct disorders were somewhat lower for males</w:t>
      </w:r>
      <w:r w:rsidRPr="006D4AC8">
        <w:t xml:space="preserve"> </w:t>
      </w:r>
      <w:r>
        <w:t>in 2013-14 than in 1998. Among males aged from 6 to 17 years the prevalence of ADHD declined from 13.8% to 11.0% and the prevalence of conduct disorder declined from 4.0% to 2.6% (Table 14-</w:t>
      </w:r>
      <w:r>
        <w:rPr>
          <w:noProof/>
        </w:rPr>
        <w:t>2</w:t>
      </w:r>
      <w:r>
        <w:t>).</w:t>
      </w:r>
    </w:p>
    <w:p w:rsidR="0074764C" w:rsidRDefault="0074764C" w:rsidP="0074764C">
      <w:pPr>
        <w:pStyle w:val="BodyText"/>
      </w:pPr>
      <w:r>
        <w:lastRenderedPageBreak/>
        <w:t>There were changes in the prevalence of the three disorders concentrated in particular age groups. There was no change in the prevalence of major depressive disorder between 1998 and 2013-14 among children aged 6-11 years. However, the prevalence of major depressive disorder among 12-17 year-olds increased from 2.9% to 5.0% (Table 14-</w:t>
      </w:r>
      <w:r>
        <w:rPr>
          <w:noProof/>
        </w:rPr>
        <w:t>1</w:t>
      </w:r>
      <w:r>
        <w:t>).</w:t>
      </w:r>
    </w:p>
    <w:p w:rsidR="0074764C" w:rsidRDefault="0074764C" w:rsidP="0074764C">
      <w:pPr>
        <w:pStyle w:val="BodyText"/>
      </w:pPr>
      <w:r>
        <w:t>For ADHD, the decrease in prevalence overall was due to the decrease in prevalence among children aged 6-11 years, from 16.7% to 12.3% in males and from 8.3% to 5.9% in females. The decrease in the prevalence of conduct disorder was predominantly due to a decrease in males aged 6-11 years from 4.6% to 2.6% (Table 14-</w:t>
      </w:r>
      <w:r>
        <w:rPr>
          <w:noProof/>
        </w:rPr>
        <w:t>2</w:t>
      </w:r>
      <w:r>
        <w:t xml:space="preserve">). </w:t>
      </w:r>
    </w:p>
    <w:p w:rsidR="0074764C" w:rsidRDefault="0074764C" w:rsidP="0074764C">
      <w:pPr>
        <w:pStyle w:val="BodyText"/>
      </w:pPr>
      <w:r>
        <w:t>In summary, comparison of the three disorders included in both the 1998 and 2013-14 surveys suggests that overall prevalence has remained relatively stable, with modest declines in prevalence of ADHD and conduct disorder and a modest increase in the prevalence of major depressive disorder.</w:t>
      </w:r>
    </w:p>
    <w:p w:rsidR="0074764C" w:rsidRDefault="0074764C" w:rsidP="0074764C">
      <w:pPr>
        <w:pStyle w:val="Caption"/>
        <w:keepNext/>
      </w:pPr>
      <w:bookmarkStart w:id="280" w:name="_Ref406749425"/>
      <w:r>
        <w:t>Table 14-</w:t>
      </w:r>
      <w:r>
        <w:rPr>
          <w:noProof/>
        </w:rPr>
        <w:t>1</w:t>
      </w:r>
      <w:bookmarkEnd w:id="280"/>
      <w:r>
        <w:t xml:space="preserve">: </w:t>
      </w:r>
      <w:r w:rsidRPr="00E0631D">
        <w:t>12-month prevalence of mental disorders among 6-17 year-olds in 1998 and 2013</w:t>
      </w:r>
      <w:r>
        <w:t>-14</w:t>
      </w:r>
      <w:r w:rsidRPr="00E0631D">
        <w:t xml:space="preserve"> by age group</w:t>
      </w:r>
    </w:p>
    <w:tbl>
      <w:tblPr>
        <w:tblW w:w="9115" w:type="dxa"/>
        <w:jc w:val="center"/>
        <w:tblLayout w:type="fixed"/>
        <w:tblCellMar>
          <w:left w:w="0" w:type="dxa"/>
          <w:right w:w="0" w:type="dxa"/>
        </w:tblCellMar>
        <w:tblLook w:val="0020" w:firstRow="1" w:lastRow="0" w:firstColumn="0" w:lastColumn="0" w:noHBand="0" w:noVBand="0"/>
        <w:tblDescription w:val="In Table 14-1 the first colum identifies age group and the second column identifies mental disorder. Read across the row for the prevalence of this mental disorder in this sex and age group first in 1998 and then in 2013."/>
      </w:tblPr>
      <w:tblGrid>
        <w:gridCol w:w="2088"/>
        <w:gridCol w:w="3836"/>
        <w:gridCol w:w="1595"/>
        <w:gridCol w:w="1596"/>
      </w:tblGrid>
      <w:tr w:rsidR="0074764C" w:rsidRPr="009B0FF0" w:rsidTr="0074764C">
        <w:trPr>
          <w:cantSplit/>
          <w:tblHeader/>
          <w:jc w:val="center"/>
        </w:trPr>
        <w:tc>
          <w:tcPr>
            <w:tcW w:w="2088"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8A3A01" w:rsidRDefault="0074764C" w:rsidP="0074764C">
            <w:pPr>
              <w:pStyle w:val="TableColumnHeadings"/>
              <w:jc w:val="left"/>
              <w:rPr>
                <w:rStyle w:val="Strong"/>
              </w:rPr>
            </w:pPr>
            <w:r w:rsidRPr="008A3A01">
              <w:rPr>
                <w:rStyle w:val="Strong"/>
              </w:rPr>
              <w:t>Age group</w:t>
            </w:r>
          </w:p>
        </w:tc>
        <w:tc>
          <w:tcPr>
            <w:tcW w:w="3836" w:type="dxa"/>
            <w:tcBorders>
              <w:top w:val="single" w:sz="6" w:space="0" w:color="000000"/>
              <w:left w:val="single" w:sz="4" w:space="0" w:color="FFFFFF"/>
              <w:bottom w:val="single" w:sz="4" w:space="0" w:color="000000"/>
              <w:right w:val="nil"/>
            </w:tcBorders>
            <w:shd w:val="clear" w:color="auto" w:fill="EFF3FF"/>
            <w:vAlign w:val="bottom"/>
          </w:tcPr>
          <w:p w:rsidR="0074764C" w:rsidRPr="008A3A01" w:rsidRDefault="0074764C" w:rsidP="0074764C">
            <w:pPr>
              <w:pStyle w:val="TableColumnHeadings"/>
              <w:jc w:val="left"/>
              <w:rPr>
                <w:rStyle w:val="Strong"/>
              </w:rPr>
            </w:pPr>
            <w:r w:rsidRPr="008A3A01">
              <w:rPr>
                <w:rStyle w:val="Strong"/>
              </w:rPr>
              <w:t>Disorder</w:t>
            </w:r>
          </w:p>
        </w:tc>
        <w:tc>
          <w:tcPr>
            <w:tcW w:w="159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A3A01" w:rsidRDefault="0074764C" w:rsidP="0074764C">
            <w:pPr>
              <w:pStyle w:val="TableColumnHeadings"/>
              <w:rPr>
                <w:rStyle w:val="Strong"/>
              </w:rPr>
            </w:pPr>
            <w:r w:rsidRPr="008A3A01">
              <w:rPr>
                <w:rStyle w:val="Strong"/>
              </w:rPr>
              <w:t>1998</w:t>
            </w:r>
          </w:p>
          <w:p w:rsidR="0074764C" w:rsidRPr="008A3A01" w:rsidRDefault="0074764C" w:rsidP="0074764C">
            <w:pPr>
              <w:pStyle w:val="TableColumnHeadings"/>
              <w:rPr>
                <w:rStyle w:val="Strong"/>
              </w:rPr>
            </w:pPr>
            <w:r w:rsidRPr="008A3A01">
              <w:rPr>
                <w:rStyle w:val="Strong"/>
              </w:rPr>
              <w:t>(%)</w:t>
            </w:r>
          </w:p>
        </w:tc>
        <w:tc>
          <w:tcPr>
            <w:tcW w:w="159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A3A01" w:rsidRDefault="0074764C" w:rsidP="0074764C">
            <w:pPr>
              <w:pStyle w:val="TableColumnHeadings"/>
              <w:rPr>
                <w:rStyle w:val="Strong"/>
              </w:rPr>
            </w:pPr>
            <w:r w:rsidRPr="008A3A01">
              <w:rPr>
                <w:rStyle w:val="Strong"/>
              </w:rPr>
              <w:t>2013-14</w:t>
            </w:r>
          </w:p>
          <w:p w:rsidR="0074764C" w:rsidRPr="008A3A01" w:rsidRDefault="0074764C" w:rsidP="0074764C">
            <w:pPr>
              <w:pStyle w:val="TableColumnHeadings"/>
              <w:rPr>
                <w:rStyle w:val="Strong"/>
              </w:rPr>
            </w:pPr>
            <w:r w:rsidRPr="008A3A01">
              <w:rPr>
                <w:rStyle w:val="Strong"/>
              </w:rPr>
              <w:t>(%)</w:t>
            </w:r>
          </w:p>
        </w:tc>
      </w:tr>
      <w:tr w:rsidR="0074764C" w:rsidRPr="009B0FF0" w:rsidTr="0074764C">
        <w:trPr>
          <w:cantSplit/>
          <w:jc w:val="center"/>
        </w:trPr>
        <w:tc>
          <w:tcPr>
            <w:tcW w:w="2088"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6-11 years</w:t>
            </w: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1.4</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1.4</w:t>
            </w:r>
          </w:p>
        </w:tc>
      </w:tr>
      <w:tr w:rsidR="0074764C" w:rsidRPr="009B0FF0" w:rsidTr="0074764C">
        <w:trPr>
          <w:cantSplit/>
          <w:jc w:val="center"/>
        </w:trPr>
        <w:tc>
          <w:tcPr>
            <w:tcW w:w="2088"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12.6</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9.2</w:t>
            </w:r>
          </w:p>
        </w:tc>
      </w:tr>
      <w:tr w:rsidR="0074764C" w:rsidRPr="009B0FF0" w:rsidTr="0074764C">
        <w:trPr>
          <w:cantSplit/>
          <w:jc w:val="center"/>
        </w:trPr>
        <w:tc>
          <w:tcPr>
            <w:tcW w:w="2088"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3.2</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2.2</w:t>
            </w:r>
          </w:p>
        </w:tc>
      </w:tr>
      <w:tr w:rsidR="0074764C" w:rsidRPr="009B0FF0" w:rsidTr="0074764C">
        <w:trPr>
          <w:cantSplit/>
          <w:jc w:val="center"/>
        </w:trPr>
        <w:tc>
          <w:tcPr>
            <w:tcW w:w="2088"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95"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14.2</w:t>
            </w:r>
          </w:p>
        </w:tc>
        <w:tc>
          <w:tcPr>
            <w:tcW w:w="1596"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10.9</w:t>
            </w:r>
          </w:p>
        </w:tc>
      </w:tr>
      <w:tr w:rsidR="0074764C" w:rsidRPr="009B0FF0" w:rsidTr="0074764C">
        <w:trPr>
          <w:cantSplit/>
          <w:jc w:val="center"/>
        </w:trPr>
        <w:tc>
          <w:tcPr>
            <w:tcW w:w="2088" w:type="dxa"/>
            <w:vMerge w:val="restart"/>
            <w:tcBorders>
              <w:top w:val="single" w:sz="4" w:space="0" w:color="FFFFFF"/>
              <w:bottom w:val="single" w:sz="4" w:space="0" w:color="auto"/>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12-17 years</w:t>
            </w: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2.9</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5.0</w:t>
            </w:r>
          </w:p>
        </w:tc>
      </w:tr>
      <w:tr w:rsidR="0074764C" w:rsidRPr="009B0FF0" w:rsidTr="0074764C">
        <w:trPr>
          <w:cantSplit/>
          <w:jc w:val="center"/>
        </w:trPr>
        <w:tc>
          <w:tcPr>
            <w:tcW w:w="2088" w:type="dxa"/>
            <w:vMerge/>
            <w:tcBorders>
              <w:top w:val="single" w:sz="4" w:space="0" w:color="FFFFFF"/>
              <w:bottom w:val="single" w:sz="4" w:space="0" w:color="auto"/>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7.1</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6.3</w:t>
            </w:r>
          </w:p>
        </w:tc>
      </w:tr>
      <w:tr w:rsidR="0074764C" w:rsidRPr="009B0FF0" w:rsidTr="0074764C">
        <w:trPr>
          <w:cantSplit/>
          <w:jc w:val="center"/>
        </w:trPr>
        <w:tc>
          <w:tcPr>
            <w:tcW w:w="2088" w:type="dxa"/>
            <w:vMerge/>
            <w:tcBorders>
              <w:top w:val="single" w:sz="4" w:space="0" w:color="FFFFFF"/>
              <w:bottom w:val="single" w:sz="4" w:space="0" w:color="auto"/>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95"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2.2</w:t>
            </w:r>
          </w:p>
        </w:tc>
        <w:tc>
          <w:tcPr>
            <w:tcW w:w="1596"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2.1</w:t>
            </w:r>
          </w:p>
        </w:tc>
      </w:tr>
      <w:tr w:rsidR="0074764C" w:rsidRPr="009B0FF0" w:rsidTr="0074764C">
        <w:trPr>
          <w:cantSplit/>
          <w:jc w:val="center"/>
        </w:trPr>
        <w:tc>
          <w:tcPr>
            <w:tcW w:w="2088" w:type="dxa"/>
            <w:vMerge/>
            <w:tcBorders>
              <w:top w:val="single" w:sz="4" w:space="0" w:color="FFFFFF"/>
              <w:bottom w:val="single" w:sz="4" w:space="0" w:color="auto"/>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3836" w:type="dxa"/>
            <w:tcBorders>
              <w:top w:val="nil"/>
              <w:left w:val="single" w:sz="4" w:space="0" w:color="FFFFFF"/>
              <w:bottom w:val="single" w:sz="4" w:space="0" w:color="auto"/>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95" w:type="dxa"/>
            <w:tcBorders>
              <w:top w:val="nil"/>
              <w:left w:val="nil"/>
              <w:bottom w:val="single" w:sz="4" w:space="0" w:color="auto"/>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10.2</w:t>
            </w:r>
          </w:p>
        </w:tc>
        <w:tc>
          <w:tcPr>
            <w:tcW w:w="1596" w:type="dxa"/>
            <w:tcBorders>
              <w:top w:val="nil"/>
              <w:left w:val="nil"/>
              <w:bottom w:val="single" w:sz="4" w:space="0" w:color="auto"/>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11.3</w:t>
            </w:r>
          </w:p>
        </w:tc>
      </w:tr>
      <w:tr w:rsidR="0074764C" w:rsidRPr="009B0FF0" w:rsidTr="0074764C">
        <w:trPr>
          <w:cantSplit/>
          <w:jc w:val="center"/>
        </w:trPr>
        <w:tc>
          <w:tcPr>
            <w:tcW w:w="2088" w:type="dxa"/>
            <w:vMerge w:val="restart"/>
            <w:tcBorders>
              <w:top w:val="single" w:sz="4" w:space="0" w:color="auto"/>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3836" w:type="dxa"/>
            <w:tcBorders>
              <w:top w:val="single" w:sz="4" w:space="0" w:color="auto"/>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Major depressive disorder</w:t>
            </w:r>
          </w:p>
        </w:tc>
        <w:tc>
          <w:tcPr>
            <w:tcW w:w="1595" w:type="dxa"/>
            <w:tcBorders>
              <w:top w:val="single" w:sz="4" w:space="0" w:color="auto"/>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2.1</w:t>
            </w:r>
          </w:p>
        </w:tc>
        <w:tc>
          <w:tcPr>
            <w:tcW w:w="1596" w:type="dxa"/>
            <w:tcBorders>
              <w:top w:val="single" w:sz="4" w:space="0" w:color="auto"/>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3.2</w:t>
            </w:r>
          </w:p>
        </w:tc>
      </w:tr>
      <w:tr w:rsidR="0074764C" w:rsidRPr="009B0FF0" w:rsidTr="0074764C">
        <w:trPr>
          <w:cantSplit/>
          <w:jc w:val="center"/>
        </w:trPr>
        <w:tc>
          <w:tcPr>
            <w:tcW w:w="2088"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Source Sans Pro" w:hAnsi="Source Sans Pro"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ADHD</w:t>
            </w:r>
          </w:p>
        </w:tc>
        <w:tc>
          <w:tcPr>
            <w:tcW w:w="1595"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9.8</w:t>
            </w:r>
          </w:p>
        </w:tc>
        <w:tc>
          <w:tcPr>
            <w:tcW w:w="1596"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7.8</w:t>
            </w:r>
          </w:p>
        </w:tc>
      </w:tr>
      <w:tr w:rsidR="0074764C" w:rsidRPr="009B0FF0" w:rsidTr="0074764C">
        <w:trPr>
          <w:cantSplit/>
          <w:jc w:val="center"/>
        </w:trPr>
        <w:tc>
          <w:tcPr>
            <w:tcW w:w="2088"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Source Sans Pro" w:hAnsi="Source Sans Pro" w:cs="Times New Roman"/>
                <w:sz w:val="24"/>
                <w:szCs w:val="24"/>
                <w:lang w:eastAsia="en-AU"/>
              </w:rPr>
            </w:pPr>
          </w:p>
        </w:tc>
        <w:tc>
          <w:tcPr>
            <w:tcW w:w="383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Conduct disorder</w:t>
            </w:r>
          </w:p>
        </w:tc>
        <w:tc>
          <w:tcPr>
            <w:tcW w:w="1595"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2.7</w:t>
            </w:r>
          </w:p>
        </w:tc>
        <w:tc>
          <w:tcPr>
            <w:tcW w:w="1596"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2.1</w:t>
            </w:r>
          </w:p>
        </w:tc>
      </w:tr>
      <w:tr w:rsidR="0074764C" w:rsidRPr="009B0FF0" w:rsidTr="0074764C">
        <w:trPr>
          <w:cantSplit/>
          <w:jc w:val="center"/>
        </w:trPr>
        <w:tc>
          <w:tcPr>
            <w:tcW w:w="2088"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Source Sans Pro" w:hAnsi="Source Sans Pro" w:cs="Times New Roman"/>
                <w:sz w:val="24"/>
                <w:szCs w:val="24"/>
                <w:lang w:eastAsia="en-AU"/>
              </w:rPr>
            </w:pPr>
          </w:p>
        </w:tc>
        <w:tc>
          <w:tcPr>
            <w:tcW w:w="3836" w:type="dxa"/>
            <w:tcBorders>
              <w:top w:val="nil"/>
              <w:left w:val="single" w:sz="4" w:space="0" w:color="FFFFFF"/>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95"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12.2</w:t>
            </w:r>
          </w:p>
        </w:tc>
        <w:tc>
          <w:tcPr>
            <w:tcW w:w="1596"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11.1</w:t>
            </w:r>
          </w:p>
        </w:tc>
      </w:tr>
    </w:tbl>
    <w:p w:rsidR="0074764C" w:rsidRDefault="0074764C" w:rsidP="0074764C">
      <w:pPr>
        <w:pStyle w:val="Caption"/>
        <w:keepNext/>
        <w:pageBreakBefore/>
        <w:spacing w:before="0"/>
      </w:pPr>
      <w:bookmarkStart w:id="281" w:name="_Ref406749404"/>
      <w:r>
        <w:lastRenderedPageBreak/>
        <w:t>Table 14-</w:t>
      </w:r>
      <w:r>
        <w:rPr>
          <w:noProof/>
        </w:rPr>
        <w:t>2</w:t>
      </w:r>
      <w:bookmarkEnd w:id="281"/>
      <w:r>
        <w:t xml:space="preserve">: </w:t>
      </w:r>
      <w:r w:rsidRPr="00A86592">
        <w:t>12-month prevalence of mental disorders among 6-17 year-olds in 1998 and 2013</w:t>
      </w:r>
      <w:r>
        <w:t>-14</w:t>
      </w:r>
      <w:r w:rsidRPr="00A86592">
        <w:t xml:space="preserve"> by sex and age group</w:t>
      </w:r>
    </w:p>
    <w:tbl>
      <w:tblPr>
        <w:tblW w:w="9122" w:type="dxa"/>
        <w:jc w:val="center"/>
        <w:tblLayout w:type="fixed"/>
        <w:tblCellMar>
          <w:left w:w="0" w:type="dxa"/>
          <w:right w:w="0" w:type="dxa"/>
        </w:tblCellMar>
        <w:tblLook w:val="0020" w:firstRow="1" w:lastRow="0" w:firstColumn="0" w:lastColumn="0" w:noHBand="0" w:noVBand="0"/>
        <w:tblDescription w:val="In Table 14-2 the first colum identifies sex, the second column identifies age group and the third column identifies mental disorde. Read across the row for the prevalence of this mental disorder in this sex and age group first in 1998 and then in 2013."/>
      </w:tblPr>
      <w:tblGrid>
        <w:gridCol w:w="1335"/>
        <w:gridCol w:w="1792"/>
        <w:gridCol w:w="2816"/>
        <w:gridCol w:w="1589"/>
        <w:gridCol w:w="1590"/>
      </w:tblGrid>
      <w:tr w:rsidR="0074764C" w:rsidRPr="00DD57C6" w:rsidTr="0074764C">
        <w:trPr>
          <w:cantSplit/>
          <w:tblHeader/>
          <w:jc w:val="center"/>
        </w:trPr>
        <w:tc>
          <w:tcPr>
            <w:tcW w:w="1335" w:type="dxa"/>
            <w:tcBorders>
              <w:top w:val="single" w:sz="6" w:space="0" w:color="000000"/>
              <w:bottom w:val="single" w:sz="4" w:space="0" w:color="000000"/>
              <w:right w:val="nil"/>
            </w:tcBorders>
            <w:shd w:val="clear" w:color="auto" w:fill="EFF3FF"/>
            <w:tcMar>
              <w:left w:w="40" w:type="dxa"/>
              <w:right w:w="40" w:type="dxa"/>
            </w:tcMar>
            <w:vAlign w:val="bottom"/>
          </w:tcPr>
          <w:p w:rsidR="0074764C" w:rsidRPr="00DD57C6" w:rsidRDefault="0074764C" w:rsidP="0074764C">
            <w:pPr>
              <w:pStyle w:val="TableColumnHeadings"/>
              <w:jc w:val="left"/>
              <w:rPr>
                <w:rStyle w:val="Strong"/>
              </w:rPr>
            </w:pPr>
            <w:r w:rsidRPr="00DD57C6">
              <w:rPr>
                <w:rStyle w:val="Strong"/>
              </w:rPr>
              <w:t>Sex</w:t>
            </w:r>
          </w:p>
        </w:tc>
        <w:tc>
          <w:tcPr>
            <w:tcW w:w="1792" w:type="dxa"/>
            <w:tcBorders>
              <w:top w:val="single" w:sz="6" w:space="0" w:color="000000"/>
              <w:left w:val="single" w:sz="4" w:space="0" w:color="FFFFFF"/>
              <w:bottom w:val="single" w:sz="4" w:space="0" w:color="000000"/>
              <w:right w:val="nil"/>
            </w:tcBorders>
            <w:shd w:val="clear" w:color="auto" w:fill="EFF3FF"/>
            <w:vAlign w:val="bottom"/>
          </w:tcPr>
          <w:p w:rsidR="0074764C" w:rsidRPr="00DD57C6" w:rsidRDefault="0074764C" w:rsidP="0074764C">
            <w:pPr>
              <w:pStyle w:val="TableColumnHeadings"/>
              <w:jc w:val="left"/>
              <w:rPr>
                <w:rStyle w:val="Strong"/>
              </w:rPr>
            </w:pPr>
            <w:r w:rsidRPr="00DD57C6">
              <w:rPr>
                <w:rStyle w:val="Strong"/>
              </w:rPr>
              <w:t>Age group</w:t>
            </w:r>
          </w:p>
        </w:tc>
        <w:tc>
          <w:tcPr>
            <w:tcW w:w="2816" w:type="dxa"/>
            <w:tcBorders>
              <w:top w:val="single" w:sz="6" w:space="0" w:color="000000"/>
              <w:left w:val="single" w:sz="4" w:space="0" w:color="FFFFFF"/>
              <w:bottom w:val="single" w:sz="4" w:space="0" w:color="000000"/>
              <w:right w:val="nil"/>
            </w:tcBorders>
            <w:shd w:val="clear" w:color="auto" w:fill="EFF3FF"/>
            <w:vAlign w:val="bottom"/>
          </w:tcPr>
          <w:p w:rsidR="0074764C" w:rsidRPr="00DD57C6" w:rsidRDefault="0074764C" w:rsidP="0074764C">
            <w:pPr>
              <w:pStyle w:val="TableColumnHeadings"/>
              <w:jc w:val="left"/>
              <w:rPr>
                <w:rStyle w:val="Strong"/>
              </w:rPr>
            </w:pPr>
            <w:r w:rsidRPr="00DD57C6">
              <w:rPr>
                <w:rStyle w:val="Strong"/>
              </w:rPr>
              <w:t>Disorder</w:t>
            </w:r>
          </w:p>
        </w:tc>
        <w:tc>
          <w:tcPr>
            <w:tcW w:w="158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DD57C6" w:rsidRDefault="0074764C" w:rsidP="0074764C">
            <w:pPr>
              <w:pStyle w:val="TableColumnHeadings"/>
              <w:rPr>
                <w:rStyle w:val="Strong"/>
              </w:rPr>
            </w:pPr>
            <w:r w:rsidRPr="00DD57C6">
              <w:rPr>
                <w:rStyle w:val="Strong"/>
              </w:rPr>
              <w:t>1998</w:t>
            </w:r>
          </w:p>
          <w:p w:rsidR="0074764C" w:rsidRPr="00DD57C6" w:rsidRDefault="0074764C" w:rsidP="0074764C">
            <w:pPr>
              <w:pStyle w:val="TableColumnHeadings"/>
              <w:rPr>
                <w:rStyle w:val="Strong"/>
              </w:rPr>
            </w:pPr>
            <w:r w:rsidRPr="00DD57C6">
              <w:rPr>
                <w:rStyle w:val="Strong"/>
              </w:rPr>
              <w:t>(%)</w:t>
            </w:r>
          </w:p>
        </w:tc>
        <w:tc>
          <w:tcPr>
            <w:tcW w:w="159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DD57C6" w:rsidRDefault="0074764C" w:rsidP="0074764C">
            <w:pPr>
              <w:pStyle w:val="TableColumnHeadings"/>
              <w:rPr>
                <w:rStyle w:val="Strong"/>
              </w:rPr>
            </w:pPr>
            <w:r w:rsidRPr="00DD57C6">
              <w:rPr>
                <w:rStyle w:val="Strong"/>
              </w:rPr>
              <w:t>2013-14</w:t>
            </w:r>
          </w:p>
          <w:p w:rsidR="0074764C" w:rsidRPr="00DD57C6" w:rsidRDefault="0074764C" w:rsidP="0074764C">
            <w:pPr>
              <w:pStyle w:val="TableColumnHeadings"/>
              <w:rPr>
                <w:rStyle w:val="Strong"/>
              </w:rPr>
            </w:pPr>
            <w:r w:rsidRPr="00DD57C6">
              <w:rPr>
                <w:rStyle w:val="Strong"/>
              </w:rPr>
              <w:t>(%)</w:t>
            </w:r>
          </w:p>
        </w:tc>
      </w:tr>
      <w:tr w:rsidR="0074764C" w:rsidRPr="009B0FF0" w:rsidTr="0074764C">
        <w:trPr>
          <w:cantSplit/>
          <w:jc w:val="center"/>
        </w:trPr>
        <w:tc>
          <w:tcPr>
            <w:tcW w:w="1335" w:type="dxa"/>
            <w:vMerge w:val="restart"/>
            <w:tcBorders>
              <w:top w:val="single" w:sz="4" w:space="0" w:color="000000"/>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Males</w:t>
            </w:r>
          </w:p>
        </w:tc>
        <w:tc>
          <w:tcPr>
            <w:tcW w:w="1792" w:type="dxa"/>
            <w:vMerge w:val="restart"/>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6-11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1.4</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1.2</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16.7</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12.3</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4.6</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2.6</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18.4</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13.7</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val="restart"/>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12-17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2.7</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4.3</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10.9</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9.8</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3.3</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2.6</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13.6</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13.6</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val="restart"/>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Major depressive disorder</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2.1</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2.8</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ADHD</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13.8</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11.0</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Conduct disorder</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4.0</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2.6</w:t>
            </w:r>
          </w:p>
        </w:tc>
      </w:tr>
      <w:tr w:rsidR="0074764C" w:rsidRPr="009B0FF0" w:rsidTr="0074764C">
        <w:trPr>
          <w:cantSplit/>
          <w:jc w:val="center"/>
        </w:trPr>
        <w:tc>
          <w:tcPr>
            <w:tcW w:w="1335" w:type="dxa"/>
            <w:vMerge/>
            <w:tcBorders>
              <w:top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16.0</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13.6</w:t>
            </w:r>
          </w:p>
        </w:tc>
      </w:tr>
      <w:tr w:rsidR="0074764C" w:rsidRPr="009B0FF0" w:rsidTr="0074764C">
        <w:trPr>
          <w:cantSplit/>
          <w:jc w:val="center"/>
        </w:trPr>
        <w:tc>
          <w:tcPr>
            <w:tcW w:w="1335"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Females</w:t>
            </w:r>
          </w:p>
        </w:tc>
        <w:tc>
          <w:tcPr>
            <w:tcW w:w="1792" w:type="dxa"/>
            <w:vMerge w:val="restart"/>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6-11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1.3</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1.6</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8.3</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5.9</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1.8</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1.8</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9.8</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8.1</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val="restart"/>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12-17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Major depressive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3.1</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5.8</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sidRPr="009B0FF0">
              <w:rPr>
                <w:lang w:eastAsia="en-AU"/>
              </w:rPr>
              <w:t>ADHD</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3.1</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2.7</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lang w:eastAsia="en-AU"/>
              </w:rPr>
            </w:pPr>
            <w:r>
              <w:rPr>
                <w:lang w:eastAsia="en-AU"/>
              </w:rPr>
              <w:t>Conduct d</w:t>
            </w:r>
            <w:r w:rsidRPr="009B0FF0">
              <w:rPr>
                <w:lang w:eastAsia="en-AU"/>
              </w:rPr>
              <w:t>isorder</w:t>
            </w:r>
          </w:p>
        </w:tc>
        <w:tc>
          <w:tcPr>
            <w:tcW w:w="1589"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0.9</w:t>
            </w:r>
          </w:p>
        </w:tc>
        <w:tc>
          <w:tcPr>
            <w:tcW w:w="1590" w:type="dxa"/>
            <w:tcBorders>
              <w:top w:val="nil"/>
              <w:left w:val="nil"/>
              <w:bottom w:val="nil"/>
              <w:right w:val="nil"/>
            </w:tcBorders>
            <w:shd w:val="clear" w:color="auto" w:fill="FFFFFF"/>
            <w:tcMar>
              <w:left w:w="40" w:type="dxa"/>
              <w:right w:w="40" w:type="dxa"/>
            </w:tcMar>
            <w:vAlign w:val="bottom"/>
          </w:tcPr>
          <w:p w:rsidR="0074764C" w:rsidRPr="009B0FF0" w:rsidRDefault="0074764C" w:rsidP="0074764C">
            <w:pPr>
              <w:pStyle w:val="TableDataCell"/>
              <w:rPr>
                <w:lang w:eastAsia="en-AU"/>
              </w:rPr>
            </w:pPr>
            <w:r w:rsidRPr="009B0FF0">
              <w:rPr>
                <w:lang w:eastAsia="en-AU"/>
              </w:rPr>
              <w:t>1.6</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4" w:space="0" w:color="FFFFFF"/>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6.6</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8.8</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val="restart"/>
            <w:tcBorders>
              <w:top w:val="nil"/>
              <w:left w:val="single" w:sz="4" w:space="0" w:color="FFFFFF"/>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Major depressive disorder</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2.2</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3.6</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6" w:space="0" w:color="000000"/>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ADHD</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5.7</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4.3</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6" w:space="0" w:color="000000"/>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pPr>
            <w:r w:rsidRPr="008A3A01">
              <w:t>Conduct disorder</w:t>
            </w:r>
          </w:p>
        </w:tc>
        <w:tc>
          <w:tcPr>
            <w:tcW w:w="1589"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1.3</w:t>
            </w:r>
          </w:p>
        </w:tc>
        <w:tc>
          <w:tcPr>
            <w:tcW w:w="1590"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pPr>
            <w:r w:rsidRPr="008A3A01">
              <w:t>1.7</w:t>
            </w:r>
          </w:p>
        </w:tc>
      </w:tr>
      <w:tr w:rsidR="0074764C" w:rsidRPr="009B0FF0" w:rsidTr="0074764C">
        <w:trPr>
          <w:cantSplit/>
          <w:jc w:val="center"/>
        </w:trPr>
        <w:tc>
          <w:tcPr>
            <w:tcW w:w="1335" w:type="dxa"/>
            <w:vMerge/>
            <w:tcBorders>
              <w:top w:val="single" w:sz="6" w:space="0" w:color="000000"/>
              <w:bottom w:val="single" w:sz="6" w:space="0" w:color="000000"/>
              <w:right w:val="nil"/>
            </w:tcBorders>
            <w:shd w:val="clear" w:color="auto" w:fill="EFF3FF"/>
            <w:tcMar>
              <w:left w:w="40" w:type="dxa"/>
              <w:right w:w="40" w:type="dxa"/>
            </w:tcMar>
          </w:tcPr>
          <w:p w:rsidR="0074764C" w:rsidRPr="009B0FF0" w:rsidRDefault="0074764C" w:rsidP="0074764C">
            <w:pPr>
              <w:pStyle w:val="TableRowHeadings"/>
              <w:rPr>
                <w:rFonts w:ascii="Times New Roman" w:hAnsi="Times New Roman" w:cs="Times New Roman"/>
                <w:sz w:val="24"/>
                <w:szCs w:val="24"/>
                <w:lang w:eastAsia="en-AU"/>
              </w:rPr>
            </w:pPr>
          </w:p>
        </w:tc>
        <w:tc>
          <w:tcPr>
            <w:tcW w:w="1792" w:type="dxa"/>
            <w:vMerge/>
            <w:tcBorders>
              <w:top w:val="nil"/>
              <w:left w:val="single" w:sz="4" w:space="0" w:color="FFFFFF"/>
              <w:bottom w:val="single" w:sz="6" w:space="0" w:color="000000"/>
              <w:right w:val="nil"/>
            </w:tcBorders>
            <w:shd w:val="clear" w:color="auto" w:fill="EFF3FF"/>
            <w:tcMar>
              <w:left w:w="40" w:type="dxa"/>
              <w:right w:w="40" w:type="dxa"/>
            </w:tcMar>
          </w:tcPr>
          <w:p w:rsidR="0074764C" w:rsidRPr="00975041" w:rsidRDefault="0074764C" w:rsidP="0074764C">
            <w:pPr>
              <w:pStyle w:val="TableRowHeadings"/>
              <w:rPr>
                <w:rFonts w:ascii="Source Sans Pro" w:hAnsi="Source Sans Pro" w:cs="Times New Roman"/>
                <w:sz w:val="24"/>
                <w:szCs w:val="24"/>
                <w:lang w:eastAsia="en-AU"/>
              </w:rPr>
            </w:pPr>
          </w:p>
        </w:tc>
        <w:tc>
          <w:tcPr>
            <w:tcW w:w="2816" w:type="dxa"/>
            <w:tcBorders>
              <w:top w:val="nil"/>
              <w:left w:val="single" w:sz="4" w:space="0" w:color="FFFFFF"/>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of the above 3 disorders</w:t>
            </w:r>
          </w:p>
        </w:tc>
        <w:tc>
          <w:tcPr>
            <w:tcW w:w="1589"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8.2</w:t>
            </w:r>
          </w:p>
        </w:tc>
        <w:tc>
          <w:tcPr>
            <w:tcW w:w="1590"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8.5</w:t>
            </w:r>
          </w:p>
        </w:tc>
      </w:tr>
    </w:tbl>
    <w:p w:rsidR="0074764C" w:rsidRDefault="0074764C" w:rsidP="0074764C">
      <w:pPr>
        <w:pStyle w:val="Heading2"/>
        <w:pageBreakBefore/>
        <w:spacing w:before="0"/>
      </w:pPr>
      <w:r>
        <w:lastRenderedPageBreak/>
        <w:t>14.2</w:t>
      </w:r>
      <w:r>
        <w:tab/>
        <w:t>Use of services</w:t>
      </w:r>
    </w:p>
    <w:p w:rsidR="0074764C" w:rsidRDefault="0074764C" w:rsidP="0074764C">
      <w:pPr>
        <w:pStyle w:val="BodyText"/>
      </w:pPr>
      <w:r>
        <w:t xml:space="preserve">Information on service use is not directly comparable between the two surveys. In 1998, parents and carers were asked about use of services in the previous 6 months, while in </w:t>
      </w:r>
      <w:r w:rsidRPr="00DD57C6">
        <w:rPr>
          <w:rStyle w:val="Emphasis"/>
        </w:rPr>
        <w:t>Young Minds Matter</w:t>
      </w:r>
      <w:r>
        <w:t xml:space="preserve"> they were asked about use of services in the previous 12 months. The service use module was completely rewritten for </w:t>
      </w:r>
      <w:r w:rsidRPr="00DD57C6">
        <w:rPr>
          <w:rStyle w:val="Emphasis"/>
        </w:rPr>
        <w:t>Young Minds Matter</w:t>
      </w:r>
      <w:r>
        <w:t xml:space="preserve"> based on the current Australian health care environment and there were several differences in the types of services included in both surveys.</w:t>
      </w:r>
    </w:p>
    <w:p w:rsidR="0074764C" w:rsidRDefault="0074764C" w:rsidP="0074764C">
      <w:pPr>
        <w:pStyle w:val="BodyText"/>
      </w:pPr>
      <w:r>
        <w:t>In order to provide some comparison of service use between 1998 and 2013-14, services common to both surveys were identified. These included school services (counselling, a place in a special class or school or other school or education-based service for emotional or behavioural problems) and health services (GP, psychologist, psychiatrist, paediatrician, overnight stay in a hospital or longer, hospital outpatient or emergency services, community mental health clinic, or telephone counselling service).</w:t>
      </w:r>
    </w:p>
    <w:p w:rsidR="0074764C" w:rsidRDefault="0074764C" w:rsidP="0074764C">
      <w:pPr>
        <w:pStyle w:val="BodyText"/>
      </w:pPr>
      <w:r>
        <w:t>Among children and adolescents aged 6-17 years with either major depressive disorder, ADHD or conduct disorder, 31.2% had used services in the six months prior to the 1998 survey, while 68.3% had used services in the 12 months prior to the 2013-14 survey. There was a greater apparent change in use of school services for emotional or behavioural problems. In the six months prior to the 1998 survey 19.2% of children or adolescents with one of the three mental disorders common to both surveys had used a school service, while 54.0% of children or adolescents had used a school service in the 12 months prior to the 2013-14 survey.</w:t>
      </w:r>
    </w:p>
    <w:p w:rsidR="0074764C" w:rsidRDefault="0074764C" w:rsidP="0074764C">
      <w:pPr>
        <w:pStyle w:val="BodyText"/>
      </w:pPr>
      <w:r>
        <w:t>While differences in questions and time period make comparisons difficult, the increase in use of services is higher than is likely to be attributable to changes in methodology alone. On balance, the data suggest that there has been a significant increase in service use by children and adolescents with mental disorders in Australia between 1998 and 2013-14.</w:t>
      </w:r>
    </w:p>
    <w:p w:rsidR="0074764C" w:rsidRDefault="0074764C" w:rsidP="0074764C">
      <w:pPr>
        <w:pStyle w:val="Caption"/>
        <w:keepNext/>
      </w:pPr>
      <w:r>
        <w:t>Table 14-</w:t>
      </w:r>
      <w:r>
        <w:rPr>
          <w:noProof/>
        </w:rPr>
        <w:t>3</w:t>
      </w:r>
      <w:r>
        <w:t>: Use of services for emotional or behavioural problems in 6-17 year-olds with major depressive disorder, ADHD or conduct disorder, 1998 and 2013-14 by age group and type of service</w:t>
      </w:r>
    </w:p>
    <w:tbl>
      <w:tblPr>
        <w:tblW w:w="0" w:type="auto"/>
        <w:jc w:val="center"/>
        <w:tblLayout w:type="fixed"/>
        <w:tblCellMar>
          <w:left w:w="0" w:type="dxa"/>
          <w:right w:w="0" w:type="dxa"/>
        </w:tblCellMar>
        <w:tblLook w:val="0020" w:firstRow="1" w:lastRow="0" w:firstColumn="0" w:lastColumn="0" w:noHBand="0" w:noVBand="0"/>
        <w:tblDescription w:val="In Table 14-3 the first column defines type of service used and the second column defines age group. Read across the rows for first the proportion of 6-17 year-olds with major depressive disorder, ADHD or conduct disorder who had used services in the 6 months prior to the 1998 survey, and then the proportion who had used services in the 12 months prior to the 2013 survey."/>
      </w:tblPr>
      <w:tblGrid>
        <w:gridCol w:w="2595"/>
        <w:gridCol w:w="14"/>
        <w:gridCol w:w="3317"/>
        <w:gridCol w:w="1583"/>
        <w:gridCol w:w="1583"/>
      </w:tblGrid>
      <w:tr w:rsidR="0074764C" w:rsidRPr="00977C40" w:rsidTr="0074764C">
        <w:trPr>
          <w:cantSplit/>
          <w:tblHeader/>
          <w:jc w:val="center"/>
        </w:trPr>
        <w:tc>
          <w:tcPr>
            <w:tcW w:w="2609" w:type="dxa"/>
            <w:gridSpan w:val="2"/>
            <w:tcBorders>
              <w:top w:val="single" w:sz="6" w:space="0" w:color="000000"/>
              <w:bottom w:val="single" w:sz="4" w:space="0" w:color="000000"/>
              <w:right w:val="nil"/>
            </w:tcBorders>
            <w:shd w:val="clear" w:color="auto" w:fill="EFF3FF"/>
            <w:tcMar>
              <w:left w:w="40" w:type="dxa"/>
              <w:right w:w="40" w:type="dxa"/>
            </w:tcMar>
            <w:vAlign w:val="bottom"/>
          </w:tcPr>
          <w:p w:rsidR="0074764C" w:rsidRPr="008A3A01" w:rsidRDefault="0074764C" w:rsidP="0074764C">
            <w:pPr>
              <w:pStyle w:val="TableColumnHeadings"/>
              <w:jc w:val="left"/>
              <w:rPr>
                <w:rStyle w:val="Strong"/>
              </w:rPr>
            </w:pPr>
            <w:r w:rsidRPr="008A3A01">
              <w:rPr>
                <w:rStyle w:val="Strong"/>
              </w:rPr>
              <w:t>Type of service</w:t>
            </w:r>
          </w:p>
        </w:tc>
        <w:tc>
          <w:tcPr>
            <w:tcW w:w="3317" w:type="dxa"/>
            <w:tcBorders>
              <w:top w:val="single" w:sz="6" w:space="0" w:color="000000"/>
              <w:left w:val="single" w:sz="4" w:space="0" w:color="FFFFFF"/>
              <w:bottom w:val="single" w:sz="4" w:space="0" w:color="000000"/>
              <w:right w:val="nil"/>
            </w:tcBorders>
            <w:shd w:val="clear" w:color="auto" w:fill="EFF3FF"/>
            <w:vAlign w:val="bottom"/>
          </w:tcPr>
          <w:p w:rsidR="0074764C" w:rsidRPr="008A3A01" w:rsidRDefault="0074764C" w:rsidP="0074764C">
            <w:pPr>
              <w:pStyle w:val="TableColumnHeadings"/>
              <w:jc w:val="left"/>
              <w:rPr>
                <w:rStyle w:val="Strong"/>
              </w:rPr>
            </w:pPr>
            <w:r w:rsidRPr="008A3A01">
              <w:rPr>
                <w:rStyle w:val="Strong"/>
              </w:rPr>
              <w:t>Age group</w:t>
            </w:r>
          </w:p>
        </w:tc>
        <w:tc>
          <w:tcPr>
            <w:tcW w:w="158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74764C" w:rsidRPr="008A3A01" w:rsidRDefault="0074764C" w:rsidP="0074764C">
            <w:pPr>
              <w:pStyle w:val="TableColumnHeadings"/>
              <w:rPr>
                <w:rStyle w:val="Strong"/>
              </w:rPr>
            </w:pPr>
            <w:r w:rsidRPr="008A3A01">
              <w:rPr>
                <w:rStyle w:val="Strong"/>
              </w:rPr>
              <w:t>1998</w:t>
            </w:r>
          </w:p>
          <w:p w:rsidR="0074764C" w:rsidRPr="008A3A01" w:rsidRDefault="0074764C" w:rsidP="0074764C">
            <w:pPr>
              <w:pStyle w:val="TableColumnHeadings"/>
              <w:rPr>
                <w:rStyle w:val="Strong"/>
              </w:rPr>
            </w:pPr>
            <w:r w:rsidRPr="008A3A01">
              <w:rPr>
                <w:rStyle w:val="Strong"/>
              </w:rPr>
              <w:t>(%)</w:t>
            </w:r>
          </w:p>
        </w:tc>
        <w:tc>
          <w:tcPr>
            <w:tcW w:w="158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74764C" w:rsidRPr="008A3A01" w:rsidRDefault="0074764C" w:rsidP="0074764C">
            <w:pPr>
              <w:pStyle w:val="TableColumnHeadings"/>
              <w:rPr>
                <w:rStyle w:val="Strong"/>
              </w:rPr>
            </w:pPr>
            <w:r w:rsidRPr="008A3A01">
              <w:rPr>
                <w:rStyle w:val="Strong"/>
              </w:rPr>
              <w:t>2013-14</w:t>
            </w:r>
          </w:p>
          <w:p w:rsidR="0074764C" w:rsidRPr="008A3A01" w:rsidRDefault="0074764C" w:rsidP="0074764C">
            <w:pPr>
              <w:pStyle w:val="TableColumnHeadings"/>
              <w:rPr>
                <w:rStyle w:val="Strong"/>
              </w:rPr>
            </w:pPr>
            <w:r w:rsidRPr="008A3A01">
              <w:rPr>
                <w:rStyle w:val="Strong"/>
              </w:rPr>
              <w:t>(%)</w:t>
            </w:r>
          </w:p>
        </w:tc>
      </w:tr>
      <w:tr w:rsidR="0074764C" w:rsidRPr="00977C40" w:rsidTr="0074764C">
        <w:trPr>
          <w:cantSplit/>
          <w:jc w:val="center"/>
        </w:trPr>
        <w:tc>
          <w:tcPr>
            <w:tcW w:w="2595" w:type="dxa"/>
            <w:vMerge w:val="restart"/>
            <w:tcBorders>
              <w:top w:val="nil"/>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School-based service</w:t>
            </w: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6-11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17.2</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50.3</w:t>
            </w:r>
          </w:p>
        </w:tc>
      </w:tr>
      <w:tr w:rsidR="0074764C" w:rsidRPr="00977C40" w:rsidTr="0074764C">
        <w:trPr>
          <w:cantSplit/>
          <w:jc w:val="center"/>
        </w:trPr>
        <w:tc>
          <w:tcPr>
            <w:tcW w:w="2595" w:type="dxa"/>
            <w:vMerge/>
            <w:tcBorders>
              <w:top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12-17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22.1</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57.5</w:t>
            </w:r>
          </w:p>
        </w:tc>
      </w:tr>
      <w:tr w:rsidR="0074764C" w:rsidRPr="00977C40" w:rsidTr="0074764C">
        <w:trPr>
          <w:cantSplit/>
          <w:jc w:val="center"/>
        </w:trPr>
        <w:tc>
          <w:tcPr>
            <w:tcW w:w="2595" w:type="dxa"/>
            <w:vMerge/>
            <w:tcBorders>
              <w:top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1583"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19.2</w:t>
            </w:r>
          </w:p>
        </w:tc>
        <w:tc>
          <w:tcPr>
            <w:tcW w:w="1583"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54.0</w:t>
            </w:r>
          </w:p>
        </w:tc>
      </w:tr>
      <w:tr w:rsidR="0074764C" w:rsidRPr="00977C40" w:rsidTr="0074764C">
        <w:trPr>
          <w:cantSplit/>
          <w:jc w:val="center"/>
        </w:trPr>
        <w:tc>
          <w:tcPr>
            <w:tcW w:w="2595" w:type="dxa"/>
            <w:vMerge w:val="restart"/>
            <w:tcBorders>
              <w:top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Health service</w:t>
            </w: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6-11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23.3</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44.3</w:t>
            </w:r>
          </w:p>
        </w:tc>
      </w:tr>
      <w:tr w:rsidR="0074764C" w:rsidRPr="00977C40" w:rsidTr="0074764C">
        <w:trPr>
          <w:cantSplit/>
          <w:jc w:val="center"/>
        </w:trPr>
        <w:tc>
          <w:tcPr>
            <w:tcW w:w="2595" w:type="dxa"/>
            <w:vMerge/>
            <w:tcBorders>
              <w:top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12-17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28.9</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57.2</w:t>
            </w:r>
          </w:p>
        </w:tc>
      </w:tr>
      <w:tr w:rsidR="0074764C" w:rsidRPr="00977C40" w:rsidTr="0074764C">
        <w:trPr>
          <w:cantSplit/>
          <w:jc w:val="center"/>
        </w:trPr>
        <w:tc>
          <w:tcPr>
            <w:tcW w:w="2595" w:type="dxa"/>
            <w:vMerge/>
            <w:tcBorders>
              <w:top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1583"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25.7</w:t>
            </w:r>
          </w:p>
        </w:tc>
        <w:tc>
          <w:tcPr>
            <w:tcW w:w="1583" w:type="dxa"/>
            <w:tcBorders>
              <w:top w:val="nil"/>
              <w:left w:val="nil"/>
              <w:bottom w:val="nil"/>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50.9</w:t>
            </w:r>
          </w:p>
        </w:tc>
      </w:tr>
      <w:tr w:rsidR="0074764C" w:rsidRPr="00977C40" w:rsidTr="0074764C">
        <w:trPr>
          <w:cantSplit/>
          <w:jc w:val="center"/>
        </w:trPr>
        <w:tc>
          <w:tcPr>
            <w:tcW w:w="2595" w:type="dxa"/>
            <w:vMerge w:val="restart"/>
            <w:tcBorders>
              <w:top w:val="single" w:sz="4" w:space="0" w:color="FFFFFF"/>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Any service</w:t>
            </w: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6-11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27.8</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63.6</w:t>
            </w:r>
          </w:p>
        </w:tc>
      </w:tr>
      <w:tr w:rsidR="0074764C" w:rsidRPr="00977C40" w:rsidTr="0074764C">
        <w:trPr>
          <w:cantSplit/>
          <w:jc w:val="center"/>
        </w:trPr>
        <w:tc>
          <w:tcPr>
            <w:tcW w:w="2595" w:type="dxa"/>
            <w:vMerge/>
            <w:tcBorders>
              <w:top w:val="single" w:sz="6" w:space="0" w:color="000000"/>
              <w:bottom w:val="single" w:sz="6" w:space="0" w:color="000000"/>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4" w:space="0" w:color="FFFFFF"/>
              <w:right w:val="nil"/>
            </w:tcBorders>
            <w:shd w:val="clear" w:color="auto" w:fill="EFF3FF"/>
            <w:tcMar>
              <w:left w:w="40" w:type="dxa"/>
              <w:right w:w="40" w:type="dxa"/>
            </w:tcMar>
          </w:tcPr>
          <w:p w:rsidR="0074764C" w:rsidRPr="00977C40" w:rsidRDefault="0074764C" w:rsidP="0074764C">
            <w:pPr>
              <w:pStyle w:val="TableRowHeadings"/>
              <w:rPr>
                <w:lang w:eastAsia="en-AU"/>
              </w:rPr>
            </w:pPr>
            <w:r w:rsidRPr="00977C40">
              <w:rPr>
                <w:lang w:eastAsia="en-AU"/>
              </w:rPr>
              <w:t>12-17 years</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35.8</w:t>
            </w:r>
          </w:p>
        </w:tc>
        <w:tc>
          <w:tcPr>
            <w:tcW w:w="1583" w:type="dxa"/>
            <w:tcBorders>
              <w:top w:val="nil"/>
              <w:left w:val="nil"/>
              <w:bottom w:val="nil"/>
              <w:right w:val="nil"/>
            </w:tcBorders>
            <w:shd w:val="clear" w:color="auto" w:fill="FFFFFF"/>
            <w:tcMar>
              <w:left w:w="40" w:type="dxa"/>
              <w:right w:w="40" w:type="dxa"/>
            </w:tcMar>
            <w:vAlign w:val="bottom"/>
          </w:tcPr>
          <w:p w:rsidR="0074764C" w:rsidRPr="00977C40" w:rsidRDefault="0074764C" w:rsidP="0074764C">
            <w:pPr>
              <w:pStyle w:val="TableDataCell"/>
              <w:rPr>
                <w:lang w:eastAsia="en-AU"/>
              </w:rPr>
            </w:pPr>
            <w:r w:rsidRPr="00977C40">
              <w:rPr>
                <w:lang w:eastAsia="en-AU"/>
              </w:rPr>
              <w:t>72.8</w:t>
            </w:r>
          </w:p>
        </w:tc>
      </w:tr>
      <w:tr w:rsidR="0074764C" w:rsidRPr="00977C40" w:rsidTr="0074764C">
        <w:trPr>
          <w:cantSplit/>
          <w:jc w:val="center"/>
        </w:trPr>
        <w:tc>
          <w:tcPr>
            <w:tcW w:w="2595" w:type="dxa"/>
            <w:vMerge/>
            <w:tcBorders>
              <w:top w:val="single" w:sz="6" w:space="0" w:color="000000"/>
              <w:bottom w:val="single" w:sz="6" w:space="0" w:color="000000"/>
              <w:right w:val="nil"/>
            </w:tcBorders>
            <w:shd w:val="clear" w:color="auto" w:fill="EFF3FF"/>
            <w:tcMar>
              <w:left w:w="40" w:type="dxa"/>
              <w:right w:w="40" w:type="dxa"/>
            </w:tcMar>
          </w:tcPr>
          <w:p w:rsidR="0074764C" w:rsidRPr="00977C40" w:rsidRDefault="0074764C" w:rsidP="0074764C">
            <w:pPr>
              <w:pStyle w:val="TableRowHeadings"/>
              <w:rPr>
                <w:rFonts w:ascii="Times New Roman" w:hAnsi="Times New Roman" w:cs="Times New Roman"/>
                <w:sz w:val="24"/>
                <w:szCs w:val="24"/>
                <w:lang w:eastAsia="en-AU"/>
              </w:rPr>
            </w:pPr>
          </w:p>
        </w:tc>
        <w:tc>
          <w:tcPr>
            <w:tcW w:w="3331" w:type="dxa"/>
            <w:gridSpan w:val="2"/>
            <w:tcBorders>
              <w:top w:val="nil"/>
              <w:left w:val="single" w:sz="4" w:space="0" w:color="FFFFFF"/>
              <w:bottom w:val="single" w:sz="6" w:space="0" w:color="000000"/>
              <w:right w:val="nil"/>
            </w:tcBorders>
            <w:shd w:val="clear" w:color="auto" w:fill="EFF3FF"/>
            <w:tcMar>
              <w:left w:w="40" w:type="dxa"/>
              <w:right w:w="40" w:type="dxa"/>
            </w:tcMar>
          </w:tcPr>
          <w:p w:rsidR="0074764C" w:rsidRPr="008A3A01" w:rsidRDefault="0074764C" w:rsidP="0074764C">
            <w:pPr>
              <w:pStyle w:val="TableRowHeadings"/>
              <w:rPr>
                <w:rStyle w:val="Strong"/>
              </w:rPr>
            </w:pPr>
            <w:r w:rsidRPr="008A3A01">
              <w:rPr>
                <w:rStyle w:val="Strong"/>
              </w:rPr>
              <w:t>6-17 years</w:t>
            </w:r>
          </w:p>
        </w:tc>
        <w:tc>
          <w:tcPr>
            <w:tcW w:w="1583"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31.2</w:t>
            </w:r>
          </w:p>
        </w:tc>
        <w:tc>
          <w:tcPr>
            <w:tcW w:w="1583" w:type="dxa"/>
            <w:tcBorders>
              <w:top w:val="nil"/>
              <w:left w:val="nil"/>
              <w:bottom w:val="single" w:sz="6" w:space="0" w:color="000000"/>
              <w:right w:val="nil"/>
            </w:tcBorders>
            <w:shd w:val="clear" w:color="auto" w:fill="FFFFFF"/>
            <w:tcMar>
              <w:left w:w="40" w:type="dxa"/>
              <w:right w:w="40" w:type="dxa"/>
            </w:tcMar>
            <w:vAlign w:val="bottom"/>
          </w:tcPr>
          <w:p w:rsidR="0074764C" w:rsidRPr="008A3A01" w:rsidRDefault="0074764C" w:rsidP="0074764C">
            <w:pPr>
              <w:pStyle w:val="TableDataCell"/>
              <w:rPr>
                <w:rStyle w:val="Strong"/>
              </w:rPr>
            </w:pPr>
            <w:r w:rsidRPr="008A3A01">
              <w:rPr>
                <w:rStyle w:val="Strong"/>
              </w:rPr>
              <w:t>68.3</w:t>
            </w:r>
          </w:p>
        </w:tc>
      </w:tr>
    </w:tbl>
    <w:p w:rsidR="0074764C" w:rsidRPr="009E2950" w:rsidRDefault="0074764C" w:rsidP="009E2950"/>
    <w:p w:rsidR="0074764C" w:rsidRDefault="0074764C" w:rsidP="0074764C">
      <w:pPr>
        <w:pStyle w:val="BodyText"/>
        <w:sectPr w:rsidR="0074764C" w:rsidSect="003330E0">
          <w:headerReference w:type="even" r:id="rId138"/>
          <w:headerReference w:type="default" r:id="rId139"/>
          <w:footerReference w:type="default" r:id="rId140"/>
          <w:pgSz w:w="11906" w:h="16838" w:code="9"/>
          <w:pgMar w:top="1440" w:right="1440" w:bottom="1440" w:left="1440" w:header="567" w:footer="567" w:gutter="0"/>
          <w:pgNumType w:start="144"/>
          <w:cols w:space="720"/>
          <w:docGrid w:linePitch="360"/>
        </w:sectPr>
      </w:pPr>
    </w:p>
    <w:p w:rsidR="0074764C" w:rsidRPr="00585144" w:rsidRDefault="0074764C" w:rsidP="0074764C">
      <w:pPr>
        <w:spacing w:after="0" w:line="276" w:lineRule="auto"/>
        <w:jc w:val="center"/>
        <w:rPr>
          <w:b/>
          <w:color w:val="2171B5"/>
          <w:sz w:val="40"/>
          <w:szCs w:val="40"/>
        </w:rPr>
      </w:pPr>
      <w:r w:rsidRPr="00585144">
        <w:rPr>
          <w:b/>
          <w:noProof/>
          <w:color w:val="2171B5"/>
          <w:sz w:val="40"/>
          <w:szCs w:val="40"/>
          <w:lang w:eastAsia="en-AU"/>
        </w:rPr>
        <w:lastRenderedPageBreak/>
        <mc:AlternateContent>
          <mc:Choice Requires="wps">
            <w:drawing>
              <wp:anchor distT="0" distB="0" distL="114300" distR="114300" simplePos="0" relativeHeight="251671552" behindDoc="1" locked="0" layoutInCell="1" allowOverlap="1" wp14:anchorId="594DE5F7" wp14:editId="1C7C07C1">
                <wp:simplePos x="0" y="0"/>
                <wp:positionH relativeFrom="column">
                  <wp:posOffset>-1508418</wp:posOffset>
                </wp:positionH>
                <wp:positionV relativeFrom="paragraph">
                  <wp:posOffset>-968991</wp:posOffset>
                </wp:positionV>
                <wp:extent cx="8252128" cy="11252200"/>
                <wp:effectExtent l="0" t="0" r="0" b="6350"/>
                <wp:wrapNone/>
                <wp:docPr id="55" name="Rectangle 55"/>
                <wp:cNvGraphicFramePr/>
                <a:graphic xmlns:a="http://schemas.openxmlformats.org/drawingml/2006/main">
                  <a:graphicData uri="http://schemas.microsoft.com/office/word/2010/wordprocessingShape">
                    <wps:wsp>
                      <wps:cNvSpPr/>
                      <wps:spPr>
                        <a:xfrm>
                          <a:off x="0" y="0"/>
                          <a:ext cx="8252128"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74764C">
                            <w:pPr>
                              <w:pStyle w:val="Body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2" style="position:absolute;left:0;text-align:left;margin-left:-118.75pt;margin-top:-76.3pt;width:649.75pt;height:8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" fillcolor="#eff3ff" stroked="f" strokeweight="2pt">
                <v:fill opacity="56283f"/>
                <v:textbox>
                  <w:txbxContent>
                    <w:p w:rsidR="00711229" w:rsidRDefault="00711229" w:rsidP="0074764C">
                      <w:pPr>
                        <w:pStyle w:val="BodyText"/>
                      </w:pPr>
                      <w:r>
                        <w:softHyphen/>
                      </w:r>
                      <w:r>
                        <w:softHyphen/>
                      </w:r>
                    </w:p>
                  </w:txbxContent>
                </v:textbox>
              </v:rect>
            </w:pict>
          </mc:Fallback>
        </mc:AlternateContent>
      </w:r>
      <w:r w:rsidRPr="00585144">
        <w:rPr>
          <w:b/>
          <w:color w:val="2171B5"/>
          <w:sz w:val="40"/>
          <w:szCs w:val="40"/>
        </w:rPr>
        <w:t>PART 6</w:t>
      </w:r>
    </w:p>
    <w:p w:rsidR="0074764C" w:rsidRPr="00585144" w:rsidRDefault="0074764C" w:rsidP="0074764C">
      <w:pPr>
        <w:pStyle w:val="PartHeading"/>
      </w:pPr>
      <w:r w:rsidRPr="00585144">
        <w:t>Appendices</w:t>
      </w:r>
    </w:p>
    <w:p w:rsidR="0074764C" w:rsidRPr="00585144" w:rsidRDefault="0074764C" w:rsidP="0074764C">
      <w:pPr>
        <w:spacing w:before="1200" w:after="0" w:line="480" w:lineRule="auto"/>
        <w:rPr>
          <w:b/>
          <w:color w:val="2171B5"/>
          <w:sz w:val="34"/>
          <w:szCs w:val="34"/>
        </w:rPr>
      </w:pPr>
      <w:r w:rsidRPr="00585144">
        <w:rPr>
          <w:b/>
          <w:color w:val="2171B5"/>
          <w:sz w:val="34"/>
          <w:szCs w:val="34"/>
        </w:rPr>
        <w:t>1.</w:t>
      </w:r>
      <w:r w:rsidRPr="00585144">
        <w:rPr>
          <w:b/>
          <w:color w:val="2171B5"/>
          <w:sz w:val="34"/>
          <w:szCs w:val="34"/>
        </w:rPr>
        <w:tab/>
        <w:t>Conduct of the survey</w:t>
      </w:r>
    </w:p>
    <w:p w:rsidR="0074764C" w:rsidRPr="00585144" w:rsidRDefault="0074764C" w:rsidP="0074764C">
      <w:pPr>
        <w:spacing w:after="0" w:line="480" w:lineRule="auto"/>
        <w:rPr>
          <w:b/>
          <w:color w:val="2171B5"/>
          <w:sz w:val="34"/>
          <w:szCs w:val="34"/>
        </w:rPr>
      </w:pPr>
      <w:r w:rsidRPr="00585144">
        <w:rPr>
          <w:b/>
          <w:color w:val="2171B5"/>
          <w:sz w:val="34"/>
          <w:szCs w:val="34"/>
        </w:rPr>
        <w:t>2.</w:t>
      </w:r>
      <w:r w:rsidRPr="00585144">
        <w:rPr>
          <w:b/>
          <w:color w:val="2171B5"/>
          <w:sz w:val="34"/>
          <w:szCs w:val="34"/>
        </w:rPr>
        <w:tab/>
        <w:t>Survey reference group membership</w:t>
      </w:r>
    </w:p>
    <w:p w:rsidR="0074764C" w:rsidRPr="00585144" w:rsidRDefault="0074764C" w:rsidP="0074764C">
      <w:pPr>
        <w:spacing w:after="0" w:line="480" w:lineRule="auto"/>
        <w:rPr>
          <w:b/>
          <w:color w:val="2171B5"/>
          <w:sz w:val="34"/>
          <w:szCs w:val="34"/>
        </w:rPr>
      </w:pPr>
      <w:r w:rsidRPr="00585144">
        <w:rPr>
          <w:b/>
          <w:color w:val="2171B5"/>
          <w:sz w:val="34"/>
          <w:szCs w:val="34"/>
        </w:rPr>
        <w:t>3.</w:t>
      </w:r>
      <w:r w:rsidRPr="00585144">
        <w:rPr>
          <w:b/>
          <w:color w:val="2171B5"/>
          <w:sz w:val="34"/>
          <w:szCs w:val="34"/>
        </w:rPr>
        <w:tab/>
        <w:t>Glossary</w:t>
      </w:r>
    </w:p>
    <w:p w:rsidR="0074764C" w:rsidRPr="00585144" w:rsidRDefault="0074764C" w:rsidP="0074764C">
      <w:pPr>
        <w:spacing w:after="0" w:line="480" w:lineRule="auto"/>
        <w:rPr>
          <w:b/>
          <w:color w:val="2171B5"/>
          <w:sz w:val="34"/>
          <w:szCs w:val="34"/>
        </w:rPr>
      </w:pPr>
      <w:r w:rsidRPr="00585144">
        <w:rPr>
          <w:b/>
          <w:color w:val="2171B5"/>
          <w:sz w:val="34"/>
          <w:szCs w:val="34"/>
        </w:rPr>
        <w:t>4.</w:t>
      </w:r>
      <w:r w:rsidRPr="00585144">
        <w:rPr>
          <w:b/>
          <w:color w:val="2171B5"/>
          <w:sz w:val="34"/>
          <w:szCs w:val="34"/>
        </w:rPr>
        <w:tab/>
        <w:t>List of tables and figures</w:t>
      </w:r>
    </w:p>
    <w:p w:rsidR="0074764C" w:rsidRDefault="0074764C" w:rsidP="0074764C">
      <w:pPr>
        <w:rPr>
          <w:rFonts w:ascii="Source Sans Pro" w:hAnsi="Source Sans Pro"/>
          <w:sz w:val="24"/>
          <w:szCs w:val="24"/>
        </w:rPr>
        <w:sectPr w:rsidR="0074764C" w:rsidSect="003330E0">
          <w:headerReference w:type="even" r:id="rId141"/>
          <w:headerReference w:type="default" r:id="rId142"/>
          <w:footerReference w:type="even" r:id="rId143"/>
          <w:footerReference w:type="default" r:id="rId144"/>
          <w:headerReference w:type="first" r:id="rId145"/>
          <w:footerReference w:type="first" r:id="rId146"/>
          <w:pgSz w:w="11906" w:h="16838" w:code="9"/>
          <w:pgMar w:top="1440" w:right="2268" w:bottom="1440" w:left="2268" w:header="567" w:footer="567" w:gutter="0"/>
          <w:pgNumType w:start="141"/>
          <w:cols w:space="720"/>
          <w:titlePg/>
          <w:docGrid w:linePitch="360"/>
        </w:sectPr>
      </w:pPr>
    </w:p>
    <w:p w:rsidR="009E2950" w:rsidRDefault="009E2950" w:rsidP="009E2950"/>
    <w:p w:rsidR="00590512" w:rsidRPr="009E2950" w:rsidRDefault="00590512" w:rsidP="009E2950">
      <w:pPr>
        <w:sectPr w:rsidR="00590512" w:rsidRPr="009E2950" w:rsidSect="003330E0">
          <w:headerReference w:type="first" r:id="rId147"/>
          <w:pgSz w:w="11906" w:h="16838" w:code="9"/>
          <w:pgMar w:top="1440" w:right="1440" w:bottom="1440" w:left="1440" w:header="567" w:footer="567" w:gutter="0"/>
          <w:pgNumType w:start="149"/>
          <w:cols w:space="720"/>
          <w:titlePg/>
          <w:docGrid w:linePitch="360"/>
        </w:sectPr>
      </w:pPr>
    </w:p>
    <w:p w:rsidR="00590512" w:rsidRDefault="00590512" w:rsidP="00590512">
      <w:pPr>
        <w:pStyle w:val="Heading1"/>
      </w:pPr>
      <w:r>
        <w:lastRenderedPageBreak/>
        <w:t>Appendix 1 - conduct of the survey</w:t>
      </w:r>
    </w:p>
    <w:p w:rsidR="00590512" w:rsidRDefault="00590512" w:rsidP="00590512">
      <w:pPr>
        <w:pStyle w:val="BodyText"/>
      </w:pPr>
      <w:r w:rsidRPr="003E3B28">
        <w:rPr>
          <w:rStyle w:val="Emphasis"/>
        </w:rPr>
        <w:t>Young Minds Matter</w:t>
      </w:r>
      <w:r>
        <w:t xml:space="preserve"> was based on a sample of over 6,000 children and adolescents aged 4-17 years recruited from across Australia. Information was collected from parents and carers and young people by trained lay interviewers from Roy Morgan Research using computer-assisted personal interviewing. </w:t>
      </w:r>
    </w:p>
    <w:p w:rsidR="00590512" w:rsidRDefault="00590512" w:rsidP="00590512">
      <w:pPr>
        <w:pStyle w:val="BodyText"/>
      </w:pPr>
      <w:r>
        <w:t>Parents and carers were interviewed in their homes about one randomly selected child or adolescent in the family. The interview was conducted with the parent or carer who identified as knowing most about the child or adolescent. If the selected child or adolescent was aged 11 years or older, the young person was asked to complete a confidential questionnaire on a tablet computer.</w:t>
      </w:r>
    </w:p>
    <w:p w:rsidR="00590512" w:rsidRDefault="00590512" w:rsidP="00590512">
      <w:pPr>
        <w:pStyle w:val="BodyText"/>
      </w:pPr>
      <w:r>
        <w:t>Fieldwork commenced on 30th May 2013 and concluded on 12th April 2014.</w:t>
      </w:r>
    </w:p>
    <w:p w:rsidR="00590512" w:rsidRDefault="00590512" w:rsidP="00590512">
      <w:pPr>
        <w:pStyle w:val="Heading2"/>
        <w:numPr>
          <w:ilvl w:val="0"/>
          <w:numId w:val="16"/>
        </w:numPr>
      </w:pPr>
      <w:r>
        <w:t>Process issues</w:t>
      </w:r>
    </w:p>
    <w:p w:rsidR="00590512" w:rsidRDefault="00590512" w:rsidP="00590512">
      <w:pPr>
        <w:pStyle w:val="Heading3"/>
      </w:pPr>
      <w:r w:rsidRPr="00AE71FE">
        <w:t>Selection of survey content</w:t>
      </w:r>
    </w:p>
    <w:p w:rsidR="00590512" w:rsidRDefault="00590512" w:rsidP="00590512">
      <w:pPr>
        <w:pStyle w:val="BodyText"/>
      </w:pPr>
      <w:r>
        <w:t>The contents of both the parent and carer questionnaire and youth self-report questionnaire were decided by a set of principles determined at the beginning of the survey development process. These primarily addressed issues relating to the main aims of the survey, as well as what is desirable in the conduct of a household survey for maximising data quality.</w:t>
      </w:r>
    </w:p>
    <w:p w:rsidR="00590512" w:rsidRDefault="00590512" w:rsidP="00590512">
      <w:pPr>
        <w:pStyle w:val="BodyText"/>
      </w:pPr>
      <w:r>
        <w:t>The principal focus of the survey was on determining the prevalence of mental disorders and their impact, and on services used by children and adolescents with mental health problems and disorders. Determining whether someone has a mental disorder requires assessment against diagnostic criteria for that particular disorder. In terms of the survey, this means that diagnostic modules were required for each disorder. For the first survey, selected modules from the DISC-IV were used to assess mental disorders. These could be administered by lay interviewers, required no clinical assessment for diagnoses and were designed for epidemiological use. In 2013, the DISC-IV remained the most up-to-date version of the instrument and was still the best tool available world-wide for assessing the 12</w:t>
      </w:r>
      <w:r>
        <w:noBreakHyphen/>
        <w:t>month prevalence of disorders, as needed for national planning purposes and to complement data on adults.</w:t>
      </w:r>
    </w:p>
    <w:p w:rsidR="00590512" w:rsidRDefault="00590512" w:rsidP="00590512">
      <w:pPr>
        <w:pStyle w:val="BodyText"/>
      </w:pPr>
      <w:r>
        <w:t>The full DISC-IV covers 30 disorders and takes on average 70 minutes to complete. If all disorders were included in the survey, very little other content could be covered. Therefore specific modules of the DISC-IV covering selected disorders rather than all disorders were selected, as was the case for other National Surveys of Mental Health and Wellbeing undertaken in Australia. Decisions around what disorders were to be included were based strictly upon the relative prevalence and impact of disorders as indicated by previous population estimates from the first survey and more recent overseas surveys. Major depressive disorder, ADHD and conduct disorder, which were in the first national survey, were included once again because of their high prevalence and impact.</w:t>
      </w:r>
    </w:p>
    <w:p w:rsidR="00590512" w:rsidRDefault="00590512" w:rsidP="00590512">
      <w:pPr>
        <w:pStyle w:val="BodyText"/>
      </w:pPr>
      <w:r>
        <w:t xml:space="preserve">Although not included in the first survey, it was resolved that anxiety disorders should also be included in recognition not only of the high prevalence of these disorders, but also because of the high proportion of people with anxiety disorders in the 2007 National Survey of Mental Health and Wellbeing who reported first onset of their anxiety problems in childhood or adolescence. There is, </w:t>
      </w:r>
      <w:r>
        <w:lastRenderedPageBreak/>
        <w:t>however, not just one, but nine DISC</w:t>
      </w:r>
      <w:r>
        <w:noBreakHyphen/>
        <w:t>IV anxiety modules to align with the different types of anxiety disorders in the DSM</w:t>
      </w:r>
      <w:r>
        <w:noBreakHyphen/>
        <w:t>IV. Only four were chosen on the basis of their prevalence and impact. These were social phobia, separation anxiety disorder, generalised anxiety disorder and obsessive-compulsive disorder.</w:t>
      </w:r>
    </w:p>
    <w:p w:rsidR="00590512" w:rsidRDefault="00590512" w:rsidP="00590512">
      <w:pPr>
        <w:pStyle w:val="BodyText"/>
      </w:pPr>
      <w:r>
        <w:t>Another aim of the survey was to determine service use by children and adolescents with mental health problems and disorders — not only what proportion of young people was receiving services, but also where they got help. All the main types of services for young people with mental health problems were covered. These included health, school, telephone counselling, online services and informal services and supports. It was also important to understand if young people were getting all the services they needed and, if not, why. This content needed to be tailored to the Australian context.</w:t>
      </w:r>
    </w:p>
    <w:p w:rsidR="00590512" w:rsidRDefault="00590512" w:rsidP="00590512">
      <w:pPr>
        <w:pStyle w:val="BodyText"/>
      </w:pPr>
      <w:r>
        <w:t>In addition, there is some standard content that is required in any survey and some particular to surveys of children and adolescents. This included information necessary for obtaining informed consent, household information, demographics and family characteristics.</w:t>
      </w:r>
    </w:p>
    <w:p w:rsidR="00590512" w:rsidRDefault="00590512" w:rsidP="00590512">
      <w:pPr>
        <w:pStyle w:val="BodyText"/>
      </w:pPr>
      <w:r>
        <w:t>The limits on what can be included are set by the average time for interview and/or completion of a questionnaire. In the case of household surveys one of the main considerations when determining the length of surveys is the response burden — that is, what is reasonable from other epidemiological evidence to ask of participants without affecting data quality. The objective set was to keep the average time for the parent and carer interview to</w:t>
      </w:r>
      <w:r w:rsidRPr="00977850">
        <w:t xml:space="preserve"> </w:t>
      </w:r>
      <w:r>
        <w:t>75 minutes</w:t>
      </w:r>
      <w:r w:rsidRPr="00977850">
        <w:t xml:space="preserve">. </w:t>
      </w:r>
      <w:r>
        <w:t>This time was to cover household information, informed consents and the questionnaire itself. For adolescents completing their own questionnaire, the objective was to keep the average completion time to</w:t>
      </w:r>
      <w:r w:rsidRPr="00977850">
        <w:t xml:space="preserve"> </w:t>
      </w:r>
      <w:r w:rsidRPr="002F7C3F">
        <w:t>20</w:t>
      </w:r>
      <w:r w:rsidRPr="00977850">
        <w:t xml:space="preserve"> minutes</w:t>
      </w:r>
      <w:r>
        <w:t xml:space="preserve">, with additional time on gaining the necessary consents that varied depending upon the age of the young person. In the actual survey the median time was very close to the target time for parents and carers, who spent 60 minutes on average on the questionnaire and five to ten minutes on administrative matters. </w:t>
      </w:r>
    </w:p>
    <w:p w:rsidR="00590512" w:rsidRDefault="00590512" w:rsidP="00590512">
      <w:pPr>
        <w:pStyle w:val="BodyText"/>
      </w:pPr>
      <w:r>
        <w:t>Young people were completing their questionnaires on a tablet computer by themselves and average timings were affected by some exceptionally long completion times, most likely due to prolonged breaks when the participant or interviewer did not sign out. The median time (35 minutes) provides the best indication of the average time taken to complete everything required on the adolescent self-report questionnaire.</w:t>
      </w:r>
    </w:p>
    <w:p w:rsidR="00590512" w:rsidRDefault="00590512" w:rsidP="00590512">
      <w:pPr>
        <w:pStyle w:val="BodyText"/>
      </w:pPr>
      <w:r>
        <w:t>Rationalisation of the number of diagnostic modules allowed for other content to be covered within the average target times. In particular a sufficiently detailed set of questions on service use and some questions on school services and performance were added, as well as contextual information from parents and carers. Information on self-harm, suicidality and risk taking behaviours were included for young people.</w:t>
      </w:r>
    </w:p>
    <w:p w:rsidR="00590512" w:rsidRDefault="00590512" w:rsidP="00590512">
      <w:pPr>
        <w:pStyle w:val="Heading3"/>
      </w:pPr>
      <w:r w:rsidRPr="000646B1">
        <w:t>Age range</w:t>
      </w:r>
    </w:p>
    <w:p w:rsidR="00590512" w:rsidRDefault="00590512" w:rsidP="00590512">
      <w:pPr>
        <w:pStyle w:val="BodyText"/>
      </w:pPr>
      <w:r>
        <w:t>Children and adolescents aged from 4-17 years were surveyed. This is the same age range as was covered in the first national survey of children and adolescents.</w:t>
      </w:r>
    </w:p>
    <w:p w:rsidR="00590512" w:rsidRDefault="00590512" w:rsidP="00590512">
      <w:pPr>
        <w:pStyle w:val="BodyText"/>
      </w:pPr>
      <w:r>
        <w:t xml:space="preserve">Children under the age of four years were not included as the problems of younger children differ from those of older children and adolescents, as do the methods required to assess them. The main </w:t>
      </w:r>
      <w:r>
        <w:lastRenderedPageBreak/>
        <w:t xml:space="preserve">diagnostic instrument, the DISC-IV, would not be suitable. Indeed the developers of the instrument have recommended its use with young people aged 6-18 years. </w:t>
      </w:r>
      <w:r w:rsidRPr="005D004C">
        <w:t xml:space="preserve">While six years is the lower recommended limit, DISC-IV modules have been used </w:t>
      </w:r>
      <w:r>
        <w:t xml:space="preserve">in a few studies </w:t>
      </w:r>
      <w:r w:rsidRPr="005D004C">
        <w:t>on children as young as four and five years</w:t>
      </w:r>
      <w:r>
        <w:t>, but no younger</w:t>
      </w:r>
      <w:r w:rsidRPr="005D004C">
        <w:t>.</w:t>
      </w:r>
      <w:r>
        <w:t xml:space="preserve"> In Australia about four fifths of four year-olds attend preschool or long day care, while the ma</w:t>
      </w:r>
      <w:r w:rsidR="00DB6AC2">
        <w:t xml:space="preserve">jority of five year-olds </w:t>
      </w:r>
      <w:proofErr w:type="gramStart"/>
      <w:r w:rsidR="00DB6AC2">
        <w:t>attend</w:t>
      </w:r>
      <w:proofErr w:type="gramEnd"/>
      <w:r>
        <w:t xml:space="preserve"> school. This provides some context for responses on these younger children. It was also considered desirable to use the same diagnostic instruments for four and five year</w:t>
      </w:r>
      <w:r>
        <w:noBreakHyphen/>
        <w:t>olds as for older children.</w:t>
      </w:r>
    </w:p>
    <w:p w:rsidR="00590512" w:rsidRDefault="00590512" w:rsidP="00590512">
      <w:pPr>
        <w:pStyle w:val="BodyText"/>
      </w:pPr>
      <w:r>
        <w:t xml:space="preserve">The 2007 National Survey of Mental Health and Wellbeing was a general population survey of adults, but, unlike the first adult survey in 1997, it surveyed persons aged 16 years and older. Overlap of the ages sampled for the two </w:t>
      </w:r>
      <w:proofErr w:type="gramStart"/>
      <w:r>
        <w:t>surveys, that</w:t>
      </w:r>
      <w:proofErr w:type="gramEnd"/>
      <w:r>
        <w:t xml:space="preserve"> is 16 and 17 year olds, was specifically designed to allow for subsequent comparison of the data.</w:t>
      </w:r>
    </w:p>
    <w:p w:rsidR="00590512" w:rsidRDefault="00590512" w:rsidP="00590512">
      <w:pPr>
        <w:pStyle w:val="Heading3"/>
      </w:pPr>
      <w:r w:rsidRPr="003F0979">
        <w:t xml:space="preserve">Oversight of </w:t>
      </w:r>
      <w:r>
        <w:t xml:space="preserve">the </w:t>
      </w:r>
      <w:r w:rsidRPr="003F0979">
        <w:t>survey</w:t>
      </w:r>
    </w:p>
    <w:p w:rsidR="00590512" w:rsidRDefault="00590512" w:rsidP="00590512">
      <w:pPr>
        <w:pStyle w:val="BodyText"/>
      </w:pPr>
      <w:r>
        <w:t>The Australian Government Department of Health and Ageing funded and managed the conduct of the survey as part of the National Survey of Mental Health and Wellbeing initiative. This is the sixth survey conducted under this initiative.</w:t>
      </w:r>
    </w:p>
    <w:p w:rsidR="00590512" w:rsidRDefault="00590512" w:rsidP="00590512">
      <w:pPr>
        <w:pStyle w:val="BodyText"/>
      </w:pPr>
      <w:proofErr w:type="gramStart"/>
      <w:r>
        <w:t>A Survey Reference Group of invited mental health, child and adolescent, education and epidemiological experts, as well as representatives of the Department and the Australian Bureau of Statistics, provided oversight in design, content and implementation of the survey.</w:t>
      </w:r>
      <w:proofErr w:type="gramEnd"/>
      <w:r>
        <w:t xml:space="preserve"> </w:t>
      </w:r>
    </w:p>
    <w:p w:rsidR="00590512" w:rsidRDefault="00590512" w:rsidP="00590512">
      <w:pPr>
        <w:pStyle w:val="BodyText"/>
      </w:pPr>
      <w:r>
        <w:t>Membership of the Survey Reference Group is provided at Appendix 2.</w:t>
      </w:r>
    </w:p>
    <w:p w:rsidR="00590512" w:rsidRDefault="00590512" w:rsidP="00590512">
      <w:pPr>
        <w:pStyle w:val="Heading2"/>
        <w:numPr>
          <w:ilvl w:val="0"/>
          <w:numId w:val="16"/>
        </w:numPr>
      </w:pPr>
      <w:r>
        <w:t>Sample, fieldwork and participant issues</w:t>
      </w:r>
    </w:p>
    <w:p w:rsidR="00590512" w:rsidRDefault="00590512" w:rsidP="00590512">
      <w:pPr>
        <w:pStyle w:val="Heading3"/>
      </w:pPr>
      <w:r w:rsidRPr="008E20D1">
        <w:t>Main</w:t>
      </w:r>
      <w:r>
        <w:t xml:space="preserve"> sample</w:t>
      </w:r>
    </w:p>
    <w:p w:rsidR="00590512" w:rsidRDefault="00590512" w:rsidP="00590512">
      <w:pPr>
        <w:pStyle w:val="BodyText"/>
      </w:pPr>
      <w:r>
        <w:t>The survey sample was selected in two components. The first component was a randomly selected sample of 5,500 families with children aged 4-17 years from across the country.</w:t>
      </w:r>
    </w:p>
    <w:p w:rsidR="00590512" w:rsidRDefault="00590512" w:rsidP="00590512">
      <w:pPr>
        <w:pStyle w:val="BodyText"/>
      </w:pPr>
      <w:r>
        <w:t>The sample size was chosen to deliver reliable national estimates of the prevalence, burden and service use by sex and for the two age groups of 4-11 and 12-17 years.</w:t>
      </w:r>
    </w:p>
    <w:p w:rsidR="00590512" w:rsidRDefault="00590512" w:rsidP="00590512">
      <w:pPr>
        <w:pStyle w:val="BodyText"/>
      </w:pPr>
      <w:r w:rsidRPr="008216B9">
        <w:t>In total 46,248 households were approached to achieve a calculated final sample of 5,500 based on an in-scope rate of 21% and a target response rate of 60%.</w:t>
      </w:r>
      <w:r>
        <w:t xml:space="preserve"> </w:t>
      </w:r>
    </w:p>
    <w:p w:rsidR="00590512" w:rsidRDefault="00590512" w:rsidP="00590512">
      <w:pPr>
        <w:pStyle w:val="Heading3"/>
      </w:pPr>
      <w:r w:rsidRPr="008E20D1">
        <w:t>Oversample</w:t>
      </w:r>
    </w:p>
    <w:p w:rsidR="00590512" w:rsidRDefault="00590512" w:rsidP="00590512">
      <w:pPr>
        <w:pStyle w:val="BodyText"/>
      </w:pPr>
      <w:r>
        <w:t>In recognition of the increased risks for a range of emotional and behavioural problems in the older teenage years, the main survey sample was supplemented by a second component of 16 and 17 year-olds. This comprised an additional random sample of 800 families with children aged 16-17 years. The sample size was determined to be sufficiently large for separate analyses of the data and to produce specific estimates for this age group.</w:t>
      </w:r>
      <w:r w:rsidRPr="008F72F0">
        <w:t xml:space="preserve"> </w:t>
      </w:r>
    </w:p>
    <w:p w:rsidR="00590512" w:rsidRDefault="00590512" w:rsidP="00590512">
      <w:pPr>
        <w:pStyle w:val="BodyText"/>
      </w:pPr>
      <w:r>
        <w:t xml:space="preserve">The oversample aimed to allow for the results for just 16 and 17 year-olds to be analysed together with that for 16 and 17 year olds from the 2007 adult survey. The combination of data from both </w:t>
      </w:r>
      <w:r>
        <w:lastRenderedPageBreak/>
        <w:t xml:space="preserve">surveys will provide two perspectives on mental health problems in this age group—one based on questions specifically designed for teenagers and one based on questions designed for adults. </w:t>
      </w:r>
    </w:p>
    <w:p w:rsidR="00590512" w:rsidRDefault="00590512" w:rsidP="00590512">
      <w:pPr>
        <w:pStyle w:val="BodyText"/>
      </w:pPr>
      <w:r>
        <w:t>An additional 30,358 households were approached to achieve the required 800 interviews.</w:t>
      </w:r>
    </w:p>
    <w:p w:rsidR="00590512" w:rsidRDefault="00590512" w:rsidP="00590512">
      <w:pPr>
        <w:pStyle w:val="Heading3"/>
      </w:pPr>
      <w:r w:rsidRPr="008E20D1">
        <w:t>Sampling method</w:t>
      </w:r>
    </w:p>
    <w:p w:rsidR="00590512" w:rsidRDefault="00590512" w:rsidP="00590512">
      <w:pPr>
        <w:pStyle w:val="BodyText"/>
      </w:pPr>
      <w:r>
        <w:t>Area-based sampling was used to select both the main sample and oversample. This method involves selecting a sample of small geographic areas (in this case the</w:t>
      </w:r>
      <w:r w:rsidRPr="005E0B11">
        <w:rPr>
          <w:i/>
        </w:rPr>
        <w:t xml:space="preserve"> </w:t>
      </w:r>
      <w:r w:rsidRPr="005F1531">
        <w:rPr>
          <w:rStyle w:val="Emphasis"/>
        </w:rPr>
        <w:t>Statistical Area 1</w:t>
      </w:r>
      <w:r>
        <w:t xml:space="preserve"> or </w:t>
      </w:r>
      <w:r w:rsidRPr="005F1531">
        <w:rPr>
          <w:rStyle w:val="Emphasis"/>
        </w:rPr>
        <w:t>SA1</w:t>
      </w:r>
      <w:r>
        <w:t xml:space="preserve"> area, designed by the Australian Bureau of Statistics). A total of 225 SA1 areas were selected from those where there were at least ten families with children living at the time of the 2011 Census of Population and Housing conducted by the Australian Bureau of Statistics. SA1 areas in very remote areas were excluded.</w:t>
      </w:r>
    </w:p>
    <w:p w:rsidR="00590512" w:rsidRDefault="00590512" w:rsidP="00590512">
      <w:pPr>
        <w:pStyle w:val="BodyText"/>
      </w:pPr>
      <w:r>
        <w:t>The SA1s used for the main sample were also used for the oversample. A target of four interviews of randomly selected households in each of the 225 SA1s was predicted to deliver the required sample of 800 families. However, selection of an additional 41 SA1s was necessary to achieve the desired 800 interviews. In total 266 SA1s were selected.</w:t>
      </w:r>
    </w:p>
    <w:p w:rsidR="00590512" w:rsidRDefault="00590512" w:rsidP="00590512">
      <w:pPr>
        <w:pStyle w:val="BodyText"/>
      </w:pPr>
      <w:r>
        <w:t>Interviewers went to a randomly selected sample of houses in each SA1 to identify households that had one or more children aged from four to 17 years. In households where there was more than one resident child aged 4-17 years, the names of all children were entered into the interviewer’s hand-held computer, which then selected a child at random as the study participant for the survey.</w:t>
      </w:r>
    </w:p>
    <w:p w:rsidR="00590512" w:rsidRDefault="00590512" w:rsidP="00590512">
      <w:pPr>
        <w:pStyle w:val="Heading3"/>
      </w:pPr>
      <w:r w:rsidRPr="00101354">
        <w:t>Exclusions</w:t>
      </w:r>
    </w:p>
    <w:p w:rsidR="00590512" w:rsidRDefault="00590512" w:rsidP="00590512">
      <w:pPr>
        <w:pStyle w:val="BodyText"/>
      </w:pPr>
      <w:r>
        <w:t>The one percent most remote SA1s in Australia were excluded from the survey for practical reasons. This is considered standard practice for surveys that aim to yield estimates at a national level.</w:t>
      </w:r>
    </w:p>
    <w:p w:rsidR="00590512" w:rsidRDefault="00590512" w:rsidP="00590512">
      <w:pPr>
        <w:pStyle w:val="BodyText"/>
      </w:pPr>
      <w:r>
        <w:t xml:space="preserve">The survey cannot produce estimates of mental disorders and service use for Indigenous peoples. Random sampling alone with the number of participants for this survey was not considered sufficient for generation of these data within acceptable confidence intervals. A separate Indigenous sample was not included as </w:t>
      </w:r>
      <w:r w:rsidRPr="00B20AD8">
        <w:t>there</w:t>
      </w:r>
      <w:r>
        <w:rPr>
          <w:i/>
        </w:rPr>
        <w:t xml:space="preserve"> </w:t>
      </w:r>
      <w:r>
        <w:t>are important cultural issues in appropriately measuring mental health and wellbeing in Aboriginal and Torres Strait Islander children that could not be addressed within the framework of the population survey. A separate study would need to be undertaken to assess the mental health of Aboriginal and Torres Strait Islander children and young people in a culturally appropriate manner.</w:t>
      </w:r>
    </w:p>
    <w:p w:rsidR="00590512" w:rsidRDefault="00590512" w:rsidP="00590512">
      <w:pPr>
        <w:pStyle w:val="BodyText"/>
      </w:pPr>
      <w:r>
        <w:t xml:space="preserve">The survey was based on a household sample and, as such, children who were homeless or in institutional care were not included. Although this is likely to be a small proportion of children and adolescents, these sub-populations are known to have a high-risk of mental health problems. However, the survey aimed to collect information on children who were temporarily away from home, such as at boarding school or in hospital. Parents and carers were asked to list all of the children who are usually part of the household, but were temporarily living away, along with those living there. These children had an equal chance of selection as the survey child as other children in the family due to the computerised random selection methodology. However, young people aged 11 years and older who </w:t>
      </w:r>
      <w:proofErr w:type="gramStart"/>
      <w:r>
        <w:t>were not living</w:t>
      </w:r>
      <w:proofErr w:type="gramEnd"/>
      <w:r>
        <w:t xml:space="preserve"> in the household at the time could not be asked to complete the self</w:t>
      </w:r>
      <w:r>
        <w:noBreakHyphen/>
        <w:t>report questionnaire and therefore there is no additional information from these young people themselves.</w:t>
      </w:r>
    </w:p>
    <w:p w:rsidR="00590512" w:rsidRPr="005B6285" w:rsidRDefault="00590512" w:rsidP="00590512">
      <w:pPr>
        <w:pStyle w:val="Heading3"/>
      </w:pPr>
      <w:r w:rsidRPr="004B5207">
        <w:lastRenderedPageBreak/>
        <w:t>Interviewing process</w:t>
      </w:r>
    </w:p>
    <w:p w:rsidR="00590512" w:rsidRDefault="00590512" w:rsidP="00590512">
      <w:pPr>
        <w:pStyle w:val="BodyText"/>
      </w:pPr>
      <w:r>
        <w:t>Roy Morgan Research was contracted to conduct the survey fieldwork. A team of over 100 trained, lay interviewers were employed to complete fieldwork from 31 May 2013 through to 10 April 2014.</w:t>
      </w:r>
    </w:p>
    <w:p w:rsidR="00590512" w:rsidRDefault="00590512" w:rsidP="00590512">
      <w:pPr>
        <w:pStyle w:val="BodyText"/>
      </w:pPr>
      <w:r>
        <w:t>Interviewers were trained over three days prior to survey fieldwork. Training covered matters related to the conduct of the survey interviews, as well as some basic mental health literacy and information on the use of the diagnostic tool, the DISC-IV. A comprehensive training manual and standardised curriculum for the three days ensured uniformity of interviewer training across all Australian sites.</w:t>
      </w:r>
    </w:p>
    <w:p w:rsidR="00590512" w:rsidRDefault="00590512" w:rsidP="00590512">
      <w:pPr>
        <w:pStyle w:val="BodyText"/>
      </w:pPr>
      <w:r>
        <w:t>Interviewers were required to approach selected households in their areas up to six times or until they were able to gain contact with a resident adult. These contact attempts were required to be made over a mixture of weekday/weekend and day/evening calls. Once contact was made with an adult living in the household a short screener process was used to confirm that the household was in scope.</w:t>
      </w:r>
    </w:p>
    <w:p w:rsidR="00590512" w:rsidRDefault="00590512" w:rsidP="00590512">
      <w:pPr>
        <w:pStyle w:val="Heading3"/>
      </w:pPr>
      <w:r>
        <w:t>Strategies to encourage participation</w:t>
      </w:r>
    </w:p>
    <w:p w:rsidR="00590512" w:rsidRDefault="00590512" w:rsidP="00590512">
      <w:pPr>
        <w:pStyle w:val="BodyText"/>
      </w:pPr>
      <w:r>
        <w:t>There were a number of strategies used to provide information about the survey, encourage participation once contact had been made and, in turn, maximise the response rate. These were as follows:</w:t>
      </w:r>
    </w:p>
    <w:p w:rsidR="00590512" w:rsidRDefault="00590512" w:rsidP="00590512">
      <w:pPr>
        <w:pStyle w:val="ListParagraph"/>
        <w:numPr>
          <w:ilvl w:val="0"/>
          <w:numId w:val="14"/>
        </w:numPr>
        <w:spacing w:after="120" w:line="240" w:lineRule="auto"/>
        <w:ind w:left="1003" w:hanging="357"/>
        <w:contextualSpacing w:val="0"/>
        <w:jc w:val="both"/>
      </w:pPr>
      <w:r>
        <w:t>A primary approach letter was given to each household.</w:t>
      </w:r>
    </w:p>
    <w:p w:rsidR="00590512" w:rsidRPr="00153D00" w:rsidRDefault="00590512" w:rsidP="00590512">
      <w:pPr>
        <w:pStyle w:val="ListParagraph"/>
        <w:numPr>
          <w:ilvl w:val="0"/>
          <w:numId w:val="14"/>
        </w:numPr>
        <w:spacing w:after="120" w:line="240" w:lineRule="auto"/>
        <w:ind w:left="1003" w:hanging="357"/>
        <w:contextualSpacing w:val="0"/>
        <w:jc w:val="both"/>
      </w:pPr>
      <w:r>
        <w:t xml:space="preserve">Two information brochures — one for the parent or carer and one for the young person, </w:t>
      </w:r>
      <w:r w:rsidRPr="00153D00">
        <w:t>were prepared.</w:t>
      </w:r>
    </w:p>
    <w:p w:rsidR="00590512" w:rsidRPr="00153D00" w:rsidRDefault="00590512" w:rsidP="00590512">
      <w:pPr>
        <w:pStyle w:val="ListParagraph"/>
        <w:numPr>
          <w:ilvl w:val="0"/>
          <w:numId w:val="14"/>
        </w:numPr>
        <w:spacing w:after="120" w:line="240" w:lineRule="auto"/>
        <w:ind w:left="1003" w:hanging="357"/>
        <w:contextualSpacing w:val="0"/>
        <w:jc w:val="both"/>
      </w:pPr>
      <w:r w:rsidRPr="00153D00">
        <w:t xml:space="preserve">A letter of endorsement was signed by three </w:t>
      </w:r>
      <w:r>
        <w:t>survey ambassadors</w:t>
      </w:r>
      <w:r w:rsidRPr="00153D00">
        <w:t xml:space="preserve">, namely Professor Fiona Stanley, </w:t>
      </w:r>
      <w:r>
        <w:t>founding director and patron of the</w:t>
      </w:r>
      <w:r w:rsidRPr="00153D00">
        <w:t xml:space="preserve"> Telethon Kids Institute</w:t>
      </w:r>
      <w:r>
        <w:t xml:space="preserve"> and Australian of the Year 2003</w:t>
      </w:r>
      <w:r w:rsidRPr="00153D00">
        <w:t>; Professor Fiona Wood, plastic surgeon specialising in burns</w:t>
      </w:r>
      <w:r>
        <w:t xml:space="preserve"> and Australian of the Year 2005</w:t>
      </w:r>
      <w:r w:rsidRPr="00153D00">
        <w:t xml:space="preserve">; and Jessica Watson, </w:t>
      </w:r>
      <w:r>
        <w:t xml:space="preserve">solo </w:t>
      </w:r>
      <w:r w:rsidRPr="00153D00">
        <w:t>around-the</w:t>
      </w:r>
      <w:r>
        <w:t xml:space="preserve"> </w:t>
      </w:r>
      <w:r w:rsidRPr="00153D00">
        <w:t>world sailor</w:t>
      </w:r>
      <w:r>
        <w:t xml:space="preserve"> and Young Australian of the Year 2011</w:t>
      </w:r>
      <w:r w:rsidRPr="00153D00">
        <w:t>.</w:t>
      </w:r>
    </w:p>
    <w:p w:rsidR="00590512" w:rsidRPr="00153D00" w:rsidRDefault="00590512" w:rsidP="00590512">
      <w:pPr>
        <w:pStyle w:val="ListParagraph"/>
        <w:numPr>
          <w:ilvl w:val="0"/>
          <w:numId w:val="14"/>
        </w:numPr>
        <w:spacing w:after="120" w:line="240" w:lineRule="auto"/>
        <w:ind w:left="1003" w:hanging="357"/>
        <w:contextualSpacing w:val="0"/>
        <w:jc w:val="both"/>
      </w:pPr>
      <w:r w:rsidRPr="00153D00">
        <w:t>An 1800 number was staffed by Roy Morgan</w:t>
      </w:r>
      <w:r>
        <w:t xml:space="preserve"> Research</w:t>
      </w:r>
      <w:r w:rsidRPr="00153D00">
        <w:t xml:space="preserve"> to answer any queries or concerns participants may have </w:t>
      </w:r>
      <w:r>
        <w:t xml:space="preserve">had </w:t>
      </w:r>
      <w:r w:rsidRPr="00153D00">
        <w:t>about the survey.</w:t>
      </w:r>
    </w:p>
    <w:p w:rsidR="00590512" w:rsidRDefault="00590512" w:rsidP="00590512">
      <w:pPr>
        <w:pStyle w:val="ListParagraph"/>
        <w:numPr>
          <w:ilvl w:val="0"/>
          <w:numId w:val="14"/>
        </w:numPr>
        <w:spacing w:after="120" w:line="240" w:lineRule="auto"/>
        <w:ind w:left="1003" w:hanging="357"/>
        <w:contextualSpacing w:val="0"/>
        <w:jc w:val="both"/>
      </w:pPr>
      <w:r>
        <w:t>Information about the survey was available to participants through the Telethon Kids Institute website, which was listed on the brochures.</w:t>
      </w:r>
    </w:p>
    <w:p w:rsidR="00590512" w:rsidRDefault="00590512" w:rsidP="00590512">
      <w:pPr>
        <w:pStyle w:val="ListParagraph"/>
        <w:numPr>
          <w:ilvl w:val="0"/>
          <w:numId w:val="14"/>
        </w:numPr>
        <w:spacing w:after="120" w:line="240" w:lineRule="auto"/>
        <w:ind w:left="1003" w:hanging="357"/>
        <w:contextualSpacing w:val="0"/>
        <w:jc w:val="both"/>
      </w:pPr>
      <w:r>
        <w:t xml:space="preserve">A </w:t>
      </w:r>
      <w:r w:rsidRPr="006F5941">
        <w:t>payment</w:t>
      </w:r>
      <w:r>
        <w:t xml:space="preserve"> of $40 was offered to parents and carers to compensate them for their time completing the interview and young people were offered $20 to compensate them for their time completing the </w:t>
      </w:r>
      <w:r w:rsidR="00DB6AC2">
        <w:t>y</w:t>
      </w:r>
      <w:r>
        <w:t xml:space="preserve">outh </w:t>
      </w:r>
      <w:r w:rsidR="00DB6AC2">
        <w:t>s</w:t>
      </w:r>
      <w:r>
        <w:t>elf-</w:t>
      </w:r>
      <w:r w:rsidR="00DB6AC2">
        <w:t>r</w:t>
      </w:r>
      <w:r>
        <w:t>eport questionnaire.</w:t>
      </w:r>
    </w:p>
    <w:p w:rsidR="00590512" w:rsidRDefault="00590512" w:rsidP="00590512">
      <w:pPr>
        <w:pStyle w:val="Heading3"/>
      </w:pPr>
      <w:r w:rsidRPr="005C1426">
        <w:t>Consent</w:t>
      </w:r>
    </w:p>
    <w:p w:rsidR="00590512" w:rsidRDefault="00590512" w:rsidP="00590512">
      <w:pPr>
        <w:pStyle w:val="BodyText"/>
      </w:pPr>
      <w:r w:rsidRPr="00963579">
        <w:t xml:space="preserve">Participation in the survey was voluntary </w:t>
      </w:r>
      <w:r>
        <w:t>and written consent was required from all participants.</w:t>
      </w:r>
    </w:p>
    <w:p w:rsidR="00590512" w:rsidRDefault="00590512" w:rsidP="00590512">
      <w:pPr>
        <w:pStyle w:val="BodyText"/>
      </w:pPr>
      <w:r>
        <w:t>Initially, verbal consent was obtained from parents or carers to participate in the survey. If the child was 11 years or older, parents and carers were also asked for their consent to approach the young person to ask whether he or she would complete a youth self-report questionnaire. Verbal consent was also sought directly from the young person, if he or she were willing to participate.</w:t>
      </w:r>
    </w:p>
    <w:p w:rsidR="00590512" w:rsidRDefault="00590512" w:rsidP="00590512">
      <w:pPr>
        <w:pStyle w:val="BodyText"/>
      </w:pPr>
      <w:r>
        <w:lastRenderedPageBreak/>
        <w:t xml:space="preserve">Paper consent forms were completed by both parents or carers and young people at the completion </w:t>
      </w:r>
      <w:r w:rsidRPr="00DB4FA7">
        <w:t xml:space="preserve">of the household interviews. </w:t>
      </w:r>
    </w:p>
    <w:p w:rsidR="00590512" w:rsidRPr="00DB4FA7" w:rsidRDefault="00590512" w:rsidP="00590512">
      <w:pPr>
        <w:pStyle w:val="BodyText"/>
      </w:pPr>
      <w:r>
        <w:t>Additionally, at the end of the household interview, consent was sought from parents and carers to access Medicare, Pharmaceutical Benefits Scheme (PBS) and National Assessment Program — Literacy and Numeracy (NAPLAN) information for the selected child or young person. Where the selected child was aged under 14 years, consent to access Medicare and PBS data was sought from the primary carer, while, with the parent or carer’s permission, consent was sought from the young person directly if they were aged 14 years or older. For NAPLAN data, consent was sought from the primary carer, as NAPLAN testing covers school years 3, 5, 7, and 9. At the time of writing, the process of obtaining the Medicare, PBS and NAPLAN data for children and adolescents from the relevant data custodians is underway. These data will be used for future analysis subsequent to this report.</w:t>
      </w:r>
    </w:p>
    <w:p w:rsidR="00590512" w:rsidRDefault="00590512" w:rsidP="00590512">
      <w:pPr>
        <w:pStyle w:val="BodyText"/>
      </w:pPr>
      <w:r w:rsidRPr="00DB4FA7">
        <w:t>Participants were informed that they had the right to withdraw their consent for study participation or the use of their information at any time during the interview and up to 31 March 2014</w:t>
      </w:r>
      <w:r>
        <w:t>,</w:t>
      </w:r>
      <w:r w:rsidRPr="00DB4FA7">
        <w:t xml:space="preserve"> at which time final validation was being completed and data would be de-identified for inclusion in the main unit record file. A decision was made to extend the period for fieldwork </w:t>
      </w:r>
      <w:r>
        <w:t xml:space="preserve">part way through the initial collection phase </w:t>
      </w:r>
      <w:r w:rsidRPr="00DB4FA7">
        <w:t>and, in turn, the cut-off for withdrawal of consent for use of information was extended to 30 April 2014 for participants in this later phase of fieldwork.</w:t>
      </w:r>
    </w:p>
    <w:p w:rsidR="00590512" w:rsidRDefault="00590512" w:rsidP="00590512">
      <w:pPr>
        <w:pStyle w:val="Heading3"/>
      </w:pPr>
      <w:r w:rsidRPr="00446AD1">
        <w:t>Duty of care</w:t>
      </w:r>
    </w:p>
    <w:p w:rsidR="00590512" w:rsidRDefault="00590512" w:rsidP="00590512">
      <w:pPr>
        <w:pStyle w:val="BodyText"/>
      </w:pPr>
      <w:r w:rsidRPr="004211D4">
        <w:t>Specific protocols were developed to ensure that if any issues arose for participants in response to the survey, there</w:t>
      </w:r>
      <w:r>
        <w:t xml:space="preserve"> were options available to assist them in receiving the information and support they required.</w:t>
      </w:r>
    </w:p>
    <w:p w:rsidR="00590512" w:rsidRDefault="00590512" w:rsidP="00590512">
      <w:pPr>
        <w:pStyle w:val="BodyText"/>
      </w:pPr>
      <w:r>
        <w:t>Training of interviewers included specific training in how to deal with difficult and distressing situations if these arose while the interviewer was in the household. Interviewers were instructed to give the participant space and offer to come back at another time to complete the interview. They were directed not to offer opinions or advice, but direct participants to services listed in the brochures and, if required, provide the 1800 number for the on-call study psychologist.</w:t>
      </w:r>
    </w:p>
    <w:p w:rsidR="00590512" w:rsidRDefault="00590512" w:rsidP="00590512">
      <w:pPr>
        <w:pStyle w:val="BodyText"/>
      </w:pPr>
      <w:r>
        <w:t xml:space="preserve">If the participant required support after the interviewer had left the household, a number of options were available. Brochures for both parents or carers and young people, which listed relevant helplines or other services accessible by phone or on the internet, were left with the household. The survey website provided further information about the survey and links to relevant mental health services. </w:t>
      </w:r>
      <w:proofErr w:type="gramStart"/>
      <w:r>
        <w:t>A</w:t>
      </w:r>
      <w:proofErr w:type="gramEnd"/>
      <w:r>
        <w:t xml:space="preserve"> 1800 telephone number staffed by Roy Morgan Research, which participants could call to discuss any aspect of the survey or issue arising from the interview, was available. In addition, the on-call study psychologist was available at all times.</w:t>
      </w:r>
    </w:p>
    <w:p w:rsidR="00590512" w:rsidRPr="005C2E83" w:rsidRDefault="00590512" w:rsidP="00590512">
      <w:pPr>
        <w:pStyle w:val="BodyText"/>
        <w:rPr>
          <w:rFonts w:ascii="Verdana" w:hAnsi="Verdana"/>
          <w:color w:val="000000"/>
          <w:sz w:val="20"/>
          <w:szCs w:val="20"/>
        </w:rPr>
      </w:pPr>
      <w:r>
        <w:t>State and territory child and adolescent specialised mental health services were notified when the survey was going to be in the field in case calls were received from participants.</w:t>
      </w:r>
    </w:p>
    <w:p w:rsidR="00590512" w:rsidRDefault="00590512" w:rsidP="00590512">
      <w:pPr>
        <w:pStyle w:val="BodyText"/>
      </w:pPr>
      <w:r>
        <w:t>The 1800 on</w:t>
      </w:r>
      <w:r>
        <w:noBreakHyphen/>
        <w:t>call study psychologist received a total of 5 calls over the duration of survey fieldwork. There were no adverse events reported as a result of the survey.</w:t>
      </w:r>
    </w:p>
    <w:p w:rsidR="00590512" w:rsidRPr="00B02345" w:rsidRDefault="00590512" w:rsidP="00590512">
      <w:pPr>
        <w:pStyle w:val="BodyText"/>
      </w:pPr>
      <w:r>
        <w:lastRenderedPageBreak/>
        <w:t>Interviewers also were supported, with access to the on</w:t>
      </w:r>
      <w:r>
        <w:noBreakHyphen/>
        <w:t>call study psychologist, specific debriefing procedures and support directly through Roy Morgan Research.</w:t>
      </w:r>
    </w:p>
    <w:p w:rsidR="00590512" w:rsidRDefault="00590512" w:rsidP="00590512">
      <w:pPr>
        <w:pStyle w:val="Heading2"/>
        <w:numPr>
          <w:ilvl w:val="0"/>
          <w:numId w:val="16"/>
        </w:numPr>
      </w:pPr>
      <w:r>
        <w:t>Questionnaires</w:t>
      </w:r>
    </w:p>
    <w:p w:rsidR="00590512" w:rsidRDefault="00590512" w:rsidP="00590512">
      <w:pPr>
        <w:pStyle w:val="Heading3"/>
      </w:pPr>
      <w:r w:rsidRPr="00365415">
        <w:t>Parent Interview</w:t>
      </w:r>
    </w:p>
    <w:p w:rsidR="00590512" w:rsidRDefault="00590512" w:rsidP="00590512">
      <w:pPr>
        <w:pStyle w:val="BodyText"/>
      </w:pPr>
      <w:r>
        <w:t>The median time to complete the parent and carer questionnaire was 60 minutes. All participants were asked questions in all modules. These were as follows:</w:t>
      </w:r>
    </w:p>
    <w:p w:rsidR="00590512" w:rsidRPr="00175BB2" w:rsidRDefault="00590512" w:rsidP="00590512">
      <w:pPr>
        <w:pStyle w:val="ListParagraph"/>
        <w:numPr>
          <w:ilvl w:val="0"/>
          <w:numId w:val="14"/>
        </w:numPr>
        <w:spacing w:after="120" w:line="240" w:lineRule="auto"/>
        <w:ind w:left="1003" w:hanging="357"/>
        <w:contextualSpacing w:val="0"/>
        <w:jc w:val="both"/>
      </w:pPr>
      <w:r>
        <w:t>Family structure —</w:t>
      </w:r>
      <w:r w:rsidRPr="00175BB2">
        <w:t xml:space="preserve"> sex, age, marital status, country of birth, language spoken for all family members and relationships between all members of the family;</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Child healt</w:t>
      </w:r>
      <w:r>
        <w:t>h —</w:t>
      </w:r>
      <w:r w:rsidRPr="00175BB2">
        <w:t xml:space="preserve"> general health, chronic health conditions, disabilities and whether ever diagnosed with psychological, emotional or behavioural problems from a list provided;</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Diagnostic Interview Schedule for Children (DISC-IV) modules;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Level of functional impairment questions;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Strengths and Difficulties Questionnaire (SDQ) Parent Report Measure Baseline versions</w:t>
      </w:r>
      <w:r>
        <w:t xml:space="preserve"> for Children (4-</w:t>
      </w:r>
      <w:r w:rsidRPr="00175BB2">
        <w:t>10 years) and for Youth (11-17 years</w:t>
      </w:r>
      <w:r>
        <w:t>)</w:t>
      </w:r>
      <w:r w:rsidRPr="00175BB2">
        <w:t>;</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 xml:space="preserve">Service use in </w:t>
      </w:r>
      <w:r>
        <w:t xml:space="preserve">the </w:t>
      </w:r>
      <w:r w:rsidRPr="00175BB2">
        <w:t>past 12 months;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Perceived need for services;</w:t>
      </w:r>
    </w:p>
    <w:p w:rsidR="00590512" w:rsidRPr="00175BB2" w:rsidRDefault="00590512" w:rsidP="00590512">
      <w:pPr>
        <w:pStyle w:val="ListParagraph"/>
        <w:numPr>
          <w:ilvl w:val="0"/>
          <w:numId w:val="14"/>
        </w:numPr>
        <w:spacing w:after="120" w:line="240" w:lineRule="auto"/>
        <w:ind w:left="1003" w:hanging="357"/>
        <w:contextualSpacing w:val="0"/>
        <w:jc w:val="both"/>
      </w:pPr>
      <w:r>
        <w:t>Education —</w:t>
      </w:r>
      <w:r w:rsidRPr="00175BB2">
        <w:t xml:space="preserve"> child’s year in school, school attendance and performance in core subjects;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Family characteristics - family functioning, life stress events, impact of separation on the child or adolescent, smoking and alcohol consumption of parents and carers, mental health of parents and carers;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Kessler Psychological Distress Scale (K10) for primary parent or carer; and</w:t>
      </w:r>
    </w:p>
    <w:p w:rsidR="00590512" w:rsidRPr="00175BB2" w:rsidRDefault="00590512" w:rsidP="00590512">
      <w:pPr>
        <w:pStyle w:val="ListParagraph"/>
        <w:numPr>
          <w:ilvl w:val="0"/>
          <w:numId w:val="14"/>
        </w:numPr>
        <w:spacing w:after="120" w:line="240" w:lineRule="auto"/>
        <w:ind w:left="1003" w:hanging="357"/>
        <w:contextualSpacing w:val="0"/>
        <w:jc w:val="both"/>
      </w:pPr>
      <w:r>
        <w:t>Demographics —</w:t>
      </w:r>
      <w:r w:rsidRPr="00175BB2">
        <w:t xml:space="preserve"> education and employment of parents and carers, household income and housing tenure.</w:t>
      </w:r>
    </w:p>
    <w:p w:rsidR="00590512" w:rsidRDefault="00590512" w:rsidP="00590512">
      <w:pPr>
        <w:pStyle w:val="Heading3"/>
      </w:pPr>
      <w:r w:rsidRPr="00365415">
        <w:t>Youth self-report questionnaire</w:t>
      </w:r>
    </w:p>
    <w:p w:rsidR="00590512" w:rsidRPr="00F97ED1" w:rsidRDefault="00590512" w:rsidP="00590512">
      <w:pPr>
        <w:pStyle w:val="BodyText"/>
      </w:pPr>
      <w:r>
        <w:t xml:space="preserve">Young people aged 11 years and over were asked to complete a self-report questionnaire on a tablet computer in private. Median time to complete the questionnaire was 35 minutes. As some of the questions were considered inappropriate for younger children, some modules were only asked of young people older than a specified age. This questionnaire </w:t>
      </w:r>
      <w:r w:rsidRPr="00DB4FA7">
        <w:t>comprised</w:t>
      </w:r>
      <w:r>
        <w:t xml:space="preserve"> the following modules:</w:t>
      </w:r>
    </w:p>
    <w:p w:rsidR="00590512" w:rsidRPr="00175BB2" w:rsidRDefault="00590512" w:rsidP="00590512">
      <w:pPr>
        <w:pStyle w:val="ListParagraph"/>
        <w:numPr>
          <w:ilvl w:val="0"/>
          <w:numId w:val="14"/>
        </w:numPr>
        <w:spacing w:after="120" w:line="240" w:lineRule="auto"/>
        <w:ind w:left="1003" w:hanging="357"/>
        <w:contextualSpacing w:val="0"/>
        <w:jc w:val="both"/>
      </w:pPr>
      <w:r>
        <w:t>DISC-IV m</w:t>
      </w:r>
      <w:r w:rsidRPr="00175BB2">
        <w:t xml:space="preserve">ajor </w:t>
      </w:r>
      <w:r>
        <w:t>d</w:t>
      </w:r>
      <w:r w:rsidRPr="00175BB2">
        <w:t xml:space="preserve">epressive </w:t>
      </w:r>
      <w:r>
        <w:t>d</w:t>
      </w:r>
      <w:r w:rsidRPr="00175BB2">
        <w:t>isorder module;</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Level of functional impairment questions;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Presence of symptoms of psychosis;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Strengths and Difficulties Questionnaire (SDQ) Youth Self Report Baseline version;</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Kessler Psychological Distress Scale (K10+), which has the basic ten questions about how the child is feeling and another four on how it affected him or her in the last four weeks;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 xml:space="preserve">Child health utility-9D, which is </w:t>
      </w:r>
      <w:r>
        <w:t>composed</w:t>
      </w:r>
      <w:r w:rsidRPr="00175BB2">
        <w:t xml:space="preserve"> of nine questions designed to measure quality of life for use in economic evaluation;</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lastRenderedPageBreak/>
        <w:t>Service use in past 12 months</w:t>
      </w:r>
      <w:r>
        <w:t xml:space="preserve"> —</w:t>
      </w:r>
      <w:r w:rsidRPr="00175BB2">
        <w:t xml:space="preserve"> health, school, telephone counselling and </w:t>
      </w:r>
      <w:r>
        <w:t>online</w:t>
      </w:r>
      <w:r w:rsidRPr="00175BB2">
        <w:t xml:space="preserve"> services and informal supports</w:t>
      </w:r>
      <w:r>
        <w:t xml:space="preserve"> (13 years and older)</w:t>
      </w:r>
      <w:r w:rsidRPr="00175BB2">
        <w:t>;</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Perceived need for services;</w:t>
      </w:r>
    </w:p>
    <w:p w:rsidR="00590512" w:rsidRPr="00175BB2" w:rsidRDefault="00590512" w:rsidP="00590512">
      <w:pPr>
        <w:pStyle w:val="ListParagraph"/>
        <w:numPr>
          <w:ilvl w:val="0"/>
          <w:numId w:val="14"/>
        </w:numPr>
        <w:spacing w:after="120" w:line="240" w:lineRule="auto"/>
        <w:ind w:left="1003" w:hanging="357"/>
        <w:contextualSpacing w:val="0"/>
        <w:jc w:val="both"/>
      </w:pPr>
      <w:r>
        <w:t>Education —</w:t>
      </w:r>
      <w:r w:rsidRPr="00175BB2">
        <w:t xml:space="preserve"> school attendance, performance in core subjects, and school connectedness;</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Youth risk behaviours</w:t>
      </w:r>
      <w:r>
        <w:t xml:space="preserve"> consisted of six sections, with questions varying for different ages — </w:t>
      </w:r>
      <w:r w:rsidRPr="00175BB2">
        <w:t>smoking</w:t>
      </w:r>
      <w:r>
        <w:t xml:space="preserve"> (screener questions only for 11 and 12 year-olds);</w:t>
      </w:r>
      <w:r w:rsidRPr="00175BB2">
        <w:t xml:space="preserve"> alcohol consumption</w:t>
      </w:r>
      <w:r>
        <w:t xml:space="preserve"> (screener questions only for 11 and 12 year</w:t>
      </w:r>
      <w:r>
        <w:noBreakHyphen/>
        <w:t>olds)</w:t>
      </w:r>
      <w:r w:rsidRPr="00175BB2">
        <w:t xml:space="preserve"> and use of other drugs</w:t>
      </w:r>
      <w:r>
        <w:t xml:space="preserve"> (13 years and older);</w:t>
      </w:r>
      <w:r w:rsidRPr="00175BB2">
        <w:t xml:space="preserve"> self-harm</w:t>
      </w:r>
      <w:r>
        <w:t xml:space="preserve"> (12 years and older);</w:t>
      </w:r>
      <w:r w:rsidRPr="00175BB2">
        <w:t xml:space="preserve"> suicidal behaviours</w:t>
      </w:r>
      <w:r>
        <w:t xml:space="preserve"> (12 years and older);</w:t>
      </w:r>
      <w:r w:rsidRPr="00175BB2">
        <w:t xml:space="preserve"> </w:t>
      </w:r>
      <w:r>
        <w:t>problem</w:t>
      </w:r>
      <w:r w:rsidRPr="00175BB2">
        <w:t xml:space="preserve"> eating behaviours </w:t>
      </w:r>
      <w:r>
        <w:t xml:space="preserve">(11 years and older) </w:t>
      </w:r>
      <w:r w:rsidRPr="00175BB2">
        <w:t>and sexual behaviour</w:t>
      </w:r>
      <w:r>
        <w:t xml:space="preserve"> (13 years and older)</w:t>
      </w:r>
      <w:r w:rsidRPr="00175BB2">
        <w:t>;</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 xml:space="preserve">Use of internet and electronic games; </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Experiences of bullying, both as victim and perpetrator; and</w:t>
      </w:r>
    </w:p>
    <w:p w:rsidR="00590512" w:rsidRPr="00175BB2" w:rsidRDefault="00590512" w:rsidP="00590512">
      <w:pPr>
        <w:pStyle w:val="ListParagraph"/>
        <w:numPr>
          <w:ilvl w:val="0"/>
          <w:numId w:val="14"/>
        </w:numPr>
        <w:spacing w:after="120" w:line="240" w:lineRule="auto"/>
        <w:ind w:left="1003" w:hanging="357"/>
        <w:contextualSpacing w:val="0"/>
        <w:jc w:val="both"/>
      </w:pPr>
      <w:r w:rsidRPr="00175BB2">
        <w:t>Level of self-esteem.</w:t>
      </w:r>
    </w:p>
    <w:p w:rsidR="00590512" w:rsidRPr="009B1047" w:rsidRDefault="00590512" w:rsidP="00590512">
      <w:pPr>
        <w:pStyle w:val="Heading2"/>
        <w:numPr>
          <w:ilvl w:val="0"/>
          <w:numId w:val="16"/>
        </w:numPr>
      </w:pPr>
      <w:r w:rsidRPr="009B1047">
        <w:t>Content issues</w:t>
      </w:r>
    </w:p>
    <w:p w:rsidR="00590512" w:rsidRDefault="00590512" w:rsidP="00590512">
      <w:pPr>
        <w:pStyle w:val="Heading3"/>
      </w:pPr>
      <w:r w:rsidRPr="00932C6E">
        <w:t>Assessment of mental disorders</w:t>
      </w:r>
    </w:p>
    <w:p w:rsidR="00590512" w:rsidRDefault="00590512" w:rsidP="00590512">
      <w:pPr>
        <w:pStyle w:val="BodyText"/>
      </w:pPr>
      <w:r>
        <w:t xml:space="preserve">Mental disorders were assessed using the </w:t>
      </w:r>
      <w:r w:rsidRPr="005F1531">
        <w:rPr>
          <w:rStyle w:val="Emphasis"/>
        </w:rPr>
        <w:t>Diagnostic Interview Schedule for Children Version IV</w:t>
      </w:r>
      <w:r>
        <w:t xml:space="preserve"> (DISC-IV). The DISC-IV implements the criteria for mental disorders set out in the </w:t>
      </w:r>
      <w:r w:rsidRPr="005F1531">
        <w:rPr>
          <w:rStyle w:val="Emphasis"/>
        </w:rPr>
        <w:t>Diagnostic and Statistical Manual of Mental Disorders</w:t>
      </w:r>
      <w:r w:rsidR="00C72EA6">
        <w:t>, four</w:t>
      </w:r>
      <w:r>
        <w:t>th edition</w:t>
      </w:r>
      <w:r>
        <w:rPr>
          <w:rStyle w:val="FootnoteReference"/>
        </w:rPr>
        <w:footnoteReference w:id="2"/>
      </w:r>
      <w:r>
        <w:t>, produced by the American Psychiatric Association</w:t>
      </w:r>
      <w:r w:rsidRPr="005D5B76">
        <w:rPr>
          <w:rStyle w:val="Heading4Char"/>
        </w:rPr>
        <w:t>.</w:t>
      </w:r>
      <w:r>
        <w:t xml:space="preserve"> These criteria are based on clinically significant sets of symptoms that are associated with impaired functioning by young people with disorders.</w:t>
      </w:r>
    </w:p>
    <w:p w:rsidR="00590512" w:rsidRDefault="00590512" w:rsidP="00590512">
      <w:pPr>
        <w:pStyle w:val="BodyText"/>
      </w:pPr>
      <w:r>
        <w:t>The tool was particularly suited to the survey as it was</w:t>
      </w:r>
      <w:r w:rsidRPr="00C23C7F">
        <w:t xml:space="preserve"> developed primarily for epidemiological research</w:t>
      </w:r>
      <w:r>
        <w:t xml:space="preserve"> and can be administered by trained, lay interviewers</w:t>
      </w:r>
      <w:r w:rsidRPr="00C23C7F">
        <w:t>.</w:t>
      </w:r>
      <w:r>
        <w:t xml:space="preserve"> </w:t>
      </w:r>
      <w:r w:rsidRPr="00C23C7F">
        <w:t>The most recent version</w:t>
      </w:r>
      <w:r>
        <w:t xml:space="preserve">, </w:t>
      </w:r>
      <w:r w:rsidRPr="00C23C7F">
        <w:t>the DISC</w:t>
      </w:r>
      <w:r>
        <w:noBreakHyphen/>
      </w:r>
      <w:r w:rsidRPr="00C23C7F">
        <w:t>IV</w:t>
      </w:r>
      <w:r>
        <w:t>,</w:t>
      </w:r>
      <w:r w:rsidRPr="00C23C7F">
        <w:t xml:space="preserve"> is able to address more than 30 psychiatric diagnoses </w:t>
      </w:r>
      <w:r>
        <w:t xml:space="preserve">based on </w:t>
      </w:r>
      <w:r w:rsidRPr="00C23C7F">
        <w:t>DSM-IV criteria that occur in ch</w:t>
      </w:r>
      <w:r>
        <w:t>ildren and adolescents</w:t>
      </w:r>
      <w:r w:rsidRPr="00C23C7F">
        <w:t xml:space="preserve">. Most questions are worded so that they can be answered </w:t>
      </w:r>
      <w:r>
        <w:t>‘</w:t>
      </w:r>
      <w:r w:rsidRPr="00C23C7F">
        <w:t>yes</w:t>
      </w:r>
      <w:r>
        <w:t>’</w:t>
      </w:r>
      <w:r w:rsidRPr="00C23C7F">
        <w:t>,</w:t>
      </w:r>
      <w:r>
        <w:t xml:space="preserve"> ’</w:t>
      </w:r>
      <w:r w:rsidRPr="00C23C7F">
        <w:t>no</w:t>
      </w:r>
      <w:r>
        <w:t>’</w:t>
      </w:r>
      <w:r w:rsidRPr="00C23C7F">
        <w:t xml:space="preserve">, and </w:t>
      </w:r>
      <w:r>
        <w:t>‘</w:t>
      </w:r>
      <w:r w:rsidRPr="00C23C7F">
        <w:t>somewhat</w:t>
      </w:r>
      <w:r>
        <w:t>’</w:t>
      </w:r>
      <w:r w:rsidRPr="00C23C7F">
        <w:t xml:space="preserve"> or</w:t>
      </w:r>
      <w:r>
        <w:t xml:space="preserve"> ’</w:t>
      </w:r>
      <w:r w:rsidRPr="00C23C7F">
        <w:t>sometimes</w:t>
      </w:r>
      <w:r>
        <w:t xml:space="preserve">’, allowing for easy scoring and not requiring clinical assessment. Questions reference the four </w:t>
      </w:r>
      <w:r w:rsidRPr="00C23C7F">
        <w:t xml:space="preserve">weeks and </w:t>
      </w:r>
      <w:r>
        <w:t>12 months</w:t>
      </w:r>
      <w:r w:rsidRPr="00C23C7F">
        <w:t xml:space="preserve"> prior to the interview</w:t>
      </w:r>
      <w:r>
        <w:t>, allowing for the generation of prevalences for different periods. The 12</w:t>
      </w:r>
      <w:r>
        <w:noBreakHyphen/>
        <w:t>month prevalence is the primary measure produced by the DISC-IV modules, and this aligned with what has been produced from other National Survey of Mental Health and Wellbeing initiative surveys</w:t>
      </w:r>
      <w:r w:rsidRPr="00C23C7F">
        <w:t>.</w:t>
      </w:r>
    </w:p>
    <w:p w:rsidR="00590512" w:rsidRDefault="00590512" w:rsidP="00590512">
      <w:pPr>
        <w:pStyle w:val="BodyText"/>
      </w:pPr>
      <w:r>
        <w:t>DISC-IV modules for seven disorders were included in the survey:</w:t>
      </w:r>
    </w:p>
    <w:p w:rsidR="00590512" w:rsidRDefault="00590512" w:rsidP="00590512">
      <w:pPr>
        <w:pStyle w:val="ListParagraph"/>
        <w:numPr>
          <w:ilvl w:val="0"/>
          <w:numId w:val="14"/>
        </w:numPr>
        <w:spacing w:after="120" w:line="240" w:lineRule="auto"/>
        <w:ind w:left="1003" w:hanging="357"/>
        <w:contextualSpacing w:val="0"/>
        <w:jc w:val="both"/>
      </w:pPr>
      <w:r>
        <w:t>Anxiety disorders:</w:t>
      </w:r>
    </w:p>
    <w:p w:rsidR="00590512" w:rsidRDefault="00590512" w:rsidP="00590512">
      <w:pPr>
        <w:pStyle w:val="ListParagraph2"/>
      </w:pPr>
      <w:r>
        <w:t>Social phobia;</w:t>
      </w:r>
    </w:p>
    <w:p w:rsidR="00590512" w:rsidRDefault="00590512" w:rsidP="00590512">
      <w:pPr>
        <w:pStyle w:val="ListParagraph2"/>
      </w:pPr>
      <w:r>
        <w:t>Separation anxiety disorder;</w:t>
      </w:r>
    </w:p>
    <w:p w:rsidR="00590512" w:rsidRDefault="00590512" w:rsidP="00590512">
      <w:pPr>
        <w:pStyle w:val="ListParagraph2"/>
      </w:pPr>
      <w:r>
        <w:t>Generalised anxiety disorder; and</w:t>
      </w:r>
    </w:p>
    <w:p w:rsidR="00590512" w:rsidRDefault="00590512" w:rsidP="00590512">
      <w:pPr>
        <w:pStyle w:val="ListParagraph2"/>
      </w:pPr>
      <w:r>
        <w:t>Obsessive-compulsive disorder;</w:t>
      </w:r>
    </w:p>
    <w:p w:rsidR="00590512" w:rsidRDefault="00590512" w:rsidP="00590512">
      <w:pPr>
        <w:pStyle w:val="ListParagraph"/>
        <w:numPr>
          <w:ilvl w:val="0"/>
          <w:numId w:val="14"/>
        </w:numPr>
        <w:spacing w:after="120" w:line="240" w:lineRule="auto"/>
        <w:ind w:left="1003" w:hanging="357"/>
        <w:contextualSpacing w:val="0"/>
        <w:jc w:val="both"/>
      </w:pPr>
      <w:r>
        <w:lastRenderedPageBreak/>
        <w:t>Major depressive disorder;</w:t>
      </w:r>
    </w:p>
    <w:p w:rsidR="00590512" w:rsidRDefault="00590512" w:rsidP="00590512">
      <w:pPr>
        <w:pStyle w:val="ListParagraph"/>
        <w:numPr>
          <w:ilvl w:val="0"/>
          <w:numId w:val="14"/>
        </w:numPr>
        <w:spacing w:after="120" w:line="240" w:lineRule="auto"/>
        <w:ind w:left="1003" w:hanging="357"/>
        <w:contextualSpacing w:val="0"/>
        <w:jc w:val="both"/>
      </w:pPr>
      <w:r>
        <w:t>Attention-Deficit/Hyperactivity Disorder (ADHD); and</w:t>
      </w:r>
    </w:p>
    <w:p w:rsidR="00590512" w:rsidRDefault="00590512" w:rsidP="00590512">
      <w:pPr>
        <w:pStyle w:val="ListParagraph"/>
        <w:numPr>
          <w:ilvl w:val="0"/>
          <w:numId w:val="14"/>
        </w:numPr>
        <w:spacing w:after="120" w:line="240" w:lineRule="auto"/>
        <w:ind w:left="1003" w:hanging="357"/>
        <w:contextualSpacing w:val="0"/>
        <w:jc w:val="both"/>
      </w:pPr>
      <w:r>
        <w:t>Conduct disorder.</w:t>
      </w:r>
    </w:p>
    <w:p w:rsidR="00590512" w:rsidRDefault="00590512" w:rsidP="00590512">
      <w:pPr>
        <w:pStyle w:val="BodyText"/>
      </w:pPr>
      <w:r>
        <w:t xml:space="preserve">In this report, the term </w:t>
      </w:r>
      <w:r w:rsidRPr="003E3B28">
        <w:rPr>
          <w:rStyle w:val="Emphasis"/>
        </w:rPr>
        <w:t>mental disorder</w:t>
      </w:r>
      <w:r>
        <w:t xml:space="preserve"> is used to refer to one or more of the seven disorders assessed using the DISC-IV. </w:t>
      </w:r>
    </w:p>
    <w:p w:rsidR="00590512" w:rsidRDefault="00590512" w:rsidP="00590512">
      <w:pPr>
        <w:pStyle w:val="BodyText"/>
      </w:pPr>
      <w:r>
        <w:t xml:space="preserve">The modules were completed by parents and carers in relation to their children’s symptoms and the impact of these over the previous 12 months, which gave </w:t>
      </w:r>
      <w:r w:rsidRPr="003E3B28">
        <w:rPr>
          <w:rStyle w:val="Emphasis"/>
        </w:rPr>
        <w:t>12-month prevalence</w:t>
      </w:r>
      <w:r>
        <w:t>.</w:t>
      </w:r>
    </w:p>
    <w:p w:rsidR="00590512" w:rsidRDefault="00590512" w:rsidP="00590512">
      <w:pPr>
        <w:pStyle w:val="BodyText"/>
      </w:pPr>
      <w:r>
        <w:t xml:space="preserve">Young people aged 11-17 years also completed the Major depressive disorder module in relation to their own symptoms and the impact of these in the previous 12 months. Where the prevalence or mental disorder status being reported is based on a diagnosis from information provided by young people themselves, as opposed to information from their parents and carers, this has been described as </w:t>
      </w:r>
      <w:r w:rsidRPr="003E3B28">
        <w:rPr>
          <w:rStyle w:val="Emphasis"/>
        </w:rPr>
        <w:t>major depressive disorder based on youth self-report</w:t>
      </w:r>
      <w:r>
        <w:t>.</w:t>
      </w:r>
    </w:p>
    <w:p w:rsidR="00590512" w:rsidRDefault="00590512" w:rsidP="00590512">
      <w:pPr>
        <w:pStyle w:val="Heading3"/>
      </w:pPr>
      <w:r w:rsidRPr="008A51CB">
        <w:t>Additional content to assess severity</w:t>
      </w:r>
    </w:p>
    <w:p w:rsidR="00590512" w:rsidRDefault="00590512" w:rsidP="00590512">
      <w:pPr>
        <w:pStyle w:val="BodyText"/>
        <w:rPr>
          <w:lang w:val="en-US"/>
        </w:rPr>
      </w:pPr>
      <w:r>
        <w:t xml:space="preserve">The DISC-IV assesses whether a child or adolescent has a particular mental disorder, but does not routinely measure the severity of the impact due to that disorder. Seventeen questions were included in the survey to assess the level of functional impairment of symptoms of mental disorders. These were designed to measure the impact of symptoms of mental disorders on the child or adolescent’s functioning at school or work, with friends, with their family and with respect to distress to the child or adolescent him or herself. </w:t>
      </w:r>
      <w:r w:rsidRPr="004E6B5C">
        <w:t xml:space="preserve"> A graded response model was used to create a composite impact on function score. This score was standardised with a range from -3.0 to +3.0 where higher scores represent increasing severity of impact on functioning.</w:t>
      </w:r>
    </w:p>
    <w:p w:rsidR="00590512" w:rsidRDefault="00590512" w:rsidP="00590512">
      <w:pPr>
        <w:pStyle w:val="BodyText"/>
        <w:rPr>
          <w:lang w:val="en-US"/>
        </w:rPr>
      </w:pPr>
      <w:r w:rsidRPr="004E6B5C">
        <w:t>Children and adolescents were classified into three levels of impact on functioning by applying the national mental health service planning standard ratio of severity for mental disorders to the standardised score (1:2:4 for severe, moderate and mild cases). In addition suicide plans or attempts in the past 12 months were considered. The three levels are:</w:t>
      </w:r>
    </w:p>
    <w:p w:rsidR="00590512" w:rsidRPr="00577497" w:rsidRDefault="00590512" w:rsidP="00590512">
      <w:pPr>
        <w:pStyle w:val="ListParagraph"/>
        <w:numPr>
          <w:ilvl w:val="0"/>
          <w:numId w:val="15"/>
        </w:numPr>
        <w:spacing w:after="120" w:line="240" w:lineRule="auto"/>
        <w:contextualSpacing w:val="0"/>
        <w:jc w:val="both"/>
      </w:pPr>
      <w:r w:rsidRPr="003E3B28">
        <w:rPr>
          <w:rStyle w:val="Emphasis"/>
        </w:rPr>
        <w:t>Severe:</w:t>
      </w:r>
      <w:r w:rsidRPr="00577497">
        <w:rPr>
          <w:i/>
        </w:rPr>
        <w:t xml:space="preserve"> </w:t>
      </w:r>
      <w:r w:rsidRPr="004E6B5C">
        <w:t>A positive diagnosis plus an impact score greater than or equal to 1.75 and/or a history of suicide attempt in the 12 months prior to interview</w:t>
      </w:r>
      <w:r w:rsidRPr="00577497">
        <w:t>;</w:t>
      </w:r>
    </w:p>
    <w:p w:rsidR="00590512" w:rsidRPr="00577497" w:rsidRDefault="00590512" w:rsidP="00590512">
      <w:pPr>
        <w:pStyle w:val="ListParagraph"/>
        <w:numPr>
          <w:ilvl w:val="0"/>
          <w:numId w:val="15"/>
        </w:numPr>
        <w:spacing w:after="120" w:line="240" w:lineRule="auto"/>
        <w:contextualSpacing w:val="0"/>
        <w:jc w:val="both"/>
      </w:pPr>
      <w:r w:rsidRPr="003E3B28">
        <w:rPr>
          <w:rStyle w:val="Emphasis"/>
        </w:rPr>
        <w:t>Moderate:</w:t>
      </w:r>
      <w:r w:rsidRPr="00577497">
        <w:rPr>
          <w:i/>
        </w:rPr>
        <w:t xml:space="preserve"> </w:t>
      </w:r>
      <w:r w:rsidRPr="004E6B5C">
        <w:t>A positive diagnosis plus an impact score greater than or equal to 0.95 or a history of suicide plans in the 12 months prior to interview</w:t>
      </w:r>
      <w:r w:rsidRPr="00577497">
        <w:t>; and</w:t>
      </w:r>
    </w:p>
    <w:p w:rsidR="00590512" w:rsidRPr="00577497" w:rsidRDefault="00590512" w:rsidP="00590512">
      <w:pPr>
        <w:pStyle w:val="ListParagraph"/>
        <w:numPr>
          <w:ilvl w:val="0"/>
          <w:numId w:val="15"/>
        </w:numPr>
        <w:spacing w:after="120" w:line="240" w:lineRule="auto"/>
        <w:contextualSpacing w:val="0"/>
        <w:jc w:val="both"/>
      </w:pPr>
      <w:r w:rsidRPr="003E3B28">
        <w:rPr>
          <w:rStyle w:val="Emphasis"/>
        </w:rPr>
        <w:t>Mild:</w:t>
      </w:r>
      <w:r w:rsidRPr="00577497">
        <w:rPr>
          <w:i/>
        </w:rPr>
        <w:t xml:space="preserve"> </w:t>
      </w:r>
      <w:r w:rsidRPr="00577497">
        <w:t>All other cases with a positive diagnosis.</w:t>
      </w:r>
    </w:p>
    <w:p w:rsidR="00590512" w:rsidRDefault="00590512" w:rsidP="00590512">
      <w:pPr>
        <w:pStyle w:val="Heading3"/>
      </w:pPr>
      <w:r w:rsidRPr="00460E0E">
        <w:t>Other measures of mental health problems</w:t>
      </w:r>
    </w:p>
    <w:p w:rsidR="00590512" w:rsidRDefault="00590512" w:rsidP="00590512">
      <w:pPr>
        <w:pStyle w:val="BodyText"/>
      </w:pPr>
      <w:r>
        <w:t>A variety of mental health problems were assessed as follows:</w:t>
      </w:r>
    </w:p>
    <w:p w:rsidR="00590512" w:rsidRPr="003E3B28" w:rsidRDefault="00590512" w:rsidP="00590512">
      <w:pPr>
        <w:pStyle w:val="ListParagraph"/>
        <w:numPr>
          <w:ilvl w:val="0"/>
          <w:numId w:val="15"/>
        </w:numPr>
        <w:spacing w:after="120" w:line="240" w:lineRule="auto"/>
        <w:contextualSpacing w:val="0"/>
        <w:jc w:val="both"/>
        <w:rPr>
          <w:rStyle w:val="Emphasis"/>
        </w:rPr>
      </w:pPr>
      <w:r w:rsidRPr="003E3B28">
        <w:rPr>
          <w:rStyle w:val="Emphasis"/>
        </w:rPr>
        <w:t>Oppositional problem behaviours</w:t>
      </w:r>
    </w:p>
    <w:p w:rsidR="00590512" w:rsidRPr="00C41FBC" w:rsidRDefault="00590512" w:rsidP="00590512">
      <w:pPr>
        <w:pStyle w:val="BodyText"/>
        <w:ind w:left="1003" w:hanging="357"/>
      </w:pPr>
      <w:r w:rsidRPr="00E62BF3">
        <w:tab/>
      </w:r>
      <w:r w:rsidRPr="00C41FBC">
        <w:t>Oppositional defiant disorder requires some clinical judgement in order to complete the diagnosis. This was not possible in the survey. However, oppositional problem behaviours were still assessed using the DISC-IV module for oppositional defiant disorder, but no formal diagnoses could be established.</w:t>
      </w:r>
    </w:p>
    <w:p w:rsidR="00590512" w:rsidRPr="003E3B28" w:rsidRDefault="00590512" w:rsidP="00590512">
      <w:pPr>
        <w:pStyle w:val="ListParagraph"/>
        <w:numPr>
          <w:ilvl w:val="0"/>
          <w:numId w:val="15"/>
        </w:numPr>
        <w:spacing w:after="120" w:line="240" w:lineRule="auto"/>
        <w:contextualSpacing w:val="0"/>
        <w:jc w:val="both"/>
        <w:rPr>
          <w:rStyle w:val="Emphasis"/>
        </w:rPr>
      </w:pPr>
      <w:r w:rsidRPr="003E3B28">
        <w:rPr>
          <w:rStyle w:val="Emphasis"/>
        </w:rPr>
        <w:lastRenderedPageBreak/>
        <w:t>Eating disorders</w:t>
      </w:r>
    </w:p>
    <w:p w:rsidR="00590512" w:rsidRPr="00C41FBC" w:rsidRDefault="00590512" w:rsidP="00590512">
      <w:pPr>
        <w:pStyle w:val="BodyText"/>
        <w:ind w:left="1003" w:hanging="357"/>
      </w:pPr>
      <w:r w:rsidRPr="00E62BF3">
        <w:tab/>
      </w:r>
      <w:r w:rsidRPr="00C41FBC">
        <w:t>Diagnostic modules for eating disorders were not included in the survey. Instead self-report Body Mass Index (BMI) was collected and questions were used to assess a broad range of behaviours that are indicative of eating-related problem behaviours.</w:t>
      </w:r>
    </w:p>
    <w:p w:rsidR="00590512" w:rsidRDefault="00590512" w:rsidP="00590512">
      <w:pPr>
        <w:pStyle w:val="ListParagraph"/>
        <w:numPr>
          <w:ilvl w:val="0"/>
          <w:numId w:val="15"/>
        </w:numPr>
        <w:spacing w:after="120" w:line="240" w:lineRule="auto"/>
        <w:contextualSpacing w:val="0"/>
        <w:jc w:val="both"/>
      </w:pPr>
      <w:r w:rsidRPr="003E3B28">
        <w:rPr>
          <w:rStyle w:val="Emphasis"/>
        </w:rPr>
        <w:t>Strengths and Difficulties Questionnaire (SDQ)</w:t>
      </w:r>
    </w:p>
    <w:p w:rsidR="00590512" w:rsidRPr="00C41FBC" w:rsidRDefault="00590512" w:rsidP="00590512">
      <w:pPr>
        <w:pStyle w:val="BodyText"/>
        <w:ind w:left="1003" w:hanging="357"/>
      </w:pPr>
      <w:r w:rsidRPr="00E62BF3">
        <w:tab/>
      </w:r>
      <w:r w:rsidRPr="00C41FBC">
        <w:t>The SDQ was included in the questionnaires for parents and carers and for young people. This measure is routinely used as a tool to assess young people receiving state/territory-administered specialised child and adolescent mental health services.</w:t>
      </w:r>
    </w:p>
    <w:p w:rsidR="00590512" w:rsidRPr="00C41FBC" w:rsidRDefault="00590512" w:rsidP="00590512">
      <w:pPr>
        <w:pStyle w:val="BodyText"/>
        <w:ind w:left="1003" w:hanging="357"/>
        <w:rPr>
          <w:spacing w:val="-1"/>
        </w:rPr>
      </w:pPr>
      <w:r w:rsidRPr="00C41FBC">
        <w:tab/>
      </w:r>
      <w:r w:rsidRPr="00C41FBC">
        <w:rPr>
          <w:spacing w:val="-1"/>
        </w:rPr>
        <w:t>The SDQ provides a</w:t>
      </w:r>
      <w:r w:rsidRPr="00C41FBC">
        <w:rPr>
          <w:spacing w:val="-1"/>
          <w:lang w:eastAsia="en-AU"/>
        </w:rPr>
        <w:t xml:space="preserve"> </w:t>
      </w:r>
      <w:r w:rsidRPr="00C41FBC">
        <w:rPr>
          <w:spacing w:val="-1"/>
        </w:rPr>
        <w:t xml:space="preserve">brief behavioural screening questionnaire comprised of five scales of five items each. </w:t>
      </w:r>
      <w:r w:rsidRPr="00C41FBC">
        <w:rPr>
          <w:spacing w:val="-1"/>
          <w:lang w:eastAsia="en-AU"/>
        </w:rPr>
        <w:t>Items in four of these scales, that is emotional problems, conduct problems, hyperactivity and peer problems, are added together to generate a total difficulties score. The SDQ was designed so that approximately 10% of children and adolescents fall into the ‘abnormal’ range on the total difficulties score, which indicates that they are at substantial risk of clinically significant problems. The SDQ also includes an impact scale that measures interference in life due to emotional and behavioural problems in the domains of home life, friendships, classroom learning and leisure activities.</w:t>
      </w:r>
    </w:p>
    <w:p w:rsidR="00590512" w:rsidRPr="003E3B28" w:rsidRDefault="00590512" w:rsidP="00590512">
      <w:pPr>
        <w:pStyle w:val="ListParagraph"/>
        <w:numPr>
          <w:ilvl w:val="0"/>
          <w:numId w:val="15"/>
        </w:numPr>
        <w:spacing w:after="120" w:line="240" w:lineRule="auto"/>
        <w:contextualSpacing w:val="0"/>
        <w:jc w:val="both"/>
        <w:rPr>
          <w:rStyle w:val="Emphasis"/>
        </w:rPr>
      </w:pPr>
      <w:r w:rsidRPr="003E3B28">
        <w:rPr>
          <w:rStyle w:val="Emphasis"/>
        </w:rPr>
        <w:t xml:space="preserve">Kessler 10 Psychological Distress Scale (K10+) </w:t>
      </w:r>
    </w:p>
    <w:p w:rsidR="00590512" w:rsidRPr="00C41FBC" w:rsidRDefault="00590512" w:rsidP="00590512">
      <w:pPr>
        <w:pStyle w:val="BodyText"/>
        <w:ind w:left="1003" w:hanging="357"/>
      </w:pPr>
      <w:r w:rsidRPr="00E62BF3">
        <w:tab/>
      </w:r>
      <w:r w:rsidRPr="00C41FBC">
        <w:t>An enhanced version of the K10+ with additional questions on anger, control, concentration and feeling calm and peaceful was completed by young people. This is a measure of psychological distress that has been shown to be highly correlated with the presence of depressive or anxiety disorders. The measure consists of the standard ten questions, together with four questions on days out of role and additional questions on anger, control, concentration and feeling calm or peaceful.</w:t>
      </w:r>
    </w:p>
    <w:p w:rsidR="00590512" w:rsidRPr="00C41FBC" w:rsidRDefault="00590512" w:rsidP="00590512">
      <w:pPr>
        <w:pStyle w:val="BodyText"/>
        <w:ind w:left="1003" w:hanging="357"/>
      </w:pPr>
      <w:r w:rsidRPr="00C41FBC">
        <w:tab/>
        <w:t>Scores are classified into four levels of psychological distress — low, moderate, high and very high distress.</w:t>
      </w:r>
    </w:p>
    <w:p w:rsidR="00590512" w:rsidRPr="005F1531" w:rsidRDefault="00590512" w:rsidP="00590512">
      <w:pPr>
        <w:pStyle w:val="ListParagraph"/>
        <w:numPr>
          <w:ilvl w:val="0"/>
          <w:numId w:val="15"/>
        </w:numPr>
        <w:spacing w:after="120" w:line="240" w:lineRule="auto"/>
        <w:contextualSpacing w:val="0"/>
        <w:jc w:val="both"/>
        <w:rPr>
          <w:rStyle w:val="Emphasis"/>
        </w:rPr>
      </w:pPr>
      <w:r w:rsidRPr="005F1531">
        <w:rPr>
          <w:rStyle w:val="Emphasis"/>
        </w:rPr>
        <w:t>Self esteem</w:t>
      </w:r>
    </w:p>
    <w:p w:rsidR="00590512" w:rsidRPr="00C41FBC" w:rsidRDefault="00590512" w:rsidP="00590512">
      <w:pPr>
        <w:pStyle w:val="BodyText"/>
        <w:ind w:left="1003" w:hanging="357"/>
      </w:pPr>
      <w:r w:rsidRPr="00E62BF3">
        <w:tab/>
      </w:r>
      <w:r w:rsidRPr="00C41FBC">
        <w:t>A set of 13 self-report questions were developed to measure the self-esteem of adolescents.</w:t>
      </w:r>
    </w:p>
    <w:p w:rsidR="00590512" w:rsidRPr="005F1531" w:rsidRDefault="00590512" w:rsidP="00590512">
      <w:pPr>
        <w:pStyle w:val="ListParagraph"/>
        <w:numPr>
          <w:ilvl w:val="0"/>
          <w:numId w:val="15"/>
        </w:numPr>
        <w:spacing w:after="120" w:line="240" w:lineRule="auto"/>
        <w:contextualSpacing w:val="0"/>
        <w:jc w:val="both"/>
        <w:rPr>
          <w:rStyle w:val="Emphasis"/>
        </w:rPr>
      </w:pPr>
      <w:r w:rsidRPr="005F1531">
        <w:rPr>
          <w:rStyle w:val="Emphasis"/>
        </w:rPr>
        <w:t>Bullying</w:t>
      </w:r>
    </w:p>
    <w:p w:rsidR="00590512" w:rsidRPr="00C41FBC" w:rsidRDefault="00590512" w:rsidP="00590512">
      <w:pPr>
        <w:pStyle w:val="BodyText"/>
        <w:ind w:left="1003" w:hanging="357"/>
      </w:pPr>
      <w:r w:rsidRPr="00E62BF3">
        <w:tab/>
      </w:r>
      <w:r w:rsidRPr="00C41FBC">
        <w:t xml:space="preserve">Questions on bullying were adapted from those used in the Cyber Friendly Schools Project. These covered its frequency and the level of distress it caused, as well as when the young person had been the perpetrator. </w:t>
      </w:r>
    </w:p>
    <w:p w:rsidR="00590512" w:rsidRDefault="00590512" w:rsidP="00590512">
      <w:pPr>
        <w:pStyle w:val="Heading3"/>
      </w:pPr>
      <w:r w:rsidRPr="00D66074">
        <w:t>Service use and perceived need for services</w:t>
      </w:r>
    </w:p>
    <w:p w:rsidR="00590512" w:rsidRDefault="00590512" w:rsidP="00590512">
      <w:pPr>
        <w:pStyle w:val="BodyText"/>
      </w:pPr>
      <w:r>
        <w:t xml:space="preserve">One of the main aims of the survey was to determine the use of services by children and adolescents to assist them with any mental health problems they may have. </w:t>
      </w:r>
    </w:p>
    <w:p w:rsidR="00590512" w:rsidRDefault="00590512" w:rsidP="00590512">
      <w:pPr>
        <w:pStyle w:val="BodyText"/>
      </w:pPr>
      <w:r>
        <w:t xml:space="preserve">The service use module was developed </w:t>
      </w:r>
      <w:r w:rsidRPr="00F606FF">
        <w:t>specifically for the survey, and tailored</w:t>
      </w:r>
      <w:r>
        <w:t xml:space="preserve"> both for use with young people and to the current Australian health care environment. </w:t>
      </w:r>
    </w:p>
    <w:p w:rsidR="00590512" w:rsidRDefault="00590512" w:rsidP="00590512">
      <w:pPr>
        <w:pStyle w:val="BodyText"/>
      </w:pPr>
      <w:proofErr w:type="gramStart"/>
      <w:r>
        <w:lastRenderedPageBreak/>
        <w:t>The term ‘for emotional or behavioural problems’ was used to capture service use for a broader range of mental health problems, not just by those with a mental disorder.</w:t>
      </w:r>
      <w:proofErr w:type="gramEnd"/>
      <w:r>
        <w:t xml:space="preserve"> The term was defined as meaning ‘a number of things, for example, being anxious or stressed, feeling depressed, having problems concentrating, or being aggressive or hyperactive’.</w:t>
      </w:r>
    </w:p>
    <w:p w:rsidR="00590512" w:rsidRDefault="00590512" w:rsidP="00590512">
      <w:pPr>
        <w:pStyle w:val="BodyText"/>
      </w:pPr>
      <w:r>
        <w:t>Information was collected for the previous 12 months about the following:</w:t>
      </w:r>
    </w:p>
    <w:p w:rsidR="00590512" w:rsidRPr="00AE1433" w:rsidRDefault="00590512" w:rsidP="00590512">
      <w:pPr>
        <w:pStyle w:val="ListParagraph"/>
        <w:numPr>
          <w:ilvl w:val="0"/>
          <w:numId w:val="14"/>
        </w:numPr>
        <w:spacing w:after="120" w:line="240" w:lineRule="auto"/>
        <w:ind w:left="1003" w:hanging="357"/>
        <w:contextualSpacing w:val="0"/>
        <w:jc w:val="both"/>
      </w:pPr>
      <w:r>
        <w:t>health services —</w:t>
      </w:r>
      <w:r w:rsidRPr="00AE1433">
        <w:t xml:space="preserve"> any service provided by a qualified health professional regardless of where that service was provided (community, hospital inpatient and emergency, and private rooms);</w:t>
      </w:r>
    </w:p>
    <w:p w:rsidR="00590512" w:rsidRPr="00AE1433" w:rsidRDefault="00590512" w:rsidP="00590512">
      <w:pPr>
        <w:pStyle w:val="ListParagraph"/>
        <w:numPr>
          <w:ilvl w:val="0"/>
          <w:numId w:val="14"/>
        </w:numPr>
        <w:spacing w:after="120" w:line="240" w:lineRule="auto"/>
        <w:ind w:left="1003" w:hanging="357"/>
        <w:contextualSpacing w:val="0"/>
        <w:jc w:val="both"/>
      </w:pPr>
      <w:r>
        <w:t>school services —</w:t>
      </w:r>
      <w:r w:rsidRPr="00AE1433">
        <w:t xml:space="preserve"> any service provided by the school or other educational institution that a young person was attending</w:t>
      </w:r>
      <w:r>
        <w:t>, including individual or group counselling, a special class or school, or service provided by a school nurse</w:t>
      </w:r>
      <w:r w:rsidRPr="00AE1433">
        <w:t xml:space="preserve">; </w:t>
      </w:r>
    </w:p>
    <w:p w:rsidR="00590512" w:rsidRPr="00D66074" w:rsidRDefault="00590512" w:rsidP="00590512">
      <w:pPr>
        <w:pStyle w:val="ListParagraph"/>
        <w:numPr>
          <w:ilvl w:val="0"/>
          <w:numId w:val="14"/>
        </w:numPr>
        <w:spacing w:after="120" w:line="240" w:lineRule="auto"/>
        <w:ind w:left="1003" w:hanging="357"/>
        <w:contextualSpacing w:val="0"/>
        <w:jc w:val="both"/>
      </w:pPr>
      <w:r w:rsidRPr="00D66074">
        <w:t>telephone counselling services; and</w:t>
      </w:r>
    </w:p>
    <w:p w:rsidR="00590512" w:rsidRDefault="00590512" w:rsidP="00590512">
      <w:pPr>
        <w:pStyle w:val="ListParagraph"/>
        <w:numPr>
          <w:ilvl w:val="0"/>
          <w:numId w:val="14"/>
        </w:numPr>
        <w:spacing w:after="120" w:line="240" w:lineRule="auto"/>
        <w:ind w:left="1003" w:hanging="357"/>
        <w:contextualSpacing w:val="0"/>
        <w:jc w:val="both"/>
      </w:pPr>
      <w:proofErr w:type="gramStart"/>
      <w:r>
        <w:t>other</w:t>
      </w:r>
      <w:proofErr w:type="gramEnd"/>
      <w:r>
        <w:t xml:space="preserve"> </w:t>
      </w:r>
      <w:r w:rsidRPr="00AE1433">
        <w:t>online services</w:t>
      </w:r>
      <w:r>
        <w:t xml:space="preserve"> used for emotional and behavioural problems.</w:t>
      </w:r>
    </w:p>
    <w:p w:rsidR="00590512" w:rsidRDefault="00590512" w:rsidP="00590512">
      <w:pPr>
        <w:pStyle w:val="BodyText"/>
      </w:pPr>
      <w:r w:rsidRPr="0007462D">
        <w:t>Perceived need for help was assessed in three ways as follows:</w:t>
      </w:r>
    </w:p>
    <w:p w:rsidR="00590512" w:rsidRPr="00D66074" w:rsidRDefault="00590512" w:rsidP="00590512">
      <w:pPr>
        <w:pStyle w:val="ListParagraph"/>
        <w:numPr>
          <w:ilvl w:val="0"/>
          <w:numId w:val="14"/>
        </w:numPr>
        <w:spacing w:after="120" w:line="240" w:lineRule="auto"/>
        <w:ind w:left="1003" w:hanging="357"/>
        <w:contextualSpacing w:val="0"/>
        <w:jc w:val="both"/>
      </w:pPr>
      <w:r>
        <w:t>P</w:t>
      </w:r>
      <w:r w:rsidRPr="00D66074">
        <w:t xml:space="preserve">arents and carers </w:t>
      </w:r>
      <w:r>
        <w:t xml:space="preserve">were asked if they </w:t>
      </w:r>
      <w:r w:rsidRPr="00D66074">
        <w:t xml:space="preserve">felt that their children needed any help with emotional or behavioural problems. If so, they were then asked whether their needs had been fully or partially met by the services they received, or were not met. When needs were not fully met information was collected on the barriers to seeking help or receiving more of the help they felt their children needed. </w:t>
      </w:r>
    </w:p>
    <w:p w:rsidR="00590512" w:rsidRDefault="00590512" w:rsidP="00590512">
      <w:pPr>
        <w:pStyle w:val="ListParagraph"/>
        <w:numPr>
          <w:ilvl w:val="0"/>
          <w:numId w:val="14"/>
        </w:numPr>
        <w:spacing w:after="120" w:line="240" w:lineRule="auto"/>
        <w:ind w:left="1003" w:hanging="357"/>
        <w:contextualSpacing w:val="0"/>
        <w:jc w:val="both"/>
      </w:pPr>
      <w:r w:rsidRPr="00D66074">
        <w:t>Young people were directly asked the same set of questions about their own needs and any barriers to them</w:t>
      </w:r>
      <w:r>
        <w:t xml:space="preserve"> seeking help or receiving more help if they felt they needed it.</w:t>
      </w:r>
    </w:p>
    <w:p w:rsidR="00590512" w:rsidRDefault="00590512" w:rsidP="00590512">
      <w:pPr>
        <w:pStyle w:val="ListParagraph"/>
        <w:numPr>
          <w:ilvl w:val="0"/>
          <w:numId w:val="14"/>
        </w:numPr>
        <w:spacing w:after="120" w:line="240" w:lineRule="auto"/>
        <w:ind w:left="1003" w:hanging="357"/>
        <w:contextualSpacing w:val="0"/>
        <w:jc w:val="both"/>
      </w:pPr>
      <w:r>
        <w:t>Parents and carers were also asked about the services they had received and their need for help for themselves and/or other family members to deal with the emotional and behavioural problems affecting their children.</w:t>
      </w:r>
    </w:p>
    <w:p w:rsidR="00590512" w:rsidRPr="009B1047" w:rsidRDefault="00590512" w:rsidP="00590512">
      <w:pPr>
        <w:pStyle w:val="BodyText"/>
      </w:pPr>
      <w:r>
        <w:t>All information on service use and perceived need was collected for the previous 12 months and restricted to ‘services for emotional or behavioural problems’.</w:t>
      </w:r>
    </w:p>
    <w:p w:rsidR="00590512" w:rsidRDefault="00590512" w:rsidP="00590512">
      <w:pPr>
        <w:pStyle w:val="Heading2"/>
        <w:numPr>
          <w:ilvl w:val="0"/>
          <w:numId w:val="16"/>
        </w:numPr>
      </w:pPr>
      <w:r>
        <w:t>Data issues</w:t>
      </w:r>
    </w:p>
    <w:p w:rsidR="00590512" w:rsidRDefault="00590512" w:rsidP="00590512">
      <w:pPr>
        <w:pStyle w:val="Heading3"/>
      </w:pPr>
      <w:r w:rsidRPr="00E46141">
        <w:t>Response rate</w:t>
      </w:r>
    </w:p>
    <w:p w:rsidR="00590512" w:rsidRPr="001126D5" w:rsidRDefault="00590512" w:rsidP="00590512">
      <w:pPr>
        <w:pStyle w:val="BodyText"/>
      </w:pPr>
      <w:r>
        <w:t>In total 6,310 parents and carers or 55% of eligible households participated in the survey. In addition 2,967 or 89% of young people aged 11-17 years for whom their parents or carers had given permission completed a questionnaire.</w:t>
      </w:r>
    </w:p>
    <w:p w:rsidR="00590512" w:rsidRDefault="00590512" w:rsidP="00590512">
      <w:pPr>
        <w:pStyle w:val="BodyText"/>
      </w:pPr>
      <w:r>
        <w:t xml:space="preserve">Based on data from the 2011 Census, about one in four Australian households contain one or more children aged 4-17 years. In calculating the response rate for the survey, it is necessary to account for the fact that not all households approached in the survey contained children within the sample age range. Interviewers approached each selected household at different times. However, there remained some households where it was not possible to make contact with anyone living in the household despite these attempts. Census data have been used to estimate the proportion of these households that would be likely to have contained children aged 4-17 years. </w:t>
      </w:r>
    </w:p>
    <w:p w:rsidR="00590512" w:rsidRDefault="00590512" w:rsidP="00590512">
      <w:pPr>
        <w:pStyle w:val="BodyText"/>
      </w:pPr>
      <w:r>
        <w:lastRenderedPageBreak/>
        <w:t>The survey was voluntary and some households refused to participate. When a householder refused to participate in the actual survey, the interviewer tried to obtain some basic demographic information, in particular whether there were any children living there. About two thirds of refusing householders would not provide this basic information. Again Census data have been used to estimate the proportion of these households that would have contained children aged 4-17 years.</w:t>
      </w:r>
    </w:p>
    <w:p w:rsidR="00590512" w:rsidRPr="002A2422" w:rsidRDefault="00590512" w:rsidP="00590512">
      <w:pPr>
        <w:pStyle w:val="BodyText"/>
        <w:rPr>
          <w:spacing w:val="-1"/>
        </w:rPr>
      </w:pPr>
      <w:r w:rsidRPr="002A2422">
        <w:rPr>
          <w:spacing w:val="-1"/>
        </w:rPr>
        <w:t>The estimated number of non-contacts and refusals where eligibility could not be determined were added to the number of participants and the number of refusals who confirmed they had one or more children in order to estimate the overall response rate. Using this method, the overall response rate for the survey was estimated to be 55%. It is acknowledged that the inclusion of households where it was not possible to make contact makes this a strict, conservative estimate of the overall response rate. If this group of households is excluded from the estimate, the overall response rate increases to 60%.</w:t>
      </w:r>
    </w:p>
    <w:p w:rsidR="00590512" w:rsidRDefault="00590512" w:rsidP="00590512">
      <w:pPr>
        <w:pStyle w:val="Heading3"/>
      </w:pPr>
      <w:r>
        <w:t>Sample representativeness</w:t>
      </w:r>
    </w:p>
    <w:p w:rsidR="00590512" w:rsidRDefault="00590512" w:rsidP="00590512">
      <w:pPr>
        <w:pStyle w:val="BodyText"/>
      </w:pPr>
      <w:r>
        <w:t xml:space="preserve">Several approaches were used to assess how representative the sample was of children and adolescents in the Australian population. </w:t>
      </w:r>
    </w:p>
    <w:p w:rsidR="00590512" w:rsidRDefault="00590512" w:rsidP="00590512">
      <w:pPr>
        <w:pStyle w:val="BodyText"/>
      </w:pPr>
      <w:r>
        <w:t>Firstly, the demographic characteristics of children, adolescents and families who participated in the survey were compared with those of the total population of Australian families with children aged 4</w:t>
      </w:r>
      <w:r>
        <w:noBreakHyphen/>
        <w:t xml:space="preserve">17 years. The survey included a number of questions that matched questions in the 2011 Census. This enabled a comparison to be made between </w:t>
      </w:r>
      <w:r w:rsidRPr="002610D2">
        <w:t>the survey sample</w:t>
      </w:r>
      <w:r>
        <w:t xml:space="preserve"> and the Census figures based on the age and sex of the child, family structure, parental education, income and employment, housing tenure and country of birth of both children and adolescents and their parents and carers.</w:t>
      </w:r>
    </w:p>
    <w:p w:rsidR="00590512" w:rsidRDefault="00590512" w:rsidP="00590512">
      <w:pPr>
        <w:pStyle w:val="BodyText"/>
      </w:pPr>
      <w:r>
        <w:t>Secondly, response rates were calculated for each individual SA1 area. Statistical models were then used to test for differences in response rates by characteristics of the area, including the Socio</w:t>
      </w:r>
      <w:r>
        <w:noBreakHyphen/>
        <w:t xml:space="preserve">Economic Indexes for each area, remoteness, state and part of state, and a range of census-derived measures, including </w:t>
      </w:r>
      <w:r w:rsidRPr="007F5ECC">
        <w:t>proportion of overseas born, proportion of people speaking languages other than English, proportion with limited proficiency in English, proportion of sole parent families, proportion of families with low household income, highest level of schooling completed, and proportion of households living in rented accommodation.</w:t>
      </w:r>
    </w:p>
    <w:p w:rsidR="00590512" w:rsidRDefault="00590512" w:rsidP="00590512">
      <w:pPr>
        <w:pStyle w:val="BodyText"/>
      </w:pPr>
      <w:r w:rsidRPr="00775A18">
        <w:t xml:space="preserve">Finally, the survey included the Strengths and Difficulties Questionnaire (SDQ), which is used internationally to measure mental health problems in children and adolescents. The SDQ </w:t>
      </w:r>
      <w:r w:rsidRPr="00775A18">
        <w:rPr>
          <w:lang w:eastAsia="en-AU"/>
        </w:rPr>
        <w:t>is designed so that approximately 10% of children and adolescents fall into the ‘abnormal’ range on the total difficulties score. A</w:t>
      </w:r>
      <w:r w:rsidRPr="00775A18">
        <w:t xml:space="preserve">nalysis of the data revealed that 10.1% of young people in the second survey did so. In addition, the SDQ results on the various scales were compared with those from another national survey, the 2004 British Child and Adolescent Mental Health Survey. The distribution of the parent and carer reported SDQ scores </w:t>
      </w:r>
      <w:proofErr w:type="gramStart"/>
      <w:r w:rsidRPr="00775A18">
        <w:t>was</w:t>
      </w:r>
      <w:proofErr w:type="gramEnd"/>
      <w:r w:rsidRPr="00775A18">
        <w:t xml:space="preserve"> found to very closely match those from the British survey.</w:t>
      </w:r>
    </w:p>
    <w:p w:rsidR="00590512" w:rsidRDefault="00590512" w:rsidP="00590512">
      <w:pPr>
        <w:pStyle w:val="BodyText"/>
      </w:pPr>
      <w:r>
        <w:t>Only two of all the factors examined were found to be associated with participation in the survey:</w:t>
      </w:r>
    </w:p>
    <w:p w:rsidR="00590512" w:rsidRPr="00E44637" w:rsidRDefault="00590512" w:rsidP="00590512">
      <w:pPr>
        <w:pStyle w:val="ListParagraph"/>
        <w:numPr>
          <w:ilvl w:val="0"/>
          <w:numId w:val="14"/>
        </w:numPr>
        <w:spacing w:after="120" w:line="240" w:lineRule="auto"/>
        <w:ind w:left="1003" w:hanging="357"/>
        <w:contextualSpacing w:val="0"/>
        <w:jc w:val="both"/>
      </w:pPr>
      <w:r w:rsidRPr="00E44637">
        <w:t>age of the child — participation was higher among families with children under 7 years; and</w:t>
      </w:r>
    </w:p>
    <w:p w:rsidR="00590512" w:rsidRPr="00577497" w:rsidRDefault="00590512" w:rsidP="00590512">
      <w:pPr>
        <w:pStyle w:val="ListParagraph"/>
        <w:numPr>
          <w:ilvl w:val="0"/>
          <w:numId w:val="14"/>
        </w:numPr>
        <w:spacing w:after="120" w:line="240" w:lineRule="auto"/>
        <w:ind w:left="1003" w:hanging="357"/>
        <w:contextualSpacing w:val="0"/>
        <w:jc w:val="both"/>
      </w:pPr>
      <w:proofErr w:type="gramStart"/>
      <w:r w:rsidRPr="0021271A">
        <w:t>number</w:t>
      </w:r>
      <w:proofErr w:type="gramEnd"/>
      <w:r w:rsidRPr="0021271A">
        <w:t xml:space="preserve"> of children in the family — participation was higher among families with two or</w:t>
      </w:r>
      <w:r w:rsidRPr="00577497">
        <w:t xml:space="preserve"> more children</w:t>
      </w:r>
      <w:r>
        <w:t>.</w:t>
      </w:r>
    </w:p>
    <w:p w:rsidR="00590512" w:rsidRDefault="00590512" w:rsidP="00590512">
      <w:pPr>
        <w:pStyle w:val="BodyText"/>
      </w:pPr>
      <w:r>
        <w:lastRenderedPageBreak/>
        <w:t xml:space="preserve">Survey data were weighted, based on information from the 2011 Census, to account for these patterns of participation in the survey. </w:t>
      </w:r>
    </w:p>
    <w:p w:rsidR="00590512" w:rsidRDefault="00590512" w:rsidP="00590512">
      <w:pPr>
        <w:pStyle w:val="BodyText"/>
      </w:pPr>
      <w:r>
        <w:t>The survey sample was representative of the population for all other demographic characteristics considered.</w:t>
      </w:r>
    </w:p>
    <w:p w:rsidR="00590512" w:rsidRDefault="00590512" w:rsidP="00590512">
      <w:pPr>
        <w:pStyle w:val="Heading3"/>
      </w:pPr>
      <w:r w:rsidRPr="00DC370C">
        <w:t>Data validation and</w:t>
      </w:r>
      <w:r>
        <w:t xml:space="preserve"> coding</w:t>
      </w:r>
    </w:p>
    <w:p w:rsidR="00590512" w:rsidRPr="008F6EEC" w:rsidRDefault="00590512" w:rsidP="00590512">
      <w:pPr>
        <w:pStyle w:val="BodyText"/>
      </w:pPr>
      <w:r w:rsidRPr="008F6EEC">
        <w:t xml:space="preserve">Data </w:t>
      </w:r>
      <w:r>
        <w:t>were</w:t>
      </w:r>
      <w:r w:rsidRPr="008F6EEC">
        <w:t xml:space="preserve"> collected for the survey using computer assisted interviewing</w:t>
      </w:r>
      <w:r>
        <w:t>. This</w:t>
      </w:r>
      <w:r w:rsidRPr="008F6EEC">
        <w:t xml:space="preserve"> ensures that questions were asked in the correct sequence, o</w:t>
      </w:r>
      <w:r>
        <w:t>nly valid answers were recorded,</w:t>
      </w:r>
      <w:r w:rsidRPr="008F6EEC">
        <w:t xml:space="preserve"> and that questions could not be inadvertently skipped</w:t>
      </w:r>
      <w:r>
        <w:t xml:space="preserve"> and no answers recorded</w:t>
      </w:r>
      <w:r w:rsidRPr="008F6EEC">
        <w:t xml:space="preserve">. Logic checks were programmed into the questionnaire to ensure that logically inconsistent answers could not be recorded. After data collection, a data editing phase was undertaken to check for any unusual values </w:t>
      </w:r>
      <w:r>
        <w:t xml:space="preserve">indicating </w:t>
      </w:r>
      <w:r w:rsidRPr="008F6EEC">
        <w:t>possible data entry errors</w:t>
      </w:r>
      <w:r>
        <w:t>.</w:t>
      </w:r>
    </w:p>
    <w:p w:rsidR="00590512" w:rsidRPr="006969EC" w:rsidRDefault="00590512" w:rsidP="00590512">
      <w:pPr>
        <w:pStyle w:val="BodyText"/>
      </w:pPr>
      <w:r>
        <w:t>Participant</w:t>
      </w:r>
      <w:r w:rsidRPr="008F6EEC">
        <w:t xml:space="preserve">s </w:t>
      </w:r>
      <w:r>
        <w:t>had the option of answering ‘don’t know’ in some questions</w:t>
      </w:r>
      <w:r w:rsidRPr="008F6EEC">
        <w:t xml:space="preserve"> </w:t>
      </w:r>
      <w:r>
        <w:t xml:space="preserve">and they </w:t>
      </w:r>
      <w:r w:rsidRPr="008F6EEC">
        <w:t xml:space="preserve">could refuse to answer any question in the survey. </w:t>
      </w:r>
      <w:r>
        <w:t>These responses were treated differently depending upon the section of the survey:</w:t>
      </w:r>
    </w:p>
    <w:p w:rsidR="00590512" w:rsidRDefault="00590512" w:rsidP="00590512">
      <w:pPr>
        <w:pStyle w:val="ListParagraph"/>
        <w:numPr>
          <w:ilvl w:val="0"/>
          <w:numId w:val="14"/>
        </w:numPr>
        <w:spacing w:after="120" w:line="240" w:lineRule="auto"/>
        <w:ind w:left="1003" w:hanging="357"/>
        <w:contextualSpacing w:val="0"/>
        <w:jc w:val="both"/>
      </w:pPr>
      <w:r w:rsidRPr="006969EC">
        <w:t>According to the international standard for scoring the DISC</w:t>
      </w:r>
      <w:r w:rsidRPr="006969EC">
        <w:noBreakHyphen/>
        <w:t>IV</w:t>
      </w:r>
      <w:r>
        <w:t>,</w:t>
      </w:r>
      <w:r w:rsidRPr="006969EC">
        <w:t xml:space="preserve"> responses recorded as ‘don’t know’ or ‘refused’ were treated as ‘no’ responses for all of the symptom questions within the DISC</w:t>
      </w:r>
      <w:r w:rsidRPr="006969EC">
        <w:noBreakHyphen/>
        <w:t xml:space="preserve">IV diagnostic modules. </w:t>
      </w:r>
    </w:p>
    <w:p w:rsidR="00590512" w:rsidRPr="009B0CA8" w:rsidRDefault="00590512" w:rsidP="00590512">
      <w:pPr>
        <w:pStyle w:val="ListParagraph"/>
        <w:numPr>
          <w:ilvl w:val="0"/>
          <w:numId w:val="14"/>
        </w:numPr>
        <w:spacing w:after="120" w:line="240" w:lineRule="auto"/>
        <w:ind w:left="1003" w:hanging="357"/>
        <w:contextualSpacing w:val="0"/>
        <w:jc w:val="both"/>
      </w:pPr>
      <w:r w:rsidRPr="009B0CA8">
        <w:t>‘Don’t know’ is not a valid response and refusals are not allowed in response to any questions in the SDQ.</w:t>
      </w:r>
      <w:r>
        <w:t xml:space="preserve"> If following additional prompts no response was given, the answer was recorded as the child not having any difficulties in that area.</w:t>
      </w:r>
    </w:p>
    <w:p w:rsidR="00590512" w:rsidRDefault="00590512" w:rsidP="00590512">
      <w:pPr>
        <w:pStyle w:val="ListParagraph"/>
        <w:numPr>
          <w:ilvl w:val="0"/>
          <w:numId w:val="14"/>
        </w:numPr>
        <w:spacing w:after="120" w:line="240" w:lineRule="auto"/>
        <w:ind w:left="1003" w:hanging="357"/>
        <w:contextualSpacing w:val="0"/>
        <w:jc w:val="both"/>
      </w:pPr>
      <w:r>
        <w:t xml:space="preserve">Responses of ‘don’t know’ and refusals to answer questions dealing with </w:t>
      </w:r>
      <w:r w:rsidRPr="006969EC">
        <w:t xml:space="preserve">demographic and socio-economic measures were </w:t>
      </w:r>
      <w:r>
        <w:t xml:space="preserve">recorded as such, but not </w:t>
      </w:r>
      <w:r w:rsidRPr="006969EC">
        <w:t>present</w:t>
      </w:r>
      <w:r>
        <w:t>ed</w:t>
      </w:r>
      <w:r w:rsidRPr="006969EC">
        <w:t xml:space="preserve"> in </w:t>
      </w:r>
      <w:r>
        <w:t xml:space="preserve">the tables in </w:t>
      </w:r>
      <w:r w:rsidRPr="006969EC">
        <w:t>this publication.</w:t>
      </w:r>
    </w:p>
    <w:p w:rsidR="00590512" w:rsidRPr="002A2422" w:rsidRDefault="00590512" w:rsidP="00590512">
      <w:pPr>
        <w:pStyle w:val="ListParagraph"/>
        <w:numPr>
          <w:ilvl w:val="0"/>
          <w:numId w:val="14"/>
        </w:numPr>
        <w:spacing w:after="120" w:line="240" w:lineRule="auto"/>
        <w:ind w:left="1003" w:hanging="357"/>
        <w:contextualSpacing w:val="0"/>
        <w:jc w:val="both"/>
      </w:pPr>
      <w:r w:rsidRPr="002A2422">
        <w:t>For other questions ‘don’t know’ and ‘refused’ were also treated as ‘no’ responses, except when the question was a rating, such as for school performance, or a count, such as the number of times a service was used. In these cases ‘don’t know’ and ‘refused’ were treated as missing data and excluded from the counts when presenting data in this publication. In some cases where the proportion of ‘don’t know’ responses is particularly high, such as with parent and carer-reported use of online services for help-seeking, this is noted in the text.</w:t>
      </w:r>
    </w:p>
    <w:p w:rsidR="00590512" w:rsidRPr="00155DD5" w:rsidRDefault="00590512" w:rsidP="00590512">
      <w:pPr>
        <w:pStyle w:val="BodyText"/>
      </w:pPr>
      <w:r w:rsidRPr="00155DD5">
        <w:t xml:space="preserve">There was a negligible amount of missing data for </w:t>
      </w:r>
      <w:r>
        <w:t xml:space="preserve">most </w:t>
      </w:r>
      <w:r w:rsidRPr="00155DD5">
        <w:t>data items in the parent</w:t>
      </w:r>
      <w:r>
        <w:t xml:space="preserve"> and carer</w:t>
      </w:r>
      <w:r w:rsidRPr="00155DD5">
        <w:t xml:space="preserve"> questionnaire. The main exception was in relation to household income, which had the largest proportion of missing values, with approximately 4% of families either responding ‘don’t know’ or </w:t>
      </w:r>
      <w:r>
        <w:t xml:space="preserve">refusing to </w:t>
      </w:r>
      <w:r w:rsidRPr="00155DD5">
        <w:t>provid</w:t>
      </w:r>
      <w:r>
        <w:t>e</w:t>
      </w:r>
      <w:r w:rsidRPr="00155DD5">
        <w:t xml:space="preserve"> their household income.</w:t>
      </w:r>
    </w:p>
    <w:p w:rsidR="00590512" w:rsidRDefault="00590512" w:rsidP="00590512">
      <w:pPr>
        <w:pStyle w:val="BodyText"/>
      </w:pPr>
      <w:r w:rsidRPr="0069637C">
        <w:t>There was a negligible amount of missing data for most items in the youth self-report questionnaire, particularly as participants were mostly not given an option to respond with ‘don’t know’ or to refuse to answer a question. The main exception</w:t>
      </w:r>
      <w:r>
        <w:t>s</w:t>
      </w:r>
      <w:r w:rsidRPr="0069637C">
        <w:t xml:space="preserve"> w</w:t>
      </w:r>
      <w:r>
        <w:t>ere</w:t>
      </w:r>
      <w:r w:rsidRPr="0069637C">
        <w:t xml:space="preserve"> in relation to the questions on self</w:t>
      </w:r>
      <w:r w:rsidRPr="0069637C">
        <w:noBreakHyphen/>
        <w:t>harm and suicidal behaviours, for which participants were given the option of responding ‘prefer not to say’</w:t>
      </w:r>
      <w:r>
        <w:t xml:space="preserve">, and for height and weight. Young people who did not provide either their height or weight were excluded from analyses relating to Body Mass Index (BMI) and also low weight problem eating behaviour and binge eating or purging problem eating behaviour both of which include BMI status as part of the definition. There was no evidence that the individual eating behaviours that form part of </w:t>
      </w:r>
      <w:r>
        <w:lastRenderedPageBreak/>
        <w:t xml:space="preserve">the definition of these problem eating behaviours occurred any more or less frequently in young people who reported their height and weight compared with those who did not. </w:t>
      </w:r>
    </w:p>
    <w:p w:rsidR="00590512" w:rsidRDefault="00590512" w:rsidP="00590512">
      <w:pPr>
        <w:pStyle w:val="BodyText"/>
      </w:pPr>
      <w:r>
        <w:t>There were no open questions requiring data entry and no responses required clinical judgement.</w:t>
      </w:r>
    </w:p>
    <w:p w:rsidR="00590512" w:rsidRPr="008F6EEC" w:rsidRDefault="00590512" w:rsidP="00590512">
      <w:pPr>
        <w:pStyle w:val="BodyText"/>
      </w:pPr>
      <w:r>
        <w:t>Where cell sizes were less than five, these were suppressed when presenting data in the tables in this publication to ensure confidentiality.</w:t>
      </w:r>
    </w:p>
    <w:p w:rsidR="00590512" w:rsidRDefault="00590512" w:rsidP="00590512">
      <w:pPr>
        <w:pStyle w:val="Heading3"/>
      </w:pPr>
      <w:r w:rsidRPr="00DC370C">
        <w:t>Accuracy of estimates</w:t>
      </w:r>
    </w:p>
    <w:p w:rsidR="00590512" w:rsidRDefault="00590512" w:rsidP="00590512">
      <w:pPr>
        <w:pStyle w:val="BodyText"/>
      </w:pPr>
      <w:r>
        <w:t>Confidence intervals demonstrate the level of accuracy achieved by the survey. A 95% confidence interval has been calculated for every estimate included in this publication and only significant differences in the results noted in the text. Similarly, when numbers were relatively small and apparent differences are more likely to be due to chance alone, this is noted.</w:t>
      </w:r>
    </w:p>
    <w:p w:rsidR="00590512" w:rsidRDefault="00590512" w:rsidP="00590512">
      <w:pPr>
        <w:pStyle w:val="BodyText"/>
      </w:pPr>
      <w:r>
        <w:t>Two age groups, 4-11 years and 12-17 years, were used throughout the report. The prevalence of mental disorders in children and adolescents for these two age groups and the 95% confidence intervals for these data are presented below (</w:t>
      </w:r>
      <w:r>
        <w:fldChar w:fldCharType="begin"/>
      </w:r>
      <w:r>
        <w:instrText xml:space="preserve"> REF _Ref404679375 \h  \* MERGEFORMAT </w:instrText>
      </w:r>
      <w:r>
        <w:fldChar w:fldCharType="separate"/>
      </w:r>
      <w:r w:rsidR="005C4F80">
        <w:t>Table A-1</w:t>
      </w:r>
      <w:r>
        <w:fldChar w:fldCharType="end"/>
      </w:r>
      <w:r>
        <w:t xml:space="preserve">). </w:t>
      </w:r>
    </w:p>
    <w:p w:rsidR="00590512" w:rsidRDefault="00590512" w:rsidP="00590512">
      <w:pPr>
        <w:pStyle w:val="BodyText"/>
      </w:pPr>
      <w:r>
        <w:t>Data with the 95% confidence intervals for the prevalence of mental disorders in all children and adolescents broken into four age groups are also provided below (</w:t>
      </w:r>
      <w:r>
        <w:fldChar w:fldCharType="begin"/>
      </w:r>
      <w:r>
        <w:instrText xml:space="preserve"> REF _Ref403402469 \h  \* MERGEFORMAT </w:instrText>
      </w:r>
      <w:r>
        <w:fldChar w:fldCharType="separate"/>
      </w:r>
      <w:r w:rsidR="005C4F80">
        <w:t>Table A-2</w:t>
      </w:r>
      <w:r>
        <w:fldChar w:fldCharType="end"/>
      </w:r>
      <w:r>
        <w:t>). These indicate that further examination of subgroups or disaggregation for single years of age cannot be undertaken with reasonable accuracy.</w:t>
      </w:r>
    </w:p>
    <w:p w:rsidR="00590512" w:rsidRDefault="00590512" w:rsidP="00590512">
      <w:pPr>
        <w:pStyle w:val="Caption"/>
        <w:keepNext/>
        <w:keepLines/>
      </w:pPr>
      <w:bookmarkStart w:id="282" w:name="_Ref404679375"/>
      <w:r>
        <w:t>Table A-</w:t>
      </w:r>
      <w:fldSimple w:instr=" SEQ Table_A- \* ARABIC ">
        <w:r w:rsidR="005C4F80">
          <w:rPr>
            <w:noProof/>
          </w:rPr>
          <w:t>1</w:t>
        </w:r>
      </w:fldSimple>
      <w:bookmarkEnd w:id="282"/>
      <w:r>
        <w:t xml:space="preserve">: </w:t>
      </w:r>
      <w:r w:rsidRPr="007C79B6">
        <w:t xml:space="preserve">12-month prevalence of mental disorders among 4-17 year-olds by </w:t>
      </w:r>
      <w:r>
        <w:t xml:space="preserve">two </w:t>
      </w:r>
      <w:r w:rsidRPr="007C79B6">
        <w:t>age group</w:t>
      </w:r>
      <w:r>
        <w:t>s with 95% confidence intervals</w:t>
      </w:r>
    </w:p>
    <w:tbl>
      <w:tblPr>
        <w:tblW w:w="9130" w:type="dxa"/>
        <w:jc w:val="center"/>
        <w:tblLayout w:type="fixed"/>
        <w:tblCellMar>
          <w:left w:w="0" w:type="dxa"/>
          <w:right w:w="0" w:type="dxa"/>
        </w:tblCellMar>
        <w:tblLook w:val="0020" w:firstRow="1" w:lastRow="0" w:firstColumn="0" w:lastColumn="0" w:noHBand="0" w:noVBand="0"/>
        <w:tblDescription w:val="In Table A-1 the first column defines mental health disorder. Read across the row for the proportion and the 95% confidence intervals of 4 -11 year olds, then 12 - 17 year olds and 4-17 year olds who have each mental disorder."/>
      </w:tblPr>
      <w:tblGrid>
        <w:gridCol w:w="2194"/>
        <w:gridCol w:w="1050"/>
        <w:gridCol w:w="1274"/>
        <w:gridCol w:w="1050"/>
        <w:gridCol w:w="1273"/>
        <w:gridCol w:w="1050"/>
        <w:gridCol w:w="1239"/>
      </w:tblGrid>
      <w:tr w:rsidR="00590512" w:rsidTr="00302454">
        <w:trPr>
          <w:cantSplit/>
          <w:tblHeader/>
          <w:jc w:val="center"/>
        </w:trPr>
        <w:tc>
          <w:tcPr>
            <w:tcW w:w="2194" w:type="dxa"/>
            <w:tcBorders>
              <w:top w:val="single" w:sz="6" w:space="0" w:color="auto"/>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jc w:val="left"/>
              <w:rPr>
                <w:rStyle w:val="Strong"/>
                <w:sz w:val="18"/>
                <w:szCs w:val="18"/>
              </w:rPr>
            </w:pPr>
            <w:r w:rsidRPr="00AD1562">
              <w:rPr>
                <w:rStyle w:val="Strong"/>
                <w:sz w:val="18"/>
                <w:szCs w:val="18"/>
              </w:rPr>
              <w:t>Disorder</w:t>
            </w:r>
          </w:p>
        </w:tc>
        <w:tc>
          <w:tcPr>
            <w:tcW w:w="1050"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4-11 years Per cent</w:t>
            </w:r>
          </w:p>
        </w:tc>
        <w:tc>
          <w:tcPr>
            <w:tcW w:w="1274"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4-11 years 95% CI</w:t>
            </w:r>
          </w:p>
        </w:tc>
        <w:tc>
          <w:tcPr>
            <w:tcW w:w="1050"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12-17 years Per cent</w:t>
            </w:r>
          </w:p>
        </w:tc>
        <w:tc>
          <w:tcPr>
            <w:tcW w:w="1273"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12-17 years 95% CI</w:t>
            </w:r>
          </w:p>
        </w:tc>
        <w:tc>
          <w:tcPr>
            <w:tcW w:w="1050"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4-17 years Per cent</w:t>
            </w:r>
          </w:p>
        </w:tc>
        <w:tc>
          <w:tcPr>
            <w:tcW w:w="1239" w:type="dxa"/>
            <w:tcBorders>
              <w:top w:val="single" w:sz="6" w:space="0" w:color="auto"/>
              <w:left w:val="single" w:sz="4" w:space="0" w:color="FFFFFF"/>
              <w:bottom w:val="single" w:sz="4" w:space="0" w:color="000000"/>
            </w:tcBorders>
            <w:shd w:val="clear" w:color="auto" w:fill="EFF3FF"/>
            <w:tcMar>
              <w:left w:w="40" w:type="dxa"/>
              <w:right w:w="40" w:type="dxa"/>
            </w:tcMar>
            <w:vAlign w:val="bottom"/>
          </w:tcPr>
          <w:p w:rsidR="00590512" w:rsidRPr="00AD1562" w:rsidRDefault="00590512" w:rsidP="00302454">
            <w:pPr>
              <w:pStyle w:val="TableColumnHeadings"/>
              <w:keepNext/>
              <w:keepLines/>
              <w:rPr>
                <w:rStyle w:val="Strong"/>
                <w:sz w:val="18"/>
                <w:szCs w:val="18"/>
              </w:rPr>
            </w:pPr>
            <w:r w:rsidRPr="00AD1562">
              <w:rPr>
                <w:rStyle w:val="Strong"/>
                <w:sz w:val="18"/>
                <w:szCs w:val="18"/>
              </w:rPr>
              <w:t>4-17 years 95% CI</w:t>
            </w:r>
          </w:p>
        </w:tc>
      </w:tr>
      <w:tr w:rsidR="00590512" w:rsidTr="00302454">
        <w:trPr>
          <w:cantSplit/>
          <w:jc w:val="center"/>
        </w:trPr>
        <w:tc>
          <w:tcPr>
            <w:tcW w:w="2194"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keepNext/>
              <w:keepLines/>
              <w:rPr>
                <w:sz w:val="18"/>
                <w:szCs w:val="18"/>
              </w:rPr>
            </w:pPr>
            <w:r w:rsidRPr="00AD1562">
              <w:rPr>
                <w:sz w:val="18"/>
                <w:szCs w:val="18"/>
              </w:rPr>
              <w:t>Any anxiety disorder</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6.9</w:t>
            </w:r>
          </w:p>
        </w:tc>
        <w:tc>
          <w:tcPr>
            <w:tcW w:w="1274"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(6.0 - 7.8)</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7.0</w:t>
            </w:r>
          </w:p>
        </w:tc>
        <w:tc>
          <w:tcPr>
            <w:tcW w:w="1273"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(5.9 - 8.1)</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6.9</w:t>
            </w:r>
          </w:p>
        </w:tc>
        <w:tc>
          <w:tcPr>
            <w:tcW w:w="1239"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(6.2 - 7.6)</w:t>
            </w:r>
          </w:p>
        </w:tc>
      </w:tr>
      <w:tr w:rsidR="00590512" w:rsidTr="00302454">
        <w:trPr>
          <w:cantSplit/>
          <w:jc w:val="center"/>
        </w:trPr>
        <w:tc>
          <w:tcPr>
            <w:tcW w:w="2194"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keepNext/>
              <w:keepLines/>
              <w:rPr>
                <w:sz w:val="18"/>
                <w:szCs w:val="18"/>
              </w:rPr>
            </w:pPr>
            <w:r w:rsidRPr="00AD1562">
              <w:rPr>
                <w:sz w:val="18"/>
                <w:szCs w:val="18"/>
              </w:rPr>
              <w:t>Depressive disorder</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1.1</w:t>
            </w:r>
          </w:p>
        </w:tc>
        <w:tc>
          <w:tcPr>
            <w:tcW w:w="1274"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(0.8 - 1.5)</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5.0</w:t>
            </w:r>
          </w:p>
        </w:tc>
        <w:tc>
          <w:tcPr>
            <w:tcW w:w="1273"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(4.2 - 5.9)</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2.8</w:t>
            </w:r>
          </w:p>
        </w:tc>
        <w:tc>
          <w:tcPr>
            <w:tcW w:w="1239"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(2.4 - 3.2)</w:t>
            </w:r>
          </w:p>
        </w:tc>
      </w:tr>
      <w:tr w:rsidR="00590512" w:rsidTr="00302454">
        <w:trPr>
          <w:cantSplit/>
          <w:jc w:val="center"/>
        </w:trPr>
        <w:tc>
          <w:tcPr>
            <w:tcW w:w="2194"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keepNext/>
              <w:keepLines/>
              <w:rPr>
                <w:sz w:val="18"/>
                <w:szCs w:val="18"/>
              </w:rPr>
            </w:pPr>
            <w:r w:rsidRPr="00AD1562">
              <w:rPr>
                <w:sz w:val="18"/>
                <w:szCs w:val="18"/>
              </w:rPr>
              <w:t>ADHD</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8.2</w:t>
            </w:r>
          </w:p>
        </w:tc>
        <w:tc>
          <w:tcPr>
            <w:tcW w:w="1274"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(7.2 - 9.3)</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6.3</w:t>
            </w:r>
          </w:p>
        </w:tc>
        <w:tc>
          <w:tcPr>
            <w:tcW w:w="1273"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(5.3 - 7.4)</w:t>
            </w:r>
          </w:p>
        </w:tc>
        <w:tc>
          <w:tcPr>
            <w:tcW w:w="1050"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7.4</w:t>
            </w:r>
          </w:p>
        </w:tc>
        <w:tc>
          <w:tcPr>
            <w:tcW w:w="1239"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(6.6 - 8.2)</w:t>
            </w:r>
          </w:p>
        </w:tc>
      </w:tr>
      <w:tr w:rsidR="00590512" w:rsidTr="00302454">
        <w:trPr>
          <w:cantSplit/>
          <w:jc w:val="center"/>
        </w:trPr>
        <w:tc>
          <w:tcPr>
            <w:tcW w:w="2194" w:type="dxa"/>
            <w:tcBorders>
              <w:top w:val="nil"/>
              <w:bottom w:val="single" w:sz="4" w:space="0" w:color="auto"/>
              <w:right w:val="nil"/>
            </w:tcBorders>
            <w:shd w:val="clear" w:color="auto" w:fill="EFF3FF"/>
            <w:tcMar>
              <w:left w:w="40" w:type="dxa"/>
              <w:right w:w="40" w:type="dxa"/>
            </w:tcMar>
          </w:tcPr>
          <w:p w:rsidR="00590512" w:rsidRPr="00AD1562" w:rsidRDefault="00590512" w:rsidP="00302454">
            <w:pPr>
              <w:pStyle w:val="TableRowHeadings"/>
              <w:keepNext/>
              <w:keepLines/>
              <w:rPr>
                <w:sz w:val="18"/>
                <w:szCs w:val="18"/>
              </w:rPr>
            </w:pPr>
            <w:r w:rsidRPr="00AD1562">
              <w:rPr>
                <w:sz w:val="18"/>
                <w:szCs w:val="18"/>
              </w:rPr>
              <w:t>Conduct disorder</w:t>
            </w:r>
          </w:p>
        </w:tc>
        <w:tc>
          <w:tcPr>
            <w:tcW w:w="1050"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2.0</w:t>
            </w:r>
          </w:p>
        </w:tc>
        <w:tc>
          <w:tcPr>
            <w:tcW w:w="1274"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(1.5 - 2.6)</w:t>
            </w:r>
          </w:p>
        </w:tc>
        <w:tc>
          <w:tcPr>
            <w:tcW w:w="1050"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2.1</w:t>
            </w:r>
          </w:p>
        </w:tc>
        <w:tc>
          <w:tcPr>
            <w:tcW w:w="1273"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(1.5 - 2.8)</w:t>
            </w:r>
          </w:p>
        </w:tc>
        <w:tc>
          <w:tcPr>
            <w:tcW w:w="1050"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2.1</w:t>
            </w:r>
          </w:p>
        </w:tc>
        <w:tc>
          <w:tcPr>
            <w:tcW w:w="1239"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keepNext/>
              <w:keepLines/>
              <w:rPr>
                <w:sz w:val="18"/>
                <w:szCs w:val="18"/>
              </w:rPr>
            </w:pPr>
            <w:r w:rsidRPr="00AD1562">
              <w:rPr>
                <w:sz w:val="18"/>
                <w:szCs w:val="18"/>
              </w:rPr>
              <w:t>(1.6 - 2.5)</w:t>
            </w:r>
          </w:p>
        </w:tc>
      </w:tr>
      <w:tr w:rsidR="00590512" w:rsidRPr="00F97A9C" w:rsidTr="00302454">
        <w:trPr>
          <w:cantSplit/>
          <w:jc w:val="center"/>
        </w:trPr>
        <w:tc>
          <w:tcPr>
            <w:tcW w:w="2194" w:type="dxa"/>
            <w:tcBorders>
              <w:top w:val="single" w:sz="4" w:space="0" w:color="auto"/>
              <w:bottom w:val="single" w:sz="6" w:space="0" w:color="000000"/>
              <w:right w:val="nil"/>
            </w:tcBorders>
            <w:shd w:val="clear" w:color="auto" w:fill="EFF3FF"/>
            <w:tcMar>
              <w:left w:w="40" w:type="dxa"/>
              <w:right w:w="40" w:type="dxa"/>
            </w:tcMar>
          </w:tcPr>
          <w:p w:rsidR="00590512" w:rsidRPr="00AD1562" w:rsidRDefault="00590512" w:rsidP="00302454">
            <w:pPr>
              <w:pStyle w:val="TableRowHeadings"/>
              <w:keepNext/>
              <w:keepLines/>
              <w:rPr>
                <w:rStyle w:val="Strong"/>
                <w:sz w:val="18"/>
                <w:szCs w:val="18"/>
              </w:rPr>
            </w:pPr>
            <w:r w:rsidRPr="00AD1562">
              <w:rPr>
                <w:rStyle w:val="Strong"/>
                <w:sz w:val="18"/>
                <w:szCs w:val="18"/>
              </w:rPr>
              <w:t>Any mental disorder</w:t>
            </w:r>
          </w:p>
        </w:tc>
        <w:tc>
          <w:tcPr>
            <w:tcW w:w="1050"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13.6</w:t>
            </w:r>
          </w:p>
        </w:tc>
        <w:tc>
          <w:tcPr>
            <w:tcW w:w="1274"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(12.3 - 14.9)</w:t>
            </w:r>
          </w:p>
        </w:tc>
        <w:tc>
          <w:tcPr>
            <w:tcW w:w="1050"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14.4</w:t>
            </w:r>
          </w:p>
        </w:tc>
        <w:tc>
          <w:tcPr>
            <w:tcW w:w="1273"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(12.9 - 15.9)</w:t>
            </w:r>
          </w:p>
        </w:tc>
        <w:tc>
          <w:tcPr>
            <w:tcW w:w="1050"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13.9</w:t>
            </w:r>
          </w:p>
        </w:tc>
        <w:tc>
          <w:tcPr>
            <w:tcW w:w="1239"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keepNext/>
              <w:keepLines/>
              <w:rPr>
                <w:rStyle w:val="Strong"/>
                <w:sz w:val="18"/>
                <w:szCs w:val="18"/>
              </w:rPr>
            </w:pPr>
            <w:r w:rsidRPr="00AD1562">
              <w:rPr>
                <w:rStyle w:val="Strong"/>
                <w:sz w:val="18"/>
                <w:szCs w:val="18"/>
              </w:rPr>
              <w:t>(12.9 - 15.0)</w:t>
            </w:r>
          </w:p>
        </w:tc>
      </w:tr>
    </w:tbl>
    <w:p w:rsidR="00590512" w:rsidRDefault="00590512" w:rsidP="00590512">
      <w:pPr>
        <w:pStyle w:val="Caption"/>
        <w:keepNext/>
      </w:pPr>
      <w:bookmarkStart w:id="283" w:name="_Ref403402469"/>
      <w:r>
        <w:t>Table A-</w:t>
      </w:r>
      <w:fldSimple w:instr=" SEQ Table_A- \* ARABIC ">
        <w:r w:rsidR="005C4F80">
          <w:rPr>
            <w:noProof/>
          </w:rPr>
          <w:t>2</w:t>
        </w:r>
      </w:fldSimple>
      <w:bookmarkEnd w:id="283"/>
      <w:r>
        <w:t xml:space="preserve">: </w:t>
      </w:r>
      <w:r w:rsidRPr="007C79B6">
        <w:t xml:space="preserve">12-month prevalence of mental disorders among 4-17 year-olds </w:t>
      </w:r>
      <w:r>
        <w:t xml:space="preserve">by four </w:t>
      </w:r>
      <w:r w:rsidRPr="007C79B6">
        <w:t>age group</w:t>
      </w:r>
      <w:r>
        <w:t>s with 95% confidence intervals</w:t>
      </w:r>
    </w:p>
    <w:tbl>
      <w:tblPr>
        <w:tblW w:w="9150" w:type="dxa"/>
        <w:jc w:val="center"/>
        <w:tblLayout w:type="fixed"/>
        <w:tblCellMar>
          <w:left w:w="0" w:type="dxa"/>
          <w:right w:w="0" w:type="dxa"/>
        </w:tblCellMar>
        <w:tblLook w:val="0020" w:firstRow="1" w:lastRow="0" w:firstColumn="0" w:lastColumn="0" w:noHBand="0" w:noVBand="0"/>
        <w:tblDescription w:val="In Table A-2 the first column defines mental disorder. Read across the rows for the proportion then 95% confidence intervales of children and adolescents aged 4-5 years, 6-11 years, 12-15 years and 16-17 years who have each mental disorder."/>
      </w:tblPr>
      <w:tblGrid>
        <w:gridCol w:w="1755"/>
        <w:gridCol w:w="818"/>
        <w:gridCol w:w="955"/>
        <w:gridCol w:w="818"/>
        <w:gridCol w:w="1056"/>
        <w:gridCol w:w="818"/>
        <w:gridCol w:w="1056"/>
        <w:gridCol w:w="818"/>
        <w:gridCol w:w="1056"/>
      </w:tblGrid>
      <w:tr w:rsidR="00590512" w:rsidTr="00302454">
        <w:trPr>
          <w:cantSplit/>
          <w:tblHeader/>
          <w:jc w:val="center"/>
        </w:trPr>
        <w:tc>
          <w:tcPr>
            <w:tcW w:w="1755" w:type="dxa"/>
            <w:tcBorders>
              <w:top w:val="single" w:sz="6" w:space="0" w:color="auto"/>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jc w:val="left"/>
              <w:rPr>
                <w:rStyle w:val="Strong"/>
                <w:sz w:val="18"/>
                <w:szCs w:val="18"/>
              </w:rPr>
            </w:pPr>
            <w:r w:rsidRPr="00AD1562">
              <w:rPr>
                <w:rStyle w:val="Strong"/>
                <w:sz w:val="18"/>
                <w:szCs w:val="18"/>
              </w:rPr>
              <w:t>Disorder</w:t>
            </w:r>
          </w:p>
        </w:tc>
        <w:tc>
          <w:tcPr>
            <w:tcW w:w="818"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4-5 years Per cent</w:t>
            </w:r>
          </w:p>
        </w:tc>
        <w:tc>
          <w:tcPr>
            <w:tcW w:w="955"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4-5 years 95% CI</w:t>
            </w:r>
          </w:p>
        </w:tc>
        <w:tc>
          <w:tcPr>
            <w:tcW w:w="818"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6-11 years Per cent</w:t>
            </w:r>
          </w:p>
        </w:tc>
        <w:tc>
          <w:tcPr>
            <w:tcW w:w="1056"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6-11 years 95% CI</w:t>
            </w:r>
          </w:p>
        </w:tc>
        <w:tc>
          <w:tcPr>
            <w:tcW w:w="818"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12-15 years Per cent</w:t>
            </w:r>
          </w:p>
        </w:tc>
        <w:tc>
          <w:tcPr>
            <w:tcW w:w="1056"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12-15 years 95% CI</w:t>
            </w:r>
          </w:p>
        </w:tc>
        <w:tc>
          <w:tcPr>
            <w:tcW w:w="818" w:type="dxa"/>
            <w:tcBorders>
              <w:top w:val="single" w:sz="6" w:space="0" w:color="auto"/>
              <w:left w:val="single" w:sz="4" w:space="0" w:color="FFFFFF"/>
              <w:bottom w:val="single" w:sz="4" w:space="0" w:color="000000"/>
              <w:right w:val="nil"/>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16-17 years Per cent</w:t>
            </w:r>
          </w:p>
        </w:tc>
        <w:tc>
          <w:tcPr>
            <w:tcW w:w="1056" w:type="dxa"/>
            <w:tcBorders>
              <w:top w:val="single" w:sz="6" w:space="0" w:color="auto"/>
              <w:left w:val="single" w:sz="4" w:space="0" w:color="FFFFFF"/>
              <w:bottom w:val="single" w:sz="4" w:space="0" w:color="000000"/>
            </w:tcBorders>
            <w:shd w:val="clear" w:color="auto" w:fill="EFF3FF"/>
            <w:tcMar>
              <w:left w:w="40" w:type="dxa"/>
              <w:right w:w="40" w:type="dxa"/>
            </w:tcMar>
            <w:vAlign w:val="bottom"/>
          </w:tcPr>
          <w:p w:rsidR="00590512" w:rsidRPr="00AD1562" w:rsidRDefault="00590512" w:rsidP="00302454">
            <w:pPr>
              <w:pStyle w:val="TableColumnHeadings"/>
              <w:rPr>
                <w:rStyle w:val="Strong"/>
                <w:sz w:val="18"/>
                <w:szCs w:val="18"/>
              </w:rPr>
            </w:pPr>
            <w:r w:rsidRPr="00AD1562">
              <w:rPr>
                <w:rStyle w:val="Strong"/>
                <w:sz w:val="18"/>
                <w:szCs w:val="18"/>
              </w:rPr>
              <w:t>16-17 years 95% CI</w:t>
            </w:r>
          </w:p>
        </w:tc>
      </w:tr>
      <w:tr w:rsidR="00590512" w:rsidTr="00302454">
        <w:trPr>
          <w:cantSplit/>
          <w:jc w:val="center"/>
        </w:trPr>
        <w:tc>
          <w:tcPr>
            <w:tcW w:w="1755"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rPr>
                <w:sz w:val="18"/>
                <w:szCs w:val="18"/>
              </w:rPr>
            </w:pPr>
            <w:r w:rsidRPr="00AD1562">
              <w:rPr>
                <w:sz w:val="18"/>
                <w:szCs w:val="18"/>
              </w:rPr>
              <w:t>Any anxiety disorder</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5.0</w:t>
            </w:r>
          </w:p>
        </w:tc>
        <w:tc>
          <w:tcPr>
            <w:tcW w:w="955"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(3.5 - 6.5)</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7.5</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(6.4 - 8.6)</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6.6</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(5.2 - 7.9)</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7.8</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(6.4 - 9.2)</w:t>
            </w:r>
          </w:p>
        </w:tc>
      </w:tr>
      <w:tr w:rsidR="00590512" w:rsidTr="00302454">
        <w:trPr>
          <w:cantSplit/>
          <w:jc w:val="center"/>
        </w:trPr>
        <w:tc>
          <w:tcPr>
            <w:tcW w:w="1755"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rPr>
                <w:sz w:val="18"/>
                <w:szCs w:val="18"/>
              </w:rPr>
            </w:pPr>
            <w:r w:rsidRPr="00AD1562">
              <w:rPr>
                <w:sz w:val="18"/>
                <w:szCs w:val="18"/>
              </w:rPr>
              <w:t>Depressive disorder</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0.5</w:t>
            </w:r>
          </w:p>
        </w:tc>
        <w:tc>
          <w:tcPr>
            <w:tcW w:w="955"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(0.0 - 1.0)</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1.4</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(0.9 - 1.9)</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3.7</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(2.6 - 4.7)</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7.7</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(6.3 - 9.1)</w:t>
            </w:r>
          </w:p>
        </w:tc>
      </w:tr>
      <w:tr w:rsidR="00590512" w:rsidTr="00302454">
        <w:trPr>
          <w:cantSplit/>
          <w:jc w:val="center"/>
        </w:trPr>
        <w:tc>
          <w:tcPr>
            <w:tcW w:w="1755" w:type="dxa"/>
            <w:tcBorders>
              <w:top w:val="nil"/>
              <w:bottom w:val="single" w:sz="4" w:space="0" w:color="FFFFFF"/>
              <w:right w:val="nil"/>
            </w:tcBorders>
            <w:shd w:val="clear" w:color="auto" w:fill="EFF3FF"/>
            <w:tcMar>
              <w:left w:w="40" w:type="dxa"/>
              <w:right w:w="40" w:type="dxa"/>
            </w:tcMar>
          </w:tcPr>
          <w:p w:rsidR="00590512" w:rsidRPr="00AD1562" w:rsidRDefault="00590512" w:rsidP="00302454">
            <w:pPr>
              <w:pStyle w:val="TableRowHeadings"/>
              <w:rPr>
                <w:sz w:val="18"/>
                <w:szCs w:val="18"/>
              </w:rPr>
            </w:pPr>
            <w:r w:rsidRPr="00AD1562">
              <w:rPr>
                <w:sz w:val="18"/>
                <w:szCs w:val="18"/>
              </w:rPr>
              <w:t>ADHD</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5.6</w:t>
            </w:r>
          </w:p>
        </w:tc>
        <w:tc>
          <w:tcPr>
            <w:tcW w:w="955"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(4.0 - 7.2)</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9.2</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(7.9 - 10.4)</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7.5</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(6.0 - 9.0)</w:t>
            </w:r>
          </w:p>
        </w:tc>
        <w:tc>
          <w:tcPr>
            <w:tcW w:w="818"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4.0</w:t>
            </w:r>
          </w:p>
        </w:tc>
        <w:tc>
          <w:tcPr>
            <w:tcW w:w="1056" w:type="dxa"/>
            <w:tcBorders>
              <w:top w:val="nil"/>
              <w:left w:val="nil"/>
              <w:bottom w:val="nil"/>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(3.0 - 5.1)</w:t>
            </w:r>
          </w:p>
        </w:tc>
      </w:tr>
      <w:tr w:rsidR="00590512" w:rsidTr="00302454">
        <w:trPr>
          <w:cantSplit/>
          <w:jc w:val="center"/>
        </w:trPr>
        <w:tc>
          <w:tcPr>
            <w:tcW w:w="1755" w:type="dxa"/>
            <w:tcBorders>
              <w:top w:val="nil"/>
              <w:bottom w:val="single" w:sz="4" w:space="0" w:color="auto"/>
              <w:right w:val="nil"/>
            </w:tcBorders>
            <w:shd w:val="clear" w:color="auto" w:fill="EFF3FF"/>
            <w:tcMar>
              <w:left w:w="40" w:type="dxa"/>
              <w:right w:w="40" w:type="dxa"/>
            </w:tcMar>
          </w:tcPr>
          <w:p w:rsidR="00590512" w:rsidRPr="00AD1562" w:rsidRDefault="00590512" w:rsidP="00302454">
            <w:pPr>
              <w:pStyle w:val="TableRowHeadings"/>
              <w:rPr>
                <w:sz w:val="18"/>
                <w:szCs w:val="18"/>
              </w:rPr>
            </w:pPr>
            <w:r w:rsidRPr="00AD1562">
              <w:rPr>
                <w:sz w:val="18"/>
                <w:szCs w:val="18"/>
              </w:rPr>
              <w:t>Conduct disorder</w:t>
            </w:r>
          </w:p>
        </w:tc>
        <w:tc>
          <w:tcPr>
            <w:tcW w:w="818"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1.7</w:t>
            </w:r>
          </w:p>
        </w:tc>
        <w:tc>
          <w:tcPr>
            <w:tcW w:w="955"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(0.8 - 2.6)</w:t>
            </w:r>
          </w:p>
        </w:tc>
        <w:tc>
          <w:tcPr>
            <w:tcW w:w="818"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2.2</w:t>
            </w:r>
          </w:p>
        </w:tc>
        <w:tc>
          <w:tcPr>
            <w:tcW w:w="1056"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(1.5 - 2.9)</w:t>
            </w:r>
          </w:p>
        </w:tc>
        <w:tc>
          <w:tcPr>
            <w:tcW w:w="818"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2.3</w:t>
            </w:r>
          </w:p>
        </w:tc>
        <w:tc>
          <w:tcPr>
            <w:tcW w:w="1056"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(1.3 - 3.2)</w:t>
            </w:r>
          </w:p>
        </w:tc>
        <w:tc>
          <w:tcPr>
            <w:tcW w:w="818"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1.8</w:t>
            </w:r>
          </w:p>
        </w:tc>
        <w:tc>
          <w:tcPr>
            <w:tcW w:w="1056" w:type="dxa"/>
            <w:tcBorders>
              <w:top w:val="nil"/>
              <w:left w:val="nil"/>
              <w:bottom w:val="single" w:sz="4" w:space="0" w:color="auto"/>
              <w:right w:val="nil"/>
            </w:tcBorders>
            <w:shd w:val="clear" w:color="auto" w:fill="FFFFFF"/>
            <w:tcMar>
              <w:left w:w="40" w:type="dxa"/>
              <w:right w:w="40" w:type="dxa"/>
            </w:tcMar>
            <w:vAlign w:val="bottom"/>
          </w:tcPr>
          <w:p w:rsidR="00590512" w:rsidRPr="00AD1562" w:rsidRDefault="00590512" w:rsidP="00302454">
            <w:pPr>
              <w:pStyle w:val="TableDataCell"/>
              <w:rPr>
                <w:sz w:val="18"/>
                <w:szCs w:val="18"/>
              </w:rPr>
            </w:pPr>
            <w:r w:rsidRPr="00AD1562">
              <w:rPr>
                <w:sz w:val="18"/>
                <w:szCs w:val="18"/>
              </w:rPr>
              <w:t>(1.2 - 2.5)</w:t>
            </w:r>
          </w:p>
        </w:tc>
      </w:tr>
      <w:tr w:rsidR="00590512" w:rsidRPr="00BB405F" w:rsidTr="00302454">
        <w:trPr>
          <w:cantSplit/>
          <w:jc w:val="center"/>
        </w:trPr>
        <w:tc>
          <w:tcPr>
            <w:tcW w:w="1755" w:type="dxa"/>
            <w:tcBorders>
              <w:top w:val="single" w:sz="4" w:space="0" w:color="auto"/>
              <w:bottom w:val="single" w:sz="6" w:space="0" w:color="000000"/>
              <w:right w:val="nil"/>
            </w:tcBorders>
            <w:shd w:val="clear" w:color="auto" w:fill="EFF3FF"/>
            <w:tcMar>
              <w:left w:w="40" w:type="dxa"/>
              <w:right w:w="40" w:type="dxa"/>
            </w:tcMar>
          </w:tcPr>
          <w:p w:rsidR="00590512" w:rsidRPr="00AD1562" w:rsidRDefault="00590512" w:rsidP="00302454">
            <w:pPr>
              <w:pStyle w:val="TableRowHeadings"/>
              <w:rPr>
                <w:rStyle w:val="Strong"/>
                <w:sz w:val="18"/>
                <w:szCs w:val="18"/>
              </w:rPr>
            </w:pPr>
            <w:r w:rsidRPr="00AD1562">
              <w:rPr>
                <w:rStyle w:val="Strong"/>
                <w:sz w:val="18"/>
                <w:szCs w:val="18"/>
              </w:rPr>
              <w:t>Any mental disorder</w:t>
            </w:r>
          </w:p>
        </w:tc>
        <w:tc>
          <w:tcPr>
            <w:tcW w:w="818"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9.4</w:t>
            </w:r>
          </w:p>
        </w:tc>
        <w:tc>
          <w:tcPr>
            <w:tcW w:w="955"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(7.4 - 11.5)</w:t>
            </w:r>
          </w:p>
        </w:tc>
        <w:tc>
          <w:tcPr>
            <w:tcW w:w="818"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15.1</w:t>
            </w:r>
          </w:p>
        </w:tc>
        <w:tc>
          <w:tcPr>
            <w:tcW w:w="1056"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(13.5 - 16.7)</w:t>
            </w:r>
          </w:p>
        </w:tc>
        <w:tc>
          <w:tcPr>
            <w:tcW w:w="818"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14.2</w:t>
            </w:r>
          </w:p>
        </w:tc>
        <w:tc>
          <w:tcPr>
            <w:tcW w:w="1056"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(12.2 - 16.2)</w:t>
            </w:r>
          </w:p>
        </w:tc>
        <w:tc>
          <w:tcPr>
            <w:tcW w:w="818"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14.7</w:t>
            </w:r>
          </w:p>
        </w:tc>
        <w:tc>
          <w:tcPr>
            <w:tcW w:w="1056" w:type="dxa"/>
            <w:tcBorders>
              <w:top w:val="single" w:sz="4" w:space="0" w:color="auto"/>
              <w:left w:val="nil"/>
              <w:bottom w:val="single" w:sz="6" w:space="0" w:color="000000"/>
              <w:right w:val="nil"/>
            </w:tcBorders>
            <w:shd w:val="clear" w:color="auto" w:fill="FFFFFF"/>
            <w:tcMar>
              <w:left w:w="40" w:type="dxa"/>
              <w:right w:w="40" w:type="dxa"/>
            </w:tcMar>
            <w:vAlign w:val="bottom"/>
          </w:tcPr>
          <w:p w:rsidR="00590512" w:rsidRPr="00AD1562" w:rsidRDefault="00590512" w:rsidP="00302454">
            <w:pPr>
              <w:pStyle w:val="TableDataCell"/>
              <w:rPr>
                <w:rStyle w:val="Strong"/>
                <w:sz w:val="18"/>
                <w:szCs w:val="18"/>
              </w:rPr>
            </w:pPr>
            <w:r w:rsidRPr="00AD1562">
              <w:rPr>
                <w:rStyle w:val="Strong"/>
                <w:sz w:val="18"/>
                <w:szCs w:val="18"/>
              </w:rPr>
              <w:t>(12.8 - 16.6)</w:t>
            </w:r>
          </w:p>
        </w:tc>
      </w:tr>
    </w:tbl>
    <w:p w:rsidR="00590512" w:rsidRDefault="00590512" w:rsidP="00590512">
      <w:pPr>
        <w:pStyle w:val="Heading3"/>
      </w:pPr>
      <w:r>
        <w:lastRenderedPageBreak/>
        <w:t>Availability of data and its use</w:t>
      </w:r>
    </w:p>
    <w:p w:rsidR="00590512" w:rsidRDefault="00590512" w:rsidP="00590512">
      <w:pPr>
        <w:pStyle w:val="BodyText"/>
      </w:pPr>
      <w:r>
        <w:t xml:space="preserve">All tables presented in this report, together with information on the accuracy of estimates at the 95% confidence interval, are available through the Telethon Kids Institute, </w:t>
      </w:r>
      <w:hyperlink r:id="rId148" w:history="1">
        <w:r w:rsidRPr="006034D5">
          <w:rPr>
            <w:rStyle w:val="Hyperlink"/>
          </w:rPr>
          <w:t>Young Minds Matter website</w:t>
        </w:r>
      </w:hyperlink>
      <w:r w:rsidR="006034D5">
        <w:t>.</w:t>
      </w:r>
      <w:r w:rsidRPr="00006A89">
        <w:t xml:space="preserve"> </w:t>
      </w:r>
      <w:r w:rsidR="006034D5">
        <w:t>(</w:t>
      </w:r>
      <w:r w:rsidRPr="006034D5">
        <w:t>http://youngmindsmatter.org.au/</w:t>
      </w:r>
      <w:r w:rsidR="006034D5">
        <w:t>)</w:t>
      </w:r>
    </w:p>
    <w:p w:rsidR="00590512" w:rsidRDefault="00590512" w:rsidP="00590512">
      <w:pPr>
        <w:pStyle w:val="BodyText"/>
      </w:pPr>
      <w:r>
        <w:t>These tables or other materials contained in this report are able to be reproduced subject to there being no alterations and with appropriate citing of the source as follows:</w:t>
      </w:r>
    </w:p>
    <w:p w:rsidR="00590512" w:rsidRDefault="00590512" w:rsidP="00590512">
      <w:pPr>
        <w:pStyle w:val="BodyText"/>
      </w:pPr>
      <w:r w:rsidRPr="00DB066C">
        <w:t>Second Australian Child and Adolescent Survey</w:t>
      </w:r>
      <w:r>
        <w:t xml:space="preserve"> </w:t>
      </w:r>
      <w:r w:rsidRPr="00DB066C">
        <w:t>of Mental Health and Wellbeing</w:t>
      </w:r>
      <w:r>
        <w:t xml:space="preserve"> (2015)</w:t>
      </w:r>
    </w:p>
    <w:p w:rsidR="00590512" w:rsidRDefault="00590512" w:rsidP="00590512">
      <w:pPr>
        <w:pStyle w:val="BodyText"/>
      </w:pPr>
      <w:r>
        <w:t xml:space="preserve">At the time of publication of this report, a confidentialised unit record file (CURF) of the survey data was being prepared for release to bona fide researchers and will be made available subject to completion of the necessary data release protocol. Details on its availability will be published on the </w:t>
      </w:r>
      <w:r w:rsidRPr="00AD1562">
        <w:rPr>
          <w:rStyle w:val="Emphasis"/>
        </w:rPr>
        <w:t>Young Minds Matter</w:t>
      </w:r>
      <w:r>
        <w:t xml:space="preserve"> website.</w:t>
      </w:r>
    </w:p>
    <w:p w:rsidR="00590512" w:rsidRDefault="00590512" w:rsidP="00590512">
      <w:pPr>
        <w:pStyle w:val="Heading2"/>
        <w:numPr>
          <w:ilvl w:val="0"/>
          <w:numId w:val="16"/>
        </w:numPr>
      </w:pPr>
      <w:r>
        <w:t>Comparability with 1998 survey</w:t>
      </w:r>
    </w:p>
    <w:p w:rsidR="00590512" w:rsidRDefault="00590512" w:rsidP="00590512">
      <w:pPr>
        <w:pStyle w:val="BodyText"/>
      </w:pPr>
      <w:r>
        <w:t>There are a number of substantive methodological and content differences between the first and second child and adolescent national surveys of mental health and wellbeing.</w:t>
      </w:r>
    </w:p>
    <w:p w:rsidR="00590512" w:rsidRDefault="00590512" w:rsidP="00590512">
      <w:pPr>
        <w:pStyle w:val="Heading3"/>
      </w:pPr>
      <w:r w:rsidRPr="00EB283C">
        <w:t>Diagnoses of mental disorders</w:t>
      </w:r>
    </w:p>
    <w:p w:rsidR="00590512" w:rsidRDefault="00590512" w:rsidP="00590512">
      <w:pPr>
        <w:pStyle w:val="BodyText"/>
      </w:pPr>
      <w:r>
        <w:t xml:space="preserve">The first survey used modules from the DISC-IV to assess four mental disorders — major depressive disorder, dysthymic disorder, attention-deficit/hyperactivity disorder and conduct disorder. These were completed by parents and carers. </w:t>
      </w:r>
    </w:p>
    <w:p w:rsidR="00590512" w:rsidRDefault="00590512" w:rsidP="00590512">
      <w:pPr>
        <w:pStyle w:val="BodyText"/>
      </w:pPr>
      <w:r>
        <w:t>There were similarities, but also significant differences in how mental disorders were assessed in the second survey. Firstly, the DISC-IV was the primary diagnostic tool for both surveys. Major depressive disorder, attention-deficit/hyperactivity disorder and conduct disorder were also assessed in the second survey. However, the second survey also assessed four anxiety disorders, namely social phobia, separation anxiety, generalised anxiety and obsessive-compulsive disorder. Parents and carers completed DISC-IV modules for all seven disorders. Therefore direct comparisons of the overall 12</w:t>
      </w:r>
      <w:r>
        <w:noBreakHyphen/>
        <w:t>month prevalence of mental disorders cannot be made.</w:t>
      </w:r>
    </w:p>
    <w:p w:rsidR="00590512" w:rsidRDefault="00590512" w:rsidP="00590512">
      <w:pPr>
        <w:pStyle w:val="BodyText"/>
      </w:pPr>
      <w:r>
        <w:t>In the second survey young people completed the same DISC-IV major depressive disorder module as their parents and carers, providing an alternative perspective on whether they had the disorder.</w:t>
      </w:r>
    </w:p>
    <w:p w:rsidR="00590512" w:rsidRDefault="00590512" w:rsidP="00590512">
      <w:pPr>
        <w:pStyle w:val="BodyText"/>
      </w:pPr>
      <w:r>
        <w:t xml:space="preserve">The DISC-IV eating disorders module was included in the first survey. However, too few cases were identified for results to be published. For this reason the module was not included in the second survey, but rather problem eating behaviours were assessed using questions drawn from the </w:t>
      </w:r>
      <w:r w:rsidRPr="0021271A">
        <w:rPr>
          <w:rStyle w:val="Emphasis"/>
        </w:rPr>
        <w:t>Avon Longitudinal Study of Parents and Children</w:t>
      </w:r>
      <w:r>
        <w:t>.</w:t>
      </w:r>
    </w:p>
    <w:p w:rsidR="00590512" w:rsidRDefault="00590512" w:rsidP="00590512">
      <w:pPr>
        <w:pStyle w:val="BodyText"/>
      </w:pPr>
      <w:r>
        <w:t>Questions were also added to determine the impact of symptoms of particular mental disorders from which severity could be determined. This allows for comparison of the prevalence data by severity as is possible with the other National Surveys of Mental Health and Wellbeing, but was not possible with the first survey.</w:t>
      </w:r>
    </w:p>
    <w:p w:rsidR="00590512" w:rsidRPr="00B233FC" w:rsidRDefault="00590512" w:rsidP="00590512">
      <w:pPr>
        <w:pStyle w:val="Heading3"/>
      </w:pPr>
      <w:r w:rsidRPr="00B233FC">
        <w:lastRenderedPageBreak/>
        <w:t>Problem behaviours</w:t>
      </w:r>
    </w:p>
    <w:p w:rsidR="00590512" w:rsidRDefault="00590512" w:rsidP="00590512">
      <w:pPr>
        <w:pStyle w:val="BodyText"/>
      </w:pPr>
      <w:r>
        <w:t>In the first survey</w:t>
      </w:r>
      <w:r w:rsidRPr="00A86FF4">
        <w:t xml:space="preserve"> mental health problems were assessed using th</w:t>
      </w:r>
      <w:r>
        <w:t>r</w:t>
      </w:r>
      <w:r w:rsidRPr="00A86FF4">
        <w:t>e</w:t>
      </w:r>
      <w:r>
        <w:t>e tools:</w:t>
      </w:r>
    </w:p>
    <w:p w:rsidR="00590512" w:rsidRPr="00577497" w:rsidRDefault="00590512" w:rsidP="00590512">
      <w:pPr>
        <w:pStyle w:val="ListParagraph"/>
        <w:numPr>
          <w:ilvl w:val="0"/>
          <w:numId w:val="14"/>
        </w:numPr>
        <w:spacing w:after="120" w:line="240" w:lineRule="auto"/>
        <w:ind w:left="1003" w:hanging="357"/>
        <w:contextualSpacing w:val="0"/>
        <w:jc w:val="both"/>
      </w:pPr>
      <w:r w:rsidRPr="00577497">
        <w:t xml:space="preserve">Child </w:t>
      </w:r>
      <w:proofErr w:type="spellStart"/>
      <w:r w:rsidRPr="00577497">
        <w:t>Behavior</w:t>
      </w:r>
      <w:proofErr w:type="spellEnd"/>
      <w:r w:rsidRPr="00577497">
        <w:t xml:space="preserve"> Checklist (CBCL)</w:t>
      </w:r>
      <w:r w:rsidRPr="006F5941">
        <w:rPr>
          <w:vertAlign w:val="superscript"/>
        </w:rPr>
        <w:footnoteReference w:id="3"/>
      </w:r>
      <w:r w:rsidRPr="00577497">
        <w:t xml:space="preserve"> is a 113 item questionnaire designed to assess the emotional and behavioural problems in children and adolescents over the last six months, which is completed by parents and carers;</w:t>
      </w:r>
    </w:p>
    <w:p w:rsidR="00590512" w:rsidRPr="00577497" w:rsidRDefault="00590512" w:rsidP="00590512">
      <w:pPr>
        <w:pStyle w:val="ListParagraph"/>
        <w:numPr>
          <w:ilvl w:val="0"/>
          <w:numId w:val="14"/>
        </w:numPr>
        <w:spacing w:after="120" w:line="240" w:lineRule="auto"/>
        <w:ind w:left="1003" w:hanging="357"/>
        <w:contextualSpacing w:val="0"/>
        <w:jc w:val="both"/>
      </w:pPr>
      <w:r w:rsidRPr="00577497">
        <w:t>Youth Self-Report, is a 112 item questionnaire, which is derived from the CBCL for completion by young pe</w:t>
      </w:r>
      <w:r>
        <w:t>ople aged 13</w:t>
      </w:r>
      <w:r>
        <w:noBreakHyphen/>
        <w:t>17</w:t>
      </w:r>
      <w:r w:rsidRPr="00577497">
        <w:t xml:space="preserve"> years; and</w:t>
      </w:r>
    </w:p>
    <w:p w:rsidR="00590512" w:rsidRPr="00577497" w:rsidRDefault="00590512" w:rsidP="00590512">
      <w:pPr>
        <w:pStyle w:val="ListParagraph"/>
        <w:numPr>
          <w:ilvl w:val="0"/>
          <w:numId w:val="14"/>
        </w:numPr>
        <w:spacing w:after="120" w:line="240" w:lineRule="auto"/>
        <w:ind w:left="1003" w:hanging="357"/>
        <w:contextualSpacing w:val="0"/>
        <w:jc w:val="both"/>
      </w:pPr>
      <w:proofErr w:type="gramStart"/>
      <w:r w:rsidRPr="00577497">
        <w:t>the</w:t>
      </w:r>
      <w:proofErr w:type="gramEnd"/>
      <w:r w:rsidRPr="00577497">
        <w:t xml:space="preserve"> </w:t>
      </w:r>
      <w:proofErr w:type="spellStart"/>
      <w:r w:rsidRPr="00577497">
        <w:t>Center</w:t>
      </w:r>
      <w:proofErr w:type="spellEnd"/>
      <w:r w:rsidRPr="00577497">
        <w:t xml:space="preserve"> for Epidemiologic Studies Depression Scale (CES</w:t>
      </w:r>
      <w:r w:rsidRPr="00577497">
        <w:noBreakHyphen/>
        <w:t>D)</w:t>
      </w:r>
      <w:r w:rsidRPr="006F5941">
        <w:rPr>
          <w:vertAlign w:val="superscript"/>
        </w:rPr>
        <w:footnoteReference w:id="4"/>
      </w:r>
      <w:r w:rsidRPr="00577497">
        <w:t xml:space="preserve"> is a 20 item self-report scale designed to measure depressive symptomatology in the past week.</w:t>
      </w:r>
    </w:p>
    <w:p w:rsidR="00590512" w:rsidRDefault="00590512" w:rsidP="00590512">
      <w:pPr>
        <w:pStyle w:val="BodyText"/>
      </w:pPr>
      <w:r>
        <w:t xml:space="preserve">The Strengths and Difficulties Questionnaire (SDQ) was included in this second survey and the Child </w:t>
      </w:r>
      <w:proofErr w:type="spellStart"/>
      <w:r>
        <w:t>Behavior</w:t>
      </w:r>
      <w:proofErr w:type="spellEnd"/>
      <w:r>
        <w:t xml:space="preserve"> Checklist (CBCL) and Youth Self-Report, used in the first survey, were not. There were several reasons for this change. The SDQ is substantially shorter than the CBCL for parents or carers to complete, while having equivalent measurement properties. This provided leeway for questions on other topics to be added to the survey. In addition, the SDQ has been included in a range of other collections in Australia, including as a routine measure in the National Outcomes and </w:t>
      </w:r>
      <w:proofErr w:type="spellStart"/>
      <w:r>
        <w:t>Casemix</w:t>
      </w:r>
      <w:proofErr w:type="spellEnd"/>
      <w:r>
        <w:t xml:space="preserve"> Collection used by state and territory mental health services and the Longitudinal Study of Australian Children. It has also been designated as the best source of information for developing a leading national Children’s Headline Indicator for social and emotional wellbeing in children and young people by the Australian Institute of Health and Welfare.</w:t>
      </w:r>
      <w:r>
        <w:rPr>
          <w:rStyle w:val="FootnoteReference"/>
        </w:rPr>
        <w:footnoteReference w:id="5"/>
      </w:r>
      <w:r>
        <w:t xml:space="preserve"> </w:t>
      </w:r>
    </w:p>
    <w:p w:rsidR="00590512" w:rsidRDefault="00590512" w:rsidP="00590512">
      <w:pPr>
        <w:pStyle w:val="BodyText"/>
      </w:pPr>
      <w:r>
        <w:t xml:space="preserve">Young people aged 11-17 years also completed the </w:t>
      </w:r>
      <w:r w:rsidRPr="00175BB2">
        <w:rPr>
          <w:lang w:val="en-US"/>
        </w:rPr>
        <w:t xml:space="preserve">Strengths and Difficulties Questionnaire (SDQ) Youth Self Report </w:t>
      </w:r>
      <w:r>
        <w:t>in the second survey rather than the Youth Self-Report based on the CBCL, which was used in the first survey.</w:t>
      </w:r>
    </w:p>
    <w:p w:rsidR="00590512" w:rsidRDefault="00590512" w:rsidP="00590512">
      <w:pPr>
        <w:pStyle w:val="BodyText"/>
      </w:pPr>
      <w:r>
        <w:t>Depression symptoms, which were collected in the first survey using the CES-D, were covered in more detail by the DISC-IV major depressive disorder module, which also provided a diagnosis.</w:t>
      </w:r>
    </w:p>
    <w:p w:rsidR="00590512" w:rsidRDefault="00590512" w:rsidP="00590512">
      <w:pPr>
        <w:pStyle w:val="Heading3"/>
      </w:pPr>
      <w:r w:rsidRPr="00633A02">
        <w:t>Service use</w:t>
      </w:r>
    </w:p>
    <w:p w:rsidR="00590512" w:rsidRDefault="00590512" w:rsidP="00590512">
      <w:pPr>
        <w:pStyle w:val="BodyText"/>
      </w:pPr>
      <w:r>
        <w:t xml:space="preserve">Questions on service use were completely </w:t>
      </w:r>
      <w:r w:rsidRPr="00A14D5F">
        <w:t>redesigned for the second survey</w:t>
      </w:r>
      <w:r>
        <w:t xml:space="preserve">. The approach taken was based on that used in the 2007 National Survey of Mental Health and Wellbeing of the Australian adult population. This approach is based on identifying if services have been used in the past 12 months, if parents and carers or young people feel they needed help or support, whether they received the level of support they needed, and what barriers may have prevented them from using services they felt they needed. </w:t>
      </w:r>
    </w:p>
    <w:p w:rsidR="00590512" w:rsidRDefault="00590512" w:rsidP="00590512">
      <w:pPr>
        <w:pStyle w:val="BodyText"/>
      </w:pPr>
      <w:r>
        <w:t xml:space="preserve">The first survey asked about services used in the six months prior to the survey. By contrast, the reference period </w:t>
      </w:r>
      <w:r w:rsidRPr="003B5671">
        <w:t xml:space="preserve">in the second </w:t>
      </w:r>
      <w:r>
        <w:t xml:space="preserve">survey was 12 </w:t>
      </w:r>
      <w:r w:rsidRPr="003B5671">
        <w:t>months to match the</w:t>
      </w:r>
      <w:r>
        <w:t xml:space="preserve"> period over which mental disorders were assessed using the DISC-IV and also to align with service data from the other National </w:t>
      </w:r>
      <w:r>
        <w:lastRenderedPageBreak/>
        <w:t>Survey of Mental Health and Wellbeing initiative surveys, including the 2007 adult survey. Direct comparison of service use over these two different timeframes is not possible and data presented on services used by young people with mental disorders is also not comparable due to the differences in disorders.</w:t>
      </w:r>
    </w:p>
    <w:p w:rsidR="00590512" w:rsidRDefault="00590512" w:rsidP="00590512">
      <w:pPr>
        <w:pStyle w:val="BodyText"/>
      </w:pPr>
      <w:r>
        <w:t xml:space="preserve">The types of services covered in the second survey were also broader than those asked about in the first, reflecting significant changes in the types of services available to young people in 2013-14 compared with 1998. Questions were added about new health services, online services and information, and additional information was collected about services used in schools. </w:t>
      </w:r>
    </w:p>
    <w:p w:rsidR="00590512" w:rsidRDefault="00590512" w:rsidP="00590512">
      <w:pPr>
        <w:pStyle w:val="Heading3"/>
      </w:pPr>
      <w:r w:rsidRPr="0033715E">
        <w:t>Scoring algorithms</w:t>
      </w:r>
    </w:p>
    <w:p w:rsidR="00590512" w:rsidRPr="00B7194F" w:rsidRDefault="00590512" w:rsidP="00590512">
      <w:pPr>
        <w:pStyle w:val="BodyText"/>
      </w:pPr>
      <w:r>
        <w:t>There have been minor changes to the scoring algorithms used in the DISC-IV since 1998. The 1998 survey results for major depressive disorder, ADHD and conduct disorder have been recalculated using the latest algorithms to be comparable with the results from this second survey.</w:t>
      </w:r>
    </w:p>
    <w:p w:rsidR="00590512" w:rsidRDefault="00590512" w:rsidP="0074764C">
      <w:pPr>
        <w:pStyle w:val="BodyText"/>
        <w:sectPr w:rsidR="00590512" w:rsidSect="003330E0">
          <w:headerReference w:type="even" r:id="rId149"/>
          <w:headerReference w:type="default" r:id="rId150"/>
          <w:pgSz w:w="11906" w:h="16838" w:code="9"/>
          <w:pgMar w:top="1440" w:right="1440" w:bottom="1440" w:left="1440" w:header="567" w:footer="567" w:gutter="0"/>
          <w:pgNumType w:start="150"/>
          <w:cols w:space="720"/>
          <w:docGrid w:linePitch="360"/>
        </w:sectPr>
      </w:pPr>
    </w:p>
    <w:p w:rsidR="00590512" w:rsidRDefault="00590512" w:rsidP="00590512">
      <w:pPr>
        <w:pStyle w:val="Heading1"/>
      </w:pPr>
      <w:r>
        <w:lastRenderedPageBreak/>
        <w:t>Appendix 2 - Survey reference group membership</w:t>
      </w:r>
    </w:p>
    <w:p w:rsidR="00590512" w:rsidRDefault="00590512" w:rsidP="00590512">
      <w:pPr>
        <w:pStyle w:val="BodyText"/>
      </w:pPr>
      <w:r>
        <w:t>The Department of Health ran the survey with advice from the Survey Reference Group (SRG) who provided oversight in design, content and implementation of the survey. Membership of the SRG included</w:t>
      </w:r>
      <w:r>
        <w:rPr>
          <w:rStyle w:val="FootnoteReference"/>
        </w:rPr>
        <w:footnoteReference w:id="6"/>
      </w:r>
      <w:r>
        <w:t xml:space="preserve">: </w:t>
      </w:r>
    </w:p>
    <w:p w:rsidR="00590512" w:rsidRDefault="00590512" w:rsidP="00B276B2">
      <w:pPr>
        <w:pStyle w:val="Heading2"/>
      </w:pPr>
      <w:r>
        <w:t>Chairperson</w:t>
      </w:r>
    </w:p>
    <w:p w:rsidR="00590512" w:rsidRDefault="00590512" w:rsidP="00590512">
      <w:pPr>
        <w:pStyle w:val="BodyText"/>
      </w:pPr>
      <w:r>
        <w:t xml:space="preserve">Professor Harvey </w:t>
      </w:r>
      <w:proofErr w:type="spellStart"/>
      <w:r>
        <w:t>Whiteford</w:t>
      </w:r>
      <w:proofErr w:type="spellEnd"/>
      <w:r>
        <w:t xml:space="preserve">, </w:t>
      </w:r>
      <w:proofErr w:type="spellStart"/>
      <w:r>
        <w:t>Kratzman</w:t>
      </w:r>
      <w:proofErr w:type="spellEnd"/>
      <w:r>
        <w:t xml:space="preserve"> Professor Department of Psychiatry and Population Health, University of Queensland</w:t>
      </w:r>
    </w:p>
    <w:p w:rsidR="00590512" w:rsidRDefault="00590512" w:rsidP="00B276B2">
      <w:pPr>
        <w:pStyle w:val="Heading2"/>
      </w:pPr>
      <w:r>
        <w:t>Members</w:t>
      </w:r>
    </w:p>
    <w:p w:rsidR="00590512" w:rsidRDefault="00590512" w:rsidP="00590512">
      <w:pPr>
        <w:pStyle w:val="BodyText"/>
      </w:pPr>
      <w:r>
        <w:t>Mr Brenton Alexander, Acting Assistant Secretary, System Improvement Branch, Mental Health and Drug Treatment Division, Australian Government Department of Health</w:t>
      </w:r>
    </w:p>
    <w:p w:rsidR="00590512" w:rsidRDefault="00590512" w:rsidP="00590512">
      <w:pPr>
        <w:pStyle w:val="BodyText"/>
      </w:pPr>
      <w:r>
        <w:t xml:space="preserve">Dr Paul </w:t>
      </w:r>
      <w:proofErr w:type="spellStart"/>
      <w:r>
        <w:t>Balnaves</w:t>
      </w:r>
      <w:proofErr w:type="spellEnd"/>
      <w:r>
        <w:t>, Special Adviser, Engagement and Wellbeing Group at Department of Education</w:t>
      </w:r>
    </w:p>
    <w:p w:rsidR="00590512" w:rsidRDefault="00590512" w:rsidP="00590512">
      <w:pPr>
        <w:pStyle w:val="BodyText"/>
      </w:pPr>
      <w:r>
        <w:t xml:space="preserve">Mr </w:t>
      </w:r>
      <w:proofErr w:type="spellStart"/>
      <w:r>
        <w:t>Keiran</w:t>
      </w:r>
      <w:proofErr w:type="spellEnd"/>
      <w:r>
        <w:t xml:space="preserve"> Booth, Chief Executive Officer, ARAFMI NSW, Carer representative</w:t>
      </w:r>
    </w:p>
    <w:p w:rsidR="00590512" w:rsidRDefault="00590512" w:rsidP="00590512">
      <w:pPr>
        <w:pStyle w:val="BodyText"/>
      </w:pPr>
      <w:r>
        <w:t>Dr Peter Brann, Director of Research and Evaluation and Senior Clinical Psychologist, Eastern Health Child and Youth Mental Health Services, Victoria</w:t>
      </w:r>
    </w:p>
    <w:p w:rsidR="00590512" w:rsidRDefault="00590512" w:rsidP="00590512">
      <w:pPr>
        <w:pStyle w:val="BodyText"/>
      </w:pPr>
      <w:r>
        <w:t>Mr Bill Buckingham, Consultant/Technical Adviser, Mental Health and Drug Treatment Division,</w:t>
      </w:r>
      <w:r w:rsidRPr="00C62871">
        <w:t xml:space="preserve"> </w:t>
      </w:r>
      <w:r>
        <w:t>Australian Government Department of Health</w:t>
      </w:r>
    </w:p>
    <w:p w:rsidR="00590512" w:rsidRDefault="00590512" w:rsidP="00590512">
      <w:pPr>
        <w:pStyle w:val="BodyText"/>
      </w:pPr>
      <w:r>
        <w:t xml:space="preserve">Dr Brian </w:t>
      </w:r>
      <w:proofErr w:type="spellStart"/>
      <w:r>
        <w:t>Graetz</w:t>
      </w:r>
      <w:proofErr w:type="spellEnd"/>
      <w:r>
        <w:t xml:space="preserve">, General Manager, Research, Child and Youth, </w:t>
      </w:r>
      <w:proofErr w:type="spellStart"/>
      <w:r>
        <w:t>beyondblue</w:t>
      </w:r>
      <w:proofErr w:type="spellEnd"/>
    </w:p>
    <w:p w:rsidR="00590512" w:rsidRDefault="00590512" w:rsidP="00590512">
      <w:pPr>
        <w:pStyle w:val="BodyText"/>
      </w:pPr>
      <w:r>
        <w:t xml:space="preserve">Ms Colleen </w:t>
      </w:r>
      <w:proofErr w:type="spellStart"/>
      <w:r>
        <w:t>Krestensen</w:t>
      </w:r>
      <w:proofErr w:type="spellEnd"/>
      <w:r>
        <w:t>, Assistant Secretary, Drug Strategy Branch, Population Health Division, Australian Government Department of Health</w:t>
      </w:r>
    </w:p>
    <w:p w:rsidR="00590512" w:rsidRDefault="00590512" w:rsidP="00590512">
      <w:pPr>
        <w:pStyle w:val="BodyText"/>
      </w:pPr>
      <w:r>
        <w:t>Mr David Mackay, Assistant Secretary, Early Intervention and Prevention Branch, Mental Health and Drug Treatment Division, Australian Government Department of Health</w:t>
      </w:r>
    </w:p>
    <w:p w:rsidR="00590512" w:rsidRDefault="00590512" w:rsidP="00590512">
      <w:pPr>
        <w:pStyle w:val="BodyText"/>
      </w:pPr>
      <w:r>
        <w:t xml:space="preserve">Associate Professor </w:t>
      </w:r>
      <w:proofErr w:type="spellStart"/>
      <w:r>
        <w:t>Cathrine</w:t>
      </w:r>
      <w:proofErr w:type="spellEnd"/>
      <w:r>
        <w:t xml:space="preserve"> </w:t>
      </w:r>
      <w:proofErr w:type="spellStart"/>
      <w:r>
        <w:t>Mihalopoulos</w:t>
      </w:r>
      <w:proofErr w:type="spellEnd"/>
      <w:r>
        <w:t>, Head, Mental Health Economics Stream, Deakin University</w:t>
      </w:r>
    </w:p>
    <w:p w:rsidR="00590512" w:rsidRDefault="00590512" w:rsidP="00590512">
      <w:pPr>
        <w:pStyle w:val="BodyText"/>
      </w:pPr>
      <w:r>
        <w:t>Professor George Patton, Professor of Adolescent Health Research, Royal Children’s Hospital, University of Melbourne</w:t>
      </w:r>
    </w:p>
    <w:p w:rsidR="00590512" w:rsidRDefault="00590512" w:rsidP="00590512">
      <w:pPr>
        <w:pStyle w:val="BodyText"/>
      </w:pPr>
      <w:r>
        <w:t>Ms Sue Phillips, Director, Disability and Mental Health, Australian Bureau of Statistics</w:t>
      </w:r>
    </w:p>
    <w:p w:rsidR="00590512" w:rsidRDefault="00590512" w:rsidP="00590512">
      <w:pPr>
        <w:pStyle w:val="BodyText"/>
      </w:pPr>
      <w:r>
        <w:t>Dr Helen Rogers, Director, Longitudinal Study of Australian Children, Australian Government Department of Social Services</w:t>
      </w:r>
    </w:p>
    <w:p w:rsidR="00590512" w:rsidRDefault="00590512" w:rsidP="00590512">
      <w:pPr>
        <w:pStyle w:val="BodyText"/>
      </w:pPr>
      <w:r>
        <w:lastRenderedPageBreak/>
        <w:t xml:space="preserve">Associate Professor Lena </w:t>
      </w:r>
      <w:proofErr w:type="spellStart"/>
      <w:r>
        <w:t>Sanci</w:t>
      </w:r>
      <w:proofErr w:type="spellEnd"/>
      <w:r>
        <w:t>, Deputy Head, Department of General Practice, University of Melbourne</w:t>
      </w:r>
    </w:p>
    <w:p w:rsidR="00590512" w:rsidRDefault="00590512" w:rsidP="00590512">
      <w:pPr>
        <w:pStyle w:val="BodyText"/>
      </w:pPr>
      <w:r>
        <w:t>Associate Professor James Scott, Consultant Psychiatrist, Centre for Clinical Research, University of Queensland</w:t>
      </w:r>
    </w:p>
    <w:p w:rsidR="00590512" w:rsidRDefault="00590512" w:rsidP="00590512">
      <w:pPr>
        <w:pStyle w:val="BodyText"/>
      </w:pPr>
      <w:r>
        <w:t>Associate Professor Tim Slade, National Drug and Alcohol Research Centre, University of New South Wales</w:t>
      </w:r>
    </w:p>
    <w:p w:rsidR="00590512" w:rsidRDefault="00590512" w:rsidP="00590512">
      <w:pPr>
        <w:pStyle w:val="BodyText"/>
      </w:pPr>
      <w:r>
        <w:t xml:space="preserve">Dr </w:t>
      </w:r>
      <w:proofErr w:type="spellStart"/>
      <w:r>
        <w:t>Titia</w:t>
      </w:r>
      <w:proofErr w:type="spellEnd"/>
      <w:r>
        <w:t xml:space="preserve"> Sprague, Associate Director, Clinical Service Development and Quality, MH-Kids, New South Wales Department of Health</w:t>
      </w:r>
    </w:p>
    <w:p w:rsidR="00590512" w:rsidRDefault="00590512" w:rsidP="00590512">
      <w:pPr>
        <w:pStyle w:val="BodyText"/>
      </w:pPr>
      <w:r>
        <w:t>Mr Gavin Stewart, Principal, Applied Epidemiology</w:t>
      </w:r>
    </w:p>
    <w:p w:rsidR="00590512" w:rsidRDefault="00590512" w:rsidP="00590512">
      <w:pPr>
        <w:pStyle w:val="BodyText"/>
      </w:pPr>
      <w:r>
        <w:t>Dr Sue Thomson, Head of Educational Monitoring and Research and Director of the National Surveys Research Program, Australian Council of Educational Research</w:t>
      </w:r>
    </w:p>
    <w:p w:rsidR="00590512" w:rsidRDefault="00590512" w:rsidP="00590512">
      <w:pPr>
        <w:pStyle w:val="BodyText"/>
      </w:pPr>
      <w:r>
        <w:t xml:space="preserve">Ms Vittoria </w:t>
      </w:r>
      <w:proofErr w:type="spellStart"/>
      <w:r>
        <w:t>Tonin</w:t>
      </w:r>
      <w:proofErr w:type="spellEnd"/>
      <w:r>
        <w:t xml:space="preserve">, </w:t>
      </w:r>
      <w:r w:rsidR="0025452D">
        <w:t>Management Resident (Graduate)</w:t>
      </w:r>
      <w:bookmarkStart w:id="284" w:name="_GoBack"/>
      <w:bookmarkEnd w:id="284"/>
      <w:r>
        <w:t xml:space="preserve"> at the Australian College of Health Service Management, Consumer Representative</w:t>
      </w:r>
    </w:p>
    <w:p w:rsidR="00590512" w:rsidRDefault="00590512" w:rsidP="00590512">
      <w:pPr>
        <w:pStyle w:val="BodyText"/>
      </w:pPr>
    </w:p>
    <w:p w:rsidR="00590512" w:rsidRDefault="00590512" w:rsidP="0074764C">
      <w:pPr>
        <w:pStyle w:val="BodyText"/>
        <w:sectPr w:rsidR="00590512" w:rsidSect="003330E0">
          <w:headerReference w:type="even" r:id="rId151"/>
          <w:headerReference w:type="default" r:id="rId152"/>
          <w:pgSz w:w="11906" w:h="16838" w:code="9"/>
          <w:pgMar w:top="1440" w:right="1440" w:bottom="1440" w:left="1440" w:header="567" w:footer="567" w:gutter="0"/>
          <w:pgNumType w:start="167"/>
          <w:cols w:space="720"/>
          <w:docGrid w:linePitch="360"/>
        </w:sectPr>
      </w:pPr>
    </w:p>
    <w:p w:rsidR="00590512" w:rsidRPr="004E6B5C" w:rsidRDefault="00590512" w:rsidP="00590512">
      <w:pPr>
        <w:pStyle w:val="Heading1"/>
        <w:keepNext w:val="0"/>
        <w:keepLines w:val="0"/>
      </w:pPr>
      <w:r>
        <w:lastRenderedPageBreak/>
        <w:t>Appendix 3 - G</w:t>
      </w:r>
      <w:r w:rsidRPr="004E6B5C">
        <w:t>lossary</w:t>
      </w:r>
    </w:p>
    <w:tbl>
      <w:tblPr>
        <w:tblW w:w="0" w:type="auto"/>
        <w:tblBorders>
          <w:top w:val="single" w:sz="6" w:space="0" w:color="000000"/>
          <w:bottom w:val="single" w:sz="6" w:space="0" w:color="000000"/>
        </w:tblBorders>
        <w:tblCellMar>
          <w:left w:w="0" w:type="dxa"/>
        </w:tblCellMar>
        <w:tblLook w:val="04A0" w:firstRow="1" w:lastRow="0" w:firstColumn="1" w:lastColumn="0" w:noHBand="0" w:noVBand="1"/>
        <w:tblDescription w:val="The first column defines the glossary term being defined in the glossary. The second column provides the definition of each term. Read across the rows to find the definition of each term in the glossary."/>
      </w:tblPr>
      <w:tblGrid>
        <w:gridCol w:w="2369"/>
        <w:gridCol w:w="6657"/>
      </w:tblGrid>
      <w:tr w:rsidR="00590512" w:rsidRPr="004E6B5C" w:rsidTr="003330E0">
        <w:trPr>
          <w:cantSplit/>
          <w:tblHeader/>
        </w:trPr>
        <w:tc>
          <w:tcPr>
            <w:tcW w:w="2369" w:type="dxa"/>
            <w:tcBorders>
              <w:bottom w:val="single" w:sz="6" w:space="0" w:color="auto"/>
            </w:tcBorders>
            <w:shd w:val="clear" w:color="auto" w:fill="auto"/>
            <w:vAlign w:val="bottom"/>
          </w:tcPr>
          <w:p w:rsidR="00590512" w:rsidRPr="00253A35" w:rsidRDefault="00590512" w:rsidP="00302454">
            <w:pPr>
              <w:pStyle w:val="TableColumnHeadings"/>
              <w:spacing w:after="240"/>
              <w:jc w:val="left"/>
              <w:rPr>
                <w:sz w:val="24"/>
                <w:szCs w:val="24"/>
              </w:rPr>
            </w:pPr>
            <w:r w:rsidRPr="00253A35">
              <w:rPr>
                <w:sz w:val="24"/>
                <w:szCs w:val="24"/>
              </w:rPr>
              <w:t>Glossary term</w:t>
            </w:r>
          </w:p>
        </w:tc>
        <w:tc>
          <w:tcPr>
            <w:tcW w:w="6657" w:type="dxa"/>
            <w:tcBorders>
              <w:bottom w:val="single" w:sz="6" w:space="0" w:color="auto"/>
            </w:tcBorders>
            <w:shd w:val="clear" w:color="auto" w:fill="auto"/>
            <w:vAlign w:val="bottom"/>
          </w:tcPr>
          <w:p w:rsidR="00590512" w:rsidRPr="00253A35" w:rsidRDefault="00590512" w:rsidP="00302454">
            <w:pPr>
              <w:pStyle w:val="TableColumnHeadings"/>
              <w:spacing w:after="240"/>
              <w:jc w:val="left"/>
              <w:rPr>
                <w:sz w:val="24"/>
                <w:szCs w:val="24"/>
              </w:rPr>
            </w:pPr>
            <w:r w:rsidRPr="00253A35">
              <w:rPr>
                <w:sz w:val="24"/>
                <w:szCs w:val="24"/>
              </w:rPr>
              <w:t>Definition</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12-month prevalence</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Meeting diagnostic criteria according to the DSM-IV (for the purposes of this report) in the 12 months prior to interview. Prevalence includes both new cases, whose symptoms first developed during the 12 months prior to the interview and continuing cases whose symptoms were present prior to the 12 months, but persisted, and were at a level to meet the diagnostic criteria in the 12 months prior to interview.</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Adolescent self-report questionnaire</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The questionnaire for completion by young people aged 11 years and older. Subject to the permission of their parents or carers, young people were asked to complete this in private using a tablet computer.</w:t>
            </w:r>
          </w:p>
          <w:p w:rsidR="00590512" w:rsidRPr="004E6B5C" w:rsidRDefault="00590512" w:rsidP="00302454">
            <w:pPr>
              <w:pStyle w:val="BodyText"/>
            </w:pPr>
            <w:r w:rsidRPr="004E6B5C">
              <w:t>The questionnaire comprised the following modules:</w:t>
            </w:r>
          </w:p>
          <w:p w:rsidR="00590512" w:rsidRPr="00253A35" w:rsidRDefault="00590512" w:rsidP="00590512">
            <w:pPr>
              <w:pStyle w:val="ListParagraph"/>
              <w:numPr>
                <w:ilvl w:val="0"/>
                <w:numId w:val="17"/>
              </w:numPr>
            </w:pPr>
            <w:r w:rsidRPr="00253A35">
              <w:t>DISC-IV major depressive disorder module;</w:t>
            </w:r>
          </w:p>
          <w:p w:rsidR="00590512" w:rsidRPr="00253A35" w:rsidRDefault="00590512" w:rsidP="00590512">
            <w:pPr>
              <w:pStyle w:val="ListParagraph"/>
              <w:numPr>
                <w:ilvl w:val="0"/>
                <w:numId w:val="17"/>
              </w:numPr>
            </w:pPr>
            <w:r w:rsidRPr="00253A35">
              <w:t>Presence of symptoms of psychosis;</w:t>
            </w:r>
          </w:p>
          <w:p w:rsidR="00590512" w:rsidRPr="00253A35" w:rsidRDefault="00590512" w:rsidP="00590512">
            <w:pPr>
              <w:pStyle w:val="ListParagraph"/>
              <w:numPr>
                <w:ilvl w:val="0"/>
                <w:numId w:val="17"/>
              </w:numPr>
            </w:pPr>
            <w:r w:rsidRPr="00253A35">
              <w:t>Strengths and Difficulties Questionnaire (SDQ);</w:t>
            </w:r>
          </w:p>
          <w:p w:rsidR="00590512" w:rsidRPr="00253A35" w:rsidRDefault="00590512" w:rsidP="00590512">
            <w:pPr>
              <w:pStyle w:val="ListParagraph"/>
              <w:numPr>
                <w:ilvl w:val="0"/>
                <w:numId w:val="17"/>
              </w:numPr>
            </w:pPr>
            <w:r w:rsidRPr="00253A35">
              <w:t>Kessler Psychological Distress Scale (K10+);</w:t>
            </w:r>
          </w:p>
          <w:p w:rsidR="00590512" w:rsidRPr="00253A35" w:rsidRDefault="00590512" w:rsidP="00590512">
            <w:pPr>
              <w:pStyle w:val="ListParagraph"/>
              <w:numPr>
                <w:ilvl w:val="0"/>
                <w:numId w:val="17"/>
              </w:numPr>
            </w:pPr>
            <w:r w:rsidRPr="00253A35">
              <w:t>Use of services and perceived need for services;</w:t>
            </w:r>
          </w:p>
          <w:p w:rsidR="00590512" w:rsidRPr="00253A35" w:rsidRDefault="00590512" w:rsidP="00590512">
            <w:pPr>
              <w:pStyle w:val="ListParagraph"/>
              <w:numPr>
                <w:ilvl w:val="0"/>
                <w:numId w:val="17"/>
              </w:numPr>
            </w:pPr>
            <w:r w:rsidRPr="00253A35">
              <w:t>Use of internet;</w:t>
            </w:r>
          </w:p>
          <w:p w:rsidR="00590512" w:rsidRPr="00253A35" w:rsidRDefault="00590512" w:rsidP="00590512">
            <w:pPr>
              <w:pStyle w:val="ListParagraph"/>
              <w:numPr>
                <w:ilvl w:val="0"/>
                <w:numId w:val="17"/>
              </w:numPr>
            </w:pPr>
            <w:r w:rsidRPr="00253A35">
              <w:t>Youth health-risk behaviours, including self-harm, suicidal behaviours, substance use, disordered eating behaviours and sexual behaviour</w:t>
            </w:r>
          </w:p>
          <w:p w:rsidR="00590512" w:rsidRPr="00253A35" w:rsidRDefault="00590512" w:rsidP="00590512">
            <w:pPr>
              <w:pStyle w:val="ListParagraph"/>
              <w:numPr>
                <w:ilvl w:val="0"/>
                <w:numId w:val="17"/>
              </w:numPr>
            </w:pPr>
            <w:r w:rsidRPr="00253A35">
              <w:t>Experience of bullying;</w:t>
            </w:r>
          </w:p>
          <w:p w:rsidR="00590512" w:rsidRPr="00253A35" w:rsidRDefault="00590512" w:rsidP="00590512">
            <w:pPr>
              <w:pStyle w:val="ListParagraph"/>
              <w:numPr>
                <w:ilvl w:val="0"/>
                <w:numId w:val="17"/>
              </w:numPr>
            </w:pPr>
            <w:r w:rsidRPr="00253A35">
              <w:t>Level of education; and</w:t>
            </w:r>
          </w:p>
          <w:p w:rsidR="00590512" w:rsidRPr="00253A35" w:rsidRDefault="00590512" w:rsidP="00590512">
            <w:pPr>
              <w:pStyle w:val="ListParagraph"/>
              <w:numPr>
                <w:ilvl w:val="0"/>
                <w:numId w:val="17"/>
              </w:numPr>
            </w:pPr>
            <w:r w:rsidRPr="00253A35">
              <w:t>Level of self-esteem.</w:t>
            </w:r>
          </w:p>
          <w:p w:rsidR="00590512" w:rsidRPr="004E6B5C" w:rsidRDefault="00590512" w:rsidP="00302454">
            <w:pPr>
              <w:pStyle w:val="BodyText"/>
            </w:pPr>
            <w:r w:rsidRPr="004E6B5C">
              <w:t xml:space="preserve">Age criteria were set for some sections of the questionnaire. Questions about self-harm and suicidal behaviours were only asked of young people aged 12 years and older. Questions about </w:t>
            </w:r>
            <w:r>
              <w:t xml:space="preserve">use of services and perceived need for services, </w:t>
            </w:r>
            <w:r w:rsidRPr="004E6B5C">
              <w:t>sexual behaviours, and smoking, alcohol and other drugs were asked of young people aged 13 years and older.</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Alcohol consumption</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Young people aged 13 years and over were asked if they had ever had a drink of alcohol other than a few sips, if they had drunk alcohol in the past 30 days and if they had consumed more than four drinks in a row (that is within a couple of hours).</w:t>
            </w:r>
          </w:p>
        </w:tc>
      </w:tr>
      <w:tr w:rsidR="00590512" w:rsidRPr="004E6B5C" w:rsidTr="003330E0">
        <w:tc>
          <w:tcPr>
            <w:tcW w:w="2369" w:type="dxa"/>
            <w:tcBorders>
              <w:top w:val="single" w:sz="6" w:space="0" w:color="auto"/>
            </w:tcBorders>
          </w:tcPr>
          <w:p w:rsidR="00590512" w:rsidRPr="004E6B5C" w:rsidRDefault="00590512" w:rsidP="00302454">
            <w:pPr>
              <w:pStyle w:val="BodyText"/>
            </w:pPr>
            <w:r w:rsidRPr="004E6B5C">
              <w:t>Anxiety disorders</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 xml:space="preserve">A class of mental disorders defined by the experience of intense and debilitating anxiety. </w:t>
            </w:r>
          </w:p>
          <w:p w:rsidR="00590512" w:rsidRPr="004E6B5C" w:rsidRDefault="00590512" w:rsidP="00302454">
            <w:pPr>
              <w:pStyle w:val="BodyText"/>
            </w:pPr>
            <w:r w:rsidRPr="004E6B5C">
              <w:t xml:space="preserve">The types of anxiety disorders covered in the survey were social phobia, separation anxiety disorder (SAD), generalized anxiety disorder (GAD), </w:t>
            </w:r>
            <w:r w:rsidRPr="004E6B5C">
              <w:lastRenderedPageBreak/>
              <w:t>and obsessive-compulsive disorder (OCD).</w:t>
            </w:r>
          </w:p>
          <w:p w:rsidR="00590512" w:rsidRPr="004E6B5C" w:rsidRDefault="00590512" w:rsidP="00302454">
            <w:pPr>
              <w:pStyle w:val="BodyText"/>
            </w:pPr>
            <w:r w:rsidRPr="004E6B5C">
              <w:t>Modules for each of these four anxiety disorders from the DISC-IV were completed by parents and carers and their responses used to determine if the young person met the diagnostic criteria for an anxiety disorder in the 12 months prior to interview.</w:t>
            </w:r>
          </w:p>
          <w:p w:rsidR="00590512" w:rsidRPr="004E6B5C" w:rsidRDefault="00590512" w:rsidP="00302454">
            <w:pPr>
              <w:pStyle w:val="BodyText"/>
            </w:pPr>
            <w:r w:rsidRPr="004E6B5C">
              <w:t>Anxiety disorders were not included in the first survey in 1998.</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lastRenderedPageBreak/>
              <w:t>Area of residence</w:t>
            </w:r>
          </w:p>
        </w:tc>
        <w:tc>
          <w:tcPr>
            <w:tcW w:w="6657" w:type="dxa"/>
            <w:tcBorders>
              <w:top w:val="single" w:sz="6" w:space="0" w:color="auto"/>
              <w:bottom w:val="single" w:sz="6" w:space="0" w:color="auto"/>
            </w:tcBorders>
          </w:tcPr>
          <w:p w:rsidR="00590512" w:rsidRPr="004E6B5C" w:rsidRDefault="00590512" w:rsidP="00822B56">
            <w:pPr>
              <w:pStyle w:val="BodyText"/>
            </w:pPr>
            <w:r w:rsidRPr="004E6B5C">
              <w:t xml:space="preserve">Area of residence was categorised as either </w:t>
            </w:r>
            <w:r>
              <w:t>Greater capital cities</w:t>
            </w:r>
            <w:r w:rsidRPr="004E6B5C">
              <w:t xml:space="preserve"> or </w:t>
            </w:r>
            <w:r>
              <w:t>Rest of state</w:t>
            </w:r>
            <w:r w:rsidRPr="004E6B5C">
              <w:t xml:space="preserve"> based on the ABS Greater Capital City Statistical Area (GCCSA) classification. This classification represents the functional extent of the eight state and territory capital cities in Australia. Households within these areas were classified as </w:t>
            </w:r>
            <w:r>
              <w:t xml:space="preserve">Greater </w:t>
            </w:r>
            <w:r w:rsidR="00822B56">
              <w:t>c</w:t>
            </w:r>
            <w:r>
              <w:t xml:space="preserve">apital </w:t>
            </w:r>
            <w:r w:rsidR="00822B56">
              <w:t>c</w:t>
            </w:r>
            <w:r>
              <w:t>ities</w:t>
            </w:r>
            <w:r w:rsidRPr="004E6B5C">
              <w:t xml:space="preserve">. The remainder were classed as </w:t>
            </w:r>
            <w:r>
              <w:t>Rest of state</w:t>
            </w:r>
            <w:r w:rsidRPr="004E6B5C">
              <w:t>.</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Attention-deficit/hyperactivity disorder (ADHD)</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Persist</w:t>
            </w:r>
            <w:r>
              <w:t>ent pattern of inattention and/</w:t>
            </w:r>
            <w:r w:rsidRPr="004E6B5C">
              <w:t>or hyperactivity-impulsivity. Children and adolescents may find it difficult to pay attention and see tasks or activities through to the end or make careless mistakes with school work or other tasks. Children and adolescents with problems in the area of hyperactivity may talk excessively, have trouble staying still when it is appropriate or expected and act like they are ‘always on the go’.</w:t>
            </w:r>
          </w:p>
          <w:p w:rsidR="00590512" w:rsidRPr="004E6B5C" w:rsidRDefault="00590512" w:rsidP="00302454">
            <w:pPr>
              <w:pStyle w:val="BodyText"/>
            </w:pPr>
            <w:r w:rsidRPr="004E6B5C">
              <w:t>There are three subtypes of ADHD based on the most common symptoms. Those with mostly inattentive symptoms are diagnosed with ADHD, predominantly inattentive type and individuals with primarily hyperactivity-impulsivity symptoms are diagnosed with ADHD, predominantly hyperactive-impulsive type. Those children and adolescents with symptoms of both inattentiveness and hyperactivity are diagnosed with ADHD, combined type.</w:t>
            </w:r>
          </w:p>
          <w:p w:rsidR="00590512" w:rsidRPr="004E6B5C" w:rsidRDefault="00590512" w:rsidP="00302454">
            <w:pPr>
              <w:pStyle w:val="BodyText"/>
            </w:pPr>
            <w:r w:rsidRPr="004E6B5C">
              <w:t xml:space="preserve">To meet DSM-IV criteria symptoms must be more frequent and severe than in other individuals at a similar developmental stage, persist for at least six months and some impairment from the symptoms must be present in two or more settings (e.g. at school and at home). </w:t>
            </w:r>
          </w:p>
          <w:p w:rsidR="00590512" w:rsidRPr="004E6B5C" w:rsidRDefault="00590512" w:rsidP="00302454">
            <w:pPr>
              <w:pStyle w:val="BodyText"/>
            </w:pPr>
            <w:r w:rsidRPr="004E6B5C">
              <w:t>The module for ADHD from the DISC-IV was completed by parents and carers and their responses used to determine if the young person met the DSM-IV criteria for ADHD in the 12 months prior to interview.</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 xml:space="preserve">Binge eating and </w:t>
            </w:r>
            <w:r>
              <w:br/>
            </w:r>
            <w:r w:rsidRPr="004E6B5C">
              <w:t xml:space="preserve">purging problem </w:t>
            </w:r>
            <w:r>
              <w:br/>
            </w:r>
            <w:r w:rsidRPr="004E6B5C">
              <w:t>eating behaviour</w:t>
            </w:r>
          </w:p>
        </w:tc>
        <w:tc>
          <w:tcPr>
            <w:tcW w:w="6657" w:type="dxa"/>
            <w:tcBorders>
              <w:top w:val="single" w:sz="6" w:space="0" w:color="auto"/>
            </w:tcBorders>
          </w:tcPr>
          <w:p w:rsidR="00590512" w:rsidRPr="004E6B5C" w:rsidRDefault="00590512" w:rsidP="00302454">
            <w:pPr>
              <w:pStyle w:val="BodyText"/>
            </w:pPr>
            <w:r w:rsidRPr="004E6B5C">
              <w:t>Both binge eating and either vomiting or taking laxatives to control weight</w:t>
            </w:r>
            <w:r>
              <w:t xml:space="preserve"> in adolescents with a </w:t>
            </w:r>
            <w:r w:rsidRPr="004E6B5C">
              <w:t xml:space="preserve">Body Mass Index (BMI) </w:t>
            </w:r>
            <w:r>
              <w:t xml:space="preserve">that was not </w:t>
            </w:r>
            <w:r w:rsidRPr="004E6B5C">
              <w:t>in the underweight range.</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Bullying</w:t>
            </w:r>
          </w:p>
        </w:tc>
        <w:tc>
          <w:tcPr>
            <w:tcW w:w="6657" w:type="dxa"/>
            <w:tcBorders>
              <w:bottom w:val="single" w:sz="6" w:space="0" w:color="auto"/>
            </w:tcBorders>
          </w:tcPr>
          <w:p w:rsidR="00590512" w:rsidRPr="004E6B5C" w:rsidRDefault="00590512" w:rsidP="00302454">
            <w:pPr>
              <w:pStyle w:val="BodyText"/>
            </w:pPr>
            <w:r w:rsidRPr="004E6B5C">
              <w:t>When people tease, threaten, spread rumours about, hit, shove, or hurt other people over and over again.</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Carer</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The primary carer was the individual in the household who knew the most about the child selected for interview in the survey. In a majority of cases this was the mother of the survey child. If a biological, adoptive or foster parent of the child was the primary carer and another biological, adoptive or foster parent of the child was present in the household, this person was designated as the secondary carer. Otherwise, if there was another person present in the household who was also responsible for caring for the study child, they were recorded as the secondary carer.</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Comorbidity</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 xml:space="preserve">Occurrence of more than one mental disorder within the same period. </w:t>
            </w:r>
          </w:p>
          <w:p w:rsidR="00590512" w:rsidRPr="004E6B5C" w:rsidRDefault="00590512" w:rsidP="00302454">
            <w:pPr>
              <w:pStyle w:val="BodyText"/>
            </w:pPr>
            <w:r w:rsidRPr="004E6B5C">
              <w:t>For the purposes of the survey this was defined as more than one of the disorders (an anxiety disorder, major depressive disorder, ADHD and conduct disorder) in the 12 months prior to interview.</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Conduct disorder</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Repetitive and persistent behaviour to a degree that violates the basic rights of others, major societal norms or rules in terms of aggression towards people or animals, destruction of property, deceitfulness or theft, and serious violation of rules. Young people with conduct disorder exhibit a range of behaviours often including bullying, frequent physical fights, deliberately destroying other’s property, breaking into properties or cars, staying out late at night without permission, running away from home or frequent truancy from school.</w:t>
            </w:r>
          </w:p>
          <w:p w:rsidR="00590512" w:rsidRPr="004E6B5C" w:rsidRDefault="00590512" w:rsidP="00302454">
            <w:pPr>
              <w:pStyle w:val="BodyText"/>
            </w:pPr>
            <w:r w:rsidRPr="004E6B5C">
              <w:t>The DSM-IV criteria specify that at least three or more of these behaviours must have been present in the past 12 months, with at least one in the past 6 months. These behaviours must also cause clinically significant impairment in social, academic or occupational functioning.</w:t>
            </w:r>
          </w:p>
          <w:p w:rsidR="00590512" w:rsidRPr="004E6B5C" w:rsidRDefault="00590512" w:rsidP="00302454">
            <w:pPr>
              <w:pStyle w:val="BodyText"/>
            </w:pPr>
            <w:r w:rsidRPr="004E6B5C">
              <w:t xml:space="preserve">The module for </w:t>
            </w:r>
            <w:r>
              <w:t>c</w:t>
            </w:r>
            <w:r w:rsidRPr="004E6B5C">
              <w:t xml:space="preserve">onduct disorders from the DISC-IV was completed by parents and carers and their responses used to determine if the young person met the DSM-IV criteria for </w:t>
            </w:r>
            <w:r>
              <w:t>c</w:t>
            </w:r>
            <w:r w:rsidRPr="004E6B5C">
              <w:t>onduct disorder in the 12 months prior to interview.</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Cyber bullying</w:t>
            </w:r>
          </w:p>
        </w:tc>
        <w:tc>
          <w:tcPr>
            <w:tcW w:w="6657" w:type="dxa"/>
            <w:tcBorders>
              <w:top w:val="single" w:sz="6" w:space="0" w:color="auto"/>
            </w:tcBorders>
          </w:tcPr>
          <w:p w:rsidR="00590512" w:rsidRPr="004E6B5C" w:rsidRDefault="00590512" w:rsidP="00302454">
            <w:pPr>
              <w:pStyle w:val="BodyText"/>
            </w:pPr>
            <w:r w:rsidRPr="004E6B5C">
              <w:t>When people use mobile phones or the internet to send nasty or threatening emails or messages, post mean or nasty comments or pictures on websites like Facebook, or have someone pretend to be them online to hurt other people over and over again.</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 xml:space="preserve">Days </w:t>
            </w:r>
            <w:r>
              <w:t>absent from</w:t>
            </w:r>
            <w:r>
              <w:br/>
            </w:r>
            <w:r w:rsidRPr="004E6B5C">
              <w:t>school</w:t>
            </w:r>
          </w:p>
        </w:tc>
        <w:tc>
          <w:tcPr>
            <w:tcW w:w="6657" w:type="dxa"/>
            <w:tcBorders>
              <w:bottom w:val="single" w:sz="6" w:space="0" w:color="auto"/>
            </w:tcBorders>
          </w:tcPr>
          <w:p w:rsidR="00590512" w:rsidRPr="004E6B5C" w:rsidRDefault="00590512" w:rsidP="00302454">
            <w:pPr>
              <w:pStyle w:val="BodyText"/>
            </w:pPr>
            <w:r w:rsidRPr="004E6B5C">
              <w:t>Number of days the study child was absent from school for any reason.</w:t>
            </w:r>
          </w:p>
          <w:p w:rsidR="00590512" w:rsidRPr="004E6B5C" w:rsidRDefault="00590512" w:rsidP="00302454">
            <w:pPr>
              <w:pStyle w:val="BodyText"/>
            </w:pPr>
            <w:r w:rsidRPr="004E6B5C">
              <w:t>Average days absent from school due to symptoms of mental disorder have been reported. Parents and carers were asked how many days their child had been absent from school in the past 12 months specifically due to the symptoms of each of the disorders that they reported symptoms. Averages were then calculated from all children and adolescents who met diagnostic criteria for the mental disorder, including those who did not miss any days of school due to their symptoms.</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C72EA6">
            <w:pPr>
              <w:pStyle w:val="BodyText"/>
            </w:pPr>
            <w:r w:rsidRPr="004E6B5C">
              <w:t xml:space="preserve">Diagnostic and </w:t>
            </w:r>
            <w:r>
              <w:br/>
            </w:r>
            <w:r w:rsidRPr="004E6B5C">
              <w:t xml:space="preserve">Statistical Manual of Mental Disorders, </w:t>
            </w:r>
            <w:r w:rsidR="00C72EA6">
              <w:t>fourth</w:t>
            </w:r>
            <w:r w:rsidRPr="004E6B5C">
              <w:t xml:space="preserve"> edition (DSM-IV)</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Produced by the American Psychiatric Association the manual provides standard criteria for the classification of all mental disorders for children and adults. These criteria are based on clinically significant sets of symptoms that are associated with impaired functioning by young people with the disorders.</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rPr>
                <w:highlight w:val="yellow"/>
              </w:rPr>
            </w:pPr>
            <w:r w:rsidRPr="004E6B5C">
              <w:t>Diagnostic Interview Schedule for Children Version IV (DISC-IV)</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 xml:space="preserve">Diagnostic tool comprised of a series of mental disorder modules that implements the criteria for mental disorders set out in the </w:t>
            </w:r>
            <w:r w:rsidRPr="00B067C5">
              <w:rPr>
                <w:rStyle w:val="Emphasis"/>
              </w:rPr>
              <w:t>Diagnostic and Statistical Manual of Mental disorders</w:t>
            </w:r>
            <w:r w:rsidRPr="004E6B5C">
              <w:t xml:space="preserve">, </w:t>
            </w:r>
            <w:r w:rsidR="00C72EA6">
              <w:t>four</w:t>
            </w:r>
            <w:r w:rsidRPr="004E6B5C">
              <w:t xml:space="preserve">th edition (DSM-IV). </w:t>
            </w:r>
          </w:p>
          <w:p w:rsidR="00590512" w:rsidRPr="004E6B5C" w:rsidRDefault="00590512" w:rsidP="00302454">
            <w:pPr>
              <w:pStyle w:val="BodyText"/>
            </w:pPr>
            <w:r w:rsidRPr="004E6B5C">
              <w:t>Modules for seven disorders were used in the survey</w:t>
            </w:r>
            <w:r>
              <w:t xml:space="preserve"> </w:t>
            </w:r>
            <w:r w:rsidRPr="004E6B5C">
              <w:t>—</w:t>
            </w:r>
            <w:r>
              <w:t xml:space="preserve"> s</w:t>
            </w:r>
            <w:r w:rsidRPr="004E6B5C">
              <w:t xml:space="preserve">ocial phobia, </w:t>
            </w:r>
            <w:r>
              <w:t>s</w:t>
            </w:r>
            <w:r w:rsidRPr="004E6B5C">
              <w:t xml:space="preserve">eparation anxiety disorder, </w:t>
            </w:r>
            <w:r>
              <w:t>g</w:t>
            </w:r>
            <w:r w:rsidRPr="004E6B5C">
              <w:t xml:space="preserve">eneralised anxiety disorder, </w:t>
            </w:r>
            <w:r>
              <w:t>o</w:t>
            </w:r>
            <w:r w:rsidRPr="004E6B5C">
              <w:t xml:space="preserve">bsessive-compulsive disorder, </w:t>
            </w:r>
            <w:r>
              <w:t>m</w:t>
            </w:r>
            <w:r w:rsidRPr="004E6B5C">
              <w:t xml:space="preserve">ajor depressive disorder, Attention-Deficit/Hyperactivity Disorder (ADHD) and </w:t>
            </w:r>
            <w:r>
              <w:t>c</w:t>
            </w:r>
            <w:r w:rsidRPr="004E6B5C">
              <w:t>onduct disorder.</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Drug use</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The survey asked whether young people aged 13 years and older had ever used cannabis or marijuana, whether they had used cannabis or marijuana in the last 30 days, and whether they had used other drugs. These included using prescription drugs for non-medical purposes; ecstasy; amphetamines and methamphetamines; cocaine; hallucinogens such as LSD; inhalants such as petrol, glue, aerosols, paint, solvents or nitrous; heroin; steroids; GHB or ketamine.</w:t>
            </w:r>
          </w:p>
        </w:tc>
      </w:tr>
      <w:tr w:rsidR="00590512" w:rsidRPr="004E6B5C" w:rsidTr="003330E0">
        <w:trPr>
          <w:cantSplit/>
        </w:trPr>
        <w:tc>
          <w:tcPr>
            <w:tcW w:w="2369" w:type="dxa"/>
            <w:tcBorders>
              <w:top w:val="single" w:sz="6" w:space="0" w:color="auto"/>
            </w:tcBorders>
          </w:tcPr>
          <w:p w:rsidR="00590512" w:rsidRPr="0038135E" w:rsidRDefault="00590512" w:rsidP="00302454">
            <w:pPr>
              <w:pStyle w:val="BodyText"/>
            </w:pPr>
            <w:r w:rsidRPr="0038135E">
              <w:t>Family functioning</w:t>
            </w:r>
          </w:p>
        </w:tc>
        <w:tc>
          <w:tcPr>
            <w:tcW w:w="6657" w:type="dxa"/>
            <w:tcBorders>
              <w:top w:val="single" w:sz="6" w:space="0" w:color="auto"/>
            </w:tcBorders>
          </w:tcPr>
          <w:p w:rsidR="00590512" w:rsidRPr="0038135E" w:rsidRDefault="00590512" w:rsidP="00302454">
            <w:pPr>
              <w:pStyle w:val="BodyText"/>
            </w:pPr>
            <w:r w:rsidRPr="0038135E">
              <w:t>A shortened version of the General Functioning Subscale of the McMaster Family Assessment Device was used to classify families into four levels of functioning.</w:t>
            </w:r>
            <w:r w:rsidRPr="0038135E">
              <w:rPr>
                <w:rStyle w:val="FootnoteReference"/>
              </w:rPr>
              <w:footnoteReference w:id="7"/>
            </w:r>
            <w:r w:rsidRPr="0038135E">
              <w:t xml:space="preserve"> This ranged from very good through to poor, with poor indicating unhealthy family functioning likely to require clinical intervention. Of all families in the survey 3.7% had a poor level of family functioning.</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Family type</w:t>
            </w:r>
          </w:p>
        </w:tc>
        <w:tc>
          <w:tcPr>
            <w:tcW w:w="6657" w:type="dxa"/>
            <w:tcBorders>
              <w:bottom w:val="single" w:sz="6" w:space="0" w:color="auto"/>
            </w:tcBorders>
          </w:tcPr>
          <w:p w:rsidR="00590512" w:rsidRPr="004E6B5C" w:rsidRDefault="00590512" w:rsidP="00302454">
            <w:pPr>
              <w:pStyle w:val="BodyText"/>
            </w:pPr>
            <w:r w:rsidRPr="004E6B5C">
              <w:t>Families were classified into families with two parents or carers and families with one parent or carer. Families with two parents or carers were further categorised into original</w:t>
            </w:r>
            <w:r>
              <w:t>,</w:t>
            </w:r>
            <w:r w:rsidRPr="004E6B5C">
              <w:t xml:space="preserve"> step, blended or other families corresponding to the Australian Bureau of Statistics family blending classification variable introduced in the 2006 Census. These are defined as follows:</w:t>
            </w:r>
          </w:p>
          <w:p w:rsidR="00590512" w:rsidRPr="004E6B5C" w:rsidRDefault="00590512" w:rsidP="00590512">
            <w:pPr>
              <w:pStyle w:val="BodyText"/>
              <w:numPr>
                <w:ilvl w:val="0"/>
                <w:numId w:val="24"/>
              </w:numPr>
            </w:pPr>
            <w:r w:rsidRPr="004E6B5C">
              <w:t>Original families contain at least one child who is the natural, adopted or foster child of both partners in the couple and no step children.</w:t>
            </w:r>
          </w:p>
          <w:p w:rsidR="00590512" w:rsidRPr="004E6B5C" w:rsidRDefault="00590512" w:rsidP="00590512">
            <w:pPr>
              <w:pStyle w:val="BodyText"/>
              <w:numPr>
                <w:ilvl w:val="0"/>
                <w:numId w:val="24"/>
              </w:numPr>
            </w:pPr>
            <w:r w:rsidRPr="004E6B5C">
              <w:t>The Australian Bureau of Statistics refers to this category as ‘intact families’.</w:t>
            </w:r>
          </w:p>
          <w:p w:rsidR="00590512" w:rsidRPr="004E6B5C" w:rsidRDefault="00590512" w:rsidP="00590512">
            <w:pPr>
              <w:pStyle w:val="BodyText"/>
              <w:numPr>
                <w:ilvl w:val="0"/>
                <w:numId w:val="24"/>
              </w:numPr>
            </w:pPr>
            <w:r w:rsidRPr="004E6B5C">
              <w:t>Step families have at least one resident step child, but no child who is the natural or adopted child of both partners.</w:t>
            </w:r>
          </w:p>
          <w:p w:rsidR="00590512" w:rsidRPr="004E6B5C" w:rsidRDefault="00590512" w:rsidP="00590512">
            <w:pPr>
              <w:pStyle w:val="BodyText"/>
              <w:numPr>
                <w:ilvl w:val="0"/>
                <w:numId w:val="24"/>
              </w:numPr>
            </w:pPr>
            <w:r w:rsidRPr="004E6B5C">
              <w:t>Blended families have two or more children; at least one child who is the natural or adopted child of both parents, and at least one who is the step child of one of them.</w:t>
            </w:r>
          </w:p>
          <w:p w:rsidR="00590512" w:rsidRPr="004E6B5C" w:rsidRDefault="00590512" w:rsidP="00590512">
            <w:pPr>
              <w:pStyle w:val="BodyText"/>
              <w:numPr>
                <w:ilvl w:val="0"/>
                <w:numId w:val="24"/>
              </w:numPr>
            </w:pPr>
            <w:r w:rsidRPr="004E6B5C">
              <w:t>Other families have no children who are the natural, adopted, foster or step child of either parent or carer. These include families with children being raised by their grandparents or other relatives.</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Generalised anxiety disorder</w:t>
            </w:r>
          </w:p>
        </w:tc>
        <w:tc>
          <w:tcPr>
            <w:tcW w:w="6657" w:type="dxa"/>
            <w:tcBorders>
              <w:top w:val="single" w:sz="6" w:space="0" w:color="auto"/>
            </w:tcBorders>
          </w:tcPr>
          <w:p w:rsidR="00590512" w:rsidRPr="004E6B5C" w:rsidRDefault="00590512" w:rsidP="00302454">
            <w:pPr>
              <w:pStyle w:val="BodyText"/>
            </w:pPr>
            <w:r w:rsidRPr="004E6B5C">
              <w:t>An anxiety disorder characterised by excessive anxiety, worry or apprehension about a number of different events or activities.</w:t>
            </w:r>
          </w:p>
          <w:p w:rsidR="00590512" w:rsidRPr="004E6B5C" w:rsidRDefault="00590512" w:rsidP="00302454">
            <w:pPr>
              <w:pStyle w:val="BodyText"/>
            </w:pPr>
            <w:r w:rsidRPr="004E6B5C">
              <w:t>To meet DSM-IV criteria, symptoms must occur more days than not for a period of at least six months. The constant worry causes distress to the individual. The child or adolescent has difficulty controlling the worry, and experiences impairment in social, academic or other important areas of functioning.</w:t>
            </w:r>
          </w:p>
          <w:p w:rsidR="00590512" w:rsidRPr="004E6B5C" w:rsidRDefault="00590512" w:rsidP="00302454">
            <w:pPr>
              <w:pStyle w:val="BodyText"/>
            </w:pPr>
            <w:r w:rsidRPr="004E6B5C">
              <w:t xml:space="preserve">The module for </w:t>
            </w:r>
            <w:r>
              <w:t>g</w:t>
            </w:r>
            <w:r w:rsidRPr="004E6B5C">
              <w:t xml:space="preserve">eneralised anxiety disorder from the DISC-IV was completed by parents and carers and their responses used to determine if the young person met the DSM-IV criteria for </w:t>
            </w:r>
            <w:r>
              <w:t>g</w:t>
            </w:r>
            <w:r w:rsidRPr="004E6B5C">
              <w:t>eneralised anxiety disorder in the 12 months prior to interview.</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Health service provider</w:t>
            </w:r>
          </w:p>
        </w:tc>
        <w:tc>
          <w:tcPr>
            <w:tcW w:w="6657" w:type="dxa"/>
            <w:tcBorders>
              <w:bottom w:val="single" w:sz="6" w:space="0" w:color="auto"/>
            </w:tcBorders>
          </w:tcPr>
          <w:p w:rsidR="00590512" w:rsidRPr="004E6B5C" w:rsidRDefault="00590512" w:rsidP="00302454">
            <w:pPr>
              <w:pStyle w:val="BodyText"/>
            </w:pPr>
            <w:r w:rsidRPr="004E6B5C">
              <w:t>Providers of health services regardless of the setting or medium in which that service is provided.</w:t>
            </w:r>
          </w:p>
          <w:p w:rsidR="00590512" w:rsidRPr="004E6B5C" w:rsidRDefault="00590512" w:rsidP="00302454">
            <w:pPr>
              <w:pStyle w:val="BodyText"/>
            </w:pPr>
            <w:r w:rsidRPr="004E6B5C">
              <w:t>Specific health service providers covered by the survey were:</w:t>
            </w:r>
          </w:p>
          <w:p w:rsidR="00590512" w:rsidRPr="004E6B5C" w:rsidRDefault="00590512" w:rsidP="00590512">
            <w:pPr>
              <w:pStyle w:val="ListParagraph"/>
              <w:numPr>
                <w:ilvl w:val="0"/>
                <w:numId w:val="23"/>
              </w:numPr>
            </w:pPr>
            <w:r w:rsidRPr="004E6B5C">
              <w:t>general practitioner;</w:t>
            </w:r>
          </w:p>
          <w:p w:rsidR="00590512" w:rsidRPr="004E6B5C" w:rsidRDefault="00590512" w:rsidP="00590512">
            <w:pPr>
              <w:pStyle w:val="ListParagraph"/>
              <w:numPr>
                <w:ilvl w:val="0"/>
                <w:numId w:val="23"/>
              </w:numPr>
            </w:pPr>
            <w:r w:rsidRPr="004E6B5C">
              <w:t>paediatrician;</w:t>
            </w:r>
          </w:p>
          <w:p w:rsidR="00590512" w:rsidRPr="004E6B5C" w:rsidRDefault="00590512" w:rsidP="00590512">
            <w:pPr>
              <w:pStyle w:val="ListParagraph"/>
              <w:numPr>
                <w:ilvl w:val="0"/>
                <w:numId w:val="23"/>
              </w:numPr>
            </w:pPr>
            <w:r w:rsidRPr="004E6B5C">
              <w:t>psychiatrist;</w:t>
            </w:r>
          </w:p>
          <w:p w:rsidR="00590512" w:rsidRPr="004E6B5C" w:rsidRDefault="00590512" w:rsidP="00590512">
            <w:pPr>
              <w:pStyle w:val="ListParagraph"/>
              <w:numPr>
                <w:ilvl w:val="0"/>
                <w:numId w:val="23"/>
              </w:numPr>
            </w:pPr>
            <w:r w:rsidRPr="004E6B5C">
              <w:t>psychologist;</w:t>
            </w:r>
          </w:p>
          <w:p w:rsidR="00590512" w:rsidRPr="004E6B5C" w:rsidRDefault="00590512" w:rsidP="00590512">
            <w:pPr>
              <w:pStyle w:val="ListParagraph"/>
              <w:numPr>
                <w:ilvl w:val="0"/>
                <w:numId w:val="23"/>
              </w:numPr>
            </w:pPr>
            <w:r w:rsidRPr="004E6B5C">
              <w:t>nurse;</w:t>
            </w:r>
          </w:p>
          <w:p w:rsidR="00590512" w:rsidRPr="004E6B5C" w:rsidRDefault="00590512" w:rsidP="00590512">
            <w:pPr>
              <w:pStyle w:val="ListParagraph"/>
              <w:numPr>
                <w:ilvl w:val="0"/>
                <w:numId w:val="23"/>
              </w:numPr>
            </w:pPr>
            <w:r w:rsidRPr="004E6B5C">
              <w:t>social worker;</w:t>
            </w:r>
          </w:p>
          <w:p w:rsidR="00590512" w:rsidRPr="004E6B5C" w:rsidRDefault="00590512" w:rsidP="00590512">
            <w:pPr>
              <w:pStyle w:val="ListParagraph"/>
              <w:numPr>
                <w:ilvl w:val="0"/>
                <w:numId w:val="23"/>
              </w:numPr>
            </w:pPr>
            <w:r w:rsidRPr="004E6B5C">
              <w:t>occupational therapist; and</w:t>
            </w:r>
          </w:p>
          <w:p w:rsidR="00590512" w:rsidRPr="004E6B5C" w:rsidRDefault="00590512" w:rsidP="00590512">
            <w:pPr>
              <w:pStyle w:val="ListParagraph"/>
              <w:numPr>
                <w:ilvl w:val="0"/>
                <w:numId w:val="23"/>
              </w:numPr>
            </w:pPr>
            <w:proofErr w:type="gramStart"/>
            <w:r w:rsidRPr="004E6B5C">
              <w:t>counsellor</w:t>
            </w:r>
            <w:proofErr w:type="gramEnd"/>
            <w:r w:rsidRPr="004E6B5C">
              <w:t xml:space="preserve"> or family therapist.</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Impact on functioning</w:t>
            </w:r>
          </w:p>
        </w:tc>
        <w:tc>
          <w:tcPr>
            <w:tcW w:w="6657" w:type="dxa"/>
            <w:tcBorders>
              <w:top w:val="single" w:sz="6" w:space="0" w:color="auto"/>
              <w:bottom w:val="single" w:sz="6" w:space="0" w:color="auto"/>
            </w:tcBorders>
          </w:tcPr>
          <w:p w:rsidR="00590512" w:rsidRPr="004E6B5C" w:rsidRDefault="00590512" w:rsidP="00302454">
            <w:pPr>
              <w:pStyle w:val="BodyText"/>
            </w:pPr>
            <w:proofErr w:type="gramStart"/>
            <w:r w:rsidRPr="004E6B5C">
              <w:t>see</w:t>
            </w:r>
            <w:proofErr w:type="gramEnd"/>
            <w:r w:rsidRPr="004E6B5C">
              <w:t xml:space="preserve"> Severity of impact on functioning.</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Labour force status</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Classifies people as employed when working full-time, part-time or away from work, or not in employment when unemployed or not in the labour force. Employed inc</w:t>
            </w:r>
            <w:r>
              <w:t>ludes casual, temporary or part-</w:t>
            </w:r>
            <w:r w:rsidRPr="004E6B5C">
              <w:t>time work if it was for an hour or more</w:t>
            </w:r>
            <w:r>
              <w:t xml:space="preserve"> in the reference week</w:t>
            </w:r>
            <w:r w:rsidRPr="004E6B5C">
              <w:t xml:space="preserve">. </w:t>
            </w:r>
          </w:p>
          <w:p w:rsidR="00590512" w:rsidRPr="004E6B5C" w:rsidRDefault="00590512" w:rsidP="00302454">
            <w:pPr>
              <w:pStyle w:val="BodyText"/>
            </w:pPr>
            <w:r w:rsidRPr="004E6B5C">
              <w:t>For the purposes of the survey this was collected for both parents and carers for the previous week.</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Low weight problem eating behaviours</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Body Mass Index (BMI) in the underweight range and young person dieted, fasted, vomited or used laxatives to lose weight or regularly exercised when they were supposed to be doing other things.</w:t>
            </w:r>
          </w:p>
        </w:tc>
      </w:tr>
      <w:tr w:rsidR="00590512" w:rsidRPr="004E6B5C" w:rsidTr="003330E0">
        <w:tc>
          <w:tcPr>
            <w:tcW w:w="2369" w:type="dxa"/>
            <w:tcBorders>
              <w:top w:val="single" w:sz="6" w:space="0" w:color="auto"/>
            </w:tcBorders>
          </w:tcPr>
          <w:p w:rsidR="00590512" w:rsidRPr="004E6B5C" w:rsidRDefault="00590512" w:rsidP="00302454">
            <w:pPr>
              <w:pStyle w:val="BodyText"/>
            </w:pPr>
            <w:r w:rsidRPr="004E6B5C">
              <w:t>Major depressive disorder</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The key feature of major depressive disorder is the presence of either depressed mood, loss of interest or pleasure or being grouchy, irritable and in a bad mood. Symptoms may include significant weight loss or weight gain, loss of appetite, insomnia or hypersomnia, restlessness, fatigue and loss of energy, feelings of worthlessness and inability to concentrate.</w:t>
            </w:r>
          </w:p>
          <w:p w:rsidR="00590512" w:rsidRPr="004E6B5C" w:rsidRDefault="00590512" w:rsidP="00302454">
            <w:pPr>
              <w:pStyle w:val="BodyText"/>
            </w:pPr>
            <w:r w:rsidRPr="004E6B5C">
              <w:t xml:space="preserve">The DSM-IV criteria specify that at least five symptoms of depression must be present for a minimum of a two-week period, that these symptoms cause clinically significant distress to the child or adolescent and that they must interfere with the child or adolescent’s normal functioning at school, at home or in social settings. </w:t>
            </w:r>
          </w:p>
          <w:p w:rsidR="00590512" w:rsidRPr="004E6B5C" w:rsidRDefault="00590512" w:rsidP="00302454">
            <w:pPr>
              <w:pStyle w:val="BodyText"/>
            </w:pPr>
            <w:r w:rsidRPr="004E6B5C">
              <w:t xml:space="preserve">The module for </w:t>
            </w:r>
            <w:r>
              <w:t>m</w:t>
            </w:r>
            <w:r w:rsidRPr="004E6B5C">
              <w:t xml:space="preserve">ajor depressive disorder from the DISC-IV was completed by parents and carers and their responses used to determine if the young person met the DSM-IV criteria for </w:t>
            </w:r>
            <w:r>
              <w:t>m</w:t>
            </w:r>
            <w:r w:rsidRPr="004E6B5C">
              <w:t xml:space="preserve">ajor depressive disorder in the 12 months prior to interview. </w:t>
            </w:r>
          </w:p>
          <w:p w:rsidR="00590512" w:rsidRPr="004E6B5C" w:rsidRDefault="00590512" w:rsidP="00302454">
            <w:pPr>
              <w:pStyle w:val="BodyText"/>
            </w:pPr>
            <w:r w:rsidRPr="004E6B5C">
              <w:lastRenderedPageBreak/>
              <w:t>Young people aged 11 years and older also completed this module and prevalence data based on their responses are reported as ‘Major depressive disorder based on adolescent report’.</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lastRenderedPageBreak/>
              <w:t>Mental disorder</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Defined according to the detailed diagnostic criteria within classification systems. This covers:</w:t>
            </w:r>
          </w:p>
          <w:p w:rsidR="00590512" w:rsidRPr="004E6B5C" w:rsidRDefault="00590512" w:rsidP="00590512">
            <w:pPr>
              <w:pStyle w:val="ListParagraph"/>
              <w:numPr>
                <w:ilvl w:val="0"/>
                <w:numId w:val="22"/>
              </w:numPr>
            </w:pPr>
            <w:r w:rsidRPr="004E6B5C">
              <w:t>the nature, number and combination of symptoms;</w:t>
            </w:r>
          </w:p>
          <w:p w:rsidR="00590512" w:rsidRPr="004E6B5C" w:rsidRDefault="00590512" w:rsidP="00590512">
            <w:pPr>
              <w:pStyle w:val="ListParagraph"/>
              <w:numPr>
                <w:ilvl w:val="0"/>
                <w:numId w:val="22"/>
              </w:numPr>
            </w:pPr>
            <w:r w:rsidRPr="004E6B5C">
              <w:t xml:space="preserve">a time period over which the symptoms have been continuously experienced; </w:t>
            </w:r>
          </w:p>
          <w:p w:rsidR="00590512" w:rsidRPr="004E6B5C" w:rsidRDefault="00590512" w:rsidP="00590512">
            <w:pPr>
              <w:pStyle w:val="ListParagraph"/>
              <w:numPr>
                <w:ilvl w:val="0"/>
                <w:numId w:val="22"/>
              </w:numPr>
            </w:pPr>
            <w:r w:rsidRPr="004E6B5C">
              <w:t xml:space="preserve">the level of distress or impairment experienced; and </w:t>
            </w:r>
          </w:p>
          <w:p w:rsidR="00590512" w:rsidRPr="004E6B5C" w:rsidRDefault="00590512" w:rsidP="00590512">
            <w:pPr>
              <w:pStyle w:val="ListParagraph"/>
              <w:numPr>
                <w:ilvl w:val="0"/>
                <w:numId w:val="22"/>
              </w:numPr>
            </w:pPr>
            <w:proofErr w:type="gramStart"/>
            <w:r w:rsidRPr="004E6B5C">
              <w:t>circumstances</w:t>
            </w:r>
            <w:proofErr w:type="gramEnd"/>
            <w:r w:rsidRPr="004E6B5C">
              <w:t xml:space="preserve"> for exclusion of a diagnosis, such as it being due to a general medical condition or the symptoms being associated with another mental disorder. </w:t>
            </w:r>
          </w:p>
          <w:p w:rsidR="00590512" w:rsidRPr="004E6B5C" w:rsidRDefault="00590512" w:rsidP="00C72EA6">
            <w:pPr>
              <w:pStyle w:val="BodyText"/>
            </w:pPr>
            <w:r w:rsidRPr="004E6B5C">
              <w:t>The classification system used for mental disorders in this report was the Diagnostic and Statistical Manual of Mental Disorders</w:t>
            </w:r>
            <w:r w:rsidR="00C72EA6">
              <w:t>, f</w:t>
            </w:r>
            <w:r w:rsidRPr="004E6B5C">
              <w:t xml:space="preserve">ourth </w:t>
            </w:r>
            <w:r w:rsidR="00C72EA6">
              <w:t>e</w:t>
            </w:r>
            <w:r w:rsidRPr="004E6B5C">
              <w:t>dition (DSM-IV).</w:t>
            </w:r>
          </w:p>
        </w:tc>
      </w:tr>
      <w:tr w:rsidR="00590512" w:rsidRPr="004E6B5C" w:rsidTr="003330E0">
        <w:trPr>
          <w:cantSplit/>
        </w:trPr>
        <w:tc>
          <w:tcPr>
            <w:tcW w:w="2369" w:type="dxa"/>
            <w:tcBorders>
              <w:top w:val="single" w:sz="6" w:space="0" w:color="auto"/>
              <w:bottom w:val="single" w:sz="6" w:space="0" w:color="auto"/>
            </w:tcBorders>
            <w:shd w:val="clear" w:color="auto" w:fill="auto"/>
          </w:tcPr>
          <w:p w:rsidR="00590512" w:rsidRPr="004E6B5C" w:rsidRDefault="00590512" w:rsidP="00302454">
            <w:pPr>
              <w:pStyle w:val="BodyText"/>
              <w:rPr>
                <w:highlight w:val="yellow"/>
              </w:rPr>
            </w:pPr>
            <w:r w:rsidRPr="004E6B5C">
              <w:t>Not in employment</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Both unemployed and not in the labour force.</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Obsessive-compulsive disorder</w:t>
            </w:r>
          </w:p>
        </w:tc>
        <w:tc>
          <w:tcPr>
            <w:tcW w:w="6657" w:type="dxa"/>
            <w:tcBorders>
              <w:top w:val="single" w:sz="6" w:space="0" w:color="auto"/>
            </w:tcBorders>
          </w:tcPr>
          <w:p w:rsidR="00590512" w:rsidRPr="004E6B5C" w:rsidRDefault="00590512" w:rsidP="00302454">
            <w:pPr>
              <w:pStyle w:val="BodyText"/>
            </w:pPr>
            <w:r w:rsidRPr="004E6B5C">
              <w:t>An anxiety disorder characterised by recurrent obsessions or compulsions.</w:t>
            </w:r>
          </w:p>
          <w:p w:rsidR="00590512" w:rsidRPr="004E6B5C" w:rsidRDefault="00590512" w:rsidP="00302454">
            <w:pPr>
              <w:pStyle w:val="BodyText"/>
            </w:pPr>
            <w:r w:rsidRPr="004E6B5C">
              <w:t>Obsessions are persistent ideas, thoughts, impulses or images that are intrusive and difficult to control and that cause anxiety or distress. Common obsessions include worrying about things being dirty or having germs, or that the person might do something bad in public.</w:t>
            </w:r>
          </w:p>
          <w:p w:rsidR="00590512" w:rsidRPr="004E6B5C" w:rsidRDefault="00590512" w:rsidP="00302454">
            <w:pPr>
              <w:pStyle w:val="BodyText"/>
            </w:pPr>
            <w:r w:rsidRPr="004E6B5C">
              <w:t>Compulsions are repetitive behaviours, such as washing hands or changing clothes over and over, repetitively checking things, or counting or ordering things over and over.</w:t>
            </w:r>
          </w:p>
          <w:p w:rsidR="00590512" w:rsidRPr="004E6B5C" w:rsidRDefault="00590512" w:rsidP="00302454">
            <w:pPr>
              <w:pStyle w:val="BodyText"/>
            </w:pPr>
            <w:r w:rsidRPr="004E6B5C">
              <w:t xml:space="preserve">To meet DSM-IV criteria, the compulsions and obsessions must be severe enough to be time consuming and cause marked distress or significant impairment. </w:t>
            </w:r>
          </w:p>
          <w:p w:rsidR="00590512" w:rsidRPr="004E6B5C" w:rsidRDefault="00590512" w:rsidP="00302454">
            <w:pPr>
              <w:pStyle w:val="BodyText"/>
            </w:pPr>
            <w:r>
              <w:t>The module for o</w:t>
            </w:r>
            <w:r w:rsidRPr="004E6B5C">
              <w:t>bsessive</w:t>
            </w:r>
            <w:r>
              <w:t>-</w:t>
            </w:r>
            <w:r w:rsidRPr="004E6B5C">
              <w:t xml:space="preserve">compulsive disorder from the DISC-IV was completed by parents and carers and their responses used to determine if the young person met the DSM-IV criteria for </w:t>
            </w:r>
            <w:r>
              <w:t>o</w:t>
            </w:r>
            <w:r w:rsidRPr="004E6B5C">
              <w:t>bsessive compulsive disorder in the 12 months prior to interview.</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Oppositional problem behaviours</w:t>
            </w:r>
          </w:p>
        </w:tc>
        <w:tc>
          <w:tcPr>
            <w:tcW w:w="6657" w:type="dxa"/>
            <w:tcBorders>
              <w:bottom w:val="single" w:sz="6" w:space="0" w:color="auto"/>
            </w:tcBorders>
          </w:tcPr>
          <w:p w:rsidR="00590512" w:rsidRPr="004E6B5C" w:rsidRDefault="00590512" w:rsidP="00302454">
            <w:pPr>
              <w:pStyle w:val="BodyText"/>
            </w:pPr>
            <w:r w:rsidRPr="004E6B5C">
              <w:t xml:space="preserve">Negativistic, hostile and defiant behaviours, such as often losing temper, arguing with adults, actively defying adults’ requests and rules, being angry, resentful, spiteful or vindictive, lasting at least six months. </w:t>
            </w:r>
          </w:p>
          <w:p w:rsidR="00590512" w:rsidRPr="004E6B5C" w:rsidRDefault="00590512" w:rsidP="00302454">
            <w:pPr>
              <w:pStyle w:val="BodyText"/>
              <w:rPr>
                <w:lang w:eastAsia="en-AU"/>
              </w:rPr>
            </w:pPr>
            <w:r w:rsidRPr="004E6B5C">
              <w:t>The DISC-IV module for oppositional defiant disorder was included in the survey. However, unlike other disorders, the diagnosis for oppositional defiant disorder includes an element of clinical judgement that could not be implemented within the DISC</w:t>
            </w:r>
            <w:r>
              <w:t>-IV</w:t>
            </w:r>
            <w:r w:rsidRPr="004E6B5C">
              <w:t xml:space="preserve"> questions. In particular, for each symptom assessed in oppositional defiant disorder the DSM-IV specifies that the symptom criterion is met only if the behaviour occurs more frequently than is typically observed in individuals of comparable age and developmental level. A clinician is required to make this judgement. The data collection for </w:t>
            </w:r>
            <w:r w:rsidRPr="004E6B5C">
              <w:rPr>
                <w:i/>
              </w:rPr>
              <w:t>Young Minds Matter</w:t>
            </w:r>
            <w:r w:rsidRPr="004E6B5C">
              <w:t xml:space="preserve"> was undertaken by lay professional interviewers who were not specifically trained in psychology or psychiatry and expert clinical review of each child or adolescent in the survey was not undertaken. As such it was not possible to identify all criteria for assigning the diagnosis of oppositional defiant disorder. Instead these behaviours are referred to as oppositional problem behaviours to distinguish them from the diagnostic condition of oppositional defiant disorder. </w:t>
            </w:r>
          </w:p>
          <w:p w:rsidR="00590512" w:rsidRPr="004E6B5C" w:rsidRDefault="00590512" w:rsidP="00302454">
            <w:pPr>
              <w:pStyle w:val="BodyText"/>
            </w:pPr>
            <w:r w:rsidRPr="004E6B5C">
              <w:t>In this survey an exclusion criterion was defined so that children or adolescents who met the diagnostic criteria for conduct disorder were not considered to have oppositional problem behaviours.</w:t>
            </w:r>
          </w:p>
        </w:tc>
      </w:tr>
      <w:tr w:rsidR="00590512" w:rsidRPr="004E6B5C" w:rsidTr="003330E0">
        <w:tc>
          <w:tcPr>
            <w:tcW w:w="2369" w:type="dxa"/>
            <w:tcBorders>
              <w:top w:val="single" w:sz="6" w:space="0" w:color="auto"/>
            </w:tcBorders>
          </w:tcPr>
          <w:p w:rsidR="00590512" w:rsidRPr="004E6B5C" w:rsidRDefault="00590512" w:rsidP="00302454">
            <w:pPr>
              <w:pStyle w:val="BodyText"/>
            </w:pPr>
            <w:r w:rsidRPr="004E6B5C">
              <w:t>Perceived need for mental health care</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Extent to which people feel their need for mental health care has been met. The need for care was assessed across four types of help:</w:t>
            </w:r>
          </w:p>
          <w:p w:rsidR="00590512" w:rsidRPr="004E6B5C" w:rsidRDefault="00590512" w:rsidP="00590512">
            <w:pPr>
              <w:pStyle w:val="BodyText"/>
              <w:numPr>
                <w:ilvl w:val="0"/>
                <w:numId w:val="21"/>
              </w:numPr>
            </w:pPr>
            <w:r w:rsidRPr="004E6B5C">
              <w:t>Information about emotional or behavioural problems, treatment and available services;</w:t>
            </w:r>
          </w:p>
          <w:p w:rsidR="00590512" w:rsidRPr="004E6B5C" w:rsidRDefault="00590512" w:rsidP="00590512">
            <w:pPr>
              <w:pStyle w:val="BodyText"/>
              <w:numPr>
                <w:ilvl w:val="0"/>
                <w:numId w:val="21"/>
              </w:numPr>
            </w:pPr>
            <w:r w:rsidRPr="004E6B5C">
              <w:t>Prescribed medication for emotional or behavioural problems;</w:t>
            </w:r>
          </w:p>
          <w:p w:rsidR="00590512" w:rsidRPr="004E6B5C" w:rsidRDefault="00590512" w:rsidP="00590512">
            <w:pPr>
              <w:pStyle w:val="BodyText"/>
              <w:numPr>
                <w:ilvl w:val="0"/>
                <w:numId w:val="21"/>
              </w:numPr>
            </w:pPr>
            <w:r w:rsidRPr="004E6B5C">
              <w:t>Counselling or a talking therapy about problems or difficulties (either one-on-one, as a family or in a group); and</w:t>
            </w:r>
          </w:p>
          <w:p w:rsidR="00590512" w:rsidRPr="004E6B5C" w:rsidRDefault="00590512" w:rsidP="00590512">
            <w:pPr>
              <w:pStyle w:val="BodyText"/>
              <w:numPr>
                <w:ilvl w:val="0"/>
                <w:numId w:val="21"/>
              </w:numPr>
            </w:pPr>
            <w:r w:rsidRPr="004E6B5C">
              <w:t>Courses or other counselling for life skills, self-esteem or motivation.</w:t>
            </w:r>
          </w:p>
          <w:p w:rsidR="00590512" w:rsidRDefault="00590512" w:rsidP="00302454">
            <w:pPr>
              <w:pStyle w:val="BodyText"/>
            </w:pPr>
            <w:r w:rsidRPr="004E6B5C">
              <w:t xml:space="preserve">This was measured in the survey by a separate module that determined whether the child or adolescent had any need for help with emotional or behavioural problems and whether that need was met. Both parents or carers and adolescents were asked the same questions. </w:t>
            </w:r>
          </w:p>
          <w:p w:rsidR="00590512" w:rsidRPr="004E6B5C" w:rsidRDefault="00590512" w:rsidP="00302454">
            <w:pPr>
              <w:pStyle w:val="BodyText"/>
            </w:pPr>
            <w:r>
              <w:t xml:space="preserve">For each of the four types of help, the level of perceived need was classified as being either fully met, partially met, unmet or not needed. </w:t>
            </w:r>
            <w:r>
              <w:lastRenderedPageBreak/>
              <w:t>For those reporting a need for more than one type of help, perceived need for any type of help was based on a composite of the individual ratings for each type of help needed. Need for any type of help was rated as being fully met if for each type of help needed, that need was assessed as being fully met. Need for any type of help was partially met if any of the types of help were partially met or if there were combined ratings of fully met and unmet need. Need for any type of help was unmet if the level of need for all types of help needed was unmet.</w:t>
            </w:r>
            <w:r>
              <w:rPr>
                <w:rStyle w:val="FootnoteReference"/>
              </w:rPr>
              <w:footnoteReference w:id="8"/>
            </w:r>
          </w:p>
        </w:tc>
      </w:tr>
      <w:tr w:rsidR="00590512" w:rsidRPr="004E6B5C" w:rsidTr="003330E0">
        <w:tc>
          <w:tcPr>
            <w:tcW w:w="2369" w:type="dxa"/>
            <w:tcBorders>
              <w:top w:val="single" w:sz="6" w:space="0" w:color="auto"/>
            </w:tcBorders>
          </w:tcPr>
          <w:p w:rsidR="00590512" w:rsidRPr="004E6B5C" w:rsidRDefault="00590512" w:rsidP="00302454">
            <w:pPr>
              <w:pStyle w:val="BodyText"/>
            </w:pPr>
            <w:r w:rsidRPr="004E6B5C">
              <w:lastRenderedPageBreak/>
              <w:t>Problem eating behaviours</w:t>
            </w:r>
          </w:p>
        </w:tc>
        <w:tc>
          <w:tcPr>
            <w:tcW w:w="6657" w:type="dxa"/>
            <w:tcBorders>
              <w:top w:val="single" w:sz="6" w:space="0" w:color="auto"/>
            </w:tcBorders>
          </w:tcPr>
          <w:p w:rsidR="00590512" w:rsidRPr="004E6B5C" w:rsidRDefault="00590512" w:rsidP="00302454">
            <w:pPr>
              <w:pStyle w:val="BodyText"/>
            </w:pPr>
            <w:r w:rsidRPr="004E6B5C">
              <w:t xml:space="preserve">The survey did not assess DSM-IV criteria for eating disorders. Instead, the survey sought to identify eating behaviours that may be on the pathway to eating disorders. These were eating behaviours associated with low weight, and binge eating and purging. </w:t>
            </w:r>
          </w:p>
          <w:p w:rsidR="00590512" w:rsidRPr="004E6B5C" w:rsidRDefault="00590512" w:rsidP="00302454">
            <w:pPr>
              <w:pStyle w:val="BodyText"/>
            </w:pPr>
            <w:r w:rsidRPr="004E6B5C">
              <w:t xml:space="preserve">Questions were taken from the </w:t>
            </w:r>
            <w:r w:rsidRPr="004E6B5C">
              <w:rPr>
                <w:i/>
              </w:rPr>
              <w:t>Avon Longitudinal Study of Parents and Children</w:t>
            </w:r>
            <w:r w:rsidRPr="004E6B5C">
              <w:t xml:space="preserve"> to assess a range of activities young people may undertake to control their weight in the past 12 months. These were:</w:t>
            </w:r>
          </w:p>
          <w:p w:rsidR="00590512" w:rsidRPr="004E6B5C" w:rsidRDefault="00590512" w:rsidP="00302454">
            <w:pPr>
              <w:pStyle w:val="NumberedList"/>
            </w:pPr>
            <w:proofErr w:type="spellStart"/>
            <w:r w:rsidRPr="004E6B5C">
              <w:t>i</w:t>
            </w:r>
            <w:proofErr w:type="spellEnd"/>
            <w:r w:rsidRPr="004E6B5C">
              <w:t xml:space="preserve">) </w:t>
            </w:r>
            <w:r w:rsidRPr="004E6B5C">
              <w:tab/>
              <w:t>if they had gone on a diet to lose weight or keep from gaining weight;</w:t>
            </w:r>
          </w:p>
          <w:p w:rsidR="00590512" w:rsidRPr="004E6B5C" w:rsidRDefault="00590512" w:rsidP="00302454">
            <w:pPr>
              <w:pStyle w:val="NumberedList"/>
            </w:pPr>
            <w:r w:rsidRPr="004E6B5C">
              <w:t>ii)</w:t>
            </w:r>
            <w:r w:rsidRPr="004E6B5C">
              <w:tab/>
              <w:t>if there was a time when they had regularly exercised instead of doing other things that they were supposed to be doing, or while they were injured, in order to lose weight or to avoid gaining any weight;</w:t>
            </w:r>
          </w:p>
          <w:p w:rsidR="00590512" w:rsidRPr="004E6B5C" w:rsidRDefault="00590512" w:rsidP="00302454">
            <w:pPr>
              <w:pStyle w:val="NumberedList"/>
            </w:pPr>
            <w:r w:rsidRPr="004E6B5C">
              <w:t>iii)</w:t>
            </w:r>
            <w:r w:rsidRPr="004E6B5C">
              <w:tab/>
              <w:t>how often they had fasted for at least a day to lose weight or to avoid gaining any weight;</w:t>
            </w:r>
          </w:p>
          <w:p w:rsidR="00590512" w:rsidRPr="004E6B5C" w:rsidRDefault="00590512" w:rsidP="00302454">
            <w:pPr>
              <w:pStyle w:val="NumberedList"/>
            </w:pPr>
            <w:r w:rsidRPr="004E6B5C">
              <w:t>iv)</w:t>
            </w:r>
            <w:r w:rsidRPr="004E6B5C">
              <w:tab/>
              <w:t>how often they had made themselves throw up or vomit to lose weight or to avoid gaining any weight;</w:t>
            </w:r>
          </w:p>
          <w:p w:rsidR="00590512" w:rsidRPr="004E6B5C" w:rsidRDefault="00590512" w:rsidP="00302454">
            <w:pPr>
              <w:pStyle w:val="NumberedList"/>
            </w:pPr>
            <w:r w:rsidRPr="004E6B5C">
              <w:t>v)</w:t>
            </w:r>
            <w:r w:rsidRPr="004E6B5C">
              <w:tab/>
              <w:t>how often they had taken laxatives or other table</w:t>
            </w:r>
            <w:r>
              <w:t>t</w:t>
            </w:r>
            <w:r w:rsidRPr="004E6B5C">
              <w:t>s or medicines (diet pills or water tablets) to lose weight or to avoid gaining any weight; and</w:t>
            </w:r>
          </w:p>
          <w:p w:rsidR="00590512" w:rsidRPr="004E6B5C" w:rsidRDefault="00590512" w:rsidP="00302454">
            <w:pPr>
              <w:pStyle w:val="NumberedList"/>
            </w:pPr>
            <w:r w:rsidRPr="004E6B5C">
              <w:t>vi)</w:t>
            </w:r>
            <w:r w:rsidRPr="004E6B5C">
              <w:tab/>
              <w:t>how often they had been on an eating binge (defined as eating so much food that it would be like eating two or more entire meals in one sitting, or eating so much of one particular food, like lollies or ice cream, that it would make most people feel sick).</w:t>
            </w:r>
          </w:p>
          <w:p w:rsidR="00590512" w:rsidRPr="004E6B5C" w:rsidRDefault="00590512" w:rsidP="00302454">
            <w:pPr>
              <w:pStyle w:val="BodyText"/>
            </w:pPr>
            <w:r w:rsidRPr="004E6B5C">
              <w:t xml:space="preserve">Young people also self-reported their height and weight, and this was </w:t>
            </w:r>
            <w:r w:rsidRPr="004E6B5C">
              <w:lastRenderedPageBreak/>
              <w:t xml:space="preserve">used to assess their Body Mass Index (BMI). BMI ranges specifically designed for children and </w:t>
            </w:r>
            <w:r>
              <w:t>adolescents</w:t>
            </w:r>
            <w:r w:rsidRPr="004E6B5C">
              <w:t xml:space="preserve"> were used to classify underweight and overweight status</w:t>
            </w:r>
            <w:r>
              <w:t>.</w:t>
            </w:r>
            <w:r>
              <w:rPr>
                <w:rStyle w:val="FootnoteReference"/>
              </w:rPr>
              <w:footnoteReference w:id="9"/>
            </w:r>
          </w:p>
          <w:p w:rsidR="00590512" w:rsidRPr="004E6B5C" w:rsidRDefault="00590512" w:rsidP="00302454">
            <w:pPr>
              <w:pStyle w:val="BodyText"/>
            </w:pPr>
            <w:r w:rsidRPr="004E6B5C">
              <w:t>Young people were considered to have low-weight problem eating behaviour if their BMI was in the underweight range and they dieted, fasted, vomited or used laxatives to lose weight or regularly exercised when they were supposed to be doing other things.</w:t>
            </w:r>
          </w:p>
        </w:tc>
      </w:tr>
      <w:tr w:rsidR="00590512" w:rsidRPr="004E6B5C" w:rsidTr="003330E0">
        <w:trPr>
          <w:cantSplit/>
        </w:trPr>
        <w:tc>
          <w:tcPr>
            <w:tcW w:w="2369" w:type="dxa"/>
            <w:tcBorders>
              <w:bottom w:val="single" w:sz="6" w:space="0" w:color="auto"/>
            </w:tcBorders>
          </w:tcPr>
          <w:p w:rsidR="00590512" w:rsidRPr="004E6B5C" w:rsidRDefault="00590512" w:rsidP="00302454">
            <w:pPr>
              <w:rPr>
                <w:b/>
              </w:rPr>
            </w:pPr>
          </w:p>
        </w:tc>
        <w:tc>
          <w:tcPr>
            <w:tcW w:w="6657" w:type="dxa"/>
            <w:tcBorders>
              <w:bottom w:val="single" w:sz="6" w:space="0" w:color="auto"/>
            </w:tcBorders>
          </w:tcPr>
          <w:p w:rsidR="00590512" w:rsidRDefault="00590512" w:rsidP="00302454">
            <w:pPr>
              <w:pStyle w:val="BodyText"/>
            </w:pPr>
            <w:r w:rsidRPr="004E6B5C">
              <w:t xml:space="preserve">Young people were considered to have binge eating and purging problem eating behaviour if </w:t>
            </w:r>
            <w:r>
              <w:t xml:space="preserve">their BMI was not in the underweight range and </w:t>
            </w:r>
            <w:r w:rsidRPr="004E6B5C">
              <w:t>they reported both binge eating and either vomiting or taking laxatives to control weight.</w:t>
            </w:r>
          </w:p>
          <w:p w:rsidR="00590512" w:rsidRPr="004E6B5C" w:rsidRDefault="00590512" w:rsidP="00302454">
            <w:pPr>
              <w:pStyle w:val="BodyText"/>
            </w:pPr>
            <w:r>
              <w:t>Approximately 8% of young people did not provide either their height or weight. These young people were excluded from the calculations of BMI and low weight problem eating behaviour and binge eating and purging problem eating behaviour.</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t>Problem internet or electronic gaming behaviours</w:t>
            </w:r>
          </w:p>
        </w:tc>
        <w:tc>
          <w:tcPr>
            <w:tcW w:w="6657" w:type="dxa"/>
            <w:tcBorders>
              <w:top w:val="single" w:sz="6" w:space="0" w:color="auto"/>
            </w:tcBorders>
          </w:tcPr>
          <w:p w:rsidR="00590512" w:rsidRDefault="00590512" w:rsidP="00302454">
            <w:pPr>
              <w:pStyle w:val="BodyText"/>
            </w:pPr>
            <w:r>
              <w:t>Young people were asked about five specific behaviours that may be indicative of addiction to the internet, social media or electronic gaming:</w:t>
            </w:r>
          </w:p>
          <w:p w:rsidR="00590512" w:rsidRPr="00474353" w:rsidRDefault="00590512" w:rsidP="00302454">
            <w:pPr>
              <w:pStyle w:val="NumberedList"/>
            </w:pPr>
            <w:proofErr w:type="spellStart"/>
            <w:r w:rsidRPr="00474353">
              <w:t>i</w:t>
            </w:r>
            <w:proofErr w:type="spellEnd"/>
            <w:r w:rsidRPr="00474353">
              <w:t>)</w:t>
            </w:r>
            <w:r w:rsidRPr="00474353">
              <w:tab/>
              <w:t>going without eating or sleeping in order to be on the internet or play electronic games</w:t>
            </w:r>
          </w:p>
          <w:p w:rsidR="00590512" w:rsidRPr="00474353" w:rsidRDefault="00590512" w:rsidP="00302454">
            <w:pPr>
              <w:pStyle w:val="NumberedList"/>
            </w:pPr>
            <w:r w:rsidRPr="00474353">
              <w:t xml:space="preserve">ii) </w:t>
            </w:r>
            <w:r w:rsidRPr="00474353">
              <w:tab/>
              <w:t>feeling bothered or upset if they are unable to be on the internet or gaming</w:t>
            </w:r>
          </w:p>
          <w:p w:rsidR="00590512" w:rsidRPr="00474353" w:rsidRDefault="00590512" w:rsidP="00302454">
            <w:pPr>
              <w:pStyle w:val="NumberedList"/>
            </w:pPr>
            <w:r w:rsidRPr="00474353">
              <w:t>iii)</w:t>
            </w:r>
            <w:r w:rsidRPr="00474353">
              <w:tab/>
              <w:t>catching themselves surfing the internet or playing games even when they are not interested</w:t>
            </w:r>
          </w:p>
          <w:p w:rsidR="00590512" w:rsidRPr="00474353" w:rsidRDefault="00590512" w:rsidP="00302454">
            <w:pPr>
              <w:pStyle w:val="NumberedList"/>
            </w:pPr>
            <w:r w:rsidRPr="00474353">
              <w:t>iv)</w:t>
            </w:r>
            <w:r w:rsidRPr="00474353">
              <w:tab/>
              <w:t>spending less time than they should with family or friends or doing school work or work because of the time they spend on the internet or gaming</w:t>
            </w:r>
          </w:p>
          <w:p w:rsidR="00590512" w:rsidRPr="00474353" w:rsidRDefault="00590512" w:rsidP="00302454">
            <w:pPr>
              <w:pStyle w:val="NumberedList"/>
            </w:pPr>
            <w:r w:rsidRPr="00474353">
              <w:t>v)</w:t>
            </w:r>
            <w:r w:rsidRPr="00474353">
              <w:tab/>
            </w:r>
            <w:proofErr w:type="gramStart"/>
            <w:r w:rsidRPr="00474353">
              <w:t>having</w:t>
            </w:r>
            <w:proofErr w:type="gramEnd"/>
            <w:r w:rsidRPr="00474353">
              <w:t xml:space="preserve"> tried unsuccessfully to reduce the time spent on the internet or playing electronic games.</w:t>
            </w:r>
          </w:p>
          <w:p w:rsidR="00590512" w:rsidRPr="004E6B5C" w:rsidRDefault="00590512" w:rsidP="00302454">
            <w:pPr>
              <w:pStyle w:val="BodyText"/>
            </w:pPr>
            <w:r>
              <w:t>Problem internet or electronic gaming behaviour has been defined as reporting four or five of these individual indicators.</w:t>
            </w:r>
          </w:p>
        </w:tc>
      </w:tr>
      <w:tr w:rsidR="00590512" w:rsidRPr="004E6B5C" w:rsidTr="003330E0">
        <w:tc>
          <w:tcPr>
            <w:tcW w:w="2369" w:type="dxa"/>
            <w:tcBorders>
              <w:bottom w:val="single" w:sz="6" w:space="0" w:color="auto"/>
            </w:tcBorders>
          </w:tcPr>
          <w:p w:rsidR="00590512" w:rsidRPr="004E6B5C" w:rsidRDefault="00590512" w:rsidP="00302454">
            <w:pPr>
              <w:pStyle w:val="BodyText"/>
            </w:pPr>
            <w:r w:rsidRPr="004E6B5C">
              <w:lastRenderedPageBreak/>
              <w:t>Psychological distress</w:t>
            </w:r>
          </w:p>
        </w:tc>
        <w:tc>
          <w:tcPr>
            <w:tcW w:w="6657" w:type="dxa"/>
            <w:tcBorders>
              <w:bottom w:val="single" w:sz="6" w:space="0" w:color="auto"/>
            </w:tcBorders>
          </w:tcPr>
          <w:p w:rsidR="00590512" w:rsidRPr="004E6B5C" w:rsidRDefault="00590512" w:rsidP="00302454">
            <w:pPr>
              <w:pStyle w:val="BodyText"/>
            </w:pPr>
            <w:r w:rsidRPr="004E6B5C">
              <w:t xml:space="preserve">Measured by the Kessler Psychological Distress Scale (K10), a widely used scale designed to detect the differing levels of psychological distress in the general population. While high levels of distress are often associated with mental illness, it is not uncommon for some people to experience psychological distress, but not meet criteria for a mental disorder. </w:t>
            </w:r>
          </w:p>
          <w:p w:rsidR="00590512" w:rsidRPr="004E6B5C" w:rsidRDefault="00590512" w:rsidP="00302454">
            <w:pPr>
              <w:pStyle w:val="BodyText"/>
            </w:pPr>
            <w:r w:rsidRPr="004E6B5C">
              <w:t xml:space="preserve">The K10 is based on 10 questions about negative emotional states in the </w:t>
            </w:r>
            <w:r>
              <w:t>four</w:t>
            </w:r>
            <w:r w:rsidRPr="004E6B5C">
              <w:t xml:space="preserve"> </w:t>
            </w:r>
            <w:r>
              <w:t>weeks prior</w:t>
            </w:r>
            <w:r w:rsidRPr="004E6B5C">
              <w:t xml:space="preserve"> to int</w:t>
            </w:r>
            <w:r w:rsidR="00C72EA6">
              <w:t xml:space="preserve">erview. The K10 is scored from </w:t>
            </w:r>
            <w:r w:rsidRPr="004E6B5C">
              <w:t xml:space="preserve">0 to </w:t>
            </w:r>
            <w:r w:rsidR="00C72EA6">
              <w:t>4</w:t>
            </w:r>
            <w:r w:rsidRPr="004E6B5C">
              <w:t>0, with higher scores indicating higher levels of distress. In this report, scores are categorised as follows:</w:t>
            </w:r>
          </w:p>
          <w:p w:rsidR="00590512" w:rsidRPr="004E6B5C" w:rsidRDefault="00590512" w:rsidP="00590512">
            <w:pPr>
              <w:pStyle w:val="BulletList"/>
              <w:numPr>
                <w:ilvl w:val="0"/>
                <w:numId w:val="20"/>
              </w:numPr>
            </w:pPr>
            <w:r w:rsidRPr="004E6B5C">
              <w:t>0-5</w:t>
            </w:r>
            <w:r w:rsidRPr="004E6B5C">
              <w:tab/>
              <w:t>Low levels of psychological distress;</w:t>
            </w:r>
          </w:p>
          <w:p w:rsidR="00590512" w:rsidRPr="004E6B5C" w:rsidRDefault="00590512" w:rsidP="00590512">
            <w:pPr>
              <w:pStyle w:val="BulletList"/>
              <w:numPr>
                <w:ilvl w:val="0"/>
                <w:numId w:val="20"/>
              </w:numPr>
            </w:pPr>
            <w:r w:rsidRPr="004E6B5C">
              <w:t>6-</w:t>
            </w:r>
            <w:r w:rsidR="00C72EA6">
              <w:t>1</w:t>
            </w:r>
            <w:r w:rsidRPr="004E6B5C">
              <w:t>1</w:t>
            </w:r>
            <w:r w:rsidRPr="004E6B5C">
              <w:tab/>
              <w:t>Moderate levels of psychological distress;</w:t>
            </w:r>
          </w:p>
          <w:p w:rsidR="00590512" w:rsidRPr="004E6B5C" w:rsidRDefault="00C72EA6" w:rsidP="00590512">
            <w:pPr>
              <w:pStyle w:val="BulletList"/>
              <w:numPr>
                <w:ilvl w:val="0"/>
                <w:numId w:val="20"/>
              </w:numPr>
            </w:pPr>
            <w:r>
              <w:t>1</w:t>
            </w:r>
            <w:r w:rsidR="00590512" w:rsidRPr="004E6B5C">
              <w:t>2-</w:t>
            </w:r>
            <w:r>
              <w:t>1</w:t>
            </w:r>
            <w:r w:rsidR="00590512" w:rsidRPr="004E6B5C">
              <w:t>9</w:t>
            </w:r>
            <w:r w:rsidR="00590512" w:rsidRPr="004E6B5C">
              <w:tab/>
              <w:t>High levels of psychological distress; and</w:t>
            </w:r>
          </w:p>
          <w:p w:rsidR="00590512" w:rsidRPr="004E6B5C" w:rsidRDefault="00C72EA6" w:rsidP="00590512">
            <w:pPr>
              <w:pStyle w:val="BulletList"/>
              <w:numPr>
                <w:ilvl w:val="0"/>
                <w:numId w:val="20"/>
              </w:numPr>
            </w:pPr>
            <w:r>
              <w:t>2</w:t>
            </w:r>
            <w:r w:rsidR="00590512" w:rsidRPr="004E6B5C">
              <w:t>0-</w:t>
            </w:r>
            <w:r>
              <w:t>4</w:t>
            </w:r>
            <w:r w:rsidR="00590512" w:rsidRPr="004E6B5C">
              <w:t>0</w:t>
            </w:r>
            <w:r w:rsidR="00590512" w:rsidRPr="004E6B5C">
              <w:tab/>
              <w:t>Very high levels of psychological distress.</w:t>
            </w:r>
          </w:p>
          <w:p w:rsidR="00590512" w:rsidRPr="004E6B5C" w:rsidRDefault="00590512" w:rsidP="00302454">
            <w:pPr>
              <w:pStyle w:val="BodyText"/>
            </w:pPr>
            <w:r w:rsidRPr="004E6B5C">
              <w:t>In this survey the K10 scale was administered to primary carers about themselves, and was also included in the adolescent self-report questionnaire.</w:t>
            </w:r>
          </w:p>
          <w:p w:rsidR="00590512" w:rsidRPr="004E6B5C" w:rsidRDefault="00590512" w:rsidP="00302454">
            <w:pPr>
              <w:pStyle w:val="BodyText"/>
            </w:pPr>
            <w:r w:rsidRPr="004E6B5C">
              <w:t xml:space="preserve">Adolescents completed </w:t>
            </w:r>
            <w:r>
              <w:t xml:space="preserve">an enhanced version of </w:t>
            </w:r>
            <w:r w:rsidRPr="004E6B5C">
              <w:t>the K10+</w:t>
            </w:r>
            <w:r>
              <w:t xml:space="preserve"> with additional questions on anger, control, concentration and feeling calm and peaceful. The K10+ also includes questions about whether</w:t>
            </w:r>
            <w:r w:rsidRPr="004E6B5C">
              <w:t xml:space="preserve"> as a result of any reported distress they had any days when they could not carry out their normal activities.</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School services</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Individual counselling, group counselling or support program, special class or school, school nurse or other services received from the school or other educational institution that the child or adolescent attends.</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Self-harm</w:t>
            </w:r>
          </w:p>
        </w:tc>
        <w:tc>
          <w:tcPr>
            <w:tcW w:w="6657" w:type="dxa"/>
            <w:tcBorders>
              <w:top w:val="single" w:sz="6" w:space="0" w:color="auto"/>
            </w:tcBorders>
          </w:tcPr>
          <w:p w:rsidR="00590512" w:rsidRPr="004E6B5C" w:rsidRDefault="00590512" w:rsidP="00302454">
            <w:pPr>
              <w:pStyle w:val="BodyText"/>
            </w:pPr>
            <w:r w:rsidRPr="004E6B5C">
              <w:t xml:space="preserve">Deliberately hurting or injuring yourself without trying to end your life. </w:t>
            </w:r>
          </w:p>
          <w:p w:rsidR="00590512" w:rsidRPr="004E6B5C" w:rsidRDefault="00590512" w:rsidP="00302454">
            <w:pPr>
              <w:pStyle w:val="BodyText"/>
            </w:pPr>
            <w:r w:rsidRPr="004E6B5C">
              <w:t>Young people aged 12 years and older were asked if they had ever done something to cause themselves harm or injury without trying to end their life. They were also given the option of not responding and were not asked any further questions about self-harm.</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Separation anxiety disorder</w:t>
            </w:r>
          </w:p>
        </w:tc>
        <w:tc>
          <w:tcPr>
            <w:tcW w:w="6657" w:type="dxa"/>
            <w:tcBorders>
              <w:bottom w:val="single" w:sz="6" w:space="0" w:color="auto"/>
            </w:tcBorders>
          </w:tcPr>
          <w:p w:rsidR="00590512" w:rsidRPr="004E6B5C" w:rsidRDefault="00590512" w:rsidP="00302454">
            <w:pPr>
              <w:pStyle w:val="BodyText"/>
            </w:pPr>
            <w:r w:rsidRPr="004E6B5C">
              <w:t>An anxiety disorder characterised by excessive anxiety concerning separation from the home or from those to whom the child is attached.</w:t>
            </w:r>
          </w:p>
          <w:p w:rsidR="00590512" w:rsidRPr="004E6B5C" w:rsidRDefault="00590512" w:rsidP="00302454">
            <w:pPr>
              <w:pStyle w:val="BodyText"/>
            </w:pPr>
            <w:r w:rsidRPr="004E6B5C">
              <w:t xml:space="preserve">To meet DSM-IV criteria, the anxiety must be beyond that which is expected for the child or adolescent’s developmental level, and cause significant distress in social, academic or other important areas of functioning for at least four weeks. </w:t>
            </w:r>
          </w:p>
          <w:p w:rsidR="00590512" w:rsidRPr="004E6B5C" w:rsidRDefault="00590512" w:rsidP="00302454">
            <w:pPr>
              <w:pStyle w:val="BodyText"/>
            </w:pPr>
            <w:r w:rsidRPr="004E6B5C">
              <w:t xml:space="preserve">The module for </w:t>
            </w:r>
            <w:r>
              <w:t>s</w:t>
            </w:r>
            <w:r w:rsidRPr="004E6B5C">
              <w:t xml:space="preserve">eparation anxiety disorder from the DISC-IV was completed by parents and carers and their responses used to determine if the young person met the DSM-IV criteria for </w:t>
            </w:r>
            <w:r>
              <w:t>s</w:t>
            </w:r>
            <w:r w:rsidRPr="004E6B5C">
              <w:t>eparation anxiety disorder in the 12 months prior to interview.</w:t>
            </w:r>
          </w:p>
        </w:tc>
      </w:tr>
      <w:tr w:rsidR="00590512" w:rsidRPr="004E6B5C" w:rsidTr="003330E0">
        <w:trPr>
          <w:cantSplit/>
        </w:trPr>
        <w:tc>
          <w:tcPr>
            <w:tcW w:w="2369" w:type="dxa"/>
            <w:tcBorders>
              <w:top w:val="single" w:sz="6" w:space="0" w:color="auto"/>
              <w:bottom w:val="single" w:sz="6" w:space="0" w:color="auto"/>
            </w:tcBorders>
            <w:shd w:val="clear" w:color="auto" w:fill="auto"/>
          </w:tcPr>
          <w:p w:rsidR="00590512" w:rsidRPr="004E6B5C" w:rsidRDefault="00590512" w:rsidP="00302454">
            <w:pPr>
              <w:pStyle w:val="BodyText"/>
              <w:rPr>
                <w:highlight w:val="yellow"/>
              </w:rPr>
            </w:pPr>
            <w:r w:rsidRPr="004E6B5C">
              <w:t>Service use</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The use of all health and school services, but only those telephone and online services where these provided structured or personalised information.</w:t>
            </w:r>
          </w:p>
          <w:p w:rsidR="00590512" w:rsidRPr="004E6B5C" w:rsidRDefault="00590512" w:rsidP="00302454">
            <w:pPr>
              <w:pStyle w:val="BodyText"/>
            </w:pPr>
            <w:r w:rsidRPr="004E6B5C">
              <w:t xml:space="preserve">Children or adolescents were defined as having used services when they had </w:t>
            </w:r>
            <w:r>
              <w:t xml:space="preserve">used </w:t>
            </w:r>
            <w:r w:rsidRPr="004E6B5C">
              <w:t>at least</w:t>
            </w:r>
            <w:r>
              <w:t xml:space="preserve"> one of the following services:</w:t>
            </w:r>
            <w:r w:rsidRPr="004E6B5C">
              <w:t xml:space="preserve"> a consultation with a health service provider, a hospital admission, a headspace service, a school service, a telephone counselling service and/or online assistance for emotional or behavioural problems in the 12 months prior to interview.</w:t>
            </w:r>
          </w:p>
        </w:tc>
      </w:tr>
      <w:tr w:rsidR="00590512" w:rsidRPr="004E6B5C" w:rsidTr="003330E0">
        <w:trPr>
          <w:cantSplit/>
        </w:trPr>
        <w:tc>
          <w:tcPr>
            <w:tcW w:w="2369" w:type="dxa"/>
            <w:tcBorders>
              <w:top w:val="single" w:sz="6" w:space="0" w:color="auto"/>
            </w:tcBorders>
          </w:tcPr>
          <w:p w:rsidR="00590512" w:rsidRPr="004E6B5C" w:rsidRDefault="00590512" w:rsidP="00302454">
            <w:pPr>
              <w:pStyle w:val="BodyText"/>
            </w:pPr>
            <w:r w:rsidRPr="004E6B5C">
              <w:t>Services</w:t>
            </w:r>
          </w:p>
        </w:tc>
        <w:tc>
          <w:tcPr>
            <w:tcW w:w="6657" w:type="dxa"/>
            <w:tcBorders>
              <w:top w:val="single" w:sz="6" w:space="0" w:color="auto"/>
            </w:tcBorders>
          </w:tcPr>
          <w:p w:rsidR="00590512" w:rsidRPr="004E6B5C" w:rsidRDefault="00590512" w:rsidP="00302454">
            <w:pPr>
              <w:pStyle w:val="BodyText"/>
            </w:pPr>
            <w:r w:rsidRPr="004E6B5C">
              <w:t xml:space="preserve">Comprise all the health, school, telephone and online services defined as follows: </w:t>
            </w:r>
          </w:p>
          <w:p w:rsidR="00590512" w:rsidRPr="00253A35" w:rsidRDefault="00590512" w:rsidP="00590512">
            <w:pPr>
              <w:pStyle w:val="ListParagraph"/>
              <w:numPr>
                <w:ilvl w:val="0"/>
                <w:numId w:val="19"/>
              </w:numPr>
            </w:pPr>
            <w:r w:rsidRPr="00253A35">
              <w:t>health services — any service provided by a qualified health professional regardless of where that service was provided (community, hospital inpatient and emergency, and private rooms);</w:t>
            </w:r>
          </w:p>
          <w:p w:rsidR="00590512" w:rsidRPr="00253A35" w:rsidRDefault="00590512" w:rsidP="00590512">
            <w:pPr>
              <w:pStyle w:val="ListParagraph"/>
              <w:numPr>
                <w:ilvl w:val="0"/>
                <w:numId w:val="19"/>
              </w:numPr>
            </w:pPr>
            <w:r w:rsidRPr="00253A35">
              <w:t>school services — any service provided by the school or other educational institution that a young person was attending; and</w:t>
            </w:r>
          </w:p>
          <w:p w:rsidR="00590512" w:rsidRPr="004E6B5C" w:rsidRDefault="00590512" w:rsidP="00590512">
            <w:pPr>
              <w:pStyle w:val="ListParagraph"/>
              <w:numPr>
                <w:ilvl w:val="0"/>
                <w:numId w:val="19"/>
              </w:numPr>
            </w:pPr>
            <w:proofErr w:type="gramStart"/>
            <w:r w:rsidRPr="00253A35">
              <w:t>telephone</w:t>
            </w:r>
            <w:proofErr w:type="gramEnd"/>
            <w:r w:rsidRPr="00253A35">
              <w:t xml:space="preserve"> and online services where these provided structured or personalised assistance and not just generic information.</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Severity of impact on functioning</w:t>
            </w:r>
          </w:p>
        </w:tc>
        <w:tc>
          <w:tcPr>
            <w:tcW w:w="6657" w:type="dxa"/>
            <w:tcBorders>
              <w:bottom w:val="single" w:sz="6" w:space="0" w:color="auto"/>
            </w:tcBorders>
          </w:tcPr>
          <w:p w:rsidR="00590512" w:rsidRPr="004E6B5C" w:rsidRDefault="00590512" w:rsidP="00302454">
            <w:pPr>
              <w:pStyle w:val="BodyText"/>
            </w:pPr>
            <w:r w:rsidRPr="004E6B5C">
              <w:t>A total of 17 items was administered to respondents to assess the impact of disorder symptoms on the child or adolescent’s functioning at school</w:t>
            </w:r>
            <w:r>
              <w:t xml:space="preserve"> or work</w:t>
            </w:r>
            <w:r w:rsidRPr="004E6B5C">
              <w:t>, with friends, with their family and with respect to distress to the child or adolescent him or herself. A graded response model was used to create a composite impact on function score. This score was standardised with a range from -3.0 to +3.0 where higher scores represent increasing severity of impact on functioning.</w:t>
            </w:r>
          </w:p>
          <w:p w:rsidR="00590512" w:rsidRPr="004E6B5C" w:rsidRDefault="00590512" w:rsidP="00302454">
            <w:pPr>
              <w:pStyle w:val="BodyText"/>
            </w:pPr>
            <w:r w:rsidRPr="004E6B5C">
              <w:t>Children and adolescents were classified into three levels of impact on functioning by applying the national mental health service planning standard ratio of severity for mental disorders to the standardised score (1:2:4 for severe, moderate and mild cases). In addition suicide plans or attempts in the past 12 months were considered. The three levels are:</w:t>
            </w:r>
          </w:p>
          <w:p w:rsidR="00590512" w:rsidRPr="004E6B5C" w:rsidRDefault="00590512" w:rsidP="00590512">
            <w:pPr>
              <w:pStyle w:val="BulletList"/>
              <w:numPr>
                <w:ilvl w:val="0"/>
                <w:numId w:val="18"/>
              </w:numPr>
            </w:pPr>
            <w:r w:rsidRPr="004E6B5C">
              <w:t>Severe: A positive diagnosis plus an impact score greater than or equal to 1.75 and/or a history of suicide attempt in the 12 months prior to interview;</w:t>
            </w:r>
          </w:p>
          <w:p w:rsidR="00590512" w:rsidRPr="004E6B5C" w:rsidRDefault="00590512" w:rsidP="00590512">
            <w:pPr>
              <w:pStyle w:val="BulletList"/>
              <w:numPr>
                <w:ilvl w:val="0"/>
                <w:numId w:val="18"/>
              </w:numPr>
            </w:pPr>
            <w:r w:rsidRPr="004E6B5C">
              <w:t>Moderate: A positive diagnosis plus an impact score greater than or equal to 0.95 or a history of suicide plans in the 12 months prior to interview; and</w:t>
            </w:r>
          </w:p>
          <w:p w:rsidR="00590512" w:rsidRPr="004E6B5C" w:rsidRDefault="00590512" w:rsidP="00590512">
            <w:pPr>
              <w:pStyle w:val="BulletList"/>
              <w:numPr>
                <w:ilvl w:val="0"/>
                <w:numId w:val="18"/>
              </w:numPr>
            </w:pPr>
            <w:r w:rsidRPr="004E6B5C">
              <w:t>Mild: All other cases with a positive diagnosis.</w:t>
            </w:r>
          </w:p>
          <w:p w:rsidR="00590512" w:rsidRPr="004E6B5C" w:rsidRDefault="00590512" w:rsidP="00302454">
            <w:pPr>
              <w:pStyle w:val="BodyText"/>
            </w:pPr>
            <w:r w:rsidRPr="004E6B5C">
              <w:t>To ease interpretation, throughout this publication, the terms “severity of impact on function”, “severity of impact”, and “severity of disorder” have been used interchangeably.</w:t>
            </w:r>
          </w:p>
        </w:tc>
      </w:tr>
      <w:tr w:rsidR="00590512" w:rsidRPr="004E6B5C" w:rsidTr="003330E0">
        <w:trPr>
          <w:cantSplit/>
        </w:trPr>
        <w:tc>
          <w:tcPr>
            <w:tcW w:w="2369" w:type="dxa"/>
            <w:tcBorders>
              <w:top w:val="single" w:sz="6" w:space="0" w:color="auto"/>
            </w:tcBorders>
            <w:shd w:val="clear" w:color="auto" w:fill="auto"/>
          </w:tcPr>
          <w:p w:rsidR="00590512" w:rsidRPr="004E6B5C" w:rsidRDefault="00590512" w:rsidP="00302454">
            <w:pPr>
              <w:pStyle w:val="BodyText"/>
            </w:pPr>
            <w:r w:rsidRPr="004E6B5C">
              <w:t>Smoking status</w:t>
            </w:r>
          </w:p>
        </w:tc>
        <w:tc>
          <w:tcPr>
            <w:tcW w:w="6657" w:type="dxa"/>
            <w:tcBorders>
              <w:top w:val="single" w:sz="6" w:space="0" w:color="auto"/>
            </w:tcBorders>
          </w:tcPr>
          <w:p w:rsidR="00590512" w:rsidRPr="004E6B5C" w:rsidRDefault="00590512" w:rsidP="00302454">
            <w:pPr>
              <w:pStyle w:val="BodyText"/>
            </w:pPr>
            <w:r w:rsidRPr="004E6B5C">
              <w:t xml:space="preserve">Young people aged 13 years and over were asked if they had ever smoked, and if they smoked in the past 30 days. </w:t>
            </w:r>
          </w:p>
          <w:p w:rsidR="00590512" w:rsidRPr="004E6B5C" w:rsidRDefault="00590512" w:rsidP="00302454">
            <w:pPr>
              <w:pStyle w:val="BodyText"/>
              <w:rPr>
                <w:color w:val="000000"/>
              </w:rPr>
            </w:pPr>
            <w:r w:rsidRPr="004E6B5C">
              <w:rPr>
                <w:lang w:eastAsia="en-AU"/>
              </w:rPr>
              <w:t>Young people were only asked if they had smoked in the past 30 days if they said yes to the question ‘was there ever a time in your life when you were smoking at least once per week?’ As such, smoking data are not directly comparable to those from other surveys.</w:t>
            </w:r>
          </w:p>
        </w:tc>
      </w:tr>
      <w:tr w:rsidR="00590512" w:rsidRPr="004E6B5C" w:rsidTr="003330E0">
        <w:trPr>
          <w:cantSplit/>
        </w:trPr>
        <w:tc>
          <w:tcPr>
            <w:tcW w:w="2369" w:type="dxa"/>
            <w:tcBorders>
              <w:bottom w:val="single" w:sz="6" w:space="0" w:color="auto"/>
            </w:tcBorders>
          </w:tcPr>
          <w:p w:rsidR="00590512" w:rsidRPr="004E6B5C" w:rsidRDefault="00590512" w:rsidP="00302454">
            <w:pPr>
              <w:pStyle w:val="BodyText"/>
            </w:pPr>
            <w:r w:rsidRPr="004E6B5C">
              <w:lastRenderedPageBreak/>
              <w:t>Social phobia</w:t>
            </w:r>
          </w:p>
        </w:tc>
        <w:tc>
          <w:tcPr>
            <w:tcW w:w="6657" w:type="dxa"/>
            <w:tcBorders>
              <w:bottom w:val="single" w:sz="6" w:space="0" w:color="auto"/>
            </w:tcBorders>
          </w:tcPr>
          <w:p w:rsidR="00590512" w:rsidRPr="004E6B5C" w:rsidRDefault="00590512" w:rsidP="00302454">
            <w:pPr>
              <w:pStyle w:val="BodyText"/>
            </w:pPr>
            <w:r w:rsidRPr="004E6B5C">
              <w:t xml:space="preserve">An anxiety disorder characterised by a strong fear of social interaction or performance situations. People with social phobia avoid social situations in case of embarrassment or humiliation. </w:t>
            </w:r>
          </w:p>
          <w:p w:rsidR="00590512" w:rsidRPr="004E6B5C" w:rsidRDefault="00590512" w:rsidP="00302454">
            <w:pPr>
              <w:pStyle w:val="BodyText"/>
            </w:pPr>
            <w:r w:rsidRPr="004E6B5C">
              <w:t>To meet DSM-IV criteria symptoms must be present for at least six months and the fear or avoidance of social situations must interfere significantly with the child or adolescent’s normal routine, academic functioning, or social activities or relationships, or they must experience marked distress about the phobia.</w:t>
            </w:r>
          </w:p>
          <w:p w:rsidR="00590512" w:rsidRPr="004E6B5C" w:rsidRDefault="00590512" w:rsidP="00302454">
            <w:pPr>
              <w:pStyle w:val="BodyText"/>
            </w:pPr>
            <w:r w:rsidRPr="004E6B5C">
              <w:t xml:space="preserve">The module for </w:t>
            </w:r>
            <w:r>
              <w:t>s</w:t>
            </w:r>
            <w:r w:rsidRPr="004E6B5C">
              <w:t xml:space="preserve">ocial phobia from the DISC-IV was completed by parents and carers and their responses used to determine if the young person met the DSM-IV criteria for </w:t>
            </w:r>
            <w:r>
              <w:t>s</w:t>
            </w:r>
            <w:r w:rsidRPr="004E6B5C">
              <w:t>ocial phobia in the 12 months prior to interview.</w:t>
            </w:r>
          </w:p>
        </w:tc>
      </w:tr>
      <w:tr w:rsidR="00590512" w:rsidRPr="004E6B5C" w:rsidTr="003330E0">
        <w:trPr>
          <w:cantSplit/>
        </w:trPr>
        <w:tc>
          <w:tcPr>
            <w:tcW w:w="2369" w:type="dxa"/>
            <w:tcBorders>
              <w:top w:val="single" w:sz="6" w:space="0" w:color="auto"/>
              <w:bottom w:val="single" w:sz="6" w:space="0" w:color="auto"/>
            </w:tcBorders>
          </w:tcPr>
          <w:p w:rsidR="00590512" w:rsidRPr="004E6B5C" w:rsidRDefault="00590512" w:rsidP="00302454">
            <w:pPr>
              <w:pStyle w:val="BodyText"/>
            </w:pPr>
            <w:r w:rsidRPr="004E6B5C">
              <w:t>Sub-threshold level</w:t>
            </w:r>
          </w:p>
        </w:tc>
        <w:tc>
          <w:tcPr>
            <w:tcW w:w="6657" w:type="dxa"/>
            <w:tcBorders>
              <w:top w:val="single" w:sz="6" w:space="0" w:color="auto"/>
              <w:bottom w:val="single" w:sz="6" w:space="0" w:color="auto"/>
            </w:tcBorders>
          </w:tcPr>
          <w:p w:rsidR="00590512" w:rsidRPr="004E6B5C" w:rsidRDefault="00590512" w:rsidP="00302454">
            <w:pPr>
              <w:pStyle w:val="BodyText"/>
            </w:pPr>
            <w:r w:rsidRPr="004E6B5C">
              <w:t>Sub-threshold level on the DISC-IV refers to when the symptoms reported for any mental disorder were sufficient in number to warrant further questioning about the impact of these, but which were not sufficient in number, with sufficient impact, or of sufficient duration to meet the DSM-IV diagnostic criteria for the mental disorder.</w:t>
            </w:r>
          </w:p>
        </w:tc>
      </w:tr>
      <w:tr w:rsidR="00590512" w:rsidRPr="004E6B5C" w:rsidTr="003330E0">
        <w:trPr>
          <w:cantSplit/>
        </w:trPr>
        <w:tc>
          <w:tcPr>
            <w:tcW w:w="2369" w:type="dxa"/>
            <w:tcBorders>
              <w:top w:val="single" w:sz="6" w:space="0" w:color="auto"/>
            </w:tcBorders>
          </w:tcPr>
          <w:p w:rsidR="00590512" w:rsidRPr="00653114" w:rsidRDefault="00653114" w:rsidP="00653114">
            <w:pPr>
              <w:pStyle w:val="BodyText"/>
            </w:pPr>
            <w:r>
              <w:t>Suicidal behaviours</w:t>
            </w:r>
          </w:p>
        </w:tc>
        <w:tc>
          <w:tcPr>
            <w:tcW w:w="6657" w:type="dxa"/>
            <w:tcBorders>
              <w:top w:val="single" w:sz="6" w:space="0" w:color="auto"/>
            </w:tcBorders>
          </w:tcPr>
          <w:p w:rsidR="00590512" w:rsidRPr="004E6B5C" w:rsidRDefault="00590512" w:rsidP="00302454">
            <w:pPr>
              <w:pStyle w:val="BodyText"/>
            </w:pPr>
            <w:r w:rsidRPr="004E6B5C">
              <w:t>Suicidal ideation (serious thoughts about taking one’s own life), making suicide plans and suicide attempts where the self-injury is intended to end in death.</w:t>
            </w:r>
          </w:p>
          <w:p w:rsidR="00590512" w:rsidRPr="004E6B5C" w:rsidRDefault="00590512" w:rsidP="00302454">
            <w:pPr>
              <w:pStyle w:val="BodyText"/>
            </w:pPr>
            <w:r w:rsidRPr="004E6B5C">
              <w:t>Young people aged 12 years and over were asked if during the past 12 months they had seriously considered attempting suicide. Young people were also given the option of not answering and were then not asked any further questions about suicidal behaviours.</w:t>
            </w:r>
          </w:p>
        </w:tc>
      </w:tr>
    </w:tbl>
    <w:p w:rsidR="00590512" w:rsidRPr="004E6B5C" w:rsidRDefault="00590512" w:rsidP="00590512">
      <w:pPr>
        <w:pStyle w:val="BodyText"/>
      </w:pPr>
    </w:p>
    <w:p w:rsidR="00590512" w:rsidRDefault="00590512" w:rsidP="0074764C">
      <w:pPr>
        <w:pStyle w:val="BodyText"/>
        <w:sectPr w:rsidR="00590512" w:rsidSect="003330E0">
          <w:headerReference w:type="even" r:id="rId153"/>
          <w:headerReference w:type="default" r:id="rId154"/>
          <w:footerReference w:type="default" r:id="rId155"/>
          <w:pgSz w:w="11906" w:h="16838" w:code="9"/>
          <w:pgMar w:top="1440" w:right="1440" w:bottom="1440" w:left="1440" w:header="567" w:footer="567" w:gutter="0"/>
          <w:pgNumType w:start="169"/>
          <w:cols w:space="720"/>
          <w:docGrid w:linePitch="360"/>
        </w:sectPr>
      </w:pPr>
    </w:p>
    <w:p w:rsidR="0093447F" w:rsidRDefault="0093447F" w:rsidP="0093447F">
      <w:pPr>
        <w:pStyle w:val="Heading1"/>
      </w:pPr>
      <w:r>
        <w:lastRenderedPageBreak/>
        <w:t>Appendix 4 - List of tables and figures in main report</w:t>
      </w:r>
    </w:p>
    <w:p w:rsidR="0093447F" w:rsidRDefault="0093447F" w:rsidP="0093447F">
      <w:pPr>
        <w:pStyle w:val="Heading1"/>
      </w:pPr>
      <w:r>
        <w:t>List of tables</w:t>
      </w:r>
    </w:p>
    <w:p w:rsidR="0093447F" w:rsidRPr="00546F67" w:rsidRDefault="0093447F" w:rsidP="005A28C1">
      <w:pPr>
        <w:pStyle w:val="TOC3"/>
        <w:ind w:left="0"/>
        <w:rPr>
          <w:rFonts w:eastAsiaTheme="minorEastAsia"/>
          <w:sz w:val="20"/>
          <w:szCs w:val="20"/>
          <w:lang w:eastAsia="en-AU"/>
        </w:rPr>
      </w:pPr>
      <w:r w:rsidRPr="00546F67">
        <w:rPr>
          <w:sz w:val="20"/>
          <w:szCs w:val="20"/>
        </w:rPr>
        <w:t>Table 2-1: 12-month prevalence of mental disorders among 4-17 year-olds by sex</w:t>
      </w:r>
      <w:r w:rsidRPr="00546F67">
        <w:rPr>
          <w:sz w:val="20"/>
          <w:szCs w:val="20"/>
        </w:rPr>
        <w:tab/>
        <w:t>36</w:t>
      </w:r>
    </w:p>
    <w:p w:rsidR="0093447F" w:rsidRPr="00546F67" w:rsidRDefault="0093447F" w:rsidP="005A28C1">
      <w:pPr>
        <w:pStyle w:val="TOC3"/>
        <w:ind w:left="0"/>
        <w:rPr>
          <w:rFonts w:eastAsiaTheme="minorEastAsia"/>
          <w:sz w:val="20"/>
          <w:szCs w:val="20"/>
          <w:lang w:eastAsia="en-AU"/>
        </w:rPr>
      </w:pPr>
      <w:r w:rsidRPr="00546F67">
        <w:rPr>
          <w:sz w:val="20"/>
          <w:szCs w:val="20"/>
        </w:rPr>
        <w:t>Table 2-2: 12-month prevalence of mental disorders among 4-17 year-olds by sex and age group</w:t>
      </w:r>
      <w:r w:rsidRPr="00546F67">
        <w:rPr>
          <w:sz w:val="20"/>
          <w:szCs w:val="20"/>
        </w:rPr>
        <w:tab/>
        <w:t>37</w:t>
      </w:r>
    </w:p>
    <w:p w:rsidR="0093447F" w:rsidRPr="00546F67" w:rsidRDefault="0093447F" w:rsidP="005A28C1">
      <w:pPr>
        <w:pStyle w:val="TOC3"/>
        <w:ind w:left="0"/>
        <w:rPr>
          <w:rFonts w:eastAsiaTheme="minorEastAsia"/>
          <w:sz w:val="20"/>
          <w:szCs w:val="20"/>
          <w:lang w:eastAsia="en-AU"/>
        </w:rPr>
      </w:pPr>
      <w:r w:rsidRPr="00546F67">
        <w:rPr>
          <w:sz w:val="20"/>
          <w:szCs w:val="20"/>
        </w:rPr>
        <w:t>Table 2-3: 12-month prevalence of mental disorders among 4-17 year-olds by family type and sex</w:t>
      </w:r>
      <w:r w:rsidRPr="00546F67">
        <w:rPr>
          <w:sz w:val="20"/>
          <w:szCs w:val="20"/>
        </w:rPr>
        <w:tab/>
        <w:t>38</w:t>
      </w:r>
    </w:p>
    <w:p w:rsidR="0093447F" w:rsidRPr="00546F67" w:rsidRDefault="0093447F" w:rsidP="005A28C1">
      <w:pPr>
        <w:pStyle w:val="TOC3"/>
        <w:ind w:left="0"/>
        <w:rPr>
          <w:rFonts w:eastAsiaTheme="minorEastAsia"/>
          <w:sz w:val="20"/>
          <w:szCs w:val="20"/>
          <w:lang w:eastAsia="en-AU"/>
        </w:rPr>
      </w:pPr>
      <w:r w:rsidRPr="00546F67">
        <w:rPr>
          <w:sz w:val="20"/>
          <w:szCs w:val="20"/>
        </w:rPr>
        <w:t>Table 2-4: 12-month prevalence of mental disorders among 4-17 year-olds by household income and sex</w:t>
      </w:r>
      <w:r w:rsidRPr="00546F67">
        <w:rPr>
          <w:sz w:val="20"/>
          <w:szCs w:val="20"/>
        </w:rPr>
        <w:tab/>
        <w:t>38</w:t>
      </w:r>
    </w:p>
    <w:p w:rsidR="0093447F" w:rsidRPr="00546F67" w:rsidRDefault="0093447F" w:rsidP="005A28C1">
      <w:pPr>
        <w:pStyle w:val="TOC3"/>
        <w:ind w:left="0"/>
        <w:rPr>
          <w:rFonts w:eastAsiaTheme="minorEastAsia"/>
          <w:sz w:val="20"/>
          <w:szCs w:val="20"/>
          <w:lang w:eastAsia="en-AU"/>
        </w:rPr>
      </w:pPr>
      <w:r w:rsidRPr="00546F67">
        <w:rPr>
          <w:sz w:val="20"/>
          <w:szCs w:val="20"/>
        </w:rPr>
        <w:t>Table 2-5: 12-month prevalence of mental disorders among 4-17 year-olds by pa</w:t>
      </w:r>
      <w:r w:rsidR="005A28C1">
        <w:rPr>
          <w:sz w:val="20"/>
          <w:szCs w:val="20"/>
        </w:rPr>
        <w:t>rent or carer education and sex</w:t>
      </w:r>
      <w:r w:rsidR="005A28C1">
        <w:rPr>
          <w:sz w:val="20"/>
          <w:szCs w:val="20"/>
        </w:rPr>
        <w:tab/>
      </w:r>
      <w:r w:rsidR="005A28C1">
        <w:rPr>
          <w:sz w:val="20"/>
          <w:szCs w:val="20"/>
        </w:rPr>
        <w:tab/>
      </w:r>
      <w:r w:rsidRPr="00546F67">
        <w:rPr>
          <w:sz w:val="20"/>
          <w:szCs w:val="20"/>
        </w:rPr>
        <w:t>39</w:t>
      </w:r>
    </w:p>
    <w:p w:rsidR="0093447F" w:rsidRPr="00546F67" w:rsidRDefault="0093447F" w:rsidP="005A28C1">
      <w:pPr>
        <w:pStyle w:val="TOC3"/>
        <w:ind w:left="0"/>
        <w:rPr>
          <w:rFonts w:eastAsiaTheme="minorEastAsia"/>
          <w:sz w:val="20"/>
          <w:szCs w:val="20"/>
          <w:lang w:eastAsia="en-AU"/>
        </w:rPr>
      </w:pPr>
      <w:r w:rsidRPr="00546F67">
        <w:rPr>
          <w:sz w:val="20"/>
          <w:szCs w:val="20"/>
        </w:rPr>
        <w:t>Table 2-6: 12-month prevalence of mental disorders among 4-17 year-olds by parent or carer labour force status and sex</w:t>
      </w:r>
      <w:r w:rsidRPr="00546F67">
        <w:rPr>
          <w:sz w:val="20"/>
          <w:szCs w:val="20"/>
        </w:rPr>
        <w:tab/>
        <w:t>39</w:t>
      </w:r>
    </w:p>
    <w:p w:rsidR="0093447F" w:rsidRPr="00546F67" w:rsidRDefault="0093447F" w:rsidP="005A28C1">
      <w:pPr>
        <w:pStyle w:val="TOC3"/>
        <w:ind w:left="0"/>
        <w:rPr>
          <w:rFonts w:eastAsiaTheme="minorEastAsia"/>
          <w:sz w:val="20"/>
          <w:szCs w:val="20"/>
          <w:lang w:eastAsia="en-AU"/>
        </w:rPr>
      </w:pPr>
      <w:r w:rsidRPr="00546F67">
        <w:rPr>
          <w:sz w:val="20"/>
          <w:szCs w:val="20"/>
        </w:rPr>
        <w:t>Table 2-7: 12-month prevalence of mental disorders among 4-17 year-olds by area of residence and sex</w:t>
      </w:r>
      <w:r w:rsidRPr="00546F67">
        <w:rPr>
          <w:sz w:val="20"/>
          <w:szCs w:val="20"/>
        </w:rPr>
        <w:tab/>
        <w:t>39</w:t>
      </w:r>
    </w:p>
    <w:p w:rsidR="0093447F" w:rsidRPr="00546F67" w:rsidRDefault="0093447F" w:rsidP="005A28C1">
      <w:pPr>
        <w:pStyle w:val="TOC3"/>
        <w:ind w:left="0"/>
        <w:rPr>
          <w:rFonts w:eastAsiaTheme="minorEastAsia"/>
          <w:sz w:val="20"/>
          <w:szCs w:val="20"/>
          <w:lang w:eastAsia="en-AU"/>
        </w:rPr>
      </w:pPr>
      <w:r w:rsidRPr="00546F67">
        <w:rPr>
          <w:sz w:val="20"/>
          <w:szCs w:val="20"/>
        </w:rPr>
        <w:t>Table 2-8: 12-month prevalence of mental disorders among 4-17 year-olds by level of family functioning</w:t>
      </w:r>
      <w:r w:rsidRPr="00546F67">
        <w:rPr>
          <w:sz w:val="20"/>
          <w:szCs w:val="20"/>
        </w:rPr>
        <w:tab/>
        <w:t>40</w:t>
      </w:r>
    </w:p>
    <w:p w:rsidR="0093447F" w:rsidRPr="00546F67" w:rsidRDefault="0093447F" w:rsidP="005A28C1">
      <w:pPr>
        <w:pStyle w:val="TOC3"/>
        <w:ind w:left="0"/>
        <w:rPr>
          <w:rFonts w:eastAsiaTheme="minorEastAsia"/>
          <w:sz w:val="20"/>
          <w:szCs w:val="20"/>
          <w:lang w:eastAsia="en-AU"/>
        </w:rPr>
      </w:pPr>
      <w:r w:rsidRPr="00546F67">
        <w:rPr>
          <w:sz w:val="20"/>
          <w:szCs w:val="20"/>
        </w:rPr>
        <w:t>Table 2-9: 12-month prevalence of mental disorders among 4-17 year-olds by type of disorder and severity</w:t>
      </w:r>
      <w:r w:rsidRPr="00546F67">
        <w:rPr>
          <w:sz w:val="20"/>
          <w:szCs w:val="20"/>
        </w:rPr>
        <w:tab/>
        <w:t>41</w:t>
      </w:r>
    </w:p>
    <w:p w:rsidR="0093447F" w:rsidRPr="00546F67" w:rsidRDefault="0093447F" w:rsidP="005A28C1">
      <w:pPr>
        <w:pStyle w:val="TOC3"/>
        <w:ind w:left="0"/>
        <w:rPr>
          <w:rFonts w:eastAsiaTheme="minorEastAsia"/>
          <w:sz w:val="20"/>
          <w:szCs w:val="20"/>
          <w:lang w:eastAsia="en-AU"/>
        </w:rPr>
      </w:pPr>
      <w:r w:rsidRPr="00546F67">
        <w:rPr>
          <w:sz w:val="20"/>
          <w:szCs w:val="20"/>
        </w:rPr>
        <w:t>Table 2-10: Severity of mental disorders among 4-17 year-olds with mental disorders by sex and age group</w:t>
      </w:r>
      <w:r w:rsidRPr="00546F67">
        <w:rPr>
          <w:sz w:val="20"/>
          <w:szCs w:val="20"/>
        </w:rPr>
        <w:tab/>
        <w:t>41</w:t>
      </w:r>
    </w:p>
    <w:p w:rsidR="0093447F" w:rsidRPr="00546F67" w:rsidRDefault="0093447F" w:rsidP="005A28C1">
      <w:pPr>
        <w:pStyle w:val="TOC3"/>
        <w:ind w:left="0"/>
        <w:rPr>
          <w:rFonts w:eastAsiaTheme="minorEastAsia"/>
          <w:sz w:val="20"/>
          <w:szCs w:val="20"/>
          <w:lang w:eastAsia="en-AU"/>
        </w:rPr>
      </w:pPr>
      <w:r w:rsidRPr="00546F67">
        <w:rPr>
          <w:sz w:val="20"/>
          <w:szCs w:val="20"/>
        </w:rPr>
        <w:t>Table 2-11: Severity of impact in different life domains among 4-17 year-olds with mental disorders</w:t>
      </w:r>
      <w:r w:rsidRPr="00546F67">
        <w:rPr>
          <w:sz w:val="20"/>
          <w:szCs w:val="20"/>
        </w:rPr>
        <w:tab/>
        <w:t>42</w:t>
      </w:r>
    </w:p>
    <w:p w:rsidR="0093447F" w:rsidRPr="00546F67" w:rsidRDefault="0093447F" w:rsidP="005A28C1">
      <w:pPr>
        <w:pStyle w:val="TOC3"/>
        <w:ind w:left="0"/>
        <w:rPr>
          <w:rFonts w:eastAsiaTheme="minorEastAsia"/>
          <w:sz w:val="20"/>
          <w:szCs w:val="20"/>
          <w:lang w:eastAsia="en-AU"/>
        </w:rPr>
      </w:pPr>
      <w:r w:rsidRPr="00546F67">
        <w:rPr>
          <w:sz w:val="20"/>
          <w:szCs w:val="20"/>
        </w:rPr>
        <w:t>Table 2-12: Average days absent from school in past 12 months due to symptoms of mental disorders among 4-17 year-olds with mental disorders by type of disorder</w:t>
      </w:r>
      <w:r w:rsidRPr="00546F67">
        <w:rPr>
          <w:sz w:val="20"/>
          <w:szCs w:val="20"/>
        </w:rPr>
        <w:tab/>
        <w:t>42</w:t>
      </w:r>
    </w:p>
    <w:p w:rsidR="0093447F" w:rsidRPr="00546F67" w:rsidRDefault="0093447F" w:rsidP="005A28C1">
      <w:pPr>
        <w:pStyle w:val="TOC3"/>
        <w:ind w:left="0"/>
        <w:rPr>
          <w:rFonts w:eastAsiaTheme="minorEastAsia"/>
          <w:sz w:val="20"/>
          <w:szCs w:val="20"/>
          <w:lang w:eastAsia="en-AU"/>
        </w:rPr>
      </w:pPr>
      <w:r w:rsidRPr="00546F67">
        <w:rPr>
          <w:sz w:val="20"/>
          <w:szCs w:val="20"/>
        </w:rPr>
        <w:t>Figure 2-1: Comorbidity of anxiety disorders and major depressive disorder among 4-17 year-olds</w:t>
      </w:r>
      <w:r w:rsidRPr="00546F67">
        <w:rPr>
          <w:sz w:val="20"/>
          <w:szCs w:val="20"/>
        </w:rPr>
        <w:tab/>
        <w:t>43</w:t>
      </w:r>
    </w:p>
    <w:p w:rsidR="0093447F" w:rsidRPr="00546F67" w:rsidRDefault="0093447F" w:rsidP="005A28C1">
      <w:pPr>
        <w:pStyle w:val="TOC3"/>
        <w:ind w:left="0"/>
        <w:rPr>
          <w:rFonts w:eastAsiaTheme="minorEastAsia"/>
          <w:sz w:val="20"/>
          <w:szCs w:val="20"/>
          <w:lang w:eastAsia="en-AU"/>
        </w:rPr>
      </w:pPr>
      <w:r w:rsidRPr="00546F67">
        <w:rPr>
          <w:sz w:val="20"/>
          <w:szCs w:val="20"/>
        </w:rPr>
        <w:t>Figure 2-2: Comorbidity of anxiety or major depressive disorders, conduct disorder and ADHD among 4-17 year-olds</w:t>
      </w:r>
      <w:r w:rsidRPr="00546F67">
        <w:rPr>
          <w:sz w:val="20"/>
          <w:szCs w:val="20"/>
        </w:rPr>
        <w:tab/>
      </w:r>
      <w:r w:rsidR="005A28C1">
        <w:rPr>
          <w:sz w:val="20"/>
          <w:szCs w:val="20"/>
        </w:rPr>
        <w:tab/>
      </w:r>
      <w:r w:rsidRPr="00546F67">
        <w:rPr>
          <w:sz w:val="20"/>
          <w:szCs w:val="20"/>
        </w:rPr>
        <w:t>44</w:t>
      </w:r>
    </w:p>
    <w:p w:rsidR="0093447F" w:rsidRPr="00546F67" w:rsidRDefault="0093447F" w:rsidP="005A28C1">
      <w:pPr>
        <w:pStyle w:val="TOC3"/>
        <w:ind w:left="0"/>
        <w:rPr>
          <w:rFonts w:eastAsiaTheme="minorEastAsia"/>
          <w:sz w:val="20"/>
          <w:szCs w:val="20"/>
          <w:lang w:eastAsia="en-AU"/>
        </w:rPr>
      </w:pPr>
      <w:r w:rsidRPr="00546F67">
        <w:rPr>
          <w:sz w:val="20"/>
          <w:szCs w:val="20"/>
        </w:rPr>
        <w:t>Table 2-13: Principal condition by sex</w:t>
      </w:r>
      <w:r w:rsidRPr="00546F67">
        <w:rPr>
          <w:sz w:val="20"/>
          <w:szCs w:val="20"/>
        </w:rPr>
        <w:tab/>
        <w:t>44</w:t>
      </w:r>
    </w:p>
    <w:p w:rsidR="0093447F" w:rsidRPr="00546F67" w:rsidRDefault="0093447F" w:rsidP="005A28C1">
      <w:pPr>
        <w:pStyle w:val="TOC3"/>
        <w:ind w:left="0"/>
        <w:rPr>
          <w:rFonts w:eastAsiaTheme="minorEastAsia"/>
          <w:sz w:val="20"/>
          <w:szCs w:val="20"/>
          <w:lang w:eastAsia="en-AU"/>
        </w:rPr>
      </w:pPr>
      <w:r w:rsidRPr="00546F67">
        <w:rPr>
          <w:sz w:val="20"/>
          <w:szCs w:val="20"/>
        </w:rPr>
        <w:t>Table 2-14: Principal condition by age group</w:t>
      </w:r>
      <w:r w:rsidRPr="00546F67">
        <w:rPr>
          <w:sz w:val="20"/>
          <w:szCs w:val="20"/>
        </w:rPr>
        <w:tab/>
        <w:t>45</w:t>
      </w:r>
    </w:p>
    <w:p w:rsidR="0093447F" w:rsidRPr="00546F67" w:rsidRDefault="0093447F" w:rsidP="005A28C1">
      <w:pPr>
        <w:pStyle w:val="TOC3"/>
        <w:ind w:left="0"/>
        <w:rPr>
          <w:rFonts w:eastAsiaTheme="minorEastAsia"/>
          <w:sz w:val="20"/>
          <w:szCs w:val="20"/>
          <w:lang w:eastAsia="en-AU"/>
        </w:rPr>
      </w:pPr>
      <w:r w:rsidRPr="00546F67">
        <w:rPr>
          <w:sz w:val="20"/>
          <w:szCs w:val="20"/>
        </w:rPr>
        <w:t>Table 3-1: 12-month prevalence of major depressive disorder among 4-17 year-olds by sex and age group</w:t>
      </w:r>
      <w:r w:rsidRPr="00546F67">
        <w:rPr>
          <w:sz w:val="20"/>
          <w:szCs w:val="20"/>
        </w:rPr>
        <w:tab/>
        <w:t>46</w:t>
      </w:r>
    </w:p>
    <w:p w:rsidR="0093447F" w:rsidRPr="00546F67" w:rsidRDefault="0093447F" w:rsidP="005A28C1">
      <w:pPr>
        <w:pStyle w:val="TOC3"/>
        <w:ind w:left="0"/>
        <w:rPr>
          <w:rFonts w:eastAsiaTheme="minorEastAsia"/>
          <w:sz w:val="20"/>
          <w:szCs w:val="20"/>
          <w:lang w:eastAsia="en-AU"/>
        </w:rPr>
      </w:pPr>
      <w:r w:rsidRPr="00546F67">
        <w:rPr>
          <w:sz w:val="20"/>
          <w:szCs w:val="20"/>
        </w:rPr>
        <w:t>Table 3-2: 12-month prevalence of major depressive disorder among 4-17 year-olds by family type</w:t>
      </w:r>
      <w:r w:rsidRPr="00546F67">
        <w:rPr>
          <w:sz w:val="20"/>
          <w:szCs w:val="20"/>
        </w:rPr>
        <w:tab/>
        <w:t>47</w:t>
      </w:r>
    </w:p>
    <w:p w:rsidR="0093447F" w:rsidRPr="00546F67" w:rsidRDefault="0093447F" w:rsidP="005A28C1">
      <w:pPr>
        <w:pStyle w:val="TOC3"/>
        <w:ind w:left="0"/>
        <w:rPr>
          <w:rFonts w:eastAsiaTheme="minorEastAsia"/>
          <w:sz w:val="20"/>
          <w:szCs w:val="20"/>
          <w:lang w:eastAsia="en-AU"/>
        </w:rPr>
      </w:pPr>
      <w:r w:rsidRPr="00546F67">
        <w:rPr>
          <w:sz w:val="20"/>
          <w:szCs w:val="20"/>
        </w:rPr>
        <w:t>Table 3-3: 12-month prevalence of major depressive disorder among 4-17 year-olds by household income</w:t>
      </w:r>
      <w:r w:rsidRPr="00546F67">
        <w:rPr>
          <w:sz w:val="20"/>
          <w:szCs w:val="20"/>
        </w:rPr>
        <w:tab/>
        <w:t>47</w:t>
      </w:r>
    </w:p>
    <w:p w:rsidR="0093447F" w:rsidRPr="00546F67" w:rsidRDefault="0093447F" w:rsidP="005A28C1">
      <w:pPr>
        <w:pStyle w:val="TOC3"/>
        <w:ind w:left="0"/>
        <w:rPr>
          <w:rFonts w:eastAsiaTheme="minorEastAsia"/>
          <w:sz w:val="20"/>
          <w:szCs w:val="20"/>
          <w:lang w:eastAsia="en-AU"/>
        </w:rPr>
      </w:pPr>
      <w:r w:rsidRPr="00546F67">
        <w:rPr>
          <w:sz w:val="20"/>
          <w:szCs w:val="20"/>
        </w:rPr>
        <w:t>Table 3-4: 12-month prevalence of major depressive disorder among 4-17 year-olds by parent or carer education</w:t>
      </w:r>
      <w:r w:rsidR="005A28C1">
        <w:rPr>
          <w:sz w:val="20"/>
          <w:szCs w:val="20"/>
        </w:rPr>
        <w:tab/>
      </w:r>
      <w:r w:rsidRPr="00546F67">
        <w:rPr>
          <w:sz w:val="20"/>
          <w:szCs w:val="20"/>
        </w:rPr>
        <w:tab/>
        <w:t>48</w:t>
      </w:r>
    </w:p>
    <w:p w:rsidR="0093447F" w:rsidRPr="00546F67" w:rsidRDefault="0093447F" w:rsidP="005A28C1">
      <w:pPr>
        <w:pStyle w:val="TOC3"/>
        <w:ind w:left="0"/>
        <w:rPr>
          <w:rFonts w:eastAsiaTheme="minorEastAsia"/>
          <w:sz w:val="20"/>
          <w:szCs w:val="20"/>
          <w:lang w:eastAsia="en-AU"/>
        </w:rPr>
      </w:pPr>
      <w:r w:rsidRPr="00546F67">
        <w:rPr>
          <w:sz w:val="20"/>
          <w:szCs w:val="20"/>
        </w:rPr>
        <w:t>Table 3-5: 12-month prevalence of major depressive disorder among 4-17 year-olds by parent or carer labour force status</w:t>
      </w:r>
      <w:r w:rsidRPr="00546F67">
        <w:rPr>
          <w:sz w:val="20"/>
          <w:szCs w:val="20"/>
        </w:rPr>
        <w:tab/>
        <w:t>48</w:t>
      </w:r>
    </w:p>
    <w:p w:rsidR="0093447F" w:rsidRPr="00546F67" w:rsidRDefault="0093447F" w:rsidP="005A28C1">
      <w:pPr>
        <w:pStyle w:val="TOC3"/>
        <w:ind w:left="0"/>
        <w:rPr>
          <w:rFonts w:eastAsiaTheme="minorEastAsia"/>
          <w:sz w:val="20"/>
          <w:szCs w:val="20"/>
          <w:lang w:eastAsia="en-AU"/>
        </w:rPr>
      </w:pPr>
      <w:r w:rsidRPr="00546F67">
        <w:rPr>
          <w:sz w:val="20"/>
          <w:szCs w:val="20"/>
        </w:rPr>
        <w:t>Table 3-6: 12-month prevalence of major depressive disorder among 4-17 year-olds by area of residence</w:t>
      </w:r>
      <w:r w:rsidRPr="00546F67">
        <w:rPr>
          <w:sz w:val="20"/>
          <w:szCs w:val="20"/>
        </w:rPr>
        <w:tab/>
        <w:t>48</w:t>
      </w:r>
    </w:p>
    <w:p w:rsidR="0093447F" w:rsidRPr="00546F67" w:rsidRDefault="0093447F" w:rsidP="005A28C1">
      <w:pPr>
        <w:pStyle w:val="TOC3"/>
        <w:ind w:left="0"/>
        <w:rPr>
          <w:rFonts w:eastAsiaTheme="minorEastAsia"/>
          <w:sz w:val="20"/>
          <w:szCs w:val="20"/>
          <w:lang w:eastAsia="en-AU"/>
        </w:rPr>
      </w:pPr>
      <w:r w:rsidRPr="00546F67">
        <w:rPr>
          <w:sz w:val="20"/>
          <w:szCs w:val="20"/>
        </w:rPr>
        <w:t>Table 3-7: 12-month prevalence of major depressive disorder among 4-17 year-olds by level of family functioning and age group</w:t>
      </w:r>
      <w:r w:rsidRPr="00546F67">
        <w:rPr>
          <w:sz w:val="20"/>
          <w:szCs w:val="20"/>
        </w:rPr>
        <w:tab/>
        <w:t>49</w:t>
      </w:r>
    </w:p>
    <w:p w:rsidR="0093447F" w:rsidRPr="00546F67" w:rsidRDefault="0093447F" w:rsidP="005A28C1">
      <w:pPr>
        <w:pStyle w:val="TOC3"/>
        <w:ind w:left="0"/>
        <w:rPr>
          <w:rFonts w:eastAsiaTheme="minorEastAsia"/>
          <w:sz w:val="20"/>
          <w:szCs w:val="20"/>
          <w:lang w:eastAsia="en-AU"/>
        </w:rPr>
      </w:pPr>
      <w:r w:rsidRPr="00546F67">
        <w:rPr>
          <w:sz w:val="20"/>
          <w:szCs w:val="20"/>
        </w:rPr>
        <w:t>Table 3-8: Severity of impact in different life domains among 4-17 year-olds with major depressive disorder</w:t>
      </w:r>
      <w:r w:rsidRPr="00546F67">
        <w:rPr>
          <w:sz w:val="20"/>
          <w:szCs w:val="20"/>
        </w:rPr>
        <w:tab/>
        <w:t>50</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3-9: Average days absent from school in past 12 months due to depressive symptoms among 4-17 year-olds with major depressive disorder by age group</w:t>
      </w:r>
      <w:r w:rsidRPr="00546F67">
        <w:rPr>
          <w:sz w:val="20"/>
          <w:szCs w:val="20"/>
        </w:rPr>
        <w:tab/>
        <w:t>50</w:t>
      </w:r>
    </w:p>
    <w:p w:rsidR="0093447F" w:rsidRPr="00546F67" w:rsidRDefault="0093447F" w:rsidP="005A28C1">
      <w:pPr>
        <w:pStyle w:val="TOC3"/>
        <w:ind w:left="0"/>
        <w:rPr>
          <w:rFonts w:eastAsiaTheme="minorEastAsia"/>
          <w:sz w:val="20"/>
          <w:szCs w:val="20"/>
          <w:lang w:eastAsia="en-AU"/>
        </w:rPr>
      </w:pPr>
      <w:r w:rsidRPr="00546F67">
        <w:rPr>
          <w:sz w:val="20"/>
          <w:szCs w:val="20"/>
        </w:rPr>
        <w:t>Table 4-1: 12-month prevalence of anxiety disorders among 4-17 year-olds by sex and age group</w:t>
      </w:r>
      <w:r w:rsidRPr="00546F67">
        <w:rPr>
          <w:sz w:val="20"/>
          <w:szCs w:val="20"/>
        </w:rPr>
        <w:tab/>
        <w:t>53</w:t>
      </w:r>
    </w:p>
    <w:p w:rsidR="0093447F" w:rsidRPr="00546F67" w:rsidRDefault="0093447F" w:rsidP="005A28C1">
      <w:pPr>
        <w:pStyle w:val="TOC3"/>
        <w:ind w:left="0"/>
        <w:rPr>
          <w:rFonts w:eastAsiaTheme="minorEastAsia"/>
          <w:sz w:val="20"/>
          <w:szCs w:val="20"/>
          <w:lang w:eastAsia="en-AU"/>
        </w:rPr>
      </w:pPr>
      <w:r w:rsidRPr="00546F67">
        <w:rPr>
          <w:sz w:val="20"/>
          <w:szCs w:val="20"/>
        </w:rPr>
        <w:t>Table 4-2: 12-month prevalence of anxiety disorders among 4-17 year-olds by family type</w:t>
      </w:r>
      <w:r w:rsidRPr="00546F67">
        <w:rPr>
          <w:sz w:val="20"/>
          <w:szCs w:val="20"/>
        </w:rPr>
        <w:tab/>
        <w:t>54</w:t>
      </w:r>
    </w:p>
    <w:p w:rsidR="0093447F" w:rsidRPr="00546F67" w:rsidRDefault="0093447F" w:rsidP="005A28C1">
      <w:pPr>
        <w:pStyle w:val="TOC3"/>
        <w:ind w:left="0"/>
        <w:rPr>
          <w:rFonts w:eastAsiaTheme="minorEastAsia"/>
          <w:sz w:val="20"/>
          <w:szCs w:val="20"/>
          <w:lang w:eastAsia="en-AU"/>
        </w:rPr>
      </w:pPr>
      <w:r w:rsidRPr="00546F67">
        <w:rPr>
          <w:sz w:val="20"/>
          <w:szCs w:val="20"/>
        </w:rPr>
        <w:t>Table 4-3: 12-month prevalence of anxiety disorders among 4-17 year-olds by household income</w:t>
      </w:r>
      <w:r w:rsidRPr="00546F67">
        <w:rPr>
          <w:sz w:val="20"/>
          <w:szCs w:val="20"/>
        </w:rPr>
        <w:tab/>
        <w:t>54</w:t>
      </w:r>
    </w:p>
    <w:p w:rsidR="0093447F" w:rsidRPr="00546F67" w:rsidRDefault="0093447F" w:rsidP="005A28C1">
      <w:pPr>
        <w:pStyle w:val="TOC3"/>
        <w:ind w:left="0"/>
        <w:rPr>
          <w:rFonts w:eastAsiaTheme="minorEastAsia"/>
          <w:sz w:val="20"/>
          <w:szCs w:val="20"/>
          <w:lang w:eastAsia="en-AU"/>
        </w:rPr>
      </w:pPr>
      <w:r w:rsidRPr="00546F67">
        <w:rPr>
          <w:sz w:val="20"/>
          <w:szCs w:val="20"/>
        </w:rPr>
        <w:t>Table 4-4: 12-month prevalence of anxiety disorders among 4-17 year-olds by parent or carer education</w:t>
      </w:r>
      <w:r w:rsidRPr="00546F67">
        <w:rPr>
          <w:sz w:val="20"/>
          <w:szCs w:val="20"/>
        </w:rPr>
        <w:tab/>
        <w:t>55</w:t>
      </w:r>
    </w:p>
    <w:p w:rsidR="0093447F" w:rsidRPr="00546F67" w:rsidRDefault="0093447F" w:rsidP="005A28C1">
      <w:pPr>
        <w:pStyle w:val="TOC3"/>
        <w:ind w:left="0"/>
        <w:rPr>
          <w:rFonts w:eastAsiaTheme="minorEastAsia"/>
          <w:sz w:val="20"/>
          <w:szCs w:val="20"/>
          <w:lang w:eastAsia="en-AU"/>
        </w:rPr>
      </w:pPr>
      <w:r w:rsidRPr="00546F67">
        <w:rPr>
          <w:sz w:val="20"/>
          <w:szCs w:val="20"/>
        </w:rPr>
        <w:t>Table 4-5: 12-month prevalence of anxiety disorders among 4-17 year-olds by parent or carer labour force status</w:t>
      </w:r>
      <w:r w:rsidR="005A28C1">
        <w:rPr>
          <w:sz w:val="20"/>
          <w:szCs w:val="20"/>
        </w:rPr>
        <w:tab/>
      </w:r>
      <w:r w:rsidRPr="00546F67">
        <w:rPr>
          <w:sz w:val="20"/>
          <w:szCs w:val="20"/>
        </w:rPr>
        <w:tab/>
        <w:t>55</w:t>
      </w:r>
    </w:p>
    <w:p w:rsidR="0093447F" w:rsidRPr="00546F67" w:rsidRDefault="0093447F" w:rsidP="005A28C1">
      <w:pPr>
        <w:pStyle w:val="TOC3"/>
        <w:ind w:left="0"/>
        <w:rPr>
          <w:rFonts w:eastAsiaTheme="minorEastAsia"/>
          <w:sz w:val="20"/>
          <w:szCs w:val="20"/>
          <w:lang w:eastAsia="en-AU"/>
        </w:rPr>
      </w:pPr>
      <w:r w:rsidRPr="00546F67">
        <w:rPr>
          <w:sz w:val="20"/>
          <w:szCs w:val="20"/>
        </w:rPr>
        <w:t>Table 4-6: 12-month prevalence of anxiety disorders among 4-17 year-olds by area of residence</w:t>
      </w:r>
      <w:r w:rsidRPr="00546F67">
        <w:rPr>
          <w:sz w:val="20"/>
          <w:szCs w:val="20"/>
        </w:rPr>
        <w:tab/>
        <w:t>55</w:t>
      </w:r>
    </w:p>
    <w:p w:rsidR="0093447F" w:rsidRPr="00546F67" w:rsidRDefault="0093447F" w:rsidP="005A28C1">
      <w:pPr>
        <w:pStyle w:val="TOC3"/>
        <w:ind w:left="0"/>
        <w:rPr>
          <w:rFonts w:eastAsiaTheme="minorEastAsia"/>
          <w:sz w:val="20"/>
          <w:szCs w:val="20"/>
          <w:lang w:eastAsia="en-AU"/>
        </w:rPr>
      </w:pPr>
      <w:r w:rsidRPr="00546F67">
        <w:rPr>
          <w:sz w:val="20"/>
          <w:szCs w:val="20"/>
        </w:rPr>
        <w:t>Table 4-7: 12-month prevalence of anxiety disorders among 4-17 year-olds by family functioning and age group</w:t>
      </w:r>
      <w:r w:rsidR="005A28C1">
        <w:rPr>
          <w:sz w:val="20"/>
          <w:szCs w:val="20"/>
        </w:rPr>
        <w:tab/>
      </w:r>
      <w:r w:rsidRPr="00546F67">
        <w:rPr>
          <w:sz w:val="20"/>
          <w:szCs w:val="20"/>
        </w:rPr>
        <w:tab/>
        <w:t>56</w:t>
      </w:r>
    </w:p>
    <w:p w:rsidR="0093447F" w:rsidRPr="00546F67" w:rsidRDefault="0093447F" w:rsidP="005A28C1">
      <w:pPr>
        <w:pStyle w:val="TOC3"/>
        <w:ind w:left="0"/>
        <w:rPr>
          <w:rFonts w:eastAsiaTheme="minorEastAsia"/>
          <w:sz w:val="20"/>
          <w:szCs w:val="20"/>
          <w:lang w:eastAsia="en-AU"/>
        </w:rPr>
      </w:pPr>
      <w:r w:rsidRPr="00546F67">
        <w:rPr>
          <w:sz w:val="20"/>
          <w:szCs w:val="20"/>
        </w:rPr>
        <w:t>Table 4-8: Severity of impact in different life domains among 4-17 year-olds with anxiety disorders</w:t>
      </w:r>
      <w:r w:rsidRPr="00546F67">
        <w:rPr>
          <w:sz w:val="20"/>
          <w:szCs w:val="20"/>
        </w:rPr>
        <w:tab/>
        <w:t>58</w:t>
      </w:r>
    </w:p>
    <w:p w:rsidR="0093447F" w:rsidRPr="00546F67" w:rsidRDefault="0093447F" w:rsidP="005A28C1">
      <w:pPr>
        <w:pStyle w:val="TOC3"/>
        <w:ind w:left="0"/>
        <w:rPr>
          <w:rFonts w:eastAsiaTheme="minorEastAsia"/>
          <w:sz w:val="20"/>
          <w:szCs w:val="20"/>
          <w:lang w:eastAsia="en-AU"/>
        </w:rPr>
      </w:pPr>
      <w:r w:rsidRPr="00546F67">
        <w:rPr>
          <w:sz w:val="20"/>
          <w:szCs w:val="20"/>
        </w:rPr>
        <w:t>Table 4-9: Average days absent from school in the past 12 months due to anxiety symptoms among 4-17 year-olds with anxiety disorders by age group</w:t>
      </w:r>
      <w:r w:rsidRPr="00546F67">
        <w:rPr>
          <w:sz w:val="20"/>
          <w:szCs w:val="20"/>
        </w:rPr>
        <w:tab/>
        <w:t>59</w:t>
      </w:r>
    </w:p>
    <w:p w:rsidR="0093447F" w:rsidRPr="00546F67" w:rsidRDefault="0093447F" w:rsidP="005A28C1">
      <w:pPr>
        <w:pStyle w:val="TOC3"/>
        <w:ind w:left="0"/>
        <w:rPr>
          <w:rFonts w:eastAsiaTheme="minorEastAsia"/>
          <w:sz w:val="20"/>
          <w:szCs w:val="20"/>
          <w:lang w:eastAsia="en-AU"/>
        </w:rPr>
      </w:pPr>
      <w:r w:rsidRPr="00546F67">
        <w:rPr>
          <w:sz w:val="20"/>
          <w:szCs w:val="20"/>
        </w:rPr>
        <w:t>Table 5-1: 12-month prevalence of ADHD among 4-17 year-olds by sex and age group</w:t>
      </w:r>
      <w:r w:rsidRPr="00546F67">
        <w:rPr>
          <w:sz w:val="20"/>
          <w:szCs w:val="20"/>
        </w:rPr>
        <w:tab/>
        <w:t>61</w:t>
      </w:r>
    </w:p>
    <w:p w:rsidR="0093447F" w:rsidRPr="00546F67" w:rsidRDefault="0093447F" w:rsidP="005A28C1">
      <w:pPr>
        <w:pStyle w:val="TOC3"/>
        <w:ind w:left="0"/>
        <w:rPr>
          <w:rFonts w:eastAsiaTheme="minorEastAsia"/>
          <w:sz w:val="20"/>
          <w:szCs w:val="20"/>
          <w:lang w:eastAsia="en-AU"/>
        </w:rPr>
      </w:pPr>
      <w:r w:rsidRPr="00546F67">
        <w:rPr>
          <w:sz w:val="20"/>
          <w:szCs w:val="20"/>
        </w:rPr>
        <w:t>Table 5-2: 12-month prevalence of ADHD among 4-17 year-olds by family type</w:t>
      </w:r>
      <w:r w:rsidRPr="00546F67">
        <w:rPr>
          <w:sz w:val="20"/>
          <w:szCs w:val="20"/>
        </w:rPr>
        <w:tab/>
        <w:t>61</w:t>
      </w:r>
    </w:p>
    <w:p w:rsidR="0093447F" w:rsidRPr="00546F67" w:rsidRDefault="0093447F" w:rsidP="005A28C1">
      <w:pPr>
        <w:pStyle w:val="TOC3"/>
        <w:ind w:left="0"/>
        <w:rPr>
          <w:rFonts w:eastAsiaTheme="minorEastAsia"/>
          <w:sz w:val="20"/>
          <w:szCs w:val="20"/>
          <w:lang w:eastAsia="en-AU"/>
        </w:rPr>
      </w:pPr>
      <w:r w:rsidRPr="00546F67">
        <w:rPr>
          <w:sz w:val="20"/>
          <w:szCs w:val="20"/>
        </w:rPr>
        <w:t>Table 5-3: 12-month prevalence of ADHD among 4-17 year-olds by household income</w:t>
      </w:r>
      <w:r w:rsidRPr="00546F67">
        <w:rPr>
          <w:sz w:val="20"/>
          <w:szCs w:val="20"/>
        </w:rPr>
        <w:tab/>
        <w:t>62</w:t>
      </w:r>
    </w:p>
    <w:p w:rsidR="0093447F" w:rsidRPr="00546F67" w:rsidRDefault="0093447F" w:rsidP="005A28C1">
      <w:pPr>
        <w:pStyle w:val="TOC3"/>
        <w:ind w:left="0"/>
        <w:rPr>
          <w:rFonts w:eastAsiaTheme="minorEastAsia"/>
          <w:sz w:val="20"/>
          <w:szCs w:val="20"/>
          <w:lang w:eastAsia="en-AU"/>
        </w:rPr>
      </w:pPr>
      <w:r w:rsidRPr="00546F67">
        <w:rPr>
          <w:sz w:val="20"/>
          <w:szCs w:val="20"/>
        </w:rPr>
        <w:t>Table 5-4: 12-month prevalence of ADHD among 4-17 year-olds by parent or carer education</w:t>
      </w:r>
      <w:r w:rsidRPr="00546F67">
        <w:rPr>
          <w:sz w:val="20"/>
          <w:szCs w:val="20"/>
        </w:rPr>
        <w:tab/>
        <w:t>62</w:t>
      </w:r>
    </w:p>
    <w:p w:rsidR="0093447F" w:rsidRPr="00546F67" w:rsidRDefault="0093447F" w:rsidP="005A28C1">
      <w:pPr>
        <w:pStyle w:val="TOC3"/>
        <w:ind w:left="0"/>
        <w:rPr>
          <w:rFonts w:eastAsiaTheme="minorEastAsia"/>
          <w:sz w:val="20"/>
          <w:szCs w:val="20"/>
          <w:lang w:eastAsia="en-AU"/>
        </w:rPr>
      </w:pPr>
      <w:r w:rsidRPr="00546F67">
        <w:rPr>
          <w:sz w:val="20"/>
          <w:szCs w:val="20"/>
        </w:rPr>
        <w:t>Table 5-5: 12-month prevalence of ADHD among 4-17 year-olds by parent or carer labour force status</w:t>
      </w:r>
      <w:r w:rsidRPr="00546F67">
        <w:rPr>
          <w:sz w:val="20"/>
          <w:szCs w:val="20"/>
        </w:rPr>
        <w:tab/>
        <w:t>62</w:t>
      </w:r>
    </w:p>
    <w:p w:rsidR="0093447F" w:rsidRPr="00546F67" w:rsidRDefault="0093447F" w:rsidP="005A28C1">
      <w:pPr>
        <w:pStyle w:val="TOC3"/>
        <w:ind w:left="0"/>
        <w:rPr>
          <w:rFonts w:eastAsiaTheme="minorEastAsia"/>
          <w:sz w:val="20"/>
          <w:szCs w:val="20"/>
          <w:lang w:eastAsia="en-AU"/>
        </w:rPr>
      </w:pPr>
      <w:r w:rsidRPr="00546F67">
        <w:rPr>
          <w:sz w:val="20"/>
          <w:szCs w:val="20"/>
        </w:rPr>
        <w:t>Table 5-6: 12-month prevalence of ADHD among 4-17 year-olds by area of residence</w:t>
      </w:r>
      <w:r w:rsidRPr="00546F67">
        <w:rPr>
          <w:sz w:val="20"/>
          <w:szCs w:val="20"/>
        </w:rPr>
        <w:tab/>
        <w:t>63</w:t>
      </w:r>
    </w:p>
    <w:p w:rsidR="0093447F" w:rsidRPr="00546F67" w:rsidRDefault="0093447F" w:rsidP="005A28C1">
      <w:pPr>
        <w:pStyle w:val="TOC3"/>
        <w:ind w:left="0"/>
        <w:rPr>
          <w:rFonts w:eastAsiaTheme="minorEastAsia"/>
          <w:sz w:val="20"/>
          <w:szCs w:val="20"/>
          <w:lang w:eastAsia="en-AU"/>
        </w:rPr>
      </w:pPr>
      <w:r w:rsidRPr="00546F67">
        <w:rPr>
          <w:sz w:val="20"/>
          <w:szCs w:val="20"/>
        </w:rPr>
        <w:t>Table 5-7: 12-month prevalence of ADHD among 4-17 year-olds by family functioning and age group</w:t>
      </w:r>
      <w:r w:rsidRPr="00546F67">
        <w:rPr>
          <w:sz w:val="20"/>
          <w:szCs w:val="20"/>
        </w:rPr>
        <w:tab/>
        <w:t>63</w:t>
      </w:r>
    </w:p>
    <w:p w:rsidR="0093447F" w:rsidRPr="00546F67" w:rsidRDefault="0093447F" w:rsidP="005A28C1">
      <w:pPr>
        <w:pStyle w:val="TOC3"/>
        <w:ind w:left="0"/>
        <w:rPr>
          <w:rFonts w:eastAsiaTheme="minorEastAsia"/>
          <w:sz w:val="20"/>
          <w:szCs w:val="20"/>
          <w:lang w:eastAsia="en-AU"/>
        </w:rPr>
      </w:pPr>
      <w:r w:rsidRPr="00546F67">
        <w:rPr>
          <w:sz w:val="20"/>
          <w:szCs w:val="20"/>
        </w:rPr>
        <w:t>Table 5-8: Severity of impact in different life domains among 4-17 year-olds with ADHD</w:t>
      </w:r>
      <w:r w:rsidRPr="00546F67">
        <w:rPr>
          <w:sz w:val="20"/>
          <w:szCs w:val="20"/>
        </w:rPr>
        <w:tab/>
        <w:t>64</w:t>
      </w:r>
    </w:p>
    <w:p w:rsidR="0093447F" w:rsidRPr="00546F67" w:rsidRDefault="0093447F" w:rsidP="005A28C1">
      <w:pPr>
        <w:pStyle w:val="TOC3"/>
        <w:ind w:left="0"/>
        <w:rPr>
          <w:rFonts w:eastAsiaTheme="minorEastAsia"/>
          <w:sz w:val="20"/>
          <w:szCs w:val="20"/>
          <w:lang w:eastAsia="en-AU"/>
        </w:rPr>
      </w:pPr>
      <w:r w:rsidRPr="00546F67">
        <w:rPr>
          <w:sz w:val="20"/>
          <w:szCs w:val="20"/>
        </w:rPr>
        <w:t>Table 5-9: Average days off school in the past 12 months due to ADHD symptoms among 4-17 year-olds with ADHD by age group</w:t>
      </w:r>
      <w:r w:rsidRPr="00546F67">
        <w:rPr>
          <w:sz w:val="20"/>
          <w:szCs w:val="20"/>
        </w:rPr>
        <w:tab/>
        <w:t>64</w:t>
      </w:r>
    </w:p>
    <w:p w:rsidR="0093447F" w:rsidRPr="00546F67" w:rsidRDefault="0093447F" w:rsidP="005A28C1">
      <w:pPr>
        <w:pStyle w:val="TOC3"/>
        <w:ind w:left="0"/>
        <w:rPr>
          <w:rFonts w:eastAsiaTheme="minorEastAsia"/>
          <w:sz w:val="20"/>
          <w:szCs w:val="20"/>
          <w:lang w:eastAsia="en-AU"/>
        </w:rPr>
      </w:pPr>
      <w:r w:rsidRPr="00546F67">
        <w:rPr>
          <w:sz w:val="20"/>
          <w:szCs w:val="20"/>
        </w:rPr>
        <w:t>Table 6-1: 12-month prevalence of conduct disorder among 4-17 year-olds by sex and age group</w:t>
      </w:r>
      <w:r w:rsidRPr="00546F67">
        <w:rPr>
          <w:sz w:val="20"/>
          <w:szCs w:val="20"/>
        </w:rPr>
        <w:tab/>
        <w:t>65</w:t>
      </w:r>
    </w:p>
    <w:p w:rsidR="0093447F" w:rsidRPr="00546F67" w:rsidRDefault="0093447F" w:rsidP="005A28C1">
      <w:pPr>
        <w:pStyle w:val="TOC3"/>
        <w:ind w:left="0"/>
        <w:rPr>
          <w:rFonts w:eastAsiaTheme="minorEastAsia"/>
          <w:sz w:val="20"/>
          <w:szCs w:val="20"/>
          <w:lang w:eastAsia="en-AU"/>
        </w:rPr>
      </w:pPr>
      <w:r w:rsidRPr="00546F67">
        <w:rPr>
          <w:sz w:val="20"/>
          <w:szCs w:val="20"/>
        </w:rPr>
        <w:t>Table 6-2: 12-month prevalence of conduct disorder among 4-17 year-olds by family type</w:t>
      </w:r>
      <w:r w:rsidRPr="00546F67">
        <w:rPr>
          <w:sz w:val="20"/>
          <w:szCs w:val="20"/>
        </w:rPr>
        <w:tab/>
        <w:t>66</w:t>
      </w:r>
    </w:p>
    <w:p w:rsidR="0093447F" w:rsidRPr="00546F67" w:rsidRDefault="0093447F" w:rsidP="005A28C1">
      <w:pPr>
        <w:pStyle w:val="TOC3"/>
        <w:ind w:left="0"/>
        <w:rPr>
          <w:rFonts w:eastAsiaTheme="minorEastAsia"/>
          <w:sz w:val="20"/>
          <w:szCs w:val="20"/>
          <w:lang w:eastAsia="en-AU"/>
        </w:rPr>
      </w:pPr>
      <w:r w:rsidRPr="00546F67">
        <w:rPr>
          <w:sz w:val="20"/>
          <w:szCs w:val="20"/>
        </w:rPr>
        <w:t>Table 6-3: 12-month prevalence of conduct disorder among 4-17 year-olds by household income</w:t>
      </w:r>
      <w:r w:rsidRPr="00546F67">
        <w:rPr>
          <w:sz w:val="20"/>
          <w:szCs w:val="20"/>
        </w:rPr>
        <w:tab/>
        <w:t>66</w:t>
      </w:r>
    </w:p>
    <w:p w:rsidR="0093447F" w:rsidRPr="00546F67" w:rsidRDefault="0093447F" w:rsidP="005A28C1">
      <w:pPr>
        <w:pStyle w:val="TOC3"/>
        <w:ind w:left="0"/>
        <w:rPr>
          <w:rFonts w:eastAsiaTheme="minorEastAsia"/>
          <w:sz w:val="20"/>
          <w:szCs w:val="20"/>
          <w:lang w:eastAsia="en-AU"/>
        </w:rPr>
      </w:pPr>
      <w:r w:rsidRPr="00546F67">
        <w:rPr>
          <w:sz w:val="20"/>
          <w:szCs w:val="20"/>
        </w:rPr>
        <w:t>Table 6-4: 12-month prevalence of conduct disorder among 4-17 year-olds by parent or carer education</w:t>
      </w:r>
      <w:r w:rsidRPr="00546F67">
        <w:rPr>
          <w:sz w:val="20"/>
          <w:szCs w:val="20"/>
        </w:rPr>
        <w:tab/>
        <w:t>67</w:t>
      </w:r>
    </w:p>
    <w:p w:rsidR="0093447F" w:rsidRPr="00546F67" w:rsidRDefault="0093447F" w:rsidP="005A28C1">
      <w:pPr>
        <w:pStyle w:val="TOC3"/>
        <w:ind w:left="0"/>
        <w:rPr>
          <w:rFonts w:eastAsiaTheme="minorEastAsia"/>
          <w:sz w:val="20"/>
          <w:szCs w:val="20"/>
          <w:lang w:eastAsia="en-AU"/>
        </w:rPr>
      </w:pPr>
      <w:r w:rsidRPr="00546F67">
        <w:rPr>
          <w:sz w:val="20"/>
          <w:szCs w:val="20"/>
        </w:rPr>
        <w:t>Table 6-5: 12-month prevalence of conduct disorder among 4-17 year-olds by parent or carer labour force status</w:t>
      </w:r>
      <w:r w:rsidR="005A28C1">
        <w:rPr>
          <w:sz w:val="20"/>
          <w:szCs w:val="20"/>
        </w:rPr>
        <w:tab/>
      </w:r>
      <w:r w:rsidRPr="00546F67">
        <w:rPr>
          <w:sz w:val="20"/>
          <w:szCs w:val="20"/>
        </w:rPr>
        <w:tab/>
        <w:t>67</w:t>
      </w:r>
    </w:p>
    <w:p w:rsidR="0093447F" w:rsidRPr="00546F67" w:rsidRDefault="0093447F" w:rsidP="005A28C1">
      <w:pPr>
        <w:pStyle w:val="TOC3"/>
        <w:ind w:left="0"/>
        <w:rPr>
          <w:rFonts w:eastAsiaTheme="minorEastAsia"/>
          <w:sz w:val="20"/>
          <w:szCs w:val="20"/>
          <w:lang w:eastAsia="en-AU"/>
        </w:rPr>
      </w:pPr>
      <w:r w:rsidRPr="00546F67">
        <w:rPr>
          <w:sz w:val="20"/>
          <w:szCs w:val="20"/>
        </w:rPr>
        <w:t>Table 6-6: 12-month prevalence of conduct disorder among 4-17 year-olds by area of residence</w:t>
      </w:r>
      <w:r w:rsidRPr="00546F67">
        <w:rPr>
          <w:sz w:val="20"/>
          <w:szCs w:val="20"/>
        </w:rPr>
        <w:tab/>
        <w:t>67</w:t>
      </w:r>
    </w:p>
    <w:p w:rsidR="0093447F" w:rsidRPr="00546F67" w:rsidRDefault="0093447F" w:rsidP="005A28C1">
      <w:pPr>
        <w:pStyle w:val="TOC3"/>
        <w:ind w:left="0"/>
        <w:rPr>
          <w:rFonts w:eastAsiaTheme="minorEastAsia"/>
          <w:sz w:val="20"/>
          <w:szCs w:val="20"/>
          <w:lang w:eastAsia="en-AU"/>
        </w:rPr>
      </w:pPr>
      <w:r w:rsidRPr="00546F67">
        <w:rPr>
          <w:sz w:val="20"/>
          <w:szCs w:val="20"/>
        </w:rPr>
        <w:t>Table 6-7: 12-month prevalence of conduct disorder among 4-17 year-olds by level of family functioning and age group</w:t>
      </w:r>
      <w:r w:rsidRPr="00546F67">
        <w:rPr>
          <w:sz w:val="20"/>
          <w:szCs w:val="20"/>
        </w:rPr>
        <w:tab/>
      </w:r>
      <w:r w:rsidR="005A28C1">
        <w:rPr>
          <w:sz w:val="20"/>
          <w:szCs w:val="20"/>
        </w:rPr>
        <w:tab/>
      </w:r>
      <w:r w:rsidRPr="00546F67">
        <w:rPr>
          <w:sz w:val="20"/>
          <w:szCs w:val="20"/>
        </w:rPr>
        <w:t>68</w:t>
      </w:r>
    </w:p>
    <w:p w:rsidR="0093447F" w:rsidRPr="00546F67" w:rsidRDefault="0093447F" w:rsidP="005A28C1">
      <w:pPr>
        <w:pStyle w:val="TOC3"/>
        <w:ind w:left="0"/>
        <w:rPr>
          <w:rFonts w:eastAsiaTheme="minorEastAsia"/>
          <w:sz w:val="20"/>
          <w:szCs w:val="20"/>
          <w:lang w:eastAsia="en-AU"/>
        </w:rPr>
      </w:pPr>
      <w:r w:rsidRPr="00546F67">
        <w:rPr>
          <w:sz w:val="20"/>
          <w:szCs w:val="20"/>
        </w:rPr>
        <w:t>Table 6-8: Severity of impact in different life domains among 4-17 year-olds with conduct disorder</w:t>
      </w:r>
      <w:r w:rsidRPr="00546F67">
        <w:rPr>
          <w:sz w:val="20"/>
          <w:szCs w:val="20"/>
        </w:rPr>
        <w:tab/>
        <w:t>69</w:t>
      </w:r>
    </w:p>
    <w:p w:rsidR="0093447F" w:rsidRPr="00546F67" w:rsidRDefault="0093447F" w:rsidP="005A28C1">
      <w:pPr>
        <w:pStyle w:val="TOC3"/>
        <w:ind w:left="0"/>
        <w:rPr>
          <w:rFonts w:eastAsiaTheme="minorEastAsia"/>
          <w:sz w:val="20"/>
          <w:szCs w:val="20"/>
          <w:lang w:eastAsia="en-AU"/>
        </w:rPr>
      </w:pPr>
      <w:r w:rsidRPr="00546F67">
        <w:rPr>
          <w:sz w:val="20"/>
          <w:szCs w:val="20"/>
        </w:rPr>
        <w:t>Table 6-9: Average days off school in the past 12 months due to conduct disorder symptoms among 4-17 year-olds with conduct disorder by age group</w:t>
      </w:r>
      <w:r w:rsidRPr="00546F67">
        <w:rPr>
          <w:sz w:val="20"/>
          <w:szCs w:val="20"/>
        </w:rPr>
        <w:tab/>
        <w:t>69</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6-10: 12-month prevalence of oppositional problem behaviours among 4-17 year-olds by sex and age group</w:t>
      </w:r>
      <w:r w:rsidR="005A28C1">
        <w:rPr>
          <w:sz w:val="20"/>
          <w:szCs w:val="20"/>
        </w:rPr>
        <w:tab/>
      </w:r>
      <w:r w:rsidRPr="00546F67">
        <w:rPr>
          <w:sz w:val="20"/>
          <w:szCs w:val="20"/>
        </w:rPr>
        <w:tab/>
        <w:t>70</w:t>
      </w:r>
    </w:p>
    <w:p w:rsidR="0093447F" w:rsidRPr="00546F67" w:rsidRDefault="0093447F" w:rsidP="005A28C1">
      <w:pPr>
        <w:pStyle w:val="TOC3"/>
        <w:ind w:left="0"/>
        <w:rPr>
          <w:rFonts w:eastAsiaTheme="minorEastAsia"/>
          <w:sz w:val="20"/>
          <w:szCs w:val="20"/>
          <w:lang w:eastAsia="en-AU"/>
        </w:rPr>
      </w:pPr>
      <w:r w:rsidRPr="00546F67">
        <w:rPr>
          <w:sz w:val="20"/>
          <w:szCs w:val="20"/>
        </w:rPr>
        <w:t>Table 6-11: Co-occurrence of oppositional problem behaviours and mental disorders among 4-17 year-olds</w:t>
      </w:r>
      <w:r w:rsidRPr="00546F67">
        <w:rPr>
          <w:sz w:val="20"/>
          <w:szCs w:val="20"/>
        </w:rPr>
        <w:tab/>
        <w:t>71</w:t>
      </w:r>
    </w:p>
    <w:p w:rsidR="0093447F" w:rsidRPr="00546F67" w:rsidRDefault="0093447F" w:rsidP="005A28C1">
      <w:pPr>
        <w:pStyle w:val="TOC3"/>
        <w:ind w:left="0"/>
        <w:rPr>
          <w:rFonts w:eastAsiaTheme="minorEastAsia"/>
          <w:sz w:val="20"/>
          <w:szCs w:val="20"/>
          <w:lang w:eastAsia="en-AU"/>
        </w:rPr>
      </w:pPr>
      <w:r w:rsidRPr="00546F67">
        <w:rPr>
          <w:sz w:val="20"/>
          <w:szCs w:val="20"/>
        </w:rPr>
        <w:t>Table 6-12: 12-month prevalence of oppositional problem behaviours among 4-17 year-olds by family functioning and age group</w:t>
      </w:r>
      <w:r w:rsidRPr="00546F67">
        <w:rPr>
          <w:sz w:val="20"/>
          <w:szCs w:val="20"/>
        </w:rPr>
        <w:tab/>
        <w:t>71</w:t>
      </w:r>
    </w:p>
    <w:p w:rsidR="0093447F" w:rsidRPr="00546F67" w:rsidRDefault="0093447F" w:rsidP="005A28C1">
      <w:pPr>
        <w:pStyle w:val="TOC3"/>
        <w:ind w:left="0"/>
        <w:rPr>
          <w:rFonts w:eastAsiaTheme="minorEastAsia"/>
          <w:sz w:val="20"/>
          <w:szCs w:val="20"/>
          <w:lang w:eastAsia="en-AU"/>
        </w:rPr>
      </w:pPr>
      <w:r w:rsidRPr="00546F67">
        <w:rPr>
          <w:sz w:val="20"/>
          <w:szCs w:val="20"/>
        </w:rPr>
        <w:t>Table 6-13: Severity of impact in different life domains among 4-17 year-olds with oppositional problem behaviours</w:t>
      </w:r>
      <w:r w:rsidRPr="00546F67">
        <w:rPr>
          <w:sz w:val="20"/>
          <w:szCs w:val="20"/>
        </w:rPr>
        <w:tab/>
        <w:t>72</w:t>
      </w:r>
    </w:p>
    <w:p w:rsidR="0093447F" w:rsidRPr="00546F67" w:rsidRDefault="0093447F" w:rsidP="005A28C1">
      <w:pPr>
        <w:pStyle w:val="TOC3"/>
        <w:ind w:left="0"/>
        <w:rPr>
          <w:rFonts w:eastAsiaTheme="minorEastAsia"/>
          <w:sz w:val="20"/>
          <w:szCs w:val="20"/>
          <w:lang w:eastAsia="en-AU"/>
        </w:rPr>
      </w:pPr>
      <w:r w:rsidRPr="00546F67">
        <w:rPr>
          <w:sz w:val="20"/>
          <w:szCs w:val="20"/>
        </w:rPr>
        <w:t>Table 6-14: Average days off school in the past 12 months due to oppositional problem behaviours among 4-17 year-olds by age group</w:t>
      </w:r>
      <w:r w:rsidRPr="00546F67">
        <w:rPr>
          <w:sz w:val="20"/>
          <w:szCs w:val="20"/>
        </w:rPr>
        <w:tab/>
        <w:t>72</w:t>
      </w:r>
    </w:p>
    <w:p w:rsidR="0093447F" w:rsidRPr="00546F67" w:rsidRDefault="0093447F" w:rsidP="005A28C1">
      <w:pPr>
        <w:pStyle w:val="TOC3"/>
        <w:ind w:left="0"/>
        <w:rPr>
          <w:rFonts w:eastAsiaTheme="minorEastAsia"/>
          <w:sz w:val="20"/>
          <w:szCs w:val="20"/>
          <w:lang w:eastAsia="en-AU"/>
        </w:rPr>
      </w:pPr>
      <w:r w:rsidRPr="00546F67">
        <w:rPr>
          <w:sz w:val="20"/>
          <w:szCs w:val="20"/>
        </w:rPr>
        <w:t>Table 7-1: Service use for emotional or behavioural problems in past 12 months among all 4-17 year-olds by type of service</w:t>
      </w:r>
      <w:r w:rsidRPr="00546F67">
        <w:rPr>
          <w:sz w:val="20"/>
          <w:szCs w:val="20"/>
        </w:rPr>
        <w:tab/>
        <w:t>76</w:t>
      </w:r>
    </w:p>
    <w:p w:rsidR="0093447F" w:rsidRPr="00546F67" w:rsidRDefault="0093447F" w:rsidP="005A28C1">
      <w:pPr>
        <w:pStyle w:val="TOC3"/>
        <w:ind w:left="0"/>
        <w:rPr>
          <w:rFonts w:eastAsiaTheme="minorEastAsia"/>
          <w:sz w:val="20"/>
          <w:szCs w:val="20"/>
          <w:lang w:eastAsia="en-AU"/>
        </w:rPr>
      </w:pPr>
      <w:r w:rsidRPr="00546F67">
        <w:rPr>
          <w:sz w:val="20"/>
          <w:szCs w:val="20"/>
        </w:rPr>
        <w:t>Table 7-2: Service use for emotional or behavioural problems in past 12 months among all 4-17 year-olds by sex and age group</w:t>
      </w:r>
      <w:r w:rsidRPr="00546F67">
        <w:rPr>
          <w:sz w:val="20"/>
          <w:szCs w:val="20"/>
        </w:rPr>
        <w:tab/>
        <w:t>76</w:t>
      </w:r>
    </w:p>
    <w:p w:rsidR="0093447F" w:rsidRPr="00546F67" w:rsidRDefault="0093447F" w:rsidP="005A28C1">
      <w:pPr>
        <w:pStyle w:val="TOC3"/>
        <w:ind w:left="0"/>
        <w:rPr>
          <w:rFonts w:eastAsiaTheme="minorEastAsia"/>
          <w:sz w:val="20"/>
          <w:szCs w:val="20"/>
          <w:lang w:eastAsia="en-AU"/>
        </w:rPr>
      </w:pPr>
      <w:r w:rsidRPr="00546F67">
        <w:rPr>
          <w:sz w:val="20"/>
          <w:szCs w:val="20"/>
        </w:rPr>
        <w:t>Table 7-3: Service use in past 12 months among 4-17 year-olds with mental disorders by sex and age group</w:t>
      </w:r>
      <w:r w:rsidRPr="00546F67">
        <w:rPr>
          <w:sz w:val="20"/>
          <w:szCs w:val="20"/>
        </w:rPr>
        <w:tab/>
        <w:t>76</w:t>
      </w:r>
    </w:p>
    <w:p w:rsidR="0093447F" w:rsidRPr="00546F67" w:rsidRDefault="0093447F" w:rsidP="005A28C1">
      <w:pPr>
        <w:pStyle w:val="TOC3"/>
        <w:ind w:left="0"/>
        <w:rPr>
          <w:rFonts w:eastAsiaTheme="minorEastAsia"/>
          <w:sz w:val="20"/>
          <w:szCs w:val="20"/>
          <w:lang w:eastAsia="en-AU"/>
        </w:rPr>
      </w:pPr>
      <w:r w:rsidRPr="00546F67">
        <w:rPr>
          <w:sz w:val="20"/>
          <w:szCs w:val="20"/>
        </w:rPr>
        <w:t>Table 7-4: Service use in past 12 months among 4-17 year-olds with mental disorders by family type</w:t>
      </w:r>
      <w:r w:rsidRPr="00546F67">
        <w:rPr>
          <w:sz w:val="20"/>
          <w:szCs w:val="20"/>
        </w:rPr>
        <w:tab/>
        <w:t>77</w:t>
      </w:r>
    </w:p>
    <w:p w:rsidR="0093447F" w:rsidRPr="00546F67" w:rsidRDefault="0093447F" w:rsidP="005A28C1">
      <w:pPr>
        <w:pStyle w:val="TOC3"/>
        <w:ind w:left="0"/>
        <w:rPr>
          <w:rFonts w:eastAsiaTheme="minorEastAsia"/>
          <w:sz w:val="20"/>
          <w:szCs w:val="20"/>
          <w:lang w:eastAsia="en-AU"/>
        </w:rPr>
      </w:pPr>
      <w:r w:rsidRPr="00546F67">
        <w:rPr>
          <w:sz w:val="20"/>
          <w:szCs w:val="20"/>
        </w:rPr>
        <w:t>Table 7-5: Service use in past 12 months among 4-17 year-olds with mental disorders by household income</w:t>
      </w:r>
      <w:r w:rsidRPr="00546F67">
        <w:rPr>
          <w:sz w:val="20"/>
          <w:szCs w:val="20"/>
        </w:rPr>
        <w:tab/>
        <w:t>77</w:t>
      </w:r>
    </w:p>
    <w:p w:rsidR="0093447F" w:rsidRPr="00546F67" w:rsidRDefault="0093447F" w:rsidP="005A28C1">
      <w:pPr>
        <w:pStyle w:val="TOC3"/>
        <w:ind w:left="0"/>
        <w:rPr>
          <w:rFonts w:eastAsiaTheme="minorEastAsia"/>
          <w:sz w:val="20"/>
          <w:szCs w:val="20"/>
          <w:lang w:eastAsia="en-AU"/>
        </w:rPr>
      </w:pPr>
      <w:r w:rsidRPr="00546F67">
        <w:rPr>
          <w:sz w:val="20"/>
          <w:szCs w:val="20"/>
        </w:rPr>
        <w:t>Table 7-6: Service use in past 12 months among 4-17 year-olds with mental disorders by parent or carer education</w:t>
      </w:r>
      <w:r w:rsidRPr="00546F67">
        <w:rPr>
          <w:sz w:val="20"/>
          <w:szCs w:val="20"/>
        </w:rPr>
        <w:tab/>
      </w:r>
      <w:r w:rsidR="005A28C1">
        <w:rPr>
          <w:sz w:val="20"/>
          <w:szCs w:val="20"/>
        </w:rPr>
        <w:tab/>
      </w:r>
      <w:r w:rsidRPr="00546F67">
        <w:rPr>
          <w:sz w:val="20"/>
          <w:szCs w:val="20"/>
        </w:rPr>
        <w:t>78</w:t>
      </w:r>
    </w:p>
    <w:p w:rsidR="0093447F" w:rsidRPr="00546F67" w:rsidRDefault="0093447F" w:rsidP="005A28C1">
      <w:pPr>
        <w:pStyle w:val="TOC3"/>
        <w:ind w:left="0"/>
        <w:rPr>
          <w:rFonts w:eastAsiaTheme="minorEastAsia"/>
          <w:sz w:val="20"/>
          <w:szCs w:val="20"/>
          <w:lang w:eastAsia="en-AU"/>
        </w:rPr>
      </w:pPr>
      <w:r w:rsidRPr="00546F67">
        <w:rPr>
          <w:sz w:val="20"/>
          <w:szCs w:val="20"/>
        </w:rPr>
        <w:t>Table 7-7: Service use in past 12 months among 4-17 year-olds with mental disorders by parent or carer labour force status</w:t>
      </w:r>
      <w:r w:rsidRPr="00546F67">
        <w:rPr>
          <w:sz w:val="20"/>
          <w:szCs w:val="20"/>
        </w:rPr>
        <w:tab/>
        <w:t>78</w:t>
      </w:r>
    </w:p>
    <w:p w:rsidR="0093447F" w:rsidRPr="00546F67" w:rsidRDefault="0093447F" w:rsidP="005A28C1">
      <w:pPr>
        <w:pStyle w:val="TOC3"/>
        <w:ind w:left="0"/>
        <w:rPr>
          <w:rFonts w:eastAsiaTheme="minorEastAsia"/>
          <w:sz w:val="20"/>
          <w:szCs w:val="20"/>
          <w:lang w:eastAsia="en-AU"/>
        </w:rPr>
      </w:pPr>
      <w:r w:rsidRPr="00546F67">
        <w:rPr>
          <w:sz w:val="20"/>
          <w:szCs w:val="20"/>
        </w:rPr>
        <w:t>Table 7-8: Service use in past 12 months among 4-17 year-olds with mental disorders by area of residence</w:t>
      </w:r>
      <w:r w:rsidRPr="00546F67">
        <w:rPr>
          <w:sz w:val="20"/>
          <w:szCs w:val="20"/>
        </w:rPr>
        <w:tab/>
        <w:t>79</w:t>
      </w:r>
    </w:p>
    <w:p w:rsidR="0093447F" w:rsidRPr="00546F67" w:rsidRDefault="0093447F" w:rsidP="005A28C1">
      <w:pPr>
        <w:pStyle w:val="TOC3"/>
        <w:ind w:left="0"/>
        <w:rPr>
          <w:rFonts w:eastAsiaTheme="minorEastAsia"/>
          <w:sz w:val="20"/>
          <w:szCs w:val="20"/>
          <w:lang w:eastAsia="en-AU"/>
        </w:rPr>
      </w:pPr>
      <w:r w:rsidRPr="00546F67">
        <w:rPr>
          <w:sz w:val="20"/>
          <w:szCs w:val="20"/>
        </w:rPr>
        <w:t>Table 7-9: Service use in past 12 months among 4-17 year-olds with mental disorders by disorder type and age group</w:t>
      </w:r>
      <w:r w:rsidRPr="00546F67">
        <w:rPr>
          <w:sz w:val="20"/>
          <w:szCs w:val="20"/>
        </w:rPr>
        <w:tab/>
      </w:r>
      <w:r w:rsidR="005A28C1">
        <w:rPr>
          <w:sz w:val="20"/>
          <w:szCs w:val="20"/>
        </w:rPr>
        <w:tab/>
      </w:r>
      <w:r w:rsidRPr="00546F67">
        <w:rPr>
          <w:sz w:val="20"/>
          <w:szCs w:val="20"/>
        </w:rPr>
        <w:t>79</w:t>
      </w:r>
    </w:p>
    <w:p w:rsidR="0093447F" w:rsidRPr="00546F67" w:rsidRDefault="0093447F" w:rsidP="005A28C1">
      <w:pPr>
        <w:pStyle w:val="TOC3"/>
        <w:ind w:left="0"/>
        <w:rPr>
          <w:rFonts w:eastAsiaTheme="minorEastAsia"/>
          <w:sz w:val="20"/>
          <w:szCs w:val="20"/>
          <w:lang w:eastAsia="en-AU"/>
        </w:rPr>
      </w:pPr>
      <w:r w:rsidRPr="00546F67">
        <w:rPr>
          <w:sz w:val="20"/>
          <w:szCs w:val="20"/>
        </w:rPr>
        <w:t>Table 7-10: Service use in past 12 months among 4-17 year-olds with mental disorders by severity of impact and age group</w:t>
      </w:r>
      <w:r w:rsidRPr="00546F67">
        <w:rPr>
          <w:sz w:val="20"/>
          <w:szCs w:val="20"/>
        </w:rPr>
        <w:tab/>
        <w:t>79</w:t>
      </w:r>
    </w:p>
    <w:p w:rsidR="0093447F" w:rsidRPr="00546F67" w:rsidRDefault="0093447F" w:rsidP="005A28C1">
      <w:pPr>
        <w:pStyle w:val="TOC3"/>
        <w:ind w:left="0"/>
        <w:rPr>
          <w:rFonts w:eastAsiaTheme="minorEastAsia"/>
          <w:sz w:val="20"/>
          <w:szCs w:val="20"/>
          <w:lang w:eastAsia="en-AU"/>
        </w:rPr>
      </w:pPr>
      <w:r w:rsidRPr="00546F67">
        <w:rPr>
          <w:sz w:val="20"/>
          <w:szCs w:val="20"/>
        </w:rPr>
        <w:t>Table 7-11: Health service use in past 12 months among 4-17 year-olds with mental disorders by disorder type and severity of impact</w:t>
      </w:r>
      <w:r w:rsidRPr="00546F67">
        <w:rPr>
          <w:sz w:val="20"/>
          <w:szCs w:val="20"/>
        </w:rPr>
        <w:tab/>
        <w:t>80</w:t>
      </w:r>
    </w:p>
    <w:p w:rsidR="0093447F" w:rsidRPr="00546F67" w:rsidRDefault="0093447F" w:rsidP="005A28C1">
      <w:pPr>
        <w:pStyle w:val="TOC3"/>
        <w:ind w:left="0"/>
        <w:rPr>
          <w:rFonts w:eastAsiaTheme="minorEastAsia"/>
          <w:sz w:val="20"/>
          <w:szCs w:val="20"/>
          <w:lang w:eastAsia="en-AU"/>
        </w:rPr>
      </w:pPr>
      <w:r w:rsidRPr="00546F67">
        <w:rPr>
          <w:sz w:val="20"/>
          <w:szCs w:val="20"/>
        </w:rPr>
        <w:t>Table 7-12: Service use in past 12 months among 4-17 year-olds with mental disorders by health service provider and age group</w:t>
      </w:r>
      <w:r w:rsidRPr="00546F67">
        <w:rPr>
          <w:sz w:val="20"/>
          <w:szCs w:val="20"/>
        </w:rPr>
        <w:tab/>
        <w:t>81</w:t>
      </w:r>
    </w:p>
    <w:p w:rsidR="0093447F" w:rsidRPr="00546F67" w:rsidRDefault="0093447F" w:rsidP="005A28C1">
      <w:pPr>
        <w:pStyle w:val="TOC3"/>
        <w:ind w:left="0"/>
        <w:rPr>
          <w:rFonts w:eastAsiaTheme="minorEastAsia"/>
          <w:sz w:val="20"/>
          <w:szCs w:val="20"/>
          <w:lang w:eastAsia="en-AU"/>
        </w:rPr>
      </w:pPr>
      <w:r w:rsidRPr="00546F67">
        <w:rPr>
          <w:sz w:val="20"/>
          <w:szCs w:val="20"/>
        </w:rPr>
        <w:t>Table 7-13: Visits to health service providers in past 12 months among 4-17 year-olds with mental disorders by type of provider</w:t>
      </w:r>
      <w:r w:rsidRPr="00546F67">
        <w:rPr>
          <w:sz w:val="20"/>
          <w:szCs w:val="20"/>
        </w:rPr>
        <w:tab/>
        <w:t>82</w:t>
      </w:r>
    </w:p>
    <w:p w:rsidR="0093447F" w:rsidRPr="00546F67" w:rsidRDefault="0093447F" w:rsidP="005A28C1">
      <w:pPr>
        <w:pStyle w:val="TOC3"/>
        <w:ind w:left="0"/>
        <w:rPr>
          <w:rFonts w:eastAsiaTheme="minorEastAsia"/>
          <w:sz w:val="20"/>
          <w:szCs w:val="20"/>
          <w:lang w:eastAsia="en-AU"/>
        </w:rPr>
      </w:pPr>
      <w:r w:rsidRPr="00546F67">
        <w:rPr>
          <w:sz w:val="20"/>
          <w:szCs w:val="20"/>
        </w:rPr>
        <w:t>Table 7-14: Hospital and specialist mental health service use in past 12 months by age group and type of service</w:t>
      </w:r>
      <w:r w:rsidRPr="00546F67">
        <w:rPr>
          <w:sz w:val="20"/>
          <w:szCs w:val="20"/>
        </w:rPr>
        <w:tab/>
      </w:r>
      <w:r w:rsidR="005A28C1">
        <w:rPr>
          <w:sz w:val="20"/>
          <w:szCs w:val="20"/>
        </w:rPr>
        <w:tab/>
      </w:r>
      <w:r w:rsidRPr="00546F67">
        <w:rPr>
          <w:sz w:val="20"/>
          <w:szCs w:val="20"/>
        </w:rPr>
        <w:t>82</w:t>
      </w:r>
    </w:p>
    <w:p w:rsidR="0093447F" w:rsidRPr="00546F67" w:rsidRDefault="0093447F" w:rsidP="005A28C1">
      <w:pPr>
        <w:pStyle w:val="TOC3"/>
        <w:ind w:left="0"/>
        <w:rPr>
          <w:rFonts w:eastAsiaTheme="minorEastAsia"/>
          <w:sz w:val="20"/>
          <w:szCs w:val="20"/>
          <w:lang w:eastAsia="en-AU"/>
        </w:rPr>
      </w:pPr>
      <w:r w:rsidRPr="00546F67">
        <w:rPr>
          <w:sz w:val="20"/>
          <w:szCs w:val="20"/>
        </w:rPr>
        <w:t>Table 7-15: Medication use for emotional or behavioural problems in past 12 months among 4-17 year-olds with mental disorders by disorder type and age group</w:t>
      </w:r>
      <w:r w:rsidRPr="00546F67">
        <w:rPr>
          <w:sz w:val="20"/>
          <w:szCs w:val="20"/>
        </w:rPr>
        <w:tab/>
        <w:t>83</w:t>
      </w:r>
    </w:p>
    <w:p w:rsidR="0093447F" w:rsidRPr="00546F67" w:rsidRDefault="0093447F" w:rsidP="005A28C1">
      <w:pPr>
        <w:pStyle w:val="TOC3"/>
        <w:ind w:left="0"/>
        <w:rPr>
          <w:rFonts w:eastAsiaTheme="minorEastAsia"/>
          <w:sz w:val="20"/>
          <w:szCs w:val="20"/>
          <w:lang w:eastAsia="en-AU"/>
        </w:rPr>
      </w:pPr>
      <w:r w:rsidRPr="00546F67">
        <w:rPr>
          <w:sz w:val="20"/>
          <w:szCs w:val="20"/>
        </w:rPr>
        <w:t>Table 7-16: School service use in past 12 months among 4-17 year-olds with mental disorders by age group and type of service</w:t>
      </w:r>
      <w:r w:rsidRPr="00546F67">
        <w:rPr>
          <w:sz w:val="20"/>
          <w:szCs w:val="20"/>
        </w:rPr>
        <w:tab/>
        <w:t>84</w:t>
      </w:r>
    </w:p>
    <w:p w:rsidR="0093447F" w:rsidRPr="00546F67" w:rsidRDefault="0093447F" w:rsidP="005A28C1">
      <w:pPr>
        <w:pStyle w:val="TOC3"/>
        <w:ind w:left="0"/>
        <w:rPr>
          <w:rFonts w:eastAsiaTheme="minorEastAsia"/>
          <w:sz w:val="20"/>
          <w:szCs w:val="20"/>
          <w:lang w:eastAsia="en-AU"/>
        </w:rPr>
      </w:pPr>
      <w:r w:rsidRPr="00546F67">
        <w:rPr>
          <w:sz w:val="20"/>
          <w:szCs w:val="20"/>
        </w:rPr>
        <w:t>Table 7-17: School individual counselling services in past 12 months among 4-17 year-olds with mental disorders</w:t>
      </w:r>
      <w:r w:rsidRPr="00546F67">
        <w:rPr>
          <w:sz w:val="20"/>
          <w:szCs w:val="20"/>
        </w:rPr>
        <w:tab/>
        <w:t>84</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7-18: School service use in past 12 months among 4-17 year-olds with mental disorders by disorder type and severity of impact</w:t>
      </w:r>
      <w:r w:rsidRPr="00546F67">
        <w:rPr>
          <w:sz w:val="20"/>
          <w:szCs w:val="20"/>
        </w:rPr>
        <w:tab/>
        <w:t>85</w:t>
      </w:r>
    </w:p>
    <w:p w:rsidR="0093447F" w:rsidRPr="00546F67" w:rsidRDefault="0093447F" w:rsidP="005A28C1">
      <w:pPr>
        <w:pStyle w:val="TOC3"/>
        <w:ind w:left="0"/>
        <w:rPr>
          <w:rFonts w:eastAsiaTheme="minorEastAsia"/>
          <w:sz w:val="20"/>
          <w:szCs w:val="20"/>
          <w:lang w:eastAsia="en-AU"/>
        </w:rPr>
      </w:pPr>
      <w:r w:rsidRPr="00546F67">
        <w:rPr>
          <w:sz w:val="20"/>
          <w:szCs w:val="20"/>
        </w:rPr>
        <w:t>Table 7-19: Service use in past 12 months by parents or carers of 4-17 year-olds with mental disorders for help with managing child’s problems</w:t>
      </w:r>
      <w:r w:rsidRPr="00546F67">
        <w:rPr>
          <w:sz w:val="20"/>
          <w:szCs w:val="20"/>
        </w:rPr>
        <w:tab/>
        <w:t>86</w:t>
      </w:r>
    </w:p>
    <w:p w:rsidR="0093447F" w:rsidRPr="00546F67" w:rsidRDefault="0093447F" w:rsidP="005A28C1">
      <w:pPr>
        <w:pStyle w:val="TOC3"/>
        <w:ind w:left="0"/>
        <w:rPr>
          <w:rFonts w:eastAsiaTheme="minorEastAsia"/>
          <w:sz w:val="20"/>
          <w:szCs w:val="20"/>
          <w:lang w:eastAsia="en-AU"/>
        </w:rPr>
      </w:pPr>
      <w:r w:rsidRPr="00546F67">
        <w:rPr>
          <w:sz w:val="20"/>
          <w:szCs w:val="20"/>
        </w:rPr>
        <w:t>Table 7-20: Online service use in past 12 months by parents or carers of 4-17 year-olds with mental disorders by type of service</w:t>
      </w:r>
      <w:r w:rsidRPr="00546F67">
        <w:rPr>
          <w:sz w:val="20"/>
          <w:szCs w:val="20"/>
        </w:rPr>
        <w:tab/>
        <w:t>86</w:t>
      </w:r>
    </w:p>
    <w:p w:rsidR="0093447F" w:rsidRPr="00546F67" w:rsidRDefault="0093447F" w:rsidP="005A28C1">
      <w:pPr>
        <w:pStyle w:val="TOC3"/>
        <w:ind w:left="0"/>
        <w:rPr>
          <w:rFonts w:eastAsiaTheme="minorEastAsia"/>
          <w:sz w:val="20"/>
          <w:szCs w:val="20"/>
          <w:lang w:eastAsia="en-AU"/>
        </w:rPr>
      </w:pPr>
      <w:r w:rsidRPr="00546F67">
        <w:rPr>
          <w:sz w:val="20"/>
          <w:szCs w:val="20"/>
        </w:rPr>
        <w:t>Table 7-21: Service use in past 12 months among 4-17 year-olds by indicators of significant problems</w:t>
      </w:r>
      <w:r w:rsidRPr="00546F67">
        <w:rPr>
          <w:sz w:val="20"/>
          <w:szCs w:val="20"/>
        </w:rPr>
        <w:tab/>
        <w:t>87</w:t>
      </w:r>
    </w:p>
    <w:p w:rsidR="0093447F" w:rsidRPr="00546F67" w:rsidRDefault="0093447F" w:rsidP="005A28C1">
      <w:pPr>
        <w:pStyle w:val="TOC3"/>
        <w:ind w:left="0"/>
        <w:rPr>
          <w:rFonts w:eastAsiaTheme="minorEastAsia"/>
          <w:sz w:val="20"/>
          <w:szCs w:val="20"/>
          <w:lang w:eastAsia="en-AU"/>
        </w:rPr>
      </w:pPr>
      <w:r w:rsidRPr="00546F67">
        <w:rPr>
          <w:sz w:val="20"/>
          <w:szCs w:val="20"/>
        </w:rPr>
        <w:t>Table 7-22: Health service use in past 12 months among 4-17 year-olds by indicators of significant problems</w:t>
      </w:r>
      <w:r w:rsidRPr="00546F67">
        <w:rPr>
          <w:sz w:val="20"/>
          <w:szCs w:val="20"/>
        </w:rPr>
        <w:tab/>
        <w:t>88</w:t>
      </w:r>
    </w:p>
    <w:p w:rsidR="0093447F" w:rsidRPr="00546F67" w:rsidRDefault="0093447F" w:rsidP="005A28C1">
      <w:pPr>
        <w:pStyle w:val="TOC3"/>
        <w:ind w:left="0"/>
        <w:rPr>
          <w:rFonts w:eastAsiaTheme="minorEastAsia"/>
          <w:sz w:val="20"/>
          <w:szCs w:val="20"/>
          <w:lang w:eastAsia="en-AU"/>
        </w:rPr>
      </w:pPr>
      <w:r w:rsidRPr="00546F67">
        <w:rPr>
          <w:sz w:val="20"/>
          <w:szCs w:val="20"/>
        </w:rPr>
        <w:t>Table 8-1: Perceived need for help in past 12 months for 4-17 year-olds</w:t>
      </w:r>
      <w:r w:rsidRPr="00546F67">
        <w:rPr>
          <w:sz w:val="20"/>
          <w:szCs w:val="20"/>
        </w:rPr>
        <w:tab/>
        <w:t>90</w:t>
      </w:r>
    </w:p>
    <w:p w:rsidR="0093447F" w:rsidRPr="00546F67" w:rsidRDefault="0093447F" w:rsidP="005A28C1">
      <w:pPr>
        <w:pStyle w:val="TOC3"/>
        <w:ind w:left="0"/>
        <w:rPr>
          <w:rFonts w:eastAsiaTheme="minorEastAsia"/>
          <w:sz w:val="20"/>
          <w:szCs w:val="20"/>
          <w:lang w:eastAsia="en-AU"/>
        </w:rPr>
      </w:pPr>
      <w:r w:rsidRPr="00546F67">
        <w:rPr>
          <w:sz w:val="20"/>
          <w:szCs w:val="20"/>
        </w:rPr>
        <w:t>Table 8-2: Perceived need for any type of help in past 12 months for 4-17 year-olds with mental disorders by age group</w:t>
      </w:r>
      <w:r w:rsidRPr="00546F67">
        <w:rPr>
          <w:sz w:val="20"/>
          <w:szCs w:val="20"/>
        </w:rPr>
        <w:tab/>
      </w:r>
      <w:r w:rsidR="005A28C1">
        <w:rPr>
          <w:sz w:val="20"/>
          <w:szCs w:val="20"/>
        </w:rPr>
        <w:tab/>
      </w:r>
      <w:r w:rsidRPr="00546F67">
        <w:rPr>
          <w:sz w:val="20"/>
          <w:szCs w:val="20"/>
        </w:rPr>
        <w:t>90</w:t>
      </w:r>
    </w:p>
    <w:p w:rsidR="0093447F" w:rsidRPr="00546F67" w:rsidRDefault="0093447F" w:rsidP="005A28C1">
      <w:pPr>
        <w:pStyle w:val="TOC3"/>
        <w:ind w:left="0"/>
        <w:rPr>
          <w:rFonts w:eastAsiaTheme="minorEastAsia"/>
          <w:sz w:val="20"/>
          <w:szCs w:val="20"/>
          <w:lang w:eastAsia="en-AU"/>
        </w:rPr>
      </w:pPr>
      <w:r w:rsidRPr="00546F67">
        <w:rPr>
          <w:sz w:val="20"/>
          <w:szCs w:val="20"/>
        </w:rPr>
        <w:t>Table 8-3: Perceived need for help in past 12 months for 4-17 year-olds with m</w:t>
      </w:r>
      <w:r w:rsidR="005A28C1">
        <w:rPr>
          <w:sz w:val="20"/>
          <w:szCs w:val="20"/>
        </w:rPr>
        <w:t>ental disorders by type of help</w:t>
      </w:r>
      <w:r w:rsidR="005A28C1">
        <w:rPr>
          <w:sz w:val="20"/>
          <w:szCs w:val="20"/>
        </w:rPr>
        <w:tab/>
      </w:r>
      <w:r w:rsidR="005A28C1">
        <w:rPr>
          <w:sz w:val="20"/>
          <w:szCs w:val="20"/>
        </w:rPr>
        <w:tab/>
      </w:r>
      <w:r w:rsidR="005A28C1">
        <w:rPr>
          <w:sz w:val="20"/>
          <w:szCs w:val="20"/>
        </w:rPr>
        <w:tab/>
      </w:r>
      <w:r w:rsidRPr="00546F67">
        <w:rPr>
          <w:sz w:val="20"/>
          <w:szCs w:val="20"/>
        </w:rPr>
        <w:t>91</w:t>
      </w:r>
    </w:p>
    <w:p w:rsidR="0093447F" w:rsidRPr="00546F67" w:rsidRDefault="0093447F" w:rsidP="005A28C1">
      <w:pPr>
        <w:pStyle w:val="TOC3"/>
        <w:ind w:left="0"/>
        <w:rPr>
          <w:rFonts w:eastAsiaTheme="minorEastAsia"/>
          <w:sz w:val="20"/>
          <w:szCs w:val="20"/>
          <w:lang w:eastAsia="en-AU"/>
        </w:rPr>
      </w:pPr>
      <w:r w:rsidRPr="00546F67">
        <w:rPr>
          <w:sz w:val="20"/>
          <w:szCs w:val="20"/>
        </w:rPr>
        <w:t>Table 8-4: Perceived need for help in past 12 months for 4-17 year-olds with mental disorders by severity of disorder and type of help</w:t>
      </w:r>
      <w:r w:rsidRPr="00546F67">
        <w:rPr>
          <w:sz w:val="20"/>
          <w:szCs w:val="20"/>
        </w:rPr>
        <w:tab/>
        <w:t>92</w:t>
      </w:r>
    </w:p>
    <w:p w:rsidR="0093447F" w:rsidRPr="00546F67" w:rsidRDefault="0093447F" w:rsidP="005A28C1">
      <w:pPr>
        <w:pStyle w:val="TOC3"/>
        <w:ind w:left="0"/>
        <w:rPr>
          <w:rFonts w:eastAsiaTheme="minorEastAsia"/>
          <w:sz w:val="20"/>
          <w:szCs w:val="20"/>
          <w:lang w:eastAsia="en-AU"/>
        </w:rPr>
      </w:pPr>
      <w:r w:rsidRPr="00546F67">
        <w:rPr>
          <w:sz w:val="20"/>
          <w:szCs w:val="20"/>
        </w:rPr>
        <w:t>Table 8-5: Perceived need for help in past 12 months for 4-17 year-olds with mental disorders by service use and type of help</w:t>
      </w:r>
      <w:r w:rsidRPr="00546F67">
        <w:rPr>
          <w:sz w:val="20"/>
          <w:szCs w:val="20"/>
        </w:rPr>
        <w:tab/>
        <w:t>93</w:t>
      </w:r>
    </w:p>
    <w:p w:rsidR="0093447F" w:rsidRPr="00546F67" w:rsidRDefault="0093447F" w:rsidP="005A28C1">
      <w:pPr>
        <w:pStyle w:val="TOC3"/>
        <w:ind w:left="0"/>
        <w:rPr>
          <w:rFonts w:eastAsiaTheme="minorEastAsia"/>
          <w:sz w:val="20"/>
          <w:szCs w:val="20"/>
          <w:lang w:eastAsia="en-AU"/>
        </w:rPr>
      </w:pPr>
      <w:r w:rsidRPr="00546F67">
        <w:rPr>
          <w:sz w:val="20"/>
          <w:szCs w:val="20"/>
        </w:rPr>
        <w:t>Table 8-6: Barriers to seeking help or receiving more help in past 12 months for 4-17 year-olds with mental disorders by age group</w:t>
      </w:r>
      <w:r w:rsidRPr="00546F67">
        <w:rPr>
          <w:sz w:val="20"/>
          <w:szCs w:val="20"/>
        </w:rPr>
        <w:tab/>
        <w:t>94</w:t>
      </w:r>
    </w:p>
    <w:p w:rsidR="0093447F" w:rsidRPr="00546F67" w:rsidRDefault="0093447F" w:rsidP="005A28C1">
      <w:pPr>
        <w:pStyle w:val="TOC3"/>
        <w:ind w:left="0"/>
        <w:rPr>
          <w:rFonts w:eastAsiaTheme="minorEastAsia"/>
          <w:sz w:val="20"/>
          <w:szCs w:val="20"/>
          <w:lang w:eastAsia="en-AU"/>
        </w:rPr>
      </w:pPr>
      <w:r w:rsidRPr="00546F67">
        <w:rPr>
          <w:sz w:val="20"/>
          <w:szCs w:val="20"/>
        </w:rPr>
        <w:t>Table 8-7: Main barrier to seeking help or receiving more help in past 12 months for 4-17 year-olds with mental disorders by age group</w:t>
      </w:r>
      <w:r w:rsidRPr="00546F67">
        <w:rPr>
          <w:sz w:val="20"/>
          <w:szCs w:val="20"/>
        </w:rPr>
        <w:tab/>
        <w:t>95</w:t>
      </w:r>
    </w:p>
    <w:p w:rsidR="0093447F" w:rsidRPr="00546F67" w:rsidRDefault="0093447F" w:rsidP="005A28C1">
      <w:pPr>
        <w:pStyle w:val="TOC3"/>
        <w:ind w:left="0"/>
        <w:rPr>
          <w:rFonts w:eastAsiaTheme="minorEastAsia"/>
          <w:sz w:val="20"/>
          <w:szCs w:val="20"/>
          <w:lang w:eastAsia="en-AU"/>
        </w:rPr>
      </w:pPr>
      <w:r w:rsidRPr="00546F67">
        <w:rPr>
          <w:sz w:val="20"/>
          <w:szCs w:val="20"/>
        </w:rPr>
        <w:t>Table 8-8: Perceived need for help in past 12 months for parents and carers to deal with problems of 4-17 year-olds with mental disorders</w:t>
      </w:r>
      <w:r w:rsidRPr="00546F67">
        <w:rPr>
          <w:sz w:val="20"/>
          <w:szCs w:val="20"/>
        </w:rPr>
        <w:tab/>
        <w:t>96</w:t>
      </w:r>
    </w:p>
    <w:p w:rsidR="0093447F" w:rsidRPr="00546F67" w:rsidRDefault="0093447F" w:rsidP="005A28C1">
      <w:pPr>
        <w:pStyle w:val="TOC3"/>
        <w:ind w:left="0"/>
        <w:rPr>
          <w:rFonts w:eastAsiaTheme="minorEastAsia"/>
          <w:sz w:val="20"/>
          <w:szCs w:val="20"/>
          <w:lang w:eastAsia="en-AU"/>
        </w:rPr>
      </w:pPr>
      <w:r w:rsidRPr="00546F67">
        <w:rPr>
          <w:sz w:val="20"/>
          <w:szCs w:val="20"/>
        </w:rPr>
        <w:t>Table 8-9: Level of perceived need for help in past 12 months among parents and carers reporting any need for help to deal with problems of 4-17 year-olds with mental disorders</w:t>
      </w:r>
      <w:r w:rsidRPr="00546F67">
        <w:rPr>
          <w:sz w:val="20"/>
          <w:szCs w:val="20"/>
        </w:rPr>
        <w:tab/>
        <w:t>96</w:t>
      </w:r>
    </w:p>
    <w:p w:rsidR="0093447F" w:rsidRPr="00546F67" w:rsidRDefault="0093447F" w:rsidP="005A28C1">
      <w:pPr>
        <w:pStyle w:val="TOC3"/>
        <w:ind w:left="0"/>
        <w:rPr>
          <w:rFonts w:eastAsiaTheme="minorEastAsia"/>
          <w:sz w:val="20"/>
          <w:szCs w:val="20"/>
          <w:lang w:eastAsia="en-AU"/>
        </w:rPr>
      </w:pPr>
      <w:r w:rsidRPr="00546F67">
        <w:rPr>
          <w:sz w:val="20"/>
          <w:szCs w:val="20"/>
        </w:rPr>
        <w:t>Table 9-1: Proportion of parents or carers who reported that their child’s emotional or behavioural problems were identified by school staff</w:t>
      </w:r>
      <w:r w:rsidRPr="00546F67">
        <w:rPr>
          <w:sz w:val="20"/>
          <w:szCs w:val="20"/>
        </w:rPr>
        <w:tab/>
        <w:t>97</w:t>
      </w:r>
    </w:p>
    <w:p w:rsidR="0093447F" w:rsidRPr="00546F67" w:rsidRDefault="0093447F" w:rsidP="005A28C1">
      <w:pPr>
        <w:pStyle w:val="TOC3"/>
        <w:ind w:left="0"/>
        <w:rPr>
          <w:rFonts w:eastAsiaTheme="minorEastAsia"/>
          <w:sz w:val="20"/>
          <w:szCs w:val="20"/>
          <w:lang w:eastAsia="en-AU"/>
        </w:rPr>
      </w:pPr>
      <w:r w:rsidRPr="00546F67">
        <w:rPr>
          <w:sz w:val="20"/>
          <w:szCs w:val="20"/>
        </w:rPr>
        <w:t>Table 9-2: School contact in past 12 months by sex, age group and mental disorder status</w:t>
      </w:r>
      <w:r w:rsidRPr="00546F67">
        <w:rPr>
          <w:sz w:val="20"/>
          <w:szCs w:val="20"/>
        </w:rPr>
        <w:tab/>
        <w:t>98</w:t>
      </w:r>
    </w:p>
    <w:p w:rsidR="0093447F" w:rsidRPr="00546F67" w:rsidRDefault="0093447F" w:rsidP="005A28C1">
      <w:pPr>
        <w:pStyle w:val="TOC3"/>
        <w:ind w:left="0"/>
        <w:rPr>
          <w:rFonts w:eastAsiaTheme="minorEastAsia"/>
          <w:sz w:val="20"/>
          <w:szCs w:val="20"/>
          <w:lang w:eastAsia="en-AU"/>
        </w:rPr>
      </w:pPr>
      <w:r w:rsidRPr="00546F67">
        <w:rPr>
          <w:sz w:val="20"/>
          <w:szCs w:val="20"/>
        </w:rPr>
        <w:t>Table 9-3: School service use for emotional or behavioural problems in past 12 months among 4-17 year-olds by type of service and age group</w:t>
      </w:r>
      <w:r w:rsidRPr="00546F67">
        <w:rPr>
          <w:sz w:val="20"/>
          <w:szCs w:val="20"/>
        </w:rPr>
        <w:tab/>
        <w:t>99</w:t>
      </w:r>
    </w:p>
    <w:p w:rsidR="0093447F" w:rsidRPr="00546F67" w:rsidRDefault="0093447F" w:rsidP="005A28C1">
      <w:pPr>
        <w:pStyle w:val="TOC3"/>
        <w:ind w:left="0"/>
        <w:rPr>
          <w:rFonts w:eastAsiaTheme="minorEastAsia"/>
          <w:sz w:val="20"/>
          <w:szCs w:val="20"/>
          <w:lang w:eastAsia="en-AU"/>
        </w:rPr>
      </w:pPr>
      <w:r w:rsidRPr="00546F67">
        <w:rPr>
          <w:sz w:val="20"/>
          <w:szCs w:val="20"/>
        </w:rPr>
        <w:t>Table 9-4: Proportion of students using health services in past 12 months who were referred by their school by provider type</w:t>
      </w:r>
      <w:r w:rsidRPr="00546F67">
        <w:rPr>
          <w:sz w:val="20"/>
          <w:szCs w:val="20"/>
        </w:rPr>
        <w:tab/>
        <w:t>99</w:t>
      </w:r>
    </w:p>
    <w:p w:rsidR="0093447F" w:rsidRPr="00546F67" w:rsidRDefault="0093447F" w:rsidP="005A28C1">
      <w:pPr>
        <w:pStyle w:val="TOC3"/>
        <w:ind w:left="0"/>
        <w:rPr>
          <w:rFonts w:eastAsiaTheme="minorEastAsia"/>
          <w:sz w:val="20"/>
          <w:szCs w:val="20"/>
          <w:lang w:eastAsia="en-AU"/>
        </w:rPr>
      </w:pPr>
      <w:r w:rsidRPr="00546F67">
        <w:rPr>
          <w:sz w:val="20"/>
          <w:szCs w:val="20"/>
        </w:rPr>
        <w:t>Table 9-5: Proportion of students receiving school-based informal support in past 12 months by mental disorder status</w:t>
      </w:r>
      <w:r w:rsidRPr="00546F67">
        <w:rPr>
          <w:sz w:val="20"/>
          <w:szCs w:val="20"/>
        </w:rPr>
        <w:tab/>
        <w:t>100</w:t>
      </w:r>
    </w:p>
    <w:p w:rsidR="0093447F" w:rsidRPr="00546F67" w:rsidRDefault="0093447F" w:rsidP="005A28C1">
      <w:pPr>
        <w:pStyle w:val="TOC3"/>
        <w:ind w:left="0"/>
        <w:rPr>
          <w:rFonts w:eastAsiaTheme="minorEastAsia"/>
          <w:sz w:val="20"/>
          <w:szCs w:val="20"/>
          <w:lang w:eastAsia="en-AU"/>
        </w:rPr>
      </w:pPr>
      <w:r w:rsidRPr="00546F67">
        <w:rPr>
          <w:sz w:val="20"/>
          <w:szCs w:val="20"/>
        </w:rPr>
        <w:t>Table 9-6: Average days absent in past 12 months due to symptoms of mental disorder by age group and disorder type</w:t>
      </w:r>
      <w:r w:rsidRPr="00546F67">
        <w:rPr>
          <w:sz w:val="20"/>
          <w:szCs w:val="20"/>
        </w:rPr>
        <w:tab/>
        <w:t>100</w:t>
      </w:r>
    </w:p>
    <w:p w:rsidR="0093447F" w:rsidRPr="00546F67" w:rsidRDefault="0093447F" w:rsidP="005A28C1">
      <w:pPr>
        <w:pStyle w:val="TOC3"/>
        <w:ind w:left="0"/>
        <w:rPr>
          <w:rFonts w:eastAsiaTheme="minorEastAsia"/>
          <w:sz w:val="20"/>
          <w:szCs w:val="20"/>
          <w:lang w:eastAsia="en-AU"/>
        </w:rPr>
      </w:pPr>
      <w:r w:rsidRPr="00546F67">
        <w:rPr>
          <w:sz w:val="20"/>
          <w:szCs w:val="20"/>
        </w:rPr>
        <w:t>Table 9-7: Impact on functioning at school in past 12 months among 4-17 year-olds with mental disorders by age group and mental disorder type</w:t>
      </w:r>
      <w:r w:rsidRPr="00546F67">
        <w:rPr>
          <w:sz w:val="20"/>
          <w:szCs w:val="20"/>
        </w:rPr>
        <w:tab/>
        <w:t>101</w:t>
      </w:r>
    </w:p>
    <w:p w:rsidR="0093447F" w:rsidRPr="00546F67" w:rsidRDefault="0093447F" w:rsidP="005A28C1">
      <w:pPr>
        <w:pStyle w:val="TOC3"/>
        <w:ind w:left="0"/>
        <w:rPr>
          <w:rFonts w:eastAsiaTheme="minorEastAsia"/>
          <w:sz w:val="20"/>
          <w:szCs w:val="20"/>
          <w:lang w:eastAsia="en-AU"/>
        </w:rPr>
      </w:pPr>
      <w:r w:rsidRPr="00546F67">
        <w:rPr>
          <w:sz w:val="20"/>
          <w:szCs w:val="20"/>
        </w:rPr>
        <w:t>Table 9-8: School performance in past 12 months by mental disorder status and school subject</w:t>
      </w:r>
      <w:r w:rsidRPr="00546F67">
        <w:rPr>
          <w:sz w:val="20"/>
          <w:szCs w:val="20"/>
        </w:rPr>
        <w:tab/>
        <w:t>102</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9-9: Rating of how much students liked school in past 12 months by mental disorder status</w:t>
      </w:r>
      <w:r w:rsidRPr="00546F67">
        <w:rPr>
          <w:sz w:val="20"/>
          <w:szCs w:val="20"/>
        </w:rPr>
        <w:tab/>
        <w:t>102</w:t>
      </w:r>
    </w:p>
    <w:p w:rsidR="0093447F" w:rsidRPr="00546F67" w:rsidRDefault="0093447F" w:rsidP="005A28C1">
      <w:pPr>
        <w:pStyle w:val="TOC3"/>
        <w:ind w:left="0"/>
        <w:rPr>
          <w:rFonts w:eastAsiaTheme="minorEastAsia"/>
          <w:sz w:val="20"/>
          <w:szCs w:val="20"/>
          <w:lang w:eastAsia="en-AU"/>
        </w:rPr>
      </w:pPr>
      <w:r w:rsidRPr="00546F67">
        <w:rPr>
          <w:sz w:val="20"/>
          <w:szCs w:val="20"/>
        </w:rPr>
        <w:t>Table 10-1: Prevalence of major depressive disorder among 11-17 year-olds based on adolescent report by sex and age group</w:t>
      </w:r>
      <w:r w:rsidRPr="00546F67">
        <w:rPr>
          <w:sz w:val="20"/>
          <w:szCs w:val="20"/>
        </w:rPr>
        <w:tab/>
        <w:t>105</w:t>
      </w:r>
    </w:p>
    <w:p w:rsidR="0093447F" w:rsidRPr="00546F67" w:rsidRDefault="0093447F" w:rsidP="005A28C1">
      <w:pPr>
        <w:pStyle w:val="TOC3"/>
        <w:ind w:left="0"/>
        <w:rPr>
          <w:rFonts w:eastAsiaTheme="minorEastAsia"/>
          <w:sz w:val="20"/>
          <w:szCs w:val="20"/>
          <w:lang w:eastAsia="en-AU"/>
        </w:rPr>
      </w:pPr>
      <w:r w:rsidRPr="00546F67">
        <w:rPr>
          <w:sz w:val="20"/>
          <w:szCs w:val="20"/>
        </w:rPr>
        <w:t>Table 10-2: Severity of impact in different life domains among 4-17 year-olds with major depressive disorder based on adolescent report</w:t>
      </w:r>
      <w:r w:rsidRPr="00546F67">
        <w:rPr>
          <w:sz w:val="20"/>
          <w:szCs w:val="20"/>
        </w:rPr>
        <w:tab/>
        <w:t>106</w:t>
      </w:r>
    </w:p>
    <w:p w:rsidR="0093447F" w:rsidRPr="00546F67" w:rsidRDefault="0093447F" w:rsidP="005A28C1">
      <w:pPr>
        <w:pStyle w:val="TOC3"/>
        <w:ind w:left="0"/>
        <w:rPr>
          <w:rFonts w:eastAsiaTheme="minorEastAsia"/>
          <w:sz w:val="20"/>
          <w:szCs w:val="20"/>
          <w:lang w:eastAsia="en-AU"/>
        </w:rPr>
      </w:pPr>
      <w:r w:rsidRPr="00546F67">
        <w:rPr>
          <w:sz w:val="20"/>
          <w:szCs w:val="20"/>
        </w:rPr>
        <w:t>Table 10-3: Prevalence of major depressive disorder among 11-17 year-olds by sex, age group and informant</w:t>
      </w:r>
      <w:r w:rsidRPr="00546F67">
        <w:rPr>
          <w:sz w:val="20"/>
          <w:szCs w:val="20"/>
        </w:rPr>
        <w:tab/>
      </w:r>
      <w:r w:rsidR="005A28C1">
        <w:rPr>
          <w:sz w:val="20"/>
          <w:szCs w:val="20"/>
        </w:rPr>
        <w:tab/>
      </w:r>
      <w:r w:rsidR="005A28C1">
        <w:rPr>
          <w:sz w:val="20"/>
          <w:szCs w:val="20"/>
        </w:rPr>
        <w:tab/>
      </w:r>
      <w:r w:rsidRPr="00546F67">
        <w:rPr>
          <w:sz w:val="20"/>
          <w:szCs w:val="20"/>
        </w:rPr>
        <w:t>107</w:t>
      </w:r>
    </w:p>
    <w:p w:rsidR="0093447F" w:rsidRPr="00546F67" w:rsidRDefault="0093447F" w:rsidP="005A28C1">
      <w:pPr>
        <w:pStyle w:val="TOC3"/>
        <w:ind w:left="0"/>
        <w:rPr>
          <w:rFonts w:eastAsiaTheme="minorEastAsia"/>
          <w:sz w:val="20"/>
          <w:szCs w:val="20"/>
          <w:lang w:eastAsia="en-AU"/>
        </w:rPr>
      </w:pPr>
      <w:r w:rsidRPr="00546F67">
        <w:rPr>
          <w:sz w:val="20"/>
          <w:szCs w:val="20"/>
        </w:rPr>
        <w:t>Table 10-4: Young people’s perceptions of how much parents or carers know about how they are feeling for those with and without major depressive disorder</w:t>
      </w:r>
      <w:r w:rsidRPr="00546F67">
        <w:rPr>
          <w:sz w:val="20"/>
          <w:szCs w:val="20"/>
        </w:rPr>
        <w:tab/>
        <w:t>108</w:t>
      </w:r>
    </w:p>
    <w:p w:rsidR="0093447F" w:rsidRPr="00546F67" w:rsidRDefault="0093447F" w:rsidP="005A28C1">
      <w:pPr>
        <w:pStyle w:val="TOC3"/>
        <w:ind w:left="0"/>
        <w:rPr>
          <w:rFonts w:eastAsiaTheme="minorEastAsia"/>
          <w:sz w:val="20"/>
          <w:szCs w:val="20"/>
          <w:lang w:eastAsia="en-AU"/>
        </w:rPr>
      </w:pPr>
      <w:r w:rsidRPr="00546F67">
        <w:rPr>
          <w:sz w:val="20"/>
          <w:szCs w:val="20"/>
        </w:rPr>
        <w:t>Table 10-5: Kessler 10 level of psychological distress among 11-17 year-olds by sex and age group</w:t>
      </w:r>
      <w:r w:rsidRPr="00546F67">
        <w:rPr>
          <w:sz w:val="20"/>
          <w:szCs w:val="20"/>
        </w:rPr>
        <w:tab/>
        <w:t>108</w:t>
      </w:r>
    </w:p>
    <w:p w:rsidR="0093447F" w:rsidRPr="00546F67" w:rsidRDefault="0093447F" w:rsidP="005A28C1">
      <w:pPr>
        <w:pStyle w:val="TOC3"/>
        <w:ind w:left="0"/>
        <w:rPr>
          <w:rFonts w:eastAsiaTheme="minorEastAsia"/>
          <w:sz w:val="20"/>
          <w:szCs w:val="20"/>
          <w:lang w:eastAsia="en-AU"/>
        </w:rPr>
      </w:pPr>
      <w:r w:rsidRPr="00546F67">
        <w:rPr>
          <w:sz w:val="20"/>
          <w:szCs w:val="20"/>
        </w:rPr>
        <w:t>Table 10-6: Kessler 10 level of psychological distress among 11-17 year-olds by major depressive disorder status</w:t>
      </w:r>
      <w:r w:rsidRPr="00546F67">
        <w:rPr>
          <w:sz w:val="20"/>
          <w:szCs w:val="20"/>
        </w:rPr>
        <w:tab/>
      </w:r>
      <w:r w:rsidR="005A28C1">
        <w:rPr>
          <w:sz w:val="20"/>
          <w:szCs w:val="20"/>
        </w:rPr>
        <w:tab/>
      </w:r>
      <w:r w:rsidRPr="00546F67">
        <w:rPr>
          <w:sz w:val="20"/>
          <w:szCs w:val="20"/>
        </w:rPr>
        <w:t>109</w:t>
      </w:r>
    </w:p>
    <w:p w:rsidR="0093447F" w:rsidRPr="00546F67" w:rsidRDefault="0093447F" w:rsidP="005A28C1">
      <w:pPr>
        <w:pStyle w:val="TOC3"/>
        <w:ind w:left="0"/>
        <w:rPr>
          <w:rFonts w:eastAsiaTheme="minorEastAsia"/>
          <w:sz w:val="20"/>
          <w:szCs w:val="20"/>
          <w:lang w:eastAsia="en-AU"/>
        </w:rPr>
      </w:pPr>
      <w:r w:rsidRPr="00546F67">
        <w:rPr>
          <w:sz w:val="20"/>
          <w:szCs w:val="20"/>
        </w:rPr>
        <w:t>Table 10-7: SDQ total difficulties score among 11-17 year-olds by sex and age group</w:t>
      </w:r>
      <w:r w:rsidRPr="00546F67">
        <w:rPr>
          <w:sz w:val="20"/>
          <w:szCs w:val="20"/>
        </w:rPr>
        <w:tab/>
        <w:t>109</w:t>
      </w:r>
    </w:p>
    <w:p w:rsidR="0093447F" w:rsidRPr="00546F67" w:rsidRDefault="0093447F" w:rsidP="005A28C1">
      <w:pPr>
        <w:pStyle w:val="TOC3"/>
        <w:ind w:left="0"/>
        <w:rPr>
          <w:rFonts w:eastAsiaTheme="minorEastAsia"/>
          <w:sz w:val="20"/>
          <w:szCs w:val="20"/>
          <w:lang w:eastAsia="en-AU"/>
        </w:rPr>
      </w:pPr>
      <w:r w:rsidRPr="00546F67">
        <w:rPr>
          <w:sz w:val="20"/>
          <w:szCs w:val="20"/>
        </w:rPr>
        <w:t>Table 10-8: SDQ subscale scores in the abnormal range among 11-17 year-olds by sex and age group</w:t>
      </w:r>
      <w:r w:rsidRPr="00546F67">
        <w:rPr>
          <w:sz w:val="20"/>
          <w:szCs w:val="20"/>
        </w:rPr>
        <w:tab/>
        <w:t>110</w:t>
      </w:r>
    </w:p>
    <w:p w:rsidR="0093447F" w:rsidRPr="00546F67" w:rsidRDefault="0093447F" w:rsidP="005A28C1">
      <w:pPr>
        <w:pStyle w:val="TOC3"/>
        <w:ind w:left="0"/>
        <w:rPr>
          <w:rFonts w:eastAsiaTheme="minorEastAsia"/>
          <w:sz w:val="20"/>
          <w:szCs w:val="20"/>
          <w:lang w:eastAsia="en-AU"/>
        </w:rPr>
      </w:pPr>
      <w:r w:rsidRPr="00546F67">
        <w:rPr>
          <w:sz w:val="20"/>
          <w:szCs w:val="20"/>
        </w:rPr>
        <w:t>Table 10-9: Proportion of 11-17 year-olds with each level of SDQ impact scale by sex and age group</w:t>
      </w:r>
      <w:r w:rsidRPr="00546F67">
        <w:rPr>
          <w:sz w:val="20"/>
          <w:szCs w:val="20"/>
        </w:rPr>
        <w:tab/>
        <w:t>110</w:t>
      </w:r>
    </w:p>
    <w:p w:rsidR="0093447F" w:rsidRPr="00546F67" w:rsidRDefault="0093447F" w:rsidP="005A28C1">
      <w:pPr>
        <w:pStyle w:val="TOC3"/>
        <w:ind w:left="0"/>
        <w:rPr>
          <w:rFonts w:eastAsiaTheme="minorEastAsia"/>
          <w:sz w:val="20"/>
          <w:szCs w:val="20"/>
          <w:lang w:eastAsia="en-AU"/>
        </w:rPr>
      </w:pPr>
      <w:r w:rsidRPr="00546F67">
        <w:rPr>
          <w:sz w:val="20"/>
          <w:szCs w:val="20"/>
        </w:rPr>
        <w:t>Table 11-1: Self-harm among 12-17 year-olds by sex and age group</w:t>
      </w:r>
      <w:r w:rsidRPr="00546F67">
        <w:rPr>
          <w:sz w:val="20"/>
          <w:szCs w:val="20"/>
        </w:rPr>
        <w:tab/>
        <w:t>112</w:t>
      </w:r>
    </w:p>
    <w:p w:rsidR="0093447F" w:rsidRPr="00546F67" w:rsidRDefault="0093447F" w:rsidP="005A28C1">
      <w:pPr>
        <w:pStyle w:val="TOC3"/>
        <w:ind w:left="0"/>
        <w:rPr>
          <w:rFonts w:eastAsiaTheme="minorEastAsia"/>
          <w:sz w:val="20"/>
          <w:szCs w:val="20"/>
          <w:lang w:eastAsia="en-AU"/>
        </w:rPr>
      </w:pPr>
      <w:r w:rsidRPr="00546F67">
        <w:rPr>
          <w:sz w:val="20"/>
          <w:szCs w:val="20"/>
        </w:rPr>
        <w:t>Table 11-2: Self-harm and self-harm requiring medical treatment among 12-17 year-olds by sex and mental health status</w:t>
      </w:r>
      <w:r w:rsidRPr="00546F67">
        <w:rPr>
          <w:sz w:val="20"/>
          <w:szCs w:val="20"/>
        </w:rPr>
        <w:tab/>
        <w:t>113</w:t>
      </w:r>
    </w:p>
    <w:p w:rsidR="0093447F" w:rsidRPr="00546F67" w:rsidRDefault="0093447F" w:rsidP="005A28C1">
      <w:pPr>
        <w:pStyle w:val="TOC3"/>
        <w:ind w:left="0"/>
        <w:rPr>
          <w:rFonts w:eastAsiaTheme="minorEastAsia"/>
          <w:sz w:val="20"/>
          <w:szCs w:val="20"/>
          <w:lang w:eastAsia="en-AU"/>
        </w:rPr>
      </w:pPr>
      <w:r w:rsidRPr="00546F67">
        <w:rPr>
          <w:sz w:val="20"/>
          <w:szCs w:val="20"/>
        </w:rPr>
        <w:t>Table 11-3: Service use in past 12 months among 13-17 year-olds who had self-harmed by type of service</w:t>
      </w:r>
      <w:r w:rsidRPr="00546F67">
        <w:rPr>
          <w:sz w:val="20"/>
          <w:szCs w:val="20"/>
        </w:rPr>
        <w:tab/>
        <w:t>114</w:t>
      </w:r>
    </w:p>
    <w:p w:rsidR="0093447F" w:rsidRPr="00546F67" w:rsidRDefault="0093447F" w:rsidP="005A28C1">
      <w:pPr>
        <w:pStyle w:val="TOC3"/>
        <w:ind w:left="0"/>
        <w:rPr>
          <w:rFonts w:eastAsiaTheme="minorEastAsia"/>
          <w:sz w:val="20"/>
          <w:szCs w:val="20"/>
          <w:lang w:eastAsia="en-AU"/>
        </w:rPr>
      </w:pPr>
      <w:r w:rsidRPr="00546F67">
        <w:rPr>
          <w:sz w:val="20"/>
          <w:szCs w:val="20"/>
        </w:rPr>
        <w:t>Table 11-4: Suicidal ideation, suicide plans and suicide attempts among 12-17 year-olds by sex and age group</w:t>
      </w:r>
      <w:r w:rsidRPr="00546F67">
        <w:rPr>
          <w:sz w:val="20"/>
          <w:szCs w:val="20"/>
        </w:rPr>
        <w:tab/>
      </w:r>
      <w:r w:rsidR="005A28C1">
        <w:rPr>
          <w:sz w:val="20"/>
          <w:szCs w:val="20"/>
        </w:rPr>
        <w:tab/>
      </w:r>
      <w:r w:rsidR="005A28C1">
        <w:rPr>
          <w:sz w:val="20"/>
          <w:szCs w:val="20"/>
        </w:rPr>
        <w:tab/>
      </w:r>
      <w:r w:rsidRPr="00546F67">
        <w:rPr>
          <w:sz w:val="20"/>
          <w:szCs w:val="20"/>
        </w:rPr>
        <w:t>115</w:t>
      </w:r>
    </w:p>
    <w:p w:rsidR="0093447F" w:rsidRPr="00546F67" w:rsidRDefault="0093447F" w:rsidP="005A28C1">
      <w:pPr>
        <w:pStyle w:val="TOC3"/>
        <w:ind w:left="0"/>
        <w:rPr>
          <w:rFonts w:eastAsiaTheme="minorEastAsia"/>
          <w:sz w:val="20"/>
          <w:szCs w:val="20"/>
          <w:lang w:eastAsia="en-AU"/>
        </w:rPr>
      </w:pPr>
      <w:r w:rsidRPr="00546F67">
        <w:rPr>
          <w:sz w:val="20"/>
          <w:szCs w:val="20"/>
        </w:rPr>
        <w:t>Table 11-5: Suicidal ideation, suicide plans and suicide attempts in the past 12 months among 12-17 year-olds by sex and mental health status</w:t>
      </w:r>
      <w:r w:rsidRPr="00546F67">
        <w:rPr>
          <w:sz w:val="20"/>
          <w:szCs w:val="20"/>
        </w:rPr>
        <w:tab/>
        <w:t>116</w:t>
      </w:r>
    </w:p>
    <w:p w:rsidR="0093447F" w:rsidRPr="00546F67" w:rsidRDefault="0093447F" w:rsidP="005A28C1">
      <w:pPr>
        <w:pStyle w:val="TOC3"/>
        <w:ind w:left="0"/>
        <w:rPr>
          <w:rFonts w:eastAsiaTheme="minorEastAsia"/>
          <w:sz w:val="20"/>
          <w:szCs w:val="20"/>
          <w:lang w:eastAsia="en-AU"/>
        </w:rPr>
      </w:pPr>
      <w:r w:rsidRPr="00546F67">
        <w:rPr>
          <w:sz w:val="20"/>
          <w:szCs w:val="20"/>
        </w:rPr>
        <w:t>Table 11-6: Service use in past 12 months among 13-17 year-olds reporting suicidal ideation, a suicide plan, or suicide attempt in past 12 months by type of service</w:t>
      </w:r>
      <w:r w:rsidRPr="00546F67">
        <w:rPr>
          <w:sz w:val="20"/>
          <w:szCs w:val="20"/>
        </w:rPr>
        <w:tab/>
        <w:t>117</w:t>
      </w:r>
    </w:p>
    <w:p w:rsidR="0093447F" w:rsidRPr="00546F67" w:rsidRDefault="0093447F" w:rsidP="005A28C1">
      <w:pPr>
        <w:pStyle w:val="TOC3"/>
        <w:ind w:left="0"/>
        <w:rPr>
          <w:rFonts w:eastAsiaTheme="minorEastAsia"/>
          <w:sz w:val="20"/>
          <w:szCs w:val="20"/>
          <w:lang w:eastAsia="en-AU"/>
        </w:rPr>
      </w:pPr>
      <w:r w:rsidRPr="00546F67">
        <w:rPr>
          <w:sz w:val="20"/>
          <w:szCs w:val="20"/>
        </w:rPr>
        <w:t>Table 12-1: Smoking among 13-17 year-olds by sex and mental health status</w:t>
      </w:r>
      <w:r w:rsidRPr="00546F67">
        <w:rPr>
          <w:sz w:val="20"/>
          <w:szCs w:val="20"/>
        </w:rPr>
        <w:tab/>
        <w:t>118</w:t>
      </w:r>
    </w:p>
    <w:p w:rsidR="0093447F" w:rsidRPr="00546F67" w:rsidRDefault="0093447F" w:rsidP="005A28C1">
      <w:pPr>
        <w:pStyle w:val="TOC3"/>
        <w:ind w:left="0"/>
        <w:rPr>
          <w:rFonts w:eastAsiaTheme="minorEastAsia"/>
          <w:sz w:val="20"/>
          <w:szCs w:val="20"/>
          <w:lang w:eastAsia="en-AU"/>
        </w:rPr>
      </w:pPr>
      <w:r w:rsidRPr="00546F67">
        <w:rPr>
          <w:sz w:val="20"/>
          <w:szCs w:val="20"/>
        </w:rPr>
        <w:t>Table 12-2: Alcohol consumption among 13-17 year-olds by sex and mental health status</w:t>
      </w:r>
      <w:r w:rsidRPr="00546F67">
        <w:rPr>
          <w:sz w:val="20"/>
          <w:szCs w:val="20"/>
        </w:rPr>
        <w:tab/>
        <w:t>119</w:t>
      </w:r>
    </w:p>
    <w:p w:rsidR="0093447F" w:rsidRPr="00546F67" w:rsidRDefault="0093447F" w:rsidP="005A28C1">
      <w:pPr>
        <w:pStyle w:val="TOC3"/>
        <w:ind w:left="0"/>
        <w:rPr>
          <w:rFonts w:eastAsiaTheme="minorEastAsia"/>
          <w:sz w:val="20"/>
          <w:szCs w:val="20"/>
          <w:lang w:eastAsia="en-AU"/>
        </w:rPr>
      </w:pPr>
      <w:r w:rsidRPr="00546F67">
        <w:rPr>
          <w:sz w:val="20"/>
          <w:szCs w:val="20"/>
        </w:rPr>
        <w:t>Table 12-3: Use of cannabis and other drugs among 13-17 year-olds by sex and mental health status</w:t>
      </w:r>
      <w:r w:rsidRPr="00546F67">
        <w:rPr>
          <w:sz w:val="20"/>
          <w:szCs w:val="20"/>
        </w:rPr>
        <w:tab/>
        <w:t>120</w:t>
      </w:r>
    </w:p>
    <w:p w:rsidR="0093447F" w:rsidRPr="00546F67" w:rsidRDefault="0093447F" w:rsidP="005A28C1">
      <w:pPr>
        <w:pStyle w:val="TOC3"/>
        <w:ind w:left="0"/>
        <w:rPr>
          <w:rFonts w:eastAsiaTheme="minorEastAsia"/>
          <w:sz w:val="20"/>
          <w:szCs w:val="20"/>
          <w:lang w:eastAsia="en-AU"/>
        </w:rPr>
      </w:pPr>
      <w:r w:rsidRPr="00546F67">
        <w:rPr>
          <w:sz w:val="20"/>
          <w:szCs w:val="20"/>
        </w:rPr>
        <w:t>Table 12-4: Body mass index of 11-17 year-olds by sex</w:t>
      </w:r>
      <w:r w:rsidRPr="00546F67">
        <w:rPr>
          <w:sz w:val="20"/>
          <w:szCs w:val="20"/>
        </w:rPr>
        <w:tab/>
        <w:t>121</w:t>
      </w:r>
    </w:p>
    <w:p w:rsidR="0093447F" w:rsidRPr="00546F67" w:rsidRDefault="0093447F" w:rsidP="005A28C1">
      <w:pPr>
        <w:pStyle w:val="TOC3"/>
        <w:ind w:left="0"/>
        <w:rPr>
          <w:rFonts w:eastAsiaTheme="minorEastAsia"/>
          <w:sz w:val="20"/>
          <w:szCs w:val="20"/>
          <w:lang w:eastAsia="en-AU"/>
        </w:rPr>
      </w:pPr>
      <w:r w:rsidRPr="00546F67">
        <w:rPr>
          <w:sz w:val="20"/>
          <w:szCs w:val="20"/>
        </w:rPr>
        <w:t>Table 12-5: Body mass index of 11-17 year-olds by sex and mental health status</w:t>
      </w:r>
      <w:r w:rsidRPr="00546F67">
        <w:rPr>
          <w:sz w:val="20"/>
          <w:szCs w:val="20"/>
        </w:rPr>
        <w:tab/>
        <w:t>121</w:t>
      </w:r>
    </w:p>
    <w:p w:rsidR="0093447F" w:rsidRPr="00546F67" w:rsidRDefault="0093447F" w:rsidP="005A28C1">
      <w:pPr>
        <w:pStyle w:val="TOC3"/>
        <w:ind w:left="0"/>
        <w:rPr>
          <w:rFonts w:eastAsiaTheme="minorEastAsia"/>
          <w:sz w:val="20"/>
          <w:szCs w:val="20"/>
          <w:lang w:eastAsia="en-AU"/>
        </w:rPr>
      </w:pPr>
      <w:r w:rsidRPr="00546F67">
        <w:rPr>
          <w:sz w:val="20"/>
          <w:szCs w:val="20"/>
        </w:rPr>
        <w:t>Table 12-6: Problem eating behaviours among 11-17 year-olds by sex and age group</w:t>
      </w:r>
      <w:r w:rsidRPr="00546F67">
        <w:rPr>
          <w:sz w:val="20"/>
          <w:szCs w:val="20"/>
        </w:rPr>
        <w:tab/>
        <w:t>122</w:t>
      </w:r>
    </w:p>
    <w:p w:rsidR="0093447F" w:rsidRPr="00546F67" w:rsidRDefault="0093447F" w:rsidP="005A28C1">
      <w:pPr>
        <w:pStyle w:val="TOC3"/>
        <w:ind w:left="0"/>
        <w:rPr>
          <w:rFonts w:eastAsiaTheme="minorEastAsia"/>
          <w:sz w:val="20"/>
          <w:szCs w:val="20"/>
          <w:lang w:eastAsia="en-AU"/>
        </w:rPr>
      </w:pPr>
      <w:r w:rsidRPr="00546F67">
        <w:rPr>
          <w:sz w:val="20"/>
          <w:szCs w:val="20"/>
        </w:rPr>
        <w:t>Table 12-7: Sexual behaviours among 13-17 year-olds by mental health status</w:t>
      </w:r>
      <w:r w:rsidRPr="00546F67">
        <w:rPr>
          <w:sz w:val="20"/>
          <w:szCs w:val="20"/>
        </w:rPr>
        <w:tab/>
        <w:t>123</w:t>
      </w:r>
    </w:p>
    <w:p w:rsidR="0093447F" w:rsidRPr="00546F67" w:rsidRDefault="0093447F" w:rsidP="005A28C1">
      <w:pPr>
        <w:pStyle w:val="TOC3"/>
        <w:ind w:left="0"/>
        <w:rPr>
          <w:rFonts w:eastAsiaTheme="minorEastAsia"/>
          <w:sz w:val="20"/>
          <w:szCs w:val="20"/>
          <w:lang w:eastAsia="en-AU"/>
        </w:rPr>
      </w:pPr>
      <w:r w:rsidRPr="00546F67">
        <w:rPr>
          <w:sz w:val="20"/>
          <w:szCs w:val="20"/>
        </w:rPr>
        <w:t>Table 12-8: Use of protection during last sexual intercourse or consumption of alcohol or drugs prior to last sexual intercourse among 13-17 year-olds who had ever had sexual intercourse</w:t>
      </w:r>
      <w:r w:rsidRPr="00546F67">
        <w:rPr>
          <w:sz w:val="20"/>
          <w:szCs w:val="20"/>
        </w:rPr>
        <w:tab/>
        <w:t>124</w:t>
      </w:r>
    </w:p>
    <w:p w:rsidR="0093447F" w:rsidRPr="00546F67" w:rsidRDefault="0093447F" w:rsidP="005A28C1">
      <w:pPr>
        <w:pStyle w:val="TOC3"/>
        <w:ind w:left="0"/>
        <w:rPr>
          <w:rFonts w:eastAsiaTheme="minorEastAsia"/>
          <w:sz w:val="20"/>
          <w:szCs w:val="20"/>
          <w:lang w:eastAsia="en-AU"/>
        </w:rPr>
      </w:pPr>
      <w:r w:rsidRPr="00546F67">
        <w:rPr>
          <w:sz w:val="20"/>
          <w:szCs w:val="20"/>
        </w:rPr>
        <w:t>Table 12-9: Frequency of being bullied in past 12 months among 11-17 year-olds by mental health status and age group</w:t>
      </w:r>
      <w:r w:rsidRPr="00546F67">
        <w:rPr>
          <w:sz w:val="20"/>
          <w:szCs w:val="20"/>
        </w:rPr>
        <w:tab/>
      </w:r>
      <w:r w:rsidR="005A28C1">
        <w:rPr>
          <w:sz w:val="20"/>
          <w:szCs w:val="20"/>
        </w:rPr>
        <w:tab/>
      </w:r>
      <w:r w:rsidRPr="00546F67">
        <w:rPr>
          <w:sz w:val="20"/>
          <w:szCs w:val="20"/>
        </w:rPr>
        <w:t>125</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12-10: Level of distress caused by bullying in past 12 months among 11-17 year-olds by mental health status and age group</w:t>
      </w:r>
      <w:r w:rsidRPr="00546F67">
        <w:rPr>
          <w:sz w:val="20"/>
          <w:szCs w:val="20"/>
        </w:rPr>
        <w:tab/>
        <w:t>125</w:t>
      </w:r>
    </w:p>
    <w:p w:rsidR="0093447F" w:rsidRPr="00546F67" w:rsidRDefault="0093447F" w:rsidP="005A28C1">
      <w:pPr>
        <w:pStyle w:val="TOC3"/>
        <w:ind w:left="0"/>
        <w:rPr>
          <w:rFonts w:eastAsiaTheme="minorEastAsia"/>
          <w:sz w:val="20"/>
          <w:szCs w:val="20"/>
          <w:lang w:eastAsia="en-AU"/>
        </w:rPr>
      </w:pPr>
      <w:r w:rsidRPr="00546F67">
        <w:rPr>
          <w:sz w:val="20"/>
          <w:szCs w:val="20"/>
        </w:rPr>
        <w:t>Table 12-11: Perpetrator of bullying in the past 12 months among 11-17 year-olds by age group and mental health status</w:t>
      </w:r>
      <w:r w:rsidRPr="00546F67">
        <w:rPr>
          <w:sz w:val="20"/>
          <w:szCs w:val="20"/>
        </w:rPr>
        <w:tab/>
        <w:t>126</w:t>
      </w:r>
    </w:p>
    <w:p w:rsidR="0093447F" w:rsidRPr="00546F67" w:rsidRDefault="0093447F" w:rsidP="005A28C1">
      <w:pPr>
        <w:pStyle w:val="TOC3"/>
        <w:ind w:left="0"/>
        <w:rPr>
          <w:rFonts w:eastAsiaTheme="minorEastAsia"/>
          <w:sz w:val="20"/>
          <w:szCs w:val="20"/>
          <w:lang w:eastAsia="en-AU"/>
        </w:rPr>
      </w:pPr>
      <w:r w:rsidRPr="00546F67">
        <w:rPr>
          <w:sz w:val="20"/>
          <w:szCs w:val="20"/>
        </w:rPr>
        <w:t>Table 12-12: Time spent using the internet or playing electronic games among 11-17 year-olds by sex</w:t>
      </w:r>
      <w:r w:rsidRPr="00546F67">
        <w:rPr>
          <w:sz w:val="20"/>
          <w:szCs w:val="20"/>
        </w:rPr>
        <w:tab/>
        <w:t>127</w:t>
      </w:r>
    </w:p>
    <w:p w:rsidR="0093447F" w:rsidRPr="00546F67" w:rsidRDefault="0093447F" w:rsidP="005A28C1">
      <w:pPr>
        <w:pStyle w:val="TOC3"/>
        <w:ind w:left="0"/>
        <w:rPr>
          <w:rFonts w:eastAsiaTheme="minorEastAsia"/>
          <w:sz w:val="20"/>
          <w:szCs w:val="20"/>
          <w:lang w:eastAsia="en-AU"/>
        </w:rPr>
      </w:pPr>
      <w:r w:rsidRPr="00546F67">
        <w:rPr>
          <w:sz w:val="20"/>
          <w:szCs w:val="20"/>
        </w:rPr>
        <w:t>Table 12-13: Problem internet or electronic gaming behaviours among 11-17 year-olds by sex and mental health status</w:t>
      </w:r>
      <w:r w:rsidRPr="00546F67">
        <w:rPr>
          <w:sz w:val="20"/>
          <w:szCs w:val="20"/>
        </w:rPr>
        <w:tab/>
        <w:t>127</w:t>
      </w:r>
    </w:p>
    <w:p w:rsidR="0093447F" w:rsidRPr="00546F67" w:rsidRDefault="0093447F" w:rsidP="005A28C1">
      <w:pPr>
        <w:pStyle w:val="TOC3"/>
        <w:ind w:left="0"/>
        <w:rPr>
          <w:rFonts w:eastAsiaTheme="minorEastAsia"/>
          <w:sz w:val="20"/>
          <w:szCs w:val="20"/>
          <w:lang w:eastAsia="en-AU"/>
        </w:rPr>
      </w:pPr>
      <w:r w:rsidRPr="00546F67">
        <w:rPr>
          <w:sz w:val="20"/>
          <w:szCs w:val="20"/>
        </w:rPr>
        <w:t>Table 13-1: Service use for emotional or behavioural problems in past 12 months among 13-17 year-olds by sex and type of service</w:t>
      </w:r>
      <w:r w:rsidRPr="00546F67">
        <w:rPr>
          <w:sz w:val="20"/>
          <w:szCs w:val="20"/>
        </w:rPr>
        <w:tab/>
        <w:t>130</w:t>
      </w:r>
    </w:p>
    <w:p w:rsidR="0093447F" w:rsidRPr="00546F67" w:rsidRDefault="0093447F" w:rsidP="005A28C1">
      <w:pPr>
        <w:pStyle w:val="TOC3"/>
        <w:ind w:left="0"/>
        <w:rPr>
          <w:rFonts w:eastAsiaTheme="minorEastAsia"/>
          <w:sz w:val="20"/>
          <w:szCs w:val="20"/>
          <w:lang w:eastAsia="en-AU"/>
        </w:rPr>
      </w:pPr>
      <w:r w:rsidRPr="00546F67">
        <w:rPr>
          <w:sz w:val="20"/>
          <w:szCs w:val="20"/>
        </w:rPr>
        <w:t>Table 13-2: headspace services used for emotional or behavioural problems in past 12 months among 13-17 year-olds by sex and type of service</w:t>
      </w:r>
      <w:r w:rsidRPr="00546F67">
        <w:rPr>
          <w:sz w:val="20"/>
          <w:szCs w:val="20"/>
        </w:rPr>
        <w:tab/>
        <w:t>130</w:t>
      </w:r>
    </w:p>
    <w:p w:rsidR="0093447F" w:rsidRPr="00546F67" w:rsidRDefault="0093447F" w:rsidP="005A28C1">
      <w:pPr>
        <w:pStyle w:val="TOC3"/>
        <w:ind w:left="0"/>
        <w:rPr>
          <w:rFonts w:eastAsiaTheme="minorEastAsia"/>
          <w:sz w:val="20"/>
          <w:szCs w:val="20"/>
          <w:lang w:eastAsia="en-AU"/>
        </w:rPr>
      </w:pPr>
      <w:r w:rsidRPr="00546F67">
        <w:rPr>
          <w:sz w:val="20"/>
          <w:szCs w:val="20"/>
        </w:rPr>
        <w:t>Table 13-3: headspace services used for emotional or behavioural problems in past 12 months among 13-17 year-olds by mental health status and type of service</w:t>
      </w:r>
      <w:r w:rsidRPr="00546F67">
        <w:rPr>
          <w:sz w:val="20"/>
          <w:szCs w:val="20"/>
        </w:rPr>
        <w:tab/>
        <w:t>131</w:t>
      </w:r>
    </w:p>
    <w:p w:rsidR="0093447F" w:rsidRPr="00546F67" w:rsidRDefault="0093447F" w:rsidP="005A28C1">
      <w:pPr>
        <w:pStyle w:val="TOC3"/>
        <w:ind w:left="0"/>
        <w:rPr>
          <w:rFonts w:eastAsiaTheme="minorEastAsia"/>
          <w:sz w:val="20"/>
          <w:szCs w:val="20"/>
          <w:lang w:eastAsia="en-AU"/>
        </w:rPr>
      </w:pPr>
      <w:r w:rsidRPr="00546F67">
        <w:rPr>
          <w:sz w:val="20"/>
          <w:szCs w:val="20"/>
        </w:rPr>
        <w:t>Table 13-4: Online service use for emotional or behavioural problems in past 12 months among 13-17 year-olds by sex and type of service</w:t>
      </w:r>
      <w:r w:rsidRPr="00546F67">
        <w:rPr>
          <w:sz w:val="20"/>
          <w:szCs w:val="20"/>
        </w:rPr>
        <w:tab/>
        <w:t>132</w:t>
      </w:r>
    </w:p>
    <w:p w:rsidR="0093447F" w:rsidRPr="00546F67" w:rsidRDefault="0093447F" w:rsidP="005A28C1">
      <w:pPr>
        <w:pStyle w:val="TOC3"/>
        <w:ind w:left="0"/>
        <w:rPr>
          <w:rFonts w:eastAsiaTheme="minorEastAsia"/>
          <w:sz w:val="20"/>
          <w:szCs w:val="20"/>
          <w:lang w:eastAsia="en-AU"/>
        </w:rPr>
      </w:pPr>
      <w:r w:rsidRPr="00546F67">
        <w:rPr>
          <w:sz w:val="20"/>
          <w:szCs w:val="20"/>
        </w:rPr>
        <w:t>Table 13-5: Online service use for emotional or behavioural problems in past 12 months among 13-17 year-olds by mental health status and type of service</w:t>
      </w:r>
      <w:r w:rsidRPr="00546F67">
        <w:rPr>
          <w:sz w:val="20"/>
          <w:szCs w:val="20"/>
        </w:rPr>
        <w:tab/>
        <w:t>133</w:t>
      </w:r>
    </w:p>
    <w:p w:rsidR="0093447F" w:rsidRPr="00546F67" w:rsidRDefault="0093447F" w:rsidP="005A28C1">
      <w:pPr>
        <w:pStyle w:val="TOC3"/>
        <w:ind w:left="0"/>
        <w:rPr>
          <w:rFonts w:eastAsiaTheme="minorEastAsia"/>
          <w:sz w:val="20"/>
          <w:szCs w:val="20"/>
          <w:lang w:eastAsia="en-AU"/>
        </w:rPr>
      </w:pPr>
      <w:r w:rsidRPr="00546F67">
        <w:rPr>
          <w:sz w:val="20"/>
          <w:szCs w:val="20"/>
        </w:rPr>
        <w:t>Table 13-6: Informal help or support received for emotional or behavioural problems in past 12 months among 13-17 year-olds by sex</w:t>
      </w:r>
      <w:r w:rsidRPr="00546F67">
        <w:rPr>
          <w:sz w:val="20"/>
          <w:szCs w:val="20"/>
        </w:rPr>
        <w:tab/>
        <w:t>133</w:t>
      </w:r>
    </w:p>
    <w:p w:rsidR="0093447F" w:rsidRPr="00546F67" w:rsidRDefault="0093447F" w:rsidP="005A28C1">
      <w:pPr>
        <w:pStyle w:val="TOC3"/>
        <w:ind w:left="0"/>
        <w:rPr>
          <w:rFonts w:eastAsiaTheme="minorEastAsia"/>
          <w:sz w:val="20"/>
          <w:szCs w:val="20"/>
          <w:lang w:eastAsia="en-AU"/>
        </w:rPr>
      </w:pPr>
      <w:r w:rsidRPr="00546F67">
        <w:rPr>
          <w:sz w:val="20"/>
          <w:szCs w:val="20"/>
        </w:rPr>
        <w:t>Table 13-7: Informal help or support received for emotional or behavioural problems in past 12 months among 13-17 year-olds by mental health status</w:t>
      </w:r>
      <w:r w:rsidRPr="00546F67">
        <w:rPr>
          <w:sz w:val="20"/>
          <w:szCs w:val="20"/>
        </w:rPr>
        <w:tab/>
        <w:t>134</w:t>
      </w:r>
    </w:p>
    <w:p w:rsidR="0093447F" w:rsidRPr="00546F67" w:rsidRDefault="0093447F" w:rsidP="005A28C1">
      <w:pPr>
        <w:pStyle w:val="TOC3"/>
        <w:ind w:left="0"/>
        <w:rPr>
          <w:rFonts w:eastAsiaTheme="minorEastAsia"/>
          <w:sz w:val="20"/>
          <w:szCs w:val="20"/>
          <w:lang w:eastAsia="en-AU"/>
        </w:rPr>
      </w:pPr>
      <w:r w:rsidRPr="00546F67">
        <w:rPr>
          <w:sz w:val="20"/>
          <w:szCs w:val="20"/>
        </w:rPr>
        <w:t>Table 13-8: Self-help strategies used for emotional or behavioural problems in past 12 months among 13-17 year-olds by sex</w:t>
      </w:r>
      <w:r w:rsidRPr="00546F67">
        <w:rPr>
          <w:sz w:val="20"/>
          <w:szCs w:val="20"/>
        </w:rPr>
        <w:tab/>
        <w:t>135</w:t>
      </w:r>
    </w:p>
    <w:p w:rsidR="0093447F" w:rsidRPr="00546F67" w:rsidRDefault="0093447F" w:rsidP="005A28C1">
      <w:pPr>
        <w:pStyle w:val="TOC3"/>
        <w:ind w:left="0"/>
        <w:rPr>
          <w:rFonts w:eastAsiaTheme="minorEastAsia"/>
          <w:sz w:val="20"/>
          <w:szCs w:val="20"/>
          <w:lang w:eastAsia="en-AU"/>
        </w:rPr>
      </w:pPr>
      <w:r w:rsidRPr="00546F67">
        <w:rPr>
          <w:sz w:val="20"/>
          <w:szCs w:val="20"/>
        </w:rPr>
        <w:t>Table 13-9: Self-help strategies used for emotional or behavioural problems in past 12 months among 13-17 year-olds by mental health status</w:t>
      </w:r>
      <w:r w:rsidRPr="00546F67">
        <w:rPr>
          <w:sz w:val="20"/>
          <w:szCs w:val="20"/>
        </w:rPr>
        <w:tab/>
        <w:t>136</w:t>
      </w:r>
    </w:p>
    <w:p w:rsidR="0093447F" w:rsidRPr="00546F67" w:rsidRDefault="0093447F" w:rsidP="005A28C1">
      <w:pPr>
        <w:pStyle w:val="TOC3"/>
        <w:ind w:left="0"/>
        <w:rPr>
          <w:rFonts w:eastAsiaTheme="minorEastAsia"/>
          <w:sz w:val="20"/>
          <w:szCs w:val="20"/>
          <w:lang w:eastAsia="en-AU"/>
        </w:rPr>
      </w:pPr>
      <w:r w:rsidRPr="00546F67">
        <w:rPr>
          <w:sz w:val="20"/>
          <w:szCs w:val="20"/>
        </w:rPr>
        <w:t>Table 13-10: Perceived need for services for emotional or behavioural problems in past 12 months among 13-17 year-olds with major depressive disorder by type of help</w:t>
      </w:r>
      <w:r w:rsidRPr="00546F67">
        <w:rPr>
          <w:sz w:val="20"/>
          <w:szCs w:val="20"/>
        </w:rPr>
        <w:tab/>
        <w:t>137</w:t>
      </w:r>
    </w:p>
    <w:p w:rsidR="0093447F" w:rsidRPr="00546F67" w:rsidRDefault="0093447F" w:rsidP="005A28C1">
      <w:pPr>
        <w:pStyle w:val="TOC3"/>
        <w:ind w:left="0"/>
        <w:rPr>
          <w:rFonts w:eastAsiaTheme="minorEastAsia"/>
          <w:sz w:val="20"/>
          <w:szCs w:val="20"/>
          <w:lang w:eastAsia="en-AU"/>
        </w:rPr>
      </w:pPr>
      <w:r w:rsidRPr="00546F67">
        <w:rPr>
          <w:sz w:val="20"/>
          <w:szCs w:val="20"/>
        </w:rPr>
        <w:t>Table 13-11: Perceived need for services for emotional or behavioural problems in past 12 months among 13-17 year-olds with mental disorders identified from parent or carer report by type of help</w:t>
      </w:r>
      <w:r w:rsidRPr="00546F67">
        <w:rPr>
          <w:sz w:val="20"/>
          <w:szCs w:val="20"/>
        </w:rPr>
        <w:tab/>
        <w:t>138</w:t>
      </w:r>
    </w:p>
    <w:p w:rsidR="0093447F" w:rsidRPr="00546F67" w:rsidRDefault="0093447F" w:rsidP="005A28C1">
      <w:pPr>
        <w:pStyle w:val="TOC3"/>
        <w:ind w:left="0"/>
        <w:rPr>
          <w:rFonts w:eastAsiaTheme="minorEastAsia"/>
          <w:sz w:val="20"/>
          <w:szCs w:val="20"/>
          <w:lang w:eastAsia="en-AU"/>
        </w:rPr>
      </w:pPr>
      <w:r w:rsidRPr="00546F67">
        <w:rPr>
          <w:sz w:val="20"/>
          <w:szCs w:val="20"/>
        </w:rPr>
        <w:t>Table 13-12: Perceived need for any type of help for emotional or behavioural problems in past 12 months among 13-17 year-olds with major depressive disorder by severity of impact</w:t>
      </w:r>
      <w:r w:rsidRPr="00546F67">
        <w:rPr>
          <w:sz w:val="20"/>
          <w:szCs w:val="20"/>
        </w:rPr>
        <w:tab/>
        <w:t>138</w:t>
      </w:r>
    </w:p>
    <w:p w:rsidR="0093447F" w:rsidRPr="00546F67" w:rsidRDefault="0093447F" w:rsidP="005A28C1">
      <w:pPr>
        <w:pStyle w:val="TOC3"/>
        <w:ind w:left="0"/>
        <w:rPr>
          <w:rFonts w:eastAsiaTheme="minorEastAsia"/>
          <w:sz w:val="20"/>
          <w:szCs w:val="20"/>
          <w:lang w:eastAsia="en-AU"/>
        </w:rPr>
      </w:pPr>
      <w:r w:rsidRPr="00546F67">
        <w:rPr>
          <w:sz w:val="20"/>
          <w:szCs w:val="20"/>
        </w:rPr>
        <w:t>Table 13-13: Perceived need for any type of help for emotional or behavioural problems in past 12 months among 13-17 year-olds with mental disorders by parent or carer report by severity of impact</w:t>
      </w:r>
      <w:r w:rsidRPr="00546F67">
        <w:rPr>
          <w:sz w:val="20"/>
          <w:szCs w:val="20"/>
        </w:rPr>
        <w:tab/>
        <w:t>139</w:t>
      </w:r>
    </w:p>
    <w:p w:rsidR="0093447F" w:rsidRPr="00546F67" w:rsidRDefault="0093447F" w:rsidP="005A28C1">
      <w:pPr>
        <w:pStyle w:val="TOC3"/>
        <w:ind w:left="0"/>
        <w:rPr>
          <w:rFonts w:eastAsiaTheme="minorEastAsia"/>
          <w:sz w:val="20"/>
          <w:szCs w:val="20"/>
          <w:lang w:eastAsia="en-AU"/>
        </w:rPr>
      </w:pPr>
      <w:r w:rsidRPr="00546F67">
        <w:rPr>
          <w:sz w:val="20"/>
          <w:szCs w:val="20"/>
        </w:rPr>
        <w:t>Table 13-14: Perceived need for help for emotional or behavioural problems in past 12 months by parent or carer report and adolescent report among 13-17 year-olds with mental disorders by parent or carer report</w:t>
      </w:r>
      <w:r w:rsidRPr="00546F67">
        <w:rPr>
          <w:sz w:val="20"/>
          <w:szCs w:val="20"/>
        </w:rPr>
        <w:tab/>
        <w:t>139</w:t>
      </w:r>
    </w:p>
    <w:p w:rsidR="0093447F" w:rsidRPr="00546F67" w:rsidRDefault="0093447F" w:rsidP="005A28C1">
      <w:pPr>
        <w:pStyle w:val="TOC3"/>
        <w:ind w:left="0"/>
        <w:rPr>
          <w:rFonts w:eastAsiaTheme="minorEastAsia"/>
          <w:sz w:val="20"/>
          <w:szCs w:val="20"/>
          <w:lang w:eastAsia="en-AU"/>
        </w:rPr>
      </w:pPr>
      <w:r w:rsidRPr="00546F67">
        <w:rPr>
          <w:sz w:val="20"/>
          <w:szCs w:val="20"/>
        </w:rPr>
        <w:t>Table 13-15: Barriers to help seeking or receiving more help for emotional or behavioural problems in past 12 months among 13-17 year-olds with major depressive disorder by adolescent report or any mental disorder by parent or carer report</w:t>
      </w:r>
      <w:r w:rsidRPr="00546F67">
        <w:rPr>
          <w:sz w:val="20"/>
          <w:szCs w:val="20"/>
        </w:rPr>
        <w:tab/>
        <w:t>140</w:t>
      </w:r>
    </w:p>
    <w:p w:rsidR="0093447F" w:rsidRPr="00546F67" w:rsidRDefault="0093447F" w:rsidP="005A28C1">
      <w:pPr>
        <w:pStyle w:val="TOC3"/>
        <w:ind w:left="0"/>
        <w:rPr>
          <w:rFonts w:eastAsiaTheme="minorEastAsia"/>
          <w:sz w:val="20"/>
          <w:szCs w:val="20"/>
          <w:lang w:eastAsia="en-AU"/>
        </w:rPr>
      </w:pPr>
      <w:r w:rsidRPr="00546F67">
        <w:rPr>
          <w:sz w:val="20"/>
          <w:szCs w:val="20"/>
        </w:rPr>
        <w:t>Table 13-16: Main barriers to seeking help or for receiving more help for emotional or behavioural problems in past 12 months among 13-17 year-olds with mental disorders</w:t>
      </w:r>
      <w:r w:rsidRPr="00546F67">
        <w:rPr>
          <w:sz w:val="20"/>
          <w:szCs w:val="20"/>
        </w:rPr>
        <w:tab/>
        <w:t>141</w:t>
      </w:r>
    </w:p>
    <w:p w:rsidR="0093447F" w:rsidRPr="00546F67" w:rsidRDefault="0093447F" w:rsidP="005A28C1">
      <w:pPr>
        <w:pStyle w:val="TOC3"/>
        <w:ind w:left="0"/>
        <w:rPr>
          <w:rFonts w:eastAsiaTheme="minorEastAsia"/>
          <w:sz w:val="20"/>
          <w:szCs w:val="20"/>
          <w:lang w:eastAsia="en-AU"/>
        </w:rPr>
      </w:pPr>
      <w:r w:rsidRPr="00546F67">
        <w:rPr>
          <w:sz w:val="20"/>
          <w:szCs w:val="20"/>
        </w:rPr>
        <w:lastRenderedPageBreak/>
        <w:t>Table 14-1: 12-month prevalence of mental disorders among 6-17 year-olds in 1998 and 2013-14 by age group</w:t>
      </w:r>
      <w:r w:rsidRPr="00546F67">
        <w:rPr>
          <w:sz w:val="20"/>
          <w:szCs w:val="20"/>
        </w:rPr>
        <w:tab/>
      </w:r>
      <w:r w:rsidR="005A28C1">
        <w:rPr>
          <w:sz w:val="20"/>
          <w:szCs w:val="20"/>
        </w:rPr>
        <w:tab/>
      </w:r>
      <w:r w:rsidR="005A28C1">
        <w:rPr>
          <w:sz w:val="20"/>
          <w:szCs w:val="20"/>
        </w:rPr>
        <w:tab/>
      </w:r>
      <w:r w:rsidRPr="00546F67">
        <w:rPr>
          <w:sz w:val="20"/>
          <w:szCs w:val="20"/>
        </w:rPr>
        <w:t>145</w:t>
      </w:r>
    </w:p>
    <w:p w:rsidR="0093447F" w:rsidRPr="00546F67" w:rsidRDefault="0093447F" w:rsidP="005A28C1">
      <w:pPr>
        <w:pStyle w:val="TOC3"/>
        <w:ind w:left="0"/>
        <w:rPr>
          <w:rFonts w:eastAsiaTheme="minorEastAsia"/>
          <w:sz w:val="20"/>
          <w:szCs w:val="20"/>
          <w:lang w:eastAsia="en-AU"/>
        </w:rPr>
      </w:pPr>
      <w:r w:rsidRPr="00546F67">
        <w:rPr>
          <w:sz w:val="20"/>
          <w:szCs w:val="20"/>
        </w:rPr>
        <w:t>Table 14-2: 12-month prevalence of mental disorders among 6-17 year-olds in 1998 and 2013-14 by sex and age group</w:t>
      </w:r>
      <w:r w:rsidRPr="00546F67">
        <w:rPr>
          <w:sz w:val="20"/>
          <w:szCs w:val="20"/>
        </w:rPr>
        <w:tab/>
        <w:t>146</w:t>
      </w:r>
    </w:p>
    <w:p w:rsidR="0093447F" w:rsidRPr="00546F67" w:rsidRDefault="0093447F" w:rsidP="005A28C1">
      <w:pPr>
        <w:pStyle w:val="TOC3"/>
        <w:ind w:left="0"/>
        <w:rPr>
          <w:rFonts w:eastAsiaTheme="minorEastAsia"/>
          <w:sz w:val="20"/>
          <w:szCs w:val="20"/>
          <w:lang w:eastAsia="en-AU"/>
        </w:rPr>
      </w:pPr>
      <w:r w:rsidRPr="00546F67">
        <w:rPr>
          <w:sz w:val="20"/>
          <w:szCs w:val="20"/>
        </w:rPr>
        <w:t>Table 14-3: Use of services for emotional or behavioural problems in 6-17 year-olds with major depressive disorder, ADHD or conduct disorder, 1998 and 2013-14 by age group and type of service</w:t>
      </w:r>
      <w:r w:rsidRPr="00546F67">
        <w:rPr>
          <w:sz w:val="20"/>
          <w:szCs w:val="20"/>
        </w:rPr>
        <w:tab/>
        <w:t>147</w:t>
      </w:r>
    </w:p>
    <w:p w:rsidR="0093447F" w:rsidRPr="00546F67" w:rsidRDefault="0093447F" w:rsidP="005A28C1">
      <w:pPr>
        <w:pStyle w:val="TOC3"/>
        <w:ind w:left="0"/>
        <w:rPr>
          <w:rFonts w:eastAsiaTheme="minorEastAsia"/>
          <w:sz w:val="20"/>
          <w:szCs w:val="20"/>
          <w:lang w:eastAsia="en-AU"/>
        </w:rPr>
      </w:pPr>
      <w:r w:rsidRPr="00546F67">
        <w:rPr>
          <w:sz w:val="20"/>
          <w:szCs w:val="20"/>
        </w:rPr>
        <w:t>Table A-1: 12-month prevalence of mental disorders among 4-17 year-olds by two age groups with 95% confidence intervals</w:t>
      </w:r>
      <w:r w:rsidRPr="00546F67">
        <w:rPr>
          <w:sz w:val="20"/>
          <w:szCs w:val="20"/>
        </w:rPr>
        <w:tab/>
        <w:t>163</w:t>
      </w:r>
    </w:p>
    <w:p w:rsidR="0093447F" w:rsidRPr="00546F67" w:rsidRDefault="0093447F" w:rsidP="005A28C1">
      <w:pPr>
        <w:pStyle w:val="TOC3"/>
        <w:ind w:left="0"/>
        <w:rPr>
          <w:rFonts w:eastAsiaTheme="minorEastAsia"/>
          <w:sz w:val="20"/>
          <w:szCs w:val="20"/>
          <w:lang w:eastAsia="en-AU"/>
        </w:rPr>
      </w:pPr>
      <w:r w:rsidRPr="00546F67">
        <w:rPr>
          <w:sz w:val="20"/>
          <w:szCs w:val="20"/>
        </w:rPr>
        <w:t>Table A-2: 12-month prevalence of mental disorders among 4-17 year-olds by four age groups with 95% confidence intervals</w:t>
      </w:r>
      <w:r w:rsidRPr="00546F67">
        <w:rPr>
          <w:sz w:val="20"/>
          <w:szCs w:val="20"/>
        </w:rPr>
        <w:tab/>
        <w:t>163</w:t>
      </w:r>
    </w:p>
    <w:p w:rsidR="0093447F" w:rsidRPr="00B276B2" w:rsidRDefault="0093447F" w:rsidP="00B276B2"/>
    <w:p w:rsidR="0093447F" w:rsidRPr="00B276B2" w:rsidRDefault="0093447F" w:rsidP="00B276B2">
      <w:r>
        <w:br w:type="page"/>
      </w:r>
    </w:p>
    <w:p w:rsidR="0093447F" w:rsidRDefault="0093447F" w:rsidP="0093447F">
      <w:pPr>
        <w:pStyle w:val="Heading1"/>
      </w:pPr>
      <w:r>
        <w:lastRenderedPageBreak/>
        <w:t>List of Figures</w:t>
      </w:r>
    </w:p>
    <w:p w:rsidR="0093447F" w:rsidRPr="00546F67" w:rsidRDefault="0093447F" w:rsidP="005A28C1">
      <w:pPr>
        <w:pStyle w:val="TOC3"/>
        <w:ind w:left="0"/>
        <w:rPr>
          <w:rFonts w:eastAsiaTheme="minorEastAsia"/>
          <w:sz w:val="20"/>
          <w:szCs w:val="20"/>
          <w:lang w:eastAsia="en-AU"/>
        </w:rPr>
      </w:pPr>
      <w:r w:rsidRPr="00546F67">
        <w:rPr>
          <w:sz w:val="20"/>
          <w:szCs w:val="20"/>
        </w:rPr>
        <w:t>Figure 1: Prevalence of mental disorders in 4-17 year-olds in the past 12 months</w:t>
      </w:r>
      <w:r w:rsidRPr="00546F67">
        <w:rPr>
          <w:sz w:val="20"/>
          <w:szCs w:val="20"/>
        </w:rPr>
        <w:tab/>
        <w:t>5</w:t>
      </w:r>
    </w:p>
    <w:p w:rsidR="0093447F" w:rsidRPr="00546F67" w:rsidRDefault="0093447F" w:rsidP="005A28C1">
      <w:pPr>
        <w:pStyle w:val="TOC3"/>
        <w:ind w:left="0"/>
        <w:rPr>
          <w:rFonts w:eastAsiaTheme="minorEastAsia"/>
          <w:sz w:val="20"/>
          <w:szCs w:val="20"/>
          <w:lang w:eastAsia="en-AU"/>
        </w:rPr>
      </w:pPr>
      <w:r w:rsidRPr="00546F67">
        <w:rPr>
          <w:sz w:val="20"/>
          <w:szCs w:val="20"/>
        </w:rPr>
        <w:t>Figure 2: Prevalence of different types of mental disorders in the past 12 months in 4-17 year-olds</w:t>
      </w:r>
      <w:r w:rsidRPr="00546F67">
        <w:rPr>
          <w:sz w:val="20"/>
          <w:szCs w:val="20"/>
        </w:rPr>
        <w:tab/>
        <w:t>6</w:t>
      </w:r>
    </w:p>
    <w:p w:rsidR="0093447F" w:rsidRPr="00546F67" w:rsidRDefault="0093447F" w:rsidP="005A28C1">
      <w:pPr>
        <w:pStyle w:val="TOC3"/>
        <w:ind w:left="0"/>
        <w:rPr>
          <w:rFonts w:eastAsiaTheme="minorEastAsia"/>
          <w:sz w:val="20"/>
          <w:szCs w:val="20"/>
          <w:lang w:eastAsia="en-AU"/>
        </w:rPr>
      </w:pPr>
      <w:r w:rsidRPr="00546F67">
        <w:rPr>
          <w:sz w:val="20"/>
          <w:szCs w:val="20"/>
        </w:rPr>
        <w:t>Figure 3: Prevalence of mental disorders in the past 12 months in 4-17 year-olds by sex and age group</w:t>
      </w:r>
      <w:r w:rsidRPr="00546F67">
        <w:rPr>
          <w:sz w:val="20"/>
          <w:szCs w:val="20"/>
        </w:rPr>
        <w:tab/>
        <w:t>6</w:t>
      </w:r>
    </w:p>
    <w:p w:rsidR="0093447F" w:rsidRPr="00546F67" w:rsidRDefault="0093447F" w:rsidP="005A28C1">
      <w:pPr>
        <w:pStyle w:val="TOC3"/>
        <w:ind w:left="0"/>
        <w:rPr>
          <w:rFonts w:eastAsiaTheme="minorEastAsia"/>
          <w:sz w:val="20"/>
          <w:szCs w:val="20"/>
          <w:lang w:eastAsia="en-AU"/>
        </w:rPr>
      </w:pPr>
      <w:r w:rsidRPr="00546F67">
        <w:rPr>
          <w:sz w:val="20"/>
          <w:szCs w:val="20"/>
        </w:rPr>
        <w:t>Figure 4: Severity of mental disorders experienced by 4-17 year-olds in the past 12 months</w:t>
      </w:r>
      <w:r w:rsidRPr="00546F67">
        <w:rPr>
          <w:sz w:val="20"/>
          <w:szCs w:val="20"/>
        </w:rPr>
        <w:tab/>
        <w:t>7</w:t>
      </w:r>
    </w:p>
    <w:p w:rsidR="0093447F" w:rsidRPr="00546F67" w:rsidRDefault="0093447F" w:rsidP="005A28C1">
      <w:pPr>
        <w:pStyle w:val="TOC3"/>
        <w:ind w:left="0"/>
        <w:rPr>
          <w:rFonts w:eastAsiaTheme="minorEastAsia"/>
          <w:sz w:val="20"/>
          <w:szCs w:val="20"/>
          <w:lang w:eastAsia="en-AU"/>
        </w:rPr>
      </w:pPr>
      <w:r w:rsidRPr="00546F67">
        <w:rPr>
          <w:sz w:val="20"/>
          <w:szCs w:val="20"/>
        </w:rPr>
        <w:t>Figure 5: Severity of different types of mental disorders experienced by 4-17 year-olds in the past 12 months</w:t>
      </w:r>
      <w:r w:rsidRPr="00546F67">
        <w:rPr>
          <w:sz w:val="20"/>
          <w:szCs w:val="20"/>
        </w:rPr>
        <w:tab/>
        <w:t>8</w:t>
      </w:r>
    </w:p>
    <w:p w:rsidR="0093447F" w:rsidRPr="00546F67" w:rsidRDefault="0093447F" w:rsidP="005A28C1">
      <w:pPr>
        <w:pStyle w:val="TOC3"/>
        <w:ind w:left="0"/>
        <w:rPr>
          <w:rFonts w:eastAsiaTheme="minorEastAsia"/>
          <w:sz w:val="20"/>
          <w:szCs w:val="20"/>
          <w:lang w:eastAsia="en-AU"/>
        </w:rPr>
      </w:pPr>
      <w:r w:rsidRPr="00546F67">
        <w:rPr>
          <w:sz w:val="20"/>
          <w:szCs w:val="20"/>
        </w:rPr>
        <w:t>Figure 6: Severity of mental disorders experienced by 4-17 year-olds in the past 12 months by age group</w:t>
      </w:r>
      <w:r w:rsidRPr="00546F67">
        <w:rPr>
          <w:sz w:val="20"/>
          <w:szCs w:val="20"/>
        </w:rPr>
        <w:tab/>
        <w:t>8</w:t>
      </w:r>
    </w:p>
    <w:p w:rsidR="0093447F" w:rsidRPr="00546F67" w:rsidRDefault="0093447F" w:rsidP="005A28C1">
      <w:pPr>
        <w:pStyle w:val="TOC3"/>
        <w:ind w:left="0"/>
        <w:rPr>
          <w:rFonts w:eastAsiaTheme="minorEastAsia"/>
          <w:sz w:val="20"/>
          <w:szCs w:val="20"/>
          <w:lang w:eastAsia="en-AU"/>
        </w:rPr>
      </w:pPr>
      <w:r w:rsidRPr="00546F67">
        <w:rPr>
          <w:sz w:val="20"/>
          <w:szCs w:val="20"/>
        </w:rPr>
        <w:t>Figure 7: Service use in the past 12 months by 4-17 year-olds with mental disorders by severity of the disorder</w:t>
      </w:r>
      <w:r w:rsidRPr="00546F67">
        <w:rPr>
          <w:sz w:val="20"/>
          <w:szCs w:val="20"/>
        </w:rPr>
        <w:tab/>
      </w:r>
      <w:r w:rsidR="00EB66F7">
        <w:rPr>
          <w:sz w:val="20"/>
          <w:szCs w:val="20"/>
        </w:rPr>
        <w:tab/>
      </w:r>
      <w:r w:rsidR="00EB66F7">
        <w:rPr>
          <w:sz w:val="20"/>
          <w:szCs w:val="20"/>
        </w:rPr>
        <w:tab/>
      </w:r>
      <w:r w:rsidRPr="00546F67">
        <w:rPr>
          <w:sz w:val="20"/>
          <w:szCs w:val="20"/>
        </w:rPr>
        <w:t>9</w:t>
      </w:r>
    </w:p>
    <w:p w:rsidR="0093447F" w:rsidRPr="00546F67" w:rsidRDefault="0093447F" w:rsidP="005A28C1">
      <w:pPr>
        <w:pStyle w:val="TOC3"/>
        <w:ind w:left="0"/>
        <w:rPr>
          <w:rFonts w:eastAsiaTheme="minorEastAsia"/>
          <w:sz w:val="20"/>
          <w:szCs w:val="20"/>
          <w:lang w:eastAsia="en-AU"/>
        </w:rPr>
      </w:pPr>
      <w:r w:rsidRPr="00546F67">
        <w:rPr>
          <w:sz w:val="20"/>
          <w:szCs w:val="20"/>
        </w:rPr>
        <w:t>Figure 8: Perceived need for help for emotional and behavioural problems in the past 12 months in 4-17 year-olds with mental disorder</w:t>
      </w:r>
      <w:r w:rsidRPr="00546F67">
        <w:rPr>
          <w:sz w:val="20"/>
          <w:szCs w:val="20"/>
        </w:rPr>
        <w:tab/>
        <w:t>11</w:t>
      </w:r>
    </w:p>
    <w:p w:rsidR="0093447F" w:rsidRPr="00546F67" w:rsidRDefault="0093447F" w:rsidP="005A28C1">
      <w:pPr>
        <w:pStyle w:val="TOC3"/>
        <w:ind w:left="0"/>
        <w:rPr>
          <w:rFonts w:eastAsiaTheme="minorEastAsia"/>
          <w:sz w:val="20"/>
          <w:szCs w:val="20"/>
          <w:lang w:eastAsia="en-AU"/>
        </w:rPr>
      </w:pPr>
      <w:r w:rsidRPr="00546F67">
        <w:rPr>
          <w:sz w:val="20"/>
          <w:szCs w:val="20"/>
        </w:rPr>
        <w:t>Figure 9: Need for different types of help in the past 12 months in 4-17 year-olds with mental disorder</w:t>
      </w:r>
      <w:r w:rsidRPr="00546F67">
        <w:rPr>
          <w:sz w:val="20"/>
          <w:szCs w:val="20"/>
        </w:rPr>
        <w:tab/>
        <w:t>12</w:t>
      </w:r>
    </w:p>
    <w:p w:rsidR="0093447F" w:rsidRPr="00546F67" w:rsidRDefault="0093447F" w:rsidP="005A28C1">
      <w:pPr>
        <w:pStyle w:val="TOC3"/>
        <w:ind w:left="0"/>
        <w:rPr>
          <w:rFonts w:eastAsiaTheme="minorEastAsia"/>
          <w:sz w:val="20"/>
          <w:szCs w:val="20"/>
          <w:lang w:eastAsia="en-AU"/>
        </w:rPr>
      </w:pPr>
      <w:r w:rsidRPr="00546F67">
        <w:rPr>
          <w:sz w:val="20"/>
          <w:szCs w:val="20"/>
        </w:rPr>
        <w:t>Figure 10: Fully or partially met need for help in the past 12 months in 4-17 year-olds with need for help for mental disorders by severity</w:t>
      </w:r>
      <w:r w:rsidRPr="00546F67">
        <w:rPr>
          <w:sz w:val="20"/>
          <w:szCs w:val="20"/>
        </w:rPr>
        <w:tab/>
        <w:t>12</w:t>
      </w:r>
    </w:p>
    <w:p w:rsidR="0093447F" w:rsidRPr="00546F67" w:rsidRDefault="0093447F" w:rsidP="005A28C1">
      <w:pPr>
        <w:pStyle w:val="TOC3"/>
        <w:ind w:left="0"/>
        <w:rPr>
          <w:rFonts w:eastAsiaTheme="minorEastAsia"/>
          <w:sz w:val="20"/>
          <w:szCs w:val="20"/>
          <w:lang w:eastAsia="en-AU"/>
        </w:rPr>
      </w:pPr>
      <w:r w:rsidRPr="00546F67">
        <w:rPr>
          <w:sz w:val="20"/>
          <w:szCs w:val="20"/>
        </w:rPr>
        <w:t>Figure 11: Proportion of students identified with problems by school staff</w:t>
      </w:r>
      <w:r w:rsidRPr="00546F67">
        <w:rPr>
          <w:sz w:val="20"/>
          <w:szCs w:val="20"/>
        </w:rPr>
        <w:tab/>
        <w:t>13</w:t>
      </w:r>
    </w:p>
    <w:p w:rsidR="0093447F" w:rsidRPr="00546F67" w:rsidRDefault="0093447F" w:rsidP="005A28C1">
      <w:pPr>
        <w:pStyle w:val="TOC3"/>
        <w:ind w:left="0"/>
        <w:rPr>
          <w:rFonts w:eastAsiaTheme="minorEastAsia"/>
          <w:sz w:val="20"/>
          <w:szCs w:val="20"/>
          <w:lang w:eastAsia="en-AU"/>
        </w:rPr>
      </w:pPr>
      <w:r w:rsidRPr="00546F67">
        <w:rPr>
          <w:sz w:val="20"/>
          <w:szCs w:val="20"/>
        </w:rPr>
        <w:t>Figure 12: Students using health service provider services in the past 12 months who were referred by their school</w:t>
      </w:r>
      <w:r w:rsidRPr="00546F67">
        <w:rPr>
          <w:sz w:val="20"/>
          <w:szCs w:val="20"/>
        </w:rPr>
        <w:tab/>
      </w:r>
      <w:r w:rsidR="00EB66F7">
        <w:rPr>
          <w:sz w:val="20"/>
          <w:szCs w:val="20"/>
        </w:rPr>
        <w:tab/>
      </w:r>
      <w:r w:rsidRPr="00546F67">
        <w:rPr>
          <w:sz w:val="20"/>
          <w:szCs w:val="20"/>
        </w:rPr>
        <w:t>14</w:t>
      </w:r>
    </w:p>
    <w:p w:rsidR="0093447F" w:rsidRPr="00546F67" w:rsidRDefault="0093447F" w:rsidP="005A28C1">
      <w:pPr>
        <w:pStyle w:val="TOC3"/>
        <w:ind w:left="0"/>
        <w:rPr>
          <w:rFonts w:eastAsiaTheme="minorEastAsia"/>
          <w:sz w:val="20"/>
          <w:szCs w:val="20"/>
          <w:lang w:eastAsia="en-AU"/>
        </w:rPr>
      </w:pPr>
      <w:r w:rsidRPr="00546F67">
        <w:rPr>
          <w:sz w:val="20"/>
          <w:szCs w:val="20"/>
        </w:rPr>
        <w:t>Figure 13: Days absent from school in the past 12 months due to mental disorder symptoms</w:t>
      </w:r>
      <w:r w:rsidRPr="00546F67">
        <w:rPr>
          <w:sz w:val="20"/>
          <w:szCs w:val="20"/>
        </w:rPr>
        <w:tab/>
        <w:t>14</w:t>
      </w:r>
    </w:p>
    <w:p w:rsidR="0093447F" w:rsidRPr="00546F67" w:rsidRDefault="0093447F" w:rsidP="005A28C1">
      <w:pPr>
        <w:pStyle w:val="TOC3"/>
        <w:ind w:left="0"/>
        <w:rPr>
          <w:rFonts w:eastAsiaTheme="minorEastAsia"/>
          <w:sz w:val="20"/>
          <w:szCs w:val="20"/>
          <w:lang w:eastAsia="en-AU"/>
        </w:rPr>
      </w:pPr>
      <w:r w:rsidRPr="00546F67">
        <w:rPr>
          <w:sz w:val="20"/>
          <w:szCs w:val="20"/>
        </w:rPr>
        <w:t>Figure 14: Prevalence of major depressive disorder in the past 12 months based on self-reports in 11-17 year-olds</w:t>
      </w:r>
      <w:r w:rsidRPr="00546F67">
        <w:rPr>
          <w:sz w:val="20"/>
          <w:szCs w:val="20"/>
        </w:rPr>
        <w:tab/>
      </w:r>
      <w:r w:rsidR="00EB66F7">
        <w:rPr>
          <w:sz w:val="20"/>
          <w:szCs w:val="20"/>
        </w:rPr>
        <w:tab/>
      </w:r>
      <w:r w:rsidRPr="00546F67">
        <w:rPr>
          <w:sz w:val="20"/>
          <w:szCs w:val="20"/>
        </w:rPr>
        <w:t>16</w:t>
      </w:r>
    </w:p>
    <w:p w:rsidR="0093447F" w:rsidRPr="00546F67" w:rsidRDefault="0093447F" w:rsidP="005A28C1">
      <w:pPr>
        <w:pStyle w:val="TOC3"/>
        <w:ind w:left="0"/>
        <w:rPr>
          <w:rFonts w:eastAsiaTheme="minorEastAsia"/>
          <w:sz w:val="20"/>
          <w:szCs w:val="20"/>
          <w:lang w:eastAsia="en-AU"/>
        </w:rPr>
      </w:pPr>
      <w:r w:rsidRPr="00546F67">
        <w:rPr>
          <w:sz w:val="20"/>
          <w:szCs w:val="20"/>
        </w:rPr>
        <w:t>Figure 15: Prevalence of major depressive disorder in the past 12 months in 11-17 year-olds based on self-report and/or parent/carer reports</w:t>
      </w:r>
      <w:r w:rsidRPr="00546F67">
        <w:rPr>
          <w:sz w:val="20"/>
          <w:szCs w:val="20"/>
        </w:rPr>
        <w:tab/>
        <w:t>16</w:t>
      </w:r>
    </w:p>
    <w:p w:rsidR="0093447F" w:rsidRPr="00546F67" w:rsidRDefault="0093447F" w:rsidP="005A28C1">
      <w:pPr>
        <w:pStyle w:val="TOC3"/>
        <w:ind w:left="0"/>
        <w:rPr>
          <w:rFonts w:eastAsiaTheme="minorEastAsia"/>
          <w:sz w:val="20"/>
          <w:szCs w:val="20"/>
          <w:lang w:eastAsia="en-AU"/>
        </w:rPr>
      </w:pPr>
      <w:r w:rsidRPr="00546F67">
        <w:rPr>
          <w:sz w:val="20"/>
          <w:szCs w:val="20"/>
        </w:rPr>
        <w:t>Figure 16: Psychological distress levels in 11-17 year-olds</w:t>
      </w:r>
      <w:r w:rsidRPr="00546F67">
        <w:rPr>
          <w:sz w:val="20"/>
          <w:szCs w:val="20"/>
        </w:rPr>
        <w:tab/>
        <w:t>16</w:t>
      </w:r>
    </w:p>
    <w:p w:rsidR="0093447F" w:rsidRPr="00546F67" w:rsidRDefault="0093447F" w:rsidP="005A28C1">
      <w:pPr>
        <w:pStyle w:val="TOC3"/>
        <w:ind w:left="0"/>
        <w:rPr>
          <w:rFonts w:eastAsiaTheme="minorEastAsia"/>
          <w:sz w:val="20"/>
          <w:szCs w:val="20"/>
          <w:lang w:eastAsia="en-AU"/>
        </w:rPr>
      </w:pPr>
      <w:r w:rsidRPr="00546F67">
        <w:rPr>
          <w:sz w:val="20"/>
          <w:szCs w:val="20"/>
        </w:rPr>
        <w:t>Figure 18: Self-harm in the past 12 months in 11-17 year-olds with major depressive disorder based on self-report and for all adolescents by sex</w:t>
      </w:r>
      <w:r w:rsidRPr="00546F67">
        <w:rPr>
          <w:sz w:val="20"/>
          <w:szCs w:val="20"/>
        </w:rPr>
        <w:tab/>
        <w:t>20</w:t>
      </w:r>
    </w:p>
    <w:p w:rsidR="0093447F" w:rsidRPr="00546F67" w:rsidRDefault="0093447F" w:rsidP="005A28C1">
      <w:pPr>
        <w:pStyle w:val="TOC3"/>
        <w:ind w:left="0"/>
        <w:rPr>
          <w:rFonts w:eastAsiaTheme="minorEastAsia"/>
          <w:sz w:val="20"/>
          <w:szCs w:val="20"/>
          <w:lang w:eastAsia="en-AU"/>
        </w:rPr>
      </w:pPr>
      <w:r w:rsidRPr="00546F67">
        <w:rPr>
          <w:sz w:val="20"/>
          <w:szCs w:val="20"/>
        </w:rPr>
        <w:t>Figure 19: Suicidal behaviours in the past 12 months among 12-17 year-olds by sex and age group</w:t>
      </w:r>
      <w:r w:rsidRPr="00546F67">
        <w:rPr>
          <w:sz w:val="20"/>
          <w:szCs w:val="20"/>
        </w:rPr>
        <w:tab/>
        <w:t>21</w:t>
      </w:r>
    </w:p>
    <w:p w:rsidR="0093447F" w:rsidRPr="00546F67" w:rsidRDefault="0093447F" w:rsidP="005A28C1">
      <w:pPr>
        <w:pStyle w:val="TOC3"/>
        <w:ind w:left="0"/>
        <w:rPr>
          <w:rFonts w:eastAsiaTheme="minorEastAsia"/>
          <w:sz w:val="20"/>
          <w:szCs w:val="20"/>
          <w:lang w:eastAsia="en-AU"/>
        </w:rPr>
      </w:pPr>
      <w:r w:rsidRPr="00546F67">
        <w:rPr>
          <w:sz w:val="20"/>
          <w:szCs w:val="20"/>
        </w:rPr>
        <w:t>Figure 20: Suicide attempts in the past 12 months in 12-17 year-olds with major depressive disorder based on self-report and for all adolescents by sex</w:t>
      </w:r>
      <w:r w:rsidRPr="00546F67">
        <w:rPr>
          <w:sz w:val="20"/>
          <w:szCs w:val="20"/>
        </w:rPr>
        <w:tab/>
        <w:t>22</w:t>
      </w:r>
    </w:p>
    <w:p w:rsidR="0093447F" w:rsidRPr="00546F67" w:rsidRDefault="0093447F" w:rsidP="005A28C1">
      <w:pPr>
        <w:pStyle w:val="TOC3"/>
        <w:ind w:left="0"/>
        <w:rPr>
          <w:rFonts w:eastAsiaTheme="minorEastAsia"/>
          <w:sz w:val="20"/>
          <w:szCs w:val="20"/>
          <w:lang w:eastAsia="en-AU"/>
        </w:rPr>
      </w:pPr>
      <w:r w:rsidRPr="00546F67">
        <w:rPr>
          <w:sz w:val="20"/>
          <w:szCs w:val="20"/>
        </w:rPr>
        <w:t>Figure 21: 12-month prevalence of selected mental disorders among 6-17 year-olds in 1998 and 2013-14</w:t>
      </w:r>
      <w:r w:rsidRPr="00546F67">
        <w:rPr>
          <w:sz w:val="20"/>
          <w:szCs w:val="20"/>
        </w:rPr>
        <w:tab/>
        <w:t>26</w:t>
      </w:r>
    </w:p>
    <w:p w:rsidR="0093447F" w:rsidRPr="00546F67" w:rsidRDefault="0093447F" w:rsidP="005A28C1">
      <w:pPr>
        <w:pStyle w:val="TOC3"/>
        <w:ind w:left="0"/>
        <w:rPr>
          <w:rFonts w:eastAsiaTheme="minorEastAsia"/>
          <w:sz w:val="20"/>
          <w:szCs w:val="20"/>
          <w:lang w:eastAsia="en-AU"/>
        </w:rPr>
      </w:pPr>
      <w:r w:rsidRPr="00546F67">
        <w:rPr>
          <w:sz w:val="20"/>
          <w:szCs w:val="20"/>
        </w:rPr>
        <w:t>Figure 2-1: Comorbidity of anxiety disorders and major depressive disorder among 4-17 year-olds</w:t>
      </w:r>
      <w:r w:rsidRPr="00546F67">
        <w:rPr>
          <w:sz w:val="20"/>
          <w:szCs w:val="20"/>
        </w:rPr>
        <w:tab/>
        <w:t>43</w:t>
      </w:r>
    </w:p>
    <w:p w:rsidR="0093447F" w:rsidRPr="00546F67" w:rsidRDefault="0093447F" w:rsidP="005A28C1">
      <w:pPr>
        <w:pStyle w:val="TOC3"/>
        <w:ind w:left="0"/>
        <w:rPr>
          <w:rFonts w:eastAsiaTheme="minorEastAsia"/>
          <w:sz w:val="20"/>
          <w:szCs w:val="20"/>
          <w:lang w:eastAsia="en-AU"/>
        </w:rPr>
      </w:pPr>
      <w:r w:rsidRPr="00546F67">
        <w:rPr>
          <w:sz w:val="20"/>
          <w:szCs w:val="20"/>
        </w:rPr>
        <w:t>Figure 2-2: Comorbidity of anxiety or major depressive disorders, conduct disorder and ADHD among 4-17 year-olds</w:t>
      </w:r>
      <w:r w:rsidRPr="00546F67">
        <w:rPr>
          <w:sz w:val="20"/>
          <w:szCs w:val="20"/>
        </w:rPr>
        <w:tab/>
      </w:r>
      <w:r w:rsidR="00EB66F7">
        <w:rPr>
          <w:sz w:val="20"/>
          <w:szCs w:val="20"/>
        </w:rPr>
        <w:tab/>
      </w:r>
      <w:r w:rsidRPr="00546F67">
        <w:rPr>
          <w:sz w:val="20"/>
          <w:szCs w:val="20"/>
        </w:rPr>
        <w:t>43</w:t>
      </w:r>
    </w:p>
    <w:p w:rsidR="0093447F" w:rsidRDefault="0093447F" w:rsidP="005C4F80">
      <w:pPr>
        <w:pStyle w:val="TOC1"/>
        <w:rPr>
          <w:lang w:eastAsia="en-AU"/>
        </w:rPr>
      </w:pPr>
    </w:p>
    <w:p w:rsidR="009C57CA" w:rsidRDefault="009C57CA" w:rsidP="0074764C">
      <w:pPr>
        <w:pStyle w:val="BodyText"/>
        <w:sectPr w:rsidR="009C57CA" w:rsidSect="003330E0">
          <w:headerReference w:type="even" r:id="rId156"/>
          <w:headerReference w:type="default" r:id="rId157"/>
          <w:footerReference w:type="default" r:id="rId158"/>
          <w:pgSz w:w="11906" w:h="16838" w:code="9"/>
          <w:pgMar w:top="1440" w:right="1440" w:bottom="1440" w:left="1440" w:header="567" w:footer="567" w:gutter="0"/>
          <w:pgNumType w:start="183"/>
          <w:cols w:space="720"/>
          <w:docGrid w:linePitch="360"/>
        </w:sectPr>
      </w:pPr>
    </w:p>
    <w:p w:rsidR="009C57CA" w:rsidRPr="000F3EDF" w:rsidRDefault="009C57CA" w:rsidP="009C57CA">
      <w:pPr>
        <w:pStyle w:val="BodyText"/>
      </w:pPr>
      <w:r w:rsidRPr="000F3EDF">
        <w:rPr>
          <w:noProof/>
          <w:lang w:eastAsia="en-AU"/>
        </w:rPr>
        <w:lastRenderedPageBreak/>
        <mc:AlternateContent>
          <mc:Choice Requires="wps">
            <w:drawing>
              <wp:anchor distT="0" distB="0" distL="114300" distR="114300" simplePos="0" relativeHeight="251673600" behindDoc="1" locked="0" layoutInCell="1" allowOverlap="1" wp14:anchorId="7799E7B4" wp14:editId="665ACAF7">
                <wp:simplePos x="0" y="0"/>
                <wp:positionH relativeFrom="column">
                  <wp:posOffset>-1508418</wp:posOffset>
                </wp:positionH>
                <wp:positionV relativeFrom="paragraph">
                  <wp:posOffset>-968991</wp:posOffset>
                </wp:positionV>
                <wp:extent cx="8252128" cy="11252200"/>
                <wp:effectExtent l="0" t="0" r="0" b="6350"/>
                <wp:wrapNone/>
                <wp:docPr id="58" name="Rectangle 58"/>
                <wp:cNvGraphicFramePr/>
                <a:graphic xmlns:a="http://schemas.openxmlformats.org/drawingml/2006/main">
                  <a:graphicData uri="http://schemas.microsoft.com/office/word/2010/wordprocessingShape">
                    <wps:wsp>
                      <wps:cNvSpPr/>
                      <wps:spPr>
                        <a:xfrm>
                          <a:off x="0" y="0"/>
                          <a:ext cx="8252128" cy="11252200"/>
                        </a:xfrm>
                        <a:prstGeom prst="rect">
                          <a:avLst/>
                        </a:prstGeom>
                        <a:solidFill>
                          <a:srgbClr val="EFF3FF">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229" w:rsidRDefault="00711229" w:rsidP="009C57CA">
                            <w:pPr>
                              <w:pStyle w:val="BodyText"/>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margin-left:-118.75pt;margin-top:-76.3pt;width:649.75pt;height:8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" fillcolor="#eff3ff" stroked="f" strokeweight="2pt">
                <v:fill opacity="56283f"/>
                <v:textbox>
                  <w:txbxContent>
                    <w:p w:rsidR="00711229" w:rsidRDefault="00711229" w:rsidP="009C57CA">
                      <w:pPr>
                        <w:pStyle w:val="BodyText"/>
                      </w:pPr>
                      <w:r>
                        <w:softHyphen/>
                      </w:r>
                      <w:r>
                        <w:softHyphen/>
                      </w:r>
                    </w:p>
                  </w:txbxContent>
                </v:textbox>
              </v:rect>
            </w:pict>
          </mc:Fallback>
        </mc:AlternateContent>
      </w:r>
    </w:p>
    <w:p w:rsidR="009C57CA" w:rsidRPr="000F3EDF" w:rsidRDefault="009C57CA" w:rsidP="009C57CA">
      <w:pPr>
        <w:spacing w:after="0" w:line="276" w:lineRule="auto"/>
        <w:jc w:val="center"/>
        <w:rPr>
          <w:b/>
          <w:color w:val="2171B5"/>
          <w:sz w:val="40"/>
          <w:szCs w:val="40"/>
        </w:rPr>
      </w:pPr>
      <w:r w:rsidRPr="000F3EDF">
        <w:rPr>
          <w:b/>
          <w:color w:val="2171B5"/>
          <w:sz w:val="40"/>
          <w:szCs w:val="40"/>
        </w:rPr>
        <w:t>PART 7</w:t>
      </w:r>
    </w:p>
    <w:p w:rsidR="009C57CA" w:rsidRPr="00B276B2" w:rsidRDefault="009C57CA" w:rsidP="00B276B2">
      <w:pPr>
        <w:pStyle w:val="PartHeading"/>
        <w:spacing w:before="120"/>
      </w:pPr>
      <w:r w:rsidRPr="000F3EDF">
        <w:t>Supplementary tables</w:t>
      </w:r>
    </w:p>
    <w:p w:rsidR="009C57CA" w:rsidRPr="00B276B2" w:rsidRDefault="009C57CA" w:rsidP="00B276B2"/>
    <w:p w:rsidR="009C57CA" w:rsidRDefault="009C57CA" w:rsidP="009C57CA">
      <w:pPr>
        <w:rPr>
          <w:rFonts w:ascii="Source Sans Pro" w:hAnsi="Source Sans Pro"/>
          <w:sz w:val="24"/>
          <w:szCs w:val="24"/>
        </w:rPr>
        <w:sectPr w:rsidR="009C57CA" w:rsidSect="003330E0">
          <w:headerReference w:type="even" r:id="rId159"/>
          <w:headerReference w:type="default" r:id="rId160"/>
          <w:footerReference w:type="even" r:id="rId161"/>
          <w:footerReference w:type="default" r:id="rId162"/>
          <w:headerReference w:type="first" r:id="rId163"/>
          <w:footerReference w:type="first" r:id="rId164"/>
          <w:pgSz w:w="11906" w:h="16838" w:code="9"/>
          <w:pgMar w:top="1440" w:right="2268" w:bottom="1440" w:left="2268" w:header="567" w:footer="567" w:gutter="0"/>
          <w:pgNumType w:start="183"/>
          <w:cols w:space="720"/>
          <w:titlePg/>
          <w:docGrid w:linePitch="360"/>
        </w:sectPr>
      </w:pPr>
    </w:p>
    <w:p w:rsidR="009C57CA" w:rsidRPr="00B276B2" w:rsidRDefault="009C57CA" w:rsidP="00B276B2"/>
    <w:p w:rsidR="002A4F8B" w:rsidRDefault="002A4F8B" w:rsidP="0074764C">
      <w:pPr>
        <w:pStyle w:val="BodyText"/>
        <w:sectPr w:rsidR="002A4F8B" w:rsidSect="003330E0">
          <w:headerReference w:type="first" r:id="rId165"/>
          <w:pgSz w:w="11906" w:h="16838" w:code="9"/>
          <w:pgMar w:top="1440" w:right="1440" w:bottom="1440" w:left="1440" w:header="567" w:footer="567" w:gutter="0"/>
          <w:pgNumType w:start="192"/>
          <w:cols w:space="720"/>
          <w:titlePg/>
          <w:docGrid w:linePitch="360"/>
        </w:sectPr>
      </w:pPr>
    </w:p>
    <w:p w:rsidR="002A4F8B" w:rsidRDefault="002A4F8B" w:rsidP="002A4F8B">
      <w:pPr>
        <w:pStyle w:val="Heading1"/>
      </w:pPr>
      <w:r>
        <w:lastRenderedPageBreak/>
        <w:t>Supplementary tables</w:t>
      </w:r>
    </w:p>
    <w:p w:rsidR="002A4F8B" w:rsidRPr="00E1606B" w:rsidRDefault="002A4F8B" w:rsidP="00302454">
      <w:pPr>
        <w:pStyle w:val="Heading2"/>
      </w:pPr>
      <w:bookmarkStart w:id="285" w:name="_Toc414878895"/>
      <w:bookmarkStart w:id="286" w:name="_Toc414879467"/>
      <w:r w:rsidRPr="00E1606B">
        <w:t>List of tables</w:t>
      </w:r>
      <w:bookmarkEnd w:id="285"/>
      <w:bookmarkEnd w:id="286"/>
    </w:p>
    <w:p w:rsidR="00302454" w:rsidRPr="002B3D85" w:rsidRDefault="00302454" w:rsidP="005C4F80">
      <w:pPr>
        <w:pStyle w:val="TOC1"/>
        <w:rPr>
          <w:rFonts w:eastAsiaTheme="minorEastAsia"/>
          <w:lang w:eastAsia="en-AU"/>
        </w:rPr>
      </w:pPr>
      <w:r w:rsidRPr="002B3D85">
        <w:t>Distribution of the Young Minds Matter survey sample</w:t>
      </w:r>
      <w:r w:rsidRPr="002B3D85">
        <w:tab/>
        <w:t>197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 Parent or carer interview sample by sex and age group</w:t>
      </w:r>
      <w:r w:rsidRPr="00302454">
        <w:rPr>
          <w:b w:val="0"/>
          <w:color w:val="auto"/>
          <w:sz w:val="20"/>
          <w:szCs w:val="20"/>
        </w:rPr>
        <w:tab/>
        <w:t>197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 Parent or carer interview sample by family type</w:t>
      </w:r>
      <w:r w:rsidRPr="00302454">
        <w:rPr>
          <w:b w:val="0"/>
          <w:color w:val="auto"/>
          <w:sz w:val="20"/>
          <w:szCs w:val="20"/>
        </w:rPr>
        <w:tab/>
        <w:t>197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 Parent or carer interview sample by household income</w:t>
      </w:r>
      <w:r w:rsidRPr="00302454">
        <w:rPr>
          <w:b w:val="0"/>
          <w:color w:val="auto"/>
          <w:sz w:val="20"/>
          <w:szCs w:val="20"/>
        </w:rPr>
        <w:tab/>
        <w:t>197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 Parent or carer interview sample by parent or carer education level</w:t>
      </w:r>
      <w:r w:rsidRPr="00302454">
        <w:rPr>
          <w:b w:val="0"/>
          <w:color w:val="auto"/>
          <w:sz w:val="20"/>
          <w:szCs w:val="20"/>
        </w:rPr>
        <w:tab/>
        <w:t>198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S-5: Parent or carer interview sample by parent or carer labour force status</w:t>
      </w:r>
      <w:r w:rsidRPr="00302454">
        <w:rPr>
          <w:b w:val="0"/>
          <w:color w:val="auto"/>
          <w:sz w:val="20"/>
          <w:szCs w:val="20"/>
        </w:rPr>
        <w:tab/>
        <w:t>198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S-6: Parent or carer interview sample by area of residence</w:t>
      </w:r>
      <w:r w:rsidRPr="00302454">
        <w:rPr>
          <w:b w:val="0"/>
          <w:color w:val="auto"/>
          <w:sz w:val="20"/>
          <w:szCs w:val="20"/>
        </w:rPr>
        <w:tab/>
        <w:t>198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S-7: Parent or carer interview sample by country of birth of child or adolescent</w:t>
      </w:r>
      <w:r w:rsidRPr="00302454">
        <w:rPr>
          <w:b w:val="0"/>
          <w:color w:val="auto"/>
          <w:sz w:val="20"/>
          <w:szCs w:val="20"/>
        </w:rPr>
        <w:tab/>
        <w:t>198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S-8: Parent or carer interview sample by country of birth of parents or carers</w:t>
      </w:r>
      <w:r w:rsidRPr="00302454">
        <w:rPr>
          <w:b w:val="0"/>
          <w:color w:val="auto"/>
          <w:sz w:val="20"/>
          <w:szCs w:val="20"/>
        </w:rPr>
        <w:tab/>
        <w:t>199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S-9: Parent or carer interview sample by housing tenure</w:t>
      </w:r>
      <w:r w:rsidRPr="00302454">
        <w:rPr>
          <w:b w:val="0"/>
          <w:color w:val="auto"/>
          <w:sz w:val="20"/>
          <w:szCs w:val="20"/>
        </w:rPr>
        <w:tab/>
        <w:t>199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S-10: Parent or carer interview sample by remoteness area</w:t>
      </w:r>
      <w:r w:rsidRPr="00302454">
        <w:rPr>
          <w:b w:val="0"/>
          <w:color w:val="auto"/>
          <w:sz w:val="20"/>
          <w:szCs w:val="20"/>
        </w:rPr>
        <w:tab/>
        <w:t>199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S-11: Parent or carer interview sample by index of relative socio-economic disadvantage</w:t>
      </w:r>
      <w:r w:rsidRPr="00302454">
        <w:rPr>
          <w:b w:val="0"/>
          <w:color w:val="auto"/>
          <w:sz w:val="20"/>
          <w:szCs w:val="20"/>
        </w:rPr>
        <w:tab/>
        <w:t>199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S-12: 4-17 year-olds by level of family functioning</w:t>
      </w:r>
      <w:r w:rsidRPr="00302454">
        <w:rPr>
          <w:b w:val="0"/>
          <w:color w:val="auto"/>
          <w:sz w:val="20"/>
          <w:szCs w:val="20"/>
        </w:rPr>
        <w:tab/>
        <w:t>200</w:t>
      </w:r>
    </w:p>
    <w:p w:rsidR="002A4F8B" w:rsidRDefault="002A4F8B" w:rsidP="005C4F80">
      <w:pPr>
        <w:pStyle w:val="TOC1"/>
        <w:rPr>
          <w:rFonts w:eastAsiaTheme="minorEastAsia"/>
          <w:lang w:eastAsia="en-AU"/>
        </w:rPr>
      </w:pPr>
      <w:r>
        <w:t>Prevalence of mental disorders</w:t>
      </w:r>
      <w:r>
        <w:tab/>
        <w:t>200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S-13: 12-month prevalence of mental disorder among 4-17 year-olds by country of birth of child or adolescent</w:t>
      </w:r>
      <w:r w:rsidRPr="00302454">
        <w:rPr>
          <w:b w:val="0"/>
          <w:color w:val="auto"/>
          <w:sz w:val="20"/>
          <w:szCs w:val="20"/>
        </w:rPr>
        <w:tab/>
        <w:t>200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S-14: 12-month prevalence of mental disorder among 4-17 year-olds by country of birth of parents or carers</w:t>
      </w:r>
      <w:r w:rsidRPr="00302454">
        <w:rPr>
          <w:b w:val="0"/>
          <w:color w:val="auto"/>
          <w:sz w:val="20"/>
          <w:szCs w:val="20"/>
        </w:rPr>
        <w:tab/>
        <w:t>200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S-15: 12-month prevalence of mental disorder among 4-17 year-olds by housing tenure</w:t>
      </w:r>
      <w:r w:rsidRPr="00302454">
        <w:rPr>
          <w:b w:val="0"/>
          <w:color w:val="auto"/>
          <w:sz w:val="20"/>
          <w:szCs w:val="20"/>
        </w:rPr>
        <w:tab/>
        <w:t>200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S-16: 12-month prevalence of mental disorder among 4-17 year-olds by remoteness area</w:t>
      </w:r>
      <w:r w:rsidRPr="00302454">
        <w:rPr>
          <w:b w:val="0"/>
          <w:color w:val="auto"/>
          <w:sz w:val="20"/>
          <w:szCs w:val="20"/>
        </w:rPr>
        <w:tab/>
        <w:t>201</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S-17: 12-month prevalence of mental disorder among 4-17 year-olds by index of relative socio-economic disadvantage</w:t>
      </w:r>
      <w:r w:rsidRPr="00302454">
        <w:rPr>
          <w:b w:val="0"/>
          <w:color w:val="auto"/>
          <w:sz w:val="20"/>
          <w:szCs w:val="20"/>
        </w:rPr>
        <w:tab/>
        <w:t>201</w:t>
      </w:r>
    </w:p>
    <w:p w:rsidR="002A4F8B" w:rsidRPr="00302454" w:rsidRDefault="002A4F8B" w:rsidP="005C4F80">
      <w:pPr>
        <w:pStyle w:val="TOC1"/>
        <w:rPr>
          <w:rFonts w:eastAsiaTheme="minorEastAsia"/>
          <w:lang w:eastAsia="en-AU"/>
        </w:rPr>
      </w:pPr>
      <w:r w:rsidRPr="00302454">
        <w:t>Principal condition</w:t>
      </w:r>
      <w:r w:rsidRPr="00302454">
        <w:tab/>
        <w:t>201</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S-18: Principal condition by sex and age group</w:t>
      </w:r>
      <w:r w:rsidRPr="00302454">
        <w:rPr>
          <w:b w:val="0"/>
          <w:color w:val="auto"/>
          <w:sz w:val="20"/>
          <w:szCs w:val="20"/>
        </w:rPr>
        <w:tab/>
        <w:t>201</w:t>
      </w:r>
    </w:p>
    <w:p w:rsidR="002A4F8B" w:rsidRPr="00302454" w:rsidRDefault="002A4F8B" w:rsidP="005C4F80">
      <w:pPr>
        <w:pStyle w:val="TOC1"/>
        <w:rPr>
          <w:rFonts w:eastAsiaTheme="minorEastAsia"/>
          <w:lang w:eastAsia="en-AU"/>
        </w:rPr>
      </w:pPr>
      <w:r w:rsidRPr="00302454">
        <w:t>Major depressive disorder</w:t>
      </w:r>
      <w:r w:rsidRPr="00302454">
        <w:tab/>
        <w:t>202</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S-19: 12-month prevalence of major depressive disorder among 4-17 year-olds by country of birth of child or adolescent</w:t>
      </w:r>
      <w:r w:rsidRPr="00302454">
        <w:rPr>
          <w:b w:val="0"/>
          <w:color w:val="auto"/>
          <w:sz w:val="20"/>
          <w:szCs w:val="20"/>
        </w:rPr>
        <w:tab/>
        <w:t>202</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S-20: 12-month prevalence of major depressive disorder among 4-17 year-olds by country of birth of parents or carers</w:t>
      </w:r>
      <w:r w:rsidRPr="00302454">
        <w:rPr>
          <w:b w:val="0"/>
          <w:color w:val="auto"/>
          <w:sz w:val="20"/>
          <w:szCs w:val="20"/>
        </w:rPr>
        <w:tab/>
        <w:t>202</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S-21: 12-month prevalence of major depressive disorder among 4-17 year-olds by housing tenure</w:t>
      </w:r>
      <w:r w:rsidRPr="00302454">
        <w:rPr>
          <w:b w:val="0"/>
          <w:color w:val="auto"/>
          <w:sz w:val="20"/>
          <w:szCs w:val="20"/>
        </w:rPr>
        <w:tab/>
        <w:t>202</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S-22: 12-month prevalence of major depressive disorder among 4-17 year-olds by remoteness area</w:t>
      </w:r>
      <w:r w:rsidRPr="00302454">
        <w:rPr>
          <w:b w:val="0"/>
          <w:color w:val="auto"/>
          <w:sz w:val="20"/>
          <w:szCs w:val="20"/>
        </w:rPr>
        <w:tab/>
        <w:t>202</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S-23: 12-month prevalence of major depressive disorder among 4-17 year-olds by index of relative socio-economic disadvantage</w:t>
      </w:r>
      <w:r w:rsidRPr="00302454">
        <w:rPr>
          <w:b w:val="0"/>
          <w:color w:val="auto"/>
          <w:sz w:val="20"/>
          <w:szCs w:val="20"/>
        </w:rPr>
        <w:tab/>
        <w:t>203</w:t>
      </w:r>
    </w:p>
    <w:p w:rsidR="002A4F8B" w:rsidRPr="00302454" w:rsidRDefault="002A4F8B" w:rsidP="005C4F80">
      <w:pPr>
        <w:pStyle w:val="TOC1"/>
        <w:rPr>
          <w:rFonts w:eastAsiaTheme="minorEastAsia"/>
          <w:lang w:eastAsia="en-AU"/>
        </w:rPr>
      </w:pPr>
      <w:r w:rsidRPr="00302454">
        <w:lastRenderedPageBreak/>
        <w:t>Anxiety disorders</w:t>
      </w:r>
      <w:r w:rsidRPr="00302454">
        <w:tab/>
        <w:t>203</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S-24: 12-month prevalence of anxiety disorders among 4-17 year-olds by country of birth of child or adolescent</w:t>
      </w:r>
      <w:r w:rsidRPr="00302454">
        <w:rPr>
          <w:b w:val="0"/>
          <w:color w:val="auto"/>
          <w:sz w:val="20"/>
          <w:szCs w:val="20"/>
        </w:rPr>
        <w:tab/>
        <w:t>203</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S-25: 12-month prevalence of anxiety disorders among 4-17 year-olds by country of birth of parents or carers</w:t>
      </w:r>
      <w:r w:rsidRPr="00302454">
        <w:rPr>
          <w:b w:val="0"/>
          <w:color w:val="auto"/>
          <w:sz w:val="20"/>
          <w:szCs w:val="20"/>
        </w:rPr>
        <w:tab/>
        <w:t>203</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S-26: 12-month prevalence of anxiety disorders among 4-17 year-olds by housing tenure</w:t>
      </w:r>
      <w:r w:rsidRPr="00302454">
        <w:rPr>
          <w:b w:val="0"/>
          <w:color w:val="auto"/>
          <w:sz w:val="20"/>
          <w:szCs w:val="20"/>
        </w:rPr>
        <w:tab/>
        <w:t>204</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S-27: 12-month prevalence of anxiety disorders among 4-17 year-olds by remoteness area</w:t>
      </w:r>
      <w:r w:rsidRPr="00302454">
        <w:rPr>
          <w:b w:val="0"/>
          <w:color w:val="auto"/>
          <w:sz w:val="20"/>
          <w:szCs w:val="20"/>
        </w:rPr>
        <w:tab/>
        <w:t>204</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S-28: 12-month prevalence of anxiety disorders among 4-17 year-olds by index of relative socio-economic disadvantage</w:t>
      </w:r>
      <w:r w:rsidRPr="00302454">
        <w:rPr>
          <w:b w:val="0"/>
          <w:color w:val="auto"/>
          <w:sz w:val="20"/>
          <w:szCs w:val="20"/>
        </w:rPr>
        <w:tab/>
        <w:t>204</w:t>
      </w:r>
    </w:p>
    <w:p w:rsidR="002A4F8B" w:rsidRPr="00302454" w:rsidRDefault="002A4F8B" w:rsidP="005C4F80">
      <w:pPr>
        <w:pStyle w:val="TOC1"/>
        <w:rPr>
          <w:rFonts w:eastAsiaTheme="minorEastAsia"/>
          <w:lang w:eastAsia="en-AU"/>
        </w:rPr>
      </w:pPr>
      <w:r w:rsidRPr="00302454">
        <w:t>ADHD</w:t>
      </w:r>
      <w:r w:rsidRPr="00302454">
        <w:tab/>
        <w:t>205</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S-29: 12-month prevalence of ADHD among 4-17 year-olds by country of birth of child or adolescent</w:t>
      </w:r>
      <w:r w:rsidRPr="00302454">
        <w:rPr>
          <w:b w:val="0"/>
          <w:color w:val="auto"/>
          <w:sz w:val="20"/>
          <w:szCs w:val="20"/>
        </w:rPr>
        <w:tab/>
        <w:t>205</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S-30: 12-month prevalence of ADHD among 4-17 year-olds by country of birth of parents or carers</w:t>
      </w:r>
      <w:r w:rsidRPr="00302454">
        <w:rPr>
          <w:b w:val="0"/>
          <w:color w:val="auto"/>
          <w:sz w:val="20"/>
          <w:szCs w:val="20"/>
        </w:rPr>
        <w:tab/>
        <w:t>205</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S-31: 12-month prevalence of ADHD among 4-17 year-olds by housing tenure</w:t>
      </w:r>
      <w:r w:rsidRPr="00302454">
        <w:rPr>
          <w:b w:val="0"/>
          <w:color w:val="auto"/>
          <w:sz w:val="20"/>
          <w:szCs w:val="20"/>
        </w:rPr>
        <w:tab/>
        <w:t>205</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S-32: 12-month prevalence of ADHD among 4-17 year-olds by remoteness area</w:t>
      </w:r>
      <w:r w:rsidRPr="00302454">
        <w:rPr>
          <w:b w:val="0"/>
          <w:color w:val="auto"/>
          <w:sz w:val="20"/>
          <w:szCs w:val="20"/>
        </w:rPr>
        <w:tab/>
        <w:t>205</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S-33: 12-month prevalence of ADHD among 4-17 year-olds by index of relative socio-economic disadvantage</w:t>
      </w:r>
      <w:r w:rsidRPr="00302454">
        <w:rPr>
          <w:b w:val="0"/>
          <w:color w:val="auto"/>
          <w:sz w:val="20"/>
          <w:szCs w:val="20"/>
        </w:rPr>
        <w:tab/>
        <w:t>206</w:t>
      </w:r>
    </w:p>
    <w:p w:rsidR="002A4F8B" w:rsidRPr="00302454" w:rsidRDefault="002A4F8B" w:rsidP="005C4F80">
      <w:pPr>
        <w:pStyle w:val="TOC1"/>
        <w:rPr>
          <w:rFonts w:eastAsiaTheme="minorEastAsia"/>
          <w:lang w:eastAsia="en-AU"/>
        </w:rPr>
      </w:pPr>
      <w:r w:rsidRPr="00302454">
        <w:t>Conduct disorder</w:t>
      </w:r>
      <w:r w:rsidRPr="00302454">
        <w:tab/>
        <w:t>206</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S-34: 12-month prevalence of conduct disorder among 4-17 year-olds by country of birth of child or adolescent</w:t>
      </w:r>
      <w:r w:rsidRPr="00302454">
        <w:rPr>
          <w:b w:val="0"/>
          <w:color w:val="auto"/>
          <w:sz w:val="20"/>
          <w:szCs w:val="20"/>
        </w:rPr>
        <w:tab/>
        <w:t>206</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S-35: 12-month prevalence of conduct disorder among 4-17 year-olds by country of birth of parents or carers</w:t>
      </w:r>
      <w:r w:rsidRPr="00302454">
        <w:rPr>
          <w:b w:val="0"/>
          <w:color w:val="auto"/>
          <w:sz w:val="20"/>
          <w:szCs w:val="20"/>
        </w:rPr>
        <w:tab/>
        <w:t>206</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S-36: 12-month prevalence of conduct disorder among 4-17 year-olds by housing tenure</w:t>
      </w:r>
      <w:r w:rsidRPr="00302454">
        <w:rPr>
          <w:b w:val="0"/>
          <w:color w:val="auto"/>
          <w:sz w:val="20"/>
          <w:szCs w:val="20"/>
        </w:rPr>
        <w:tab/>
        <w:t>206</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S-37: 12-month prevalence of conduct disorder among 4-17 year-olds by remoteness area</w:t>
      </w:r>
      <w:r w:rsidRPr="00302454">
        <w:rPr>
          <w:b w:val="0"/>
          <w:color w:val="auto"/>
          <w:sz w:val="20"/>
          <w:szCs w:val="20"/>
        </w:rPr>
        <w:tab/>
        <w:t>207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S-38: 12-month prevalence of conduct disorder among 4-17 year-olds by index of relative socio-economic disadvantage</w:t>
      </w:r>
      <w:r w:rsidRPr="00302454">
        <w:rPr>
          <w:b w:val="0"/>
          <w:color w:val="auto"/>
          <w:sz w:val="20"/>
          <w:szCs w:val="20"/>
        </w:rPr>
        <w:tab/>
        <w:t>207</w:t>
      </w:r>
    </w:p>
    <w:p w:rsidR="002A4F8B" w:rsidRPr="00302454" w:rsidRDefault="002A4F8B" w:rsidP="005C4F80">
      <w:pPr>
        <w:pStyle w:val="TOC1"/>
        <w:rPr>
          <w:rFonts w:eastAsiaTheme="minorEastAsia"/>
          <w:lang w:eastAsia="en-AU"/>
        </w:rPr>
      </w:pPr>
      <w:r w:rsidRPr="00302454">
        <w:t>Mental disorders in adolescents aged 16-17 years</w:t>
      </w:r>
      <w:r w:rsidRPr="00302454">
        <w:tab/>
        <w:t>207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S-39: 12-month prevalence of mental disorders among 16-17 year-olds by type of disorder and sex</w:t>
      </w:r>
      <w:r w:rsidRPr="00302454">
        <w:rPr>
          <w:b w:val="0"/>
          <w:color w:val="auto"/>
          <w:sz w:val="20"/>
          <w:szCs w:val="20"/>
        </w:rPr>
        <w:tab/>
        <w:t>207</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S-40: 12-month prevalence of mental disorders among 16-17 year-olds by type of disorder and severity of impact</w:t>
      </w:r>
      <w:r w:rsidRPr="00302454">
        <w:rPr>
          <w:b w:val="0"/>
          <w:color w:val="auto"/>
          <w:sz w:val="20"/>
          <w:szCs w:val="20"/>
        </w:rPr>
        <w:tab/>
        <w:t>208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S-41: 12-month prevalence of oppositional problem behaviours among 16-17 year-olds by sex</w:t>
      </w:r>
      <w:r w:rsidRPr="00302454">
        <w:rPr>
          <w:b w:val="0"/>
          <w:color w:val="auto"/>
          <w:sz w:val="20"/>
          <w:szCs w:val="20"/>
        </w:rPr>
        <w:tab/>
        <w:t>208</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S-42: Average days absent from school in past 12 months due to symptoms of mental disorders among 16-17 year-olds with mental disorders by type of disorder</w:t>
      </w:r>
      <w:r w:rsidRPr="00302454">
        <w:rPr>
          <w:b w:val="0"/>
          <w:color w:val="auto"/>
          <w:sz w:val="20"/>
          <w:szCs w:val="20"/>
        </w:rPr>
        <w:tab/>
        <w:t>208</w:t>
      </w:r>
    </w:p>
    <w:p w:rsidR="002A4F8B" w:rsidRPr="00302454" w:rsidRDefault="002A4F8B" w:rsidP="005C4F80">
      <w:pPr>
        <w:pStyle w:val="TOC1"/>
        <w:rPr>
          <w:rFonts w:eastAsiaTheme="minorEastAsia"/>
          <w:lang w:eastAsia="en-AU"/>
        </w:rPr>
      </w:pPr>
      <w:r w:rsidRPr="00302454">
        <w:t>Strengths and Difficulties Questionnaire</w:t>
      </w:r>
      <w:r w:rsidRPr="00302454">
        <w:tab/>
        <w:t>209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S-43: Prevalence of parent or carer reported Strengths and Difficulties Questionnaire (SDQ) total difficulties score in the abnormal range among 4-17 year-olds by sex and age group</w:t>
      </w:r>
      <w:r w:rsidRPr="00302454">
        <w:rPr>
          <w:b w:val="0"/>
          <w:color w:val="auto"/>
          <w:sz w:val="20"/>
          <w:szCs w:val="20"/>
        </w:rPr>
        <w:tab/>
        <w:t>209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S-44: Prevalence of parent or carer reported SDQ scale scores in the abnormal range among 4-17 year-olds by SDQ scale, sex and age group</w:t>
      </w:r>
      <w:r w:rsidRPr="00302454">
        <w:rPr>
          <w:b w:val="0"/>
          <w:color w:val="auto"/>
          <w:sz w:val="20"/>
          <w:szCs w:val="20"/>
        </w:rPr>
        <w:tab/>
        <w:t>209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lastRenderedPageBreak/>
        <w:t xml:space="preserve">Table S-45: Prevalence of parent or carer reported SDQ scale scores in the abnormal range among 4-17 year-olds by </w:t>
      </w:r>
      <w:r w:rsidR="00541C9A">
        <w:rPr>
          <w:b w:val="0"/>
          <w:color w:val="auto"/>
          <w:sz w:val="20"/>
          <w:szCs w:val="20"/>
        </w:rPr>
        <w:t xml:space="preserve">SDQ scale and </w:t>
      </w:r>
      <w:r w:rsidRPr="00302454">
        <w:rPr>
          <w:b w:val="0"/>
          <w:color w:val="auto"/>
          <w:sz w:val="20"/>
          <w:szCs w:val="20"/>
        </w:rPr>
        <w:t>household income</w:t>
      </w:r>
      <w:r w:rsidRPr="00302454">
        <w:rPr>
          <w:b w:val="0"/>
          <w:color w:val="auto"/>
          <w:sz w:val="20"/>
          <w:szCs w:val="20"/>
        </w:rPr>
        <w:tab/>
        <w:t>209</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S-46: Prevalence of parent or carer reported SDQ scale scores in the abnormal range among 4-17 year-olds by SDQ scale and highest level of education of either primary or secondary parent or carer</w:t>
      </w:r>
      <w:r w:rsidRPr="00302454">
        <w:rPr>
          <w:b w:val="0"/>
          <w:color w:val="auto"/>
          <w:sz w:val="20"/>
          <w:szCs w:val="20"/>
        </w:rPr>
        <w:tab/>
        <w:t>210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S-47: Prevalence of parent or carer reported SDQ scale scores in the abnormal range among 4-17 year-olds by SDQ scale and labour force status of parents or carers</w:t>
      </w:r>
      <w:r w:rsidRPr="00302454">
        <w:rPr>
          <w:b w:val="0"/>
          <w:color w:val="auto"/>
          <w:sz w:val="20"/>
          <w:szCs w:val="20"/>
        </w:rPr>
        <w:tab/>
        <w:t>210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S-48: Prevalence of parent or carer reported SDQ scale scores in the abnormal range among 4-17 year-olds by SDQ scale and area of residence</w:t>
      </w:r>
      <w:r w:rsidRPr="00302454">
        <w:rPr>
          <w:b w:val="0"/>
          <w:color w:val="auto"/>
          <w:sz w:val="20"/>
          <w:szCs w:val="20"/>
        </w:rPr>
        <w:tab/>
        <w:t>210</w:t>
      </w:r>
    </w:p>
    <w:p w:rsidR="002A4F8B" w:rsidRPr="00302454" w:rsidRDefault="002A4F8B" w:rsidP="00302454">
      <w:pPr>
        <w:pStyle w:val="TOC2"/>
        <w:ind w:left="142"/>
        <w:rPr>
          <w:rFonts w:eastAsiaTheme="minorEastAsia"/>
          <w:b w:val="0"/>
          <w:color w:val="auto"/>
          <w:sz w:val="20"/>
          <w:szCs w:val="20"/>
          <w:lang w:eastAsia="en-AU"/>
        </w:rPr>
      </w:pPr>
      <w:r w:rsidRPr="00302454">
        <w:rPr>
          <w:b w:val="0"/>
          <w:color w:val="auto"/>
          <w:sz w:val="20"/>
          <w:szCs w:val="20"/>
        </w:rPr>
        <w:t>Table S-49: 4-17 year-olds by parent or carer reported SDQ total difficulties score and SDQ impact score</w:t>
      </w:r>
      <w:r w:rsidRPr="00302454">
        <w:rPr>
          <w:b w:val="0"/>
          <w:color w:val="auto"/>
          <w:sz w:val="20"/>
          <w:szCs w:val="20"/>
        </w:rPr>
        <w:tab/>
        <w:t>211</w:t>
      </w:r>
    </w:p>
    <w:p w:rsidR="002A4F8B" w:rsidRPr="00302454" w:rsidRDefault="002A4F8B" w:rsidP="005C4F80">
      <w:pPr>
        <w:pStyle w:val="TOC1"/>
        <w:rPr>
          <w:rFonts w:eastAsiaTheme="minorEastAsia"/>
          <w:lang w:eastAsia="en-AU"/>
        </w:rPr>
      </w:pPr>
      <w:r w:rsidRPr="00302454">
        <w:t>K10+ days out of role</w:t>
      </w:r>
      <w:r w:rsidRPr="00302454">
        <w:tab/>
        <w:t>211</w:t>
      </w:r>
    </w:p>
    <w:p w:rsidR="002A4F8B" w:rsidRPr="00302454" w:rsidRDefault="002A4F8B" w:rsidP="002B3D85">
      <w:pPr>
        <w:pStyle w:val="TOC2"/>
        <w:ind w:firstLine="142"/>
        <w:rPr>
          <w:rFonts w:eastAsiaTheme="minorEastAsia"/>
          <w:b w:val="0"/>
          <w:color w:val="auto"/>
          <w:sz w:val="20"/>
          <w:szCs w:val="20"/>
          <w:lang w:eastAsia="en-AU"/>
        </w:rPr>
      </w:pPr>
      <w:r w:rsidRPr="00302454">
        <w:rPr>
          <w:b w:val="0"/>
          <w:color w:val="auto"/>
          <w:sz w:val="20"/>
          <w:szCs w:val="20"/>
        </w:rPr>
        <w:t>Table S-50: Number of days out of role (K10+) among 11-17 year-olds by sex</w:t>
      </w:r>
      <w:r w:rsidRPr="00302454">
        <w:rPr>
          <w:b w:val="0"/>
          <w:color w:val="auto"/>
          <w:sz w:val="20"/>
          <w:szCs w:val="20"/>
        </w:rPr>
        <w:tab/>
        <w:t>211</w:t>
      </w:r>
    </w:p>
    <w:p w:rsidR="002A4F8B" w:rsidRPr="00302454" w:rsidRDefault="002A4F8B" w:rsidP="005C4F80">
      <w:pPr>
        <w:pStyle w:val="TOC1"/>
        <w:rPr>
          <w:rFonts w:eastAsiaTheme="minorEastAsia"/>
          <w:lang w:eastAsia="en-AU"/>
        </w:rPr>
      </w:pPr>
      <w:r w:rsidRPr="00302454">
        <w:t>Self-harm</w:t>
      </w:r>
      <w:r w:rsidRPr="00302454">
        <w:tab/>
        <w:t>212</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S-51: Self harm among 12-17 year-olds by sex and adolescent self-reported SDQ rating</w:t>
      </w:r>
      <w:r w:rsidRPr="00302454">
        <w:rPr>
          <w:b w:val="0"/>
          <w:color w:val="auto"/>
          <w:sz w:val="20"/>
          <w:szCs w:val="20"/>
        </w:rPr>
        <w:tab/>
        <w:t>212</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S-52: Self-harm among 12-17 year-olds by adolescent reported major depressive disorder status and family type</w:t>
      </w:r>
      <w:r w:rsidRPr="00302454">
        <w:rPr>
          <w:b w:val="0"/>
          <w:color w:val="auto"/>
          <w:sz w:val="20"/>
          <w:szCs w:val="20"/>
        </w:rPr>
        <w:tab/>
        <w:t>213</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S-53: Self-harm among 12-17 year-olds by adolescent reported major depressive disorder status and household income</w:t>
      </w:r>
      <w:r w:rsidRPr="00302454">
        <w:rPr>
          <w:b w:val="0"/>
          <w:color w:val="auto"/>
          <w:sz w:val="20"/>
          <w:szCs w:val="20"/>
        </w:rPr>
        <w:tab/>
        <w:t>214</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S-54: Self-harm among 12-17 year-olds by adolescent reported major depressive disorder status and parent or carer education</w:t>
      </w:r>
      <w:r w:rsidRPr="00302454">
        <w:rPr>
          <w:b w:val="0"/>
          <w:color w:val="auto"/>
          <w:sz w:val="20"/>
          <w:szCs w:val="20"/>
        </w:rPr>
        <w:tab/>
        <w:t>214</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S-55: Self-harm among 12-17 year-olds by adolescent reported major depressive disorder status and parent or carer labour force status</w:t>
      </w:r>
      <w:r w:rsidRPr="00302454">
        <w:rPr>
          <w:b w:val="0"/>
          <w:color w:val="auto"/>
          <w:sz w:val="20"/>
          <w:szCs w:val="20"/>
        </w:rPr>
        <w:tab/>
        <w:t>215</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S-56: Self-harm among 12-17 year-olds by adolescent reported major depressive disorder status and area of residence</w:t>
      </w:r>
      <w:r w:rsidRPr="00302454">
        <w:rPr>
          <w:b w:val="0"/>
          <w:color w:val="auto"/>
          <w:sz w:val="20"/>
          <w:szCs w:val="20"/>
        </w:rPr>
        <w:tab/>
        <w:t>216</w:t>
      </w:r>
    </w:p>
    <w:p w:rsidR="002A4F8B" w:rsidRPr="00302454" w:rsidRDefault="002A4F8B" w:rsidP="005C4F80">
      <w:pPr>
        <w:pStyle w:val="TOC1"/>
        <w:rPr>
          <w:rFonts w:eastAsiaTheme="minorEastAsia"/>
          <w:lang w:eastAsia="en-AU"/>
        </w:rPr>
      </w:pPr>
      <w:r w:rsidRPr="00302454">
        <w:t>Suicidal behaviours</w:t>
      </w:r>
      <w:r w:rsidRPr="00302454">
        <w:tab/>
        <w:t>216</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S-57: Suicide ideation, suicide plans and suicide attempts among 12-17 year-olds by sex and adolescent self-reported SDQ rating</w:t>
      </w:r>
      <w:r w:rsidRPr="00302454">
        <w:rPr>
          <w:b w:val="0"/>
          <w:color w:val="auto"/>
          <w:sz w:val="20"/>
          <w:szCs w:val="20"/>
        </w:rPr>
        <w:tab/>
        <w:t>216</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S-58: Suicidal ideation, suicide plans and suicide attempts among 12-17 year-olds by adolescent reported major depressive disorder status and family type</w:t>
      </w:r>
      <w:r w:rsidRPr="00302454">
        <w:rPr>
          <w:b w:val="0"/>
          <w:color w:val="auto"/>
          <w:sz w:val="20"/>
          <w:szCs w:val="20"/>
        </w:rPr>
        <w:tab/>
        <w:t>217</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S-59: Suicidal ideation, suicide plans and suicide attempts among 12-17 year-olds by adolescent reported major depressive disorder status and household income</w:t>
      </w:r>
      <w:r w:rsidRPr="00302454">
        <w:rPr>
          <w:b w:val="0"/>
          <w:color w:val="auto"/>
          <w:sz w:val="20"/>
          <w:szCs w:val="20"/>
        </w:rPr>
        <w:tab/>
        <w:t>218</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S-60: Suicidal ideation, suicide plans and suicide attempts among 12-17 year-olds by adolescent reported major depressive disorder status and parent or carer education</w:t>
      </w:r>
      <w:r w:rsidRPr="00302454">
        <w:rPr>
          <w:b w:val="0"/>
          <w:color w:val="auto"/>
          <w:sz w:val="20"/>
          <w:szCs w:val="20"/>
        </w:rPr>
        <w:tab/>
        <w:t>218</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S-61: Suicidal ideation, suicide plans and suicide attempts among 12-17 year-olds by adolescent reported major depressive disorder status and parent or carer labour force status</w:t>
      </w:r>
      <w:r w:rsidRPr="00302454">
        <w:rPr>
          <w:b w:val="0"/>
          <w:color w:val="auto"/>
          <w:sz w:val="20"/>
          <w:szCs w:val="20"/>
        </w:rPr>
        <w:tab/>
        <w:t>219</w:t>
      </w:r>
    </w:p>
    <w:p w:rsidR="002A4F8B" w:rsidRPr="00302454" w:rsidRDefault="002A4F8B" w:rsidP="002B3D85">
      <w:pPr>
        <w:pStyle w:val="TOC2"/>
        <w:ind w:left="142"/>
        <w:rPr>
          <w:rFonts w:eastAsiaTheme="minorEastAsia"/>
          <w:b w:val="0"/>
          <w:color w:val="auto"/>
          <w:sz w:val="20"/>
          <w:szCs w:val="20"/>
          <w:lang w:eastAsia="en-AU"/>
        </w:rPr>
      </w:pPr>
      <w:r w:rsidRPr="00302454">
        <w:rPr>
          <w:b w:val="0"/>
          <w:color w:val="auto"/>
          <w:sz w:val="20"/>
          <w:szCs w:val="20"/>
        </w:rPr>
        <w:t>Table S-62: Suicidal ideation, suicide plans and suicide attempts among 12-17 year-olds by adolescent reported major depressive disorder status and area of residence</w:t>
      </w:r>
      <w:r w:rsidRPr="00302454">
        <w:rPr>
          <w:b w:val="0"/>
          <w:color w:val="auto"/>
          <w:sz w:val="20"/>
          <w:szCs w:val="20"/>
        </w:rPr>
        <w:tab/>
        <w:t>219</w:t>
      </w:r>
    </w:p>
    <w:p w:rsidR="002A4F8B" w:rsidRPr="00302454" w:rsidRDefault="002A4F8B" w:rsidP="005C4F80">
      <w:pPr>
        <w:pStyle w:val="TOC1"/>
        <w:rPr>
          <w:rFonts w:eastAsiaTheme="minorEastAsia"/>
          <w:lang w:eastAsia="en-AU"/>
        </w:rPr>
      </w:pPr>
      <w:r w:rsidRPr="00302454">
        <w:t>Smoking, alcohol, and cannabis use and sexual behaviours by Strengths and Difficulties Questionnaire scales</w:t>
      </w:r>
      <w:r w:rsidRPr="00302454">
        <w:tab/>
        <w:t>220</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t>Table S-63: Smoking among 13-17 year-olds by sex and adolescent self-reported SDQ rating</w:t>
      </w:r>
      <w:r w:rsidRPr="00302454">
        <w:rPr>
          <w:b w:val="0"/>
          <w:color w:val="auto"/>
          <w:sz w:val="20"/>
          <w:szCs w:val="20"/>
        </w:rPr>
        <w:tab/>
        <w:t>220</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lastRenderedPageBreak/>
        <w:t>Table S-64: Alcohol consumption among 13-17 year-olds by sex and adolescent self-reported SDQ rating</w:t>
      </w:r>
      <w:r w:rsidRPr="00302454">
        <w:rPr>
          <w:b w:val="0"/>
          <w:color w:val="auto"/>
          <w:sz w:val="20"/>
          <w:szCs w:val="20"/>
        </w:rPr>
        <w:tab/>
        <w:t>221</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t>Table S-65: Cannabis and other drug use among 13-17 year-olds by sex and adolescent self-reported SDQ rating</w:t>
      </w:r>
      <w:r w:rsidRPr="00302454">
        <w:rPr>
          <w:b w:val="0"/>
          <w:color w:val="auto"/>
          <w:sz w:val="20"/>
          <w:szCs w:val="20"/>
        </w:rPr>
        <w:tab/>
        <w:t>222</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t>Table S-66: Sexual behaviours among 13-17 year-olds by sex and adolescent self-reported SDQ rating</w:t>
      </w:r>
      <w:r w:rsidRPr="00302454">
        <w:rPr>
          <w:b w:val="0"/>
          <w:color w:val="auto"/>
          <w:sz w:val="20"/>
          <w:szCs w:val="20"/>
        </w:rPr>
        <w:tab/>
        <w:t>223</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t>Table S-67: Use of protection during last sexual intercourse or consumption of alcohol or drugs prior to last sexual intercourse among 13-17 year-olds who have ever had sexual intercourse by sex and adolescent self-reported SDQ rating</w:t>
      </w:r>
      <w:r w:rsidRPr="00302454">
        <w:rPr>
          <w:b w:val="0"/>
          <w:color w:val="auto"/>
          <w:sz w:val="20"/>
          <w:szCs w:val="20"/>
        </w:rPr>
        <w:tab/>
        <w:t>224</w:t>
      </w:r>
    </w:p>
    <w:p w:rsidR="002A4F8B" w:rsidRPr="00302454" w:rsidRDefault="002A4F8B" w:rsidP="005C4F80">
      <w:pPr>
        <w:pStyle w:val="TOC1"/>
        <w:rPr>
          <w:rFonts w:eastAsiaTheme="minorEastAsia"/>
          <w:lang w:eastAsia="en-AU"/>
        </w:rPr>
      </w:pPr>
      <w:r w:rsidRPr="00302454">
        <w:t>Problem eating behaviours</w:t>
      </w:r>
      <w:r w:rsidRPr="00302454">
        <w:tab/>
        <w:t>225</w:t>
      </w:r>
    </w:p>
    <w:p w:rsidR="002A4F8B" w:rsidRPr="00302454" w:rsidRDefault="002A4F8B" w:rsidP="000204E4">
      <w:pPr>
        <w:pStyle w:val="TOC2"/>
        <w:ind w:left="142"/>
        <w:rPr>
          <w:rFonts w:eastAsiaTheme="minorEastAsia"/>
          <w:b w:val="0"/>
          <w:color w:val="auto"/>
          <w:sz w:val="20"/>
          <w:szCs w:val="20"/>
          <w:lang w:eastAsia="en-AU"/>
        </w:rPr>
      </w:pPr>
      <w:r w:rsidRPr="00302454">
        <w:rPr>
          <w:b w:val="0"/>
          <w:color w:val="auto"/>
          <w:sz w:val="20"/>
          <w:szCs w:val="20"/>
        </w:rPr>
        <w:t>Table S-68: Problem eating behaviours and weight control behaviours in the past 12 months among 11-17 year-olds by sex and age group</w:t>
      </w:r>
      <w:r w:rsidRPr="00302454">
        <w:rPr>
          <w:b w:val="0"/>
          <w:color w:val="auto"/>
          <w:sz w:val="20"/>
          <w:szCs w:val="20"/>
        </w:rPr>
        <w:tab/>
        <w:t>225</w:t>
      </w:r>
    </w:p>
    <w:p w:rsidR="002A4F8B" w:rsidRPr="00302454" w:rsidRDefault="002A4F8B" w:rsidP="005C4F80">
      <w:pPr>
        <w:pStyle w:val="TOC1"/>
        <w:rPr>
          <w:rFonts w:eastAsiaTheme="minorEastAsia"/>
          <w:lang w:eastAsia="en-AU"/>
        </w:rPr>
      </w:pPr>
      <w:r w:rsidRPr="00302454">
        <w:t>Bullying</w:t>
      </w:r>
      <w:r w:rsidRPr="00302454">
        <w:tab/>
        <w:t>227</w:t>
      </w:r>
    </w:p>
    <w:p w:rsidR="002A4F8B" w:rsidRPr="00302454" w:rsidRDefault="002A4F8B" w:rsidP="000204E4">
      <w:pPr>
        <w:pStyle w:val="TOC2"/>
        <w:ind w:firstLine="142"/>
        <w:rPr>
          <w:rFonts w:eastAsiaTheme="minorEastAsia"/>
          <w:b w:val="0"/>
          <w:color w:val="auto"/>
          <w:sz w:val="20"/>
          <w:szCs w:val="20"/>
          <w:lang w:eastAsia="en-AU"/>
        </w:rPr>
      </w:pPr>
      <w:r w:rsidRPr="00302454">
        <w:rPr>
          <w:b w:val="0"/>
          <w:color w:val="auto"/>
          <w:sz w:val="20"/>
          <w:szCs w:val="20"/>
        </w:rPr>
        <w:t>Table S-69: Frequency of bullying in previous 12 months in 11-17 year-olds by sex and age group</w:t>
      </w:r>
      <w:r w:rsidRPr="00302454">
        <w:rPr>
          <w:b w:val="0"/>
          <w:color w:val="auto"/>
          <w:sz w:val="20"/>
          <w:szCs w:val="20"/>
        </w:rPr>
        <w:tab/>
        <w:t>227</w:t>
      </w:r>
    </w:p>
    <w:p w:rsidR="002A4F8B" w:rsidRPr="00302454" w:rsidRDefault="002A4F8B" w:rsidP="005C4F80">
      <w:pPr>
        <w:pStyle w:val="TOC1"/>
        <w:rPr>
          <w:rFonts w:eastAsiaTheme="minorEastAsia"/>
          <w:lang w:eastAsia="en-AU"/>
        </w:rPr>
      </w:pPr>
      <w:r w:rsidRPr="00302454">
        <w:t>Internet use and electronic games</w:t>
      </w:r>
      <w:r w:rsidRPr="00302454">
        <w:tab/>
        <w:t>228</w:t>
      </w:r>
    </w:p>
    <w:p w:rsidR="002A4F8B" w:rsidRPr="00302454" w:rsidRDefault="002A4F8B" w:rsidP="00DD1D02">
      <w:pPr>
        <w:pStyle w:val="TOC2"/>
        <w:ind w:left="142"/>
        <w:rPr>
          <w:rFonts w:eastAsiaTheme="minorEastAsia"/>
          <w:b w:val="0"/>
          <w:color w:val="auto"/>
          <w:sz w:val="20"/>
          <w:szCs w:val="20"/>
          <w:lang w:eastAsia="en-AU"/>
        </w:rPr>
      </w:pPr>
      <w:r w:rsidRPr="00302454">
        <w:rPr>
          <w:b w:val="0"/>
          <w:color w:val="auto"/>
          <w:sz w:val="20"/>
          <w:szCs w:val="20"/>
        </w:rPr>
        <w:t>Table S-70: Time spent using the internet or playing electronic games among 11-17 year-olds by sex and age group</w:t>
      </w:r>
      <w:r w:rsidRPr="00302454">
        <w:rPr>
          <w:b w:val="0"/>
          <w:color w:val="auto"/>
          <w:sz w:val="20"/>
          <w:szCs w:val="20"/>
        </w:rPr>
        <w:tab/>
        <w:t>228</w:t>
      </w:r>
    </w:p>
    <w:p w:rsidR="002A4F8B" w:rsidRPr="00302454" w:rsidRDefault="002A4F8B" w:rsidP="00DD1D02">
      <w:pPr>
        <w:pStyle w:val="TOC2"/>
        <w:ind w:left="142"/>
        <w:rPr>
          <w:rFonts w:eastAsiaTheme="minorEastAsia"/>
          <w:b w:val="0"/>
          <w:color w:val="auto"/>
          <w:sz w:val="20"/>
          <w:szCs w:val="20"/>
          <w:lang w:eastAsia="en-AU"/>
        </w:rPr>
      </w:pPr>
      <w:r w:rsidRPr="00302454">
        <w:rPr>
          <w:b w:val="0"/>
          <w:color w:val="auto"/>
          <w:sz w:val="20"/>
          <w:szCs w:val="20"/>
        </w:rPr>
        <w:t>Table S-71: Problem internet or electronic gaming behaviours among 11-17 year-olds by sex and age group</w:t>
      </w:r>
      <w:r w:rsidRPr="00302454">
        <w:rPr>
          <w:b w:val="0"/>
          <w:color w:val="auto"/>
          <w:sz w:val="20"/>
          <w:szCs w:val="20"/>
        </w:rPr>
        <w:tab/>
        <w:t>229</w:t>
      </w:r>
    </w:p>
    <w:p w:rsidR="002A4F8B" w:rsidRPr="00302454" w:rsidRDefault="002A4F8B" w:rsidP="00DD1D02">
      <w:pPr>
        <w:pStyle w:val="TOC2"/>
        <w:ind w:left="142"/>
        <w:rPr>
          <w:rFonts w:eastAsiaTheme="minorEastAsia"/>
          <w:b w:val="0"/>
          <w:color w:val="auto"/>
          <w:sz w:val="20"/>
          <w:szCs w:val="20"/>
          <w:lang w:eastAsia="en-AU"/>
        </w:rPr>
      </w:pPr>
      <w:r w:rsidRPr="00302454">
        <w:rPr>
          <w:b w:val="0"/>
          <w:color w:val="auto"/>
          <w:sz w:val="20"/>
          <w:szCs w:val="20"/>
        </w:rPr>
        <w:t>Table S-72: Problem internet use or electronic gaming behaviours among 11-17 year-olds by sex and adolescent self-reported SDQ rating</w:t>
      </w:r>
      <w:r w:rsidRPr="00302454">
        <w:rPr>
          <w:b w:val="0"/>
          <w:color w:val="auto"/>
          <w:sz w:val="20"/>
          <w:szCs w:val="20"/>
        </w:rPr>
        <w:tab/>
        <w:t>229</w:t>
      </w:r>
    </w:p>
    <w:p w:rsidR="002A4F8B" w:rsidRDefault="002A4F8B" w:rsidP="002A4F8B">
      <w:pPr>
        <w:pStyle w:val="Heading2"/>
        <w:pageBreakBefore/>
        <w:spacing w:before="0"/>
      </w:pPr>
      <w:bookmarkStart w:id="287" w:name="_Toc414878896"/>
      <w:bookmarkStart w:id="288" w:name="_Toc414879468"/>
      <w:r>
        <w:lastRenderedPageBreak/>
        <w:t>Distribution of the Young Minds Matter survey sample</w:t>
      </w:r>
      <w:bookmarkEnd w:id="287"/>
      <w:bookmarkEnd w:id="288"/>
    </w:p>
    <w:p w:rsidR="002A4F8B" w:rsidRDefault="002A4F8B" w:rsidP="002A4F8B">
      <w:pPr>
        <w:pStyle w:val="Caption"/>
        <w:keepNext/>
      </w:pPr>
      <w:bookmarkStart w:id="289" w:name="_Toc414878897"/>
      <w:bookmarkStart w:id="290" w:name="_Toc414879469"/>
      <w:r>
        <w:t>Table S-</w:t>
      </w:r>
      <w:r>
        <w:rPr>
          <w:noProof/>
        </w:rPr>
        <w:t>1</w:t>
      </w:r>
      <w:r>
        <w:t>: Parent or carer interview</w:t>
      </w:r>
      <w:r>
        <w:rPr>
          <w:noProof/>
        </w:rPr>
        <w:t xml:space="preserve"> sample by sex and age group</w:t>
      </w:r>
      <w:bookmarkEnd w:id="289"/>
      <w:bookmarkEnd w:id="290"/>
    </w:p>
    <w:tbl>
      <w:tblPr>
        <w:tblW w:w="0" w:type="auto"/>
        <w:jc w:val="center"/>
        <w:tblLayout w:type="fixed"/>
        <w:tblCellMar>
          <w:left w:w="0" w:type="dxa"/>
          <w:right w:w="0" w:type="dxa"/>
        </w:tblCellMar>
        <w:tblLook w:val="0020" w:firstRow="1" w:lastRow="0" w:firstColumn="0" w:lastColumn="0" w:noHBand="0" w:noVBand="0"/>
        <w:tblDescription w:val="In Table S-1 the first column defines sex. The second column defines age group. Read across the rows for the number of respondents and then the proportion of respondents in each group."/>
      </w:tblPr>
      <w:tblGrid>
        <w:gridCol w:w="2503"/>
        <w:gridCol w:w="3010"/>
        <w:gridCol w:w="1795"/>
        <w:gridCol w:w="1796"/>
      </w:tblGrid>
      <w:tr w:rsidR="002A4F8B" w:rsidRPr="005C3197" w:rsidTr="00302454">
        <w:trPr>
          <w:cantSplit/>
          <w:tblHeader/>
          <w:jc w:val="center"/>
        </w:trPr>
        <w:tc>
          <w:tcPr>
            <w:tcW w:w="250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Sex</w:t>
            </w:r>
          </w:p>
        </w:tc>
        <w:tc>
          <w:tcPr>
            <w:tcW w:w="3010" w:type="dxa"/>
            <w:tcBorders>
              <w:top w:val="single" w:sz="6" w:space="0" w:color="000000"/>
              <w:left w:val="single" w:sz="4" w:space="0" w:color="FFFFFF"/>
              <w:bottom w:val="single" w:sz="4" w:space="0" w:color="000000"/>
              <w:right w:val="nil"/>
            </w:tcBorders>
            <w:shd w:val="clear" w:color="auto" w:fill="EFF3FF"/>
            <w:vAlign w:val="bottom"/>
          </w:tcPr>
          <w:p w:rsidR="002A4F8B" w:rsidRPr="000C6080" w:rsidRDefault="002A4F8B" w:rsidP="00302454">
            <w:pPr>
              <w:pStyle w:val="TableColumnHeadings"/>
              <w:jc w:val="left"/>
              <w:rPr>
                <w:rStyle w:val="Strong"/>
              </w:rPr>
            </w:pPr>
            <w:r w:rsidRPr="000C6080">
              <w:rPr>
                <w:rStyle w:val="Strong"/>
              </w:rPr>
              <w:t>Age group</w:t>
            </w:r>
          </w:p>
        </w:tc>
        <w:tc>
          <w:tcPr>
            <w:tcW w:w="179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79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5C3197" w:rsidTr="00302454">
        <w:trPr>
          <w:cantSplit/>
          <w:jc w:val="center"/>
        </w:trPr>
        <w:tc>
          <w:tcPr>
            <w:tcW w:w="2503"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Male</w:t>
            </w:r>
            <w:r>
              <w:rPr>
                <w:lang w:eastAsia="en-AU"/>
              </w:rPr>
              <w:t>s</w:t>
            </w: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4</w:t>
            </w:r>
            <w:r>
              <w:rPr>
                <w:lang w:eastAsia="en-AU"/>
              </w:rPr>
              <w:t>-1</w:t>
            </w:r>
            <w:r w:rsidRPr="005C3197">
              <w:rPr>
                <w:lang w:eastAsia="en-AU"/>
              </w:rPr>
              <w:t>1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1709</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27.1</w:t>
            </w:r>
          </w:p>
        </w:tc>
      </w:tr>
      <w:tr w:rsidR="002A4F8B" w:rsidRPr="005C3197" w:rsidTr="00302454">
        <w:trPr>
          <w:cantSplit/>
          <w:jc w:val="center"/>
        </w:trPr>
        <w:tc>
          <w:tcPr>
            <w:tcW w:w="2503" w:type="dxa"/>
            <w:vMerge/>
            <w:tcBorders>
              <w:top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12-17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1545</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24.5</w:t>
            </w:r>
          </w:p>
        </w:tc>
      </w:tr>
      <w:tr w:rsidR="002A4F8B" w:rsidRPr="005C3197" w:rsidTr="00302454">
        <w:trPr>
          <w:cantSplit/>
          <w:jc w:val="center"/>
        </w:trPr>
        <w:tc>
          <w:tcPr>
            <w:tcW w:w="2503" w:type="dxa"/>
            <w:vMerge/>
            <w:tcBorders>
              <w:top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4-17 years</w:t>
            </w:r>
          </w:p>
        </w:tc>
        <w:tc>
          <w:tcPr>
            <w:tcW w:w="1795" w:type="dxa"/>
            <w:tcBorders>
              <w:top w:val="nil"/>
              <w:left w:val="nil"/>
              <w:bottom w:val="nil"/>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3254</w:t>
            </w:r>
          </w:p>
        </w:tc>
        <w:tc>
          <w:tcPr>
            <w:tcW w:w="1796" w:type="dxa"/>
            <w:tcBorders>
              <w:top w:val="nil"/>
              <w:left w:val="nil"/>
              <w:bottom w:val="nil"/>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51.6</w:t>
            </w:r>
          </w:p>
        </w:tc>
      </w:tr>
      <w:tr w:rsidR="002A4F8B" w:rsidRPr="005C3197" w:rsidTr="00302454">
        <w:trPr>
          <w:cantSplit/>
          <w:jc w:val="center"/>
        </w:trPr>
        <w:tc>
          <w:tcPr>
            <w:tcW w:w="2503"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Female</w:t>
            </w:r>
            <w:r>
              <w:rPr>
                <w:lang w:eastAsia="en-AU"/>
              </w:rPr>
              <w:t>s</w:t>
            </w: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4-11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1625</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25.8</w:t>
            </w:r>
          </w:p>
        </w:tc>
      </w:tr>
      <w:tr w:rsidR="002A4F8B" w:rsidRPr="005C3197" w:rsidTr="00302454">
        <w:trPr>
          <w:cantSplit/>
          <w:jc w:val="center"/>
        </w:trPr>
        <w:tc>
          <w:tcPr>
            <w:tcW w:w="2503" w:type="dxa"/>
            <w:vMerge/>
            <w:tcBorders>
              <w:top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12-17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1431</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22.7</w:t>
            </w:r>
          </w:p>
        </w:tc>
      </w:tr>
      <w:tr w:rsidR="002A4F8B" w:rsidRPr="005C3197" w:rsidTr="00302454">
        <w:trPr>
          <w:cantSplit/>
          <w:jc w:val="center"/>
        </w:trPr>
        <w:tc>
          <w:tcPr>
            <w:tcW w:w="2503" w:type="dxa"/>
            <w:vMerge/>
            <w:tcBorders>
              <w:top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4-17 years</w:t>
            </w:r>
          </w:p>
        </w:tc>
        <w:tc>
          <w:tcPr>
            <w:tcW w:w="1795" w:type="dxa"/>
            <w:tcBorders>
              <w:top w:val="nil"/>
              <w:left w:val="nil"/>
              <w:bottom w:val="nil"/>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3056</w:t>
            </w:r>
          </w:p>
        </w:tc>
        <w:tc>
          <w:tcPr>
            <w:tcW w:w="1796" w:type="dxa"/>
            <w:tcBorders>
              <w:top w:val="nil"/>
              <w:left w:val="nil"/>
              <w:bottom w:val="nil"/>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48.4</w:t>
            </w:r>
          </w:p>
        </w:tc>
      </w:tr>
      <w:tr w:rsidR="002A4F8B" w:rsidRPr="005C3197" w:rsidTr="00302454">
        <w:trPr>
          <w:cantSplit/>
          <w:jc w:val="center"/>
        </w:trPr>
        <w:tc>
          <w:tcPr>
            <w:tcW w:w="2503" w:type="dxa"/>
            <w:vMerge w:val="restart"/>
            <w:tcBorders>
              <w:top w:val="single" w:sz="4" w:space="0" w:color="FFFFFF"/>
              <w:left w:val="single" w:sz="4" w:space="0" w:color="FFFFFF"/>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Persons</w:t>
            </w: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4-11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3334</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52.8</w:t>
            </w:r>
          </w:p>
        </w:tc>
      </w:tr>
      <w:tr w:rsidR="002A4F8B" w:rsidRPr="005C3197" w:rsidTr="00302454">
        <w:trPr>
          <w:cantSplit/>
          <w:jc w:val="center"/>
        </w:trPr>
        <w:tc>
          <w:tcPr>
            <w:tcW w:w="2503" w:type="dxa"/>
            <w:vMerge/>
            <w:tcBorders>
              <w:top w:val="single" w:sz="6" w:space="0" w:color="000000"/>
              <w:left w:val="single" w:sz="4" w:space="0" w:color="FFFFFF"/>
              <w:bottom w:val="single" w:sz="6" w:space="0" w:color="000000"/>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12-17 years</w:t>
            </w:r>
          </w:p>
        </w:tc>
        <w:tc>
          <w:tcPr>
            <w:tcW w:w="1795"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2976</w:t>
            </w:r>
          </w:p>
        </w:tc>
        <w:tc>
          <w:tcPr>
            <w:tcW w:w="1796"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47.2</w:t>
            </w:r>
          </w:p>
        </w:tc>
      </w:tr>
      <w:tr w:rsidR="002A4F8B" w:rsidRPr="005C3197" w:rsidTr="00302454">
        <w:trPr>
          <w:cantSplit/>
          <w:jc w:val="center"/>
        </w:trPr>
        <w:tc>
          <w:tcPr>
            <w:tcW w:w="2503" w:type="dxa"/>
            <w:vMerge/>
            <w:tcBorders>
              <w:top w:val="single" w:sz="6" w:space="0" w:color="000000"/>
              <w:left w:val="single" w:sz="4" w:space="0" w:color="FFFFFF"/>
              <w:bottom w:val="single" w:sz="6" w:space="0" w:color="000000"/>
              <w:right w:val="nil"/>
            </w:tcBorders>
            <w:shd w:val="clear" w:color="auto" w:fill="EFF3FF"/>
            <w:tcMar>
              <w:left w:w="40" w:type="dxa"/>
              <w:right w:w="40" w:type="dxa"/>
            </w:tcMar>
          </w:tcPr>
          <w:p w:rsidR="002A4F8B" w:rsidRPr="005C3197" w:rsidRDefault="002A4F8B" w:rsidP="00302454">
            <w:pPr>
              <w:pStyle w:val="TableRowHeadings"/>
              <w:rPr>
                <w:rFonts w:ascii="Times New Roman" w:hAnsi="Times New Roman" w:cs="Times New Roman"/>
                <w:sz w:val="24"/>
                <w:szCs w:val="24"/>
                <w:lang w:eastAsia="en-AU"/>
              </w:rPr>
            </w:pPr>
          </w:p>
        </w:tc>
        <w:tc>
          <w:tcPr>
            <w:tcW w:w="3010" w:type="dxa"/>
            <w:tcBorders>
              <w:top w:val="nil"/>
              <w:left w:val="single" w:sz="4" w:space="0" w:color="FFFFFF"/>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4-17 years</w:t>
            </w:r>
          </w:p>
        </w:tc>
        <w:tc>
          <w:tcPr>
            <w:tcW w:w="1795"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796"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Pr>
      <w:bookmarkStart w:id="291" w:name="_Toc414878898"/>
      <w:bookmarkStart w:id="292" w:name="_Toc414879470"/>
      <w:r>
        <w:t>Table S-</w:t>
      </w:r>
      <w:r>
        <w:rPr>
          <w:noProof/>
        </w:rPr>
        <w:t>2</w:t>
      </w:r>
      <w:r>
        <w:t>: Parent or carer interview sample by family type</w:t>
      </w:r>
      <w:bookmarkEnd w:id="291"/>
      <w:bookmarkEnd w:id="292"/>
    </w:p>
    <w:tbl>
      <w:tblPr>
        <w:tblW w:w="9107" w:type="dxa"/>
        <w:jc w:val="center"/>
        <w:tblLayout w:type="fixed"/>
        <w:tblCellMar>
          <w:left w:w="0" w:type="dxa"/>
          <w:right w:w="0" w:type="dxa"/>
        </w:tblCellMar>
        <w:tblLook w:val="0020" w:firstRow="1" w:lastRow="0" w:firstColumn="0" w:lastColumn="0" w:noHBand="0" w:noVBand="0"/>
        <w:tblDescription w:val=" In Table S-2 the first column defines family type. Read across the rows for the number of respondents and then the proportion of respondents in each group."/>
      </w:tblPr>
      <w:tblGrid>
        <w:gridCol w:w="5487"/>
        <w:gridCol w:w="1810"/>
        <w:gridCol w:w="1810"/>
      </w:tblGrid>
      <w:tr w:rsidR="002A4F8B" w:rsidRPr="005C3197" w:rsidTr="00302454">
        <w:trPr>
          <w:cantSplit/>
          <w:tblHeader/>
          <w:jc w:val="center"/>
        </w:trPr>
        <w:tc>
          <w:tcPr>
            <w:tcW w:w="548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Family type</w:t>
            </w:r>
          </w:p>
        </w:tc>
        <w:tc>
          <w:tcPr>
            <w:tcW w:w="181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1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rsidRPr="004813CD">
              <w:t>Families with two parents or carers</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5060</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80.2</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tab/>
              <w:t xml:space="preserve">Original </w:t>
            </w:r>
            <w:r w:rsidRPr="004813CD">
              <w:t>family</w:t>
            </w:r>
          </w:p>
        </w:tc>
        <w:tc>
          <w:tcPr>
            <w:tcW w:w="1810"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4331</w:t>
            </w:r>
          </w:p>
        </w:tc>
        <w:tc>
          <w:tcPr>
            <w:tcW w:w="1810"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68.6</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tab/>
            </w:r>
            <w:r w:rsidRPr="004813CD">
              <w:t>Step family</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283</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4.5</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tab/>
            </w:r>
            <w:r w:rsidRPr="004813CD">
              <w:t>Blended family</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392</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6.2</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tab/>
            </w:r>
            <w:r w:rsidRPr="004813CD">
              <w:t>Other family</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54</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0.9</w:t>
            </w:r>
          </w:p>
        </w:tc>
      </w:tr>
      <w:tr w:rsidR="002A4F8B" w:rsidRPr="005C3197"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Pr="004813CD" w:rsidRDefault="002A4F8B" w:rsidP="00302454">
            <w:pPr>
              <w:pStyle w:val="TableRowHeadings"/>
              <w:tabs>
                <w:tab w:val="left" w:pos="281"/>
              </w:tabs>
            </w:pPr>
            <w:r w:rsidRPr="004813CD">
              <w:t>Families with one parent or carer</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1250</w:t>
            </w:r>
          </w:p>
        </w:tc>
        <w:tc>
          <w:tcPr>
            <w:tcW w:w="181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19.8</w:t>
            </w:r>
          </w:p>
        </w:tc>
      </w:tr>
      <w:tr w:rsidR="002A4F8B" w:rsidRPr="005C3197" w:rsidTr="00302454">
        <w:trPr>
          <w:cantSplit/>
          <w:jc w:val="center"/>
        </w:trPr>
        <w:tc>
          <w:tcPr>
            <w:tcW w:w="5487"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tabs>
                <w:tab w:val="left" w:pos="281"/>
              </w:tabs>
              <w:rPr>
                <w:rStyle w:val="Strong"/>
              </w:rPr>
            </w:pPr>
            <w:r w:rsidRPr="000C6080">
              <w:rPr>
                <w:rStyle w:val="Strong"/>
              </w:rPr>
              <w:t>Total</w:t>
            </w:r>
          </w:p>
        </w:tc>
        <w:tc>
          <w:tcPr>
            <w:tcW w:w="181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1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TableFootnote"/>
        <w:spacing w:after="60"/>
      </w:pPr>
      <w:r>
        <w:t>‘Original family’ has at least one child living with their natural, adoptive or foster parents, and no step children.</w:t>
      </w:r>
    </w:p>
    <w:p w:rsidR="002A4F8B" w:rsidRPr="0042591B" w:rsidRDefault="002A4F8B" w:rsidP="002A4F8B">
      <w:pPr>
        <w:pStyle w:val="TableFootnote"/>
      </w:pPr>
      <w:r w:rsidRPr="0042591B">
        <w:t xml:space="preserve">‘Other family’ is where all children are not the natural, adopted, foster or step child of one or both carers. </w:t>
      </w:r>
    </w:p>
    <w:p w:rsidR="002A4F8B" w:rsidRDefault="002A4F8B" w:rsidP="002A4F8B">
      <w:pPr>
        <w:pStyle w:val="Caption"/>
        <w:keepNext/>
      </w:pPr>
      <w:bookmarkStart w:id="293" w:name="_Toc414878899"/>
      <w:bookmarkStart w:id="294" w:name="_Toc414879471"/>
      <w:r>
        <w:t>Table S-</w:t>
      </w:r>
      <w:r>
        <w:rPr>
          <w:noProof/>
        </w:rPr>
        <w:t>3</w:t>
      </w:r>
      <w:r>
        <w:t xml:space="preserve">: </w:t>
      </w:r>
      <w:r w:rsidRPr="002C0EC0">
        <w:t xml:space="preserve">Parent or carer interview sample by </w:t>
      </w:r>
      <w:r>
        <w:t>household income</w:t>
      </w:r>
      <w:bookmarkEnd w:id="293"/>
      <w:bookmarkEnd w:id="294"/>
    </w:p>
    <w:tbl>
      <w:tblPr>
        <w:tblW w:w="9144" w:type="dxa"/>
        <w:jc w:val="center"/>
        <w:tblLayout w:type="fixed"/>
        <w:tblCellMar>
          <w:left w:w="0" w:type="dxa"/>
          <w:right w:w="0" w:type="dxa"/>
        </w:tblCellMar>
        <w:tblLook w:val="0020" w:firstRow="1" w:lastRow="0" w:firstColumn="0" w:lastColumn="0" w:noHBand="0" w:noVBand="0"/>
        <w:tblDescription w:val="In Table S-3 the first column defines household income. Read across the rows for the number of respondents and then the proportion of respondents in each group."/>
      </w:tblPr>
      <w:tblGrid>
        <w:gridCol w:w="5505"/>
        <w:gridCol w:w="1819"/>
        <w:gridCol w:w="1820"/>
      </w:tblGrid>
      <w:tr w:rsidR="002A4F8B" w:rsidRPr="005C3197" w:rsidTr="00302454">
        <w:trPr>
          <w:cantSplit/>
          <w:tblHeader/>
          <w:jc w:val="center"/>
        </w:trPr>
        <w:tc>
          <w:tcPr>
            <w:tcW w:w="550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Household income before tax</w:t>
            </w:r>
          </w:p>
        </w:tc>
        <w:tc>
          <w:tcPr>
            <w:tcW w:w="18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2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5C3197" w:rsidTr="00302454">
        <w:trPr>
          <w:cantSplit/>
          <w:jc w:val="center"/>
        </w:trPr>
        <w:tc>
          <w:tcPr>
            <w:tcW w:w="550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$130,000 or more per year</w:t>
            </w:r>
          </w:p>
        </w:tc>
        <w:tc>
          <w:tcPr>
            <w:tcW w:w="1819"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1686</w:t>
            </w:r>
          </w:p>
        </w:tc>
        <w:tc>
          <w:tcPr>
            <w:tcW w:w="182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26.7</w:t>
            </w:r>
          </w:p>
        </w:tc>
      </w:tr>
      <w:tr w:rsidR="002A4F8B" w:rsidRPr="005C3197" w:rsidTr="00302454">
        <w:trPr>
          <w:cantSplit/>
          <w:jc w:val="center"/>
        </w:trPr>
        <w:tc>
          <w:tcPr>
            <w:tcW w:w="550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$52,000-$129,999 per year</w:t>
            </w:r>
          </w:p>
        </w:tc>
        <w:tc>
          <w:tcPr>
            <w:tcW w:w="1819"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2833</w:t>
            </w:r>
          </w:p>
        </w:tc>
        <w:tc>
          <w:tcPr>
            <w:tcW w:w="182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44.9</w:t>
            </w:r>
          </w:p>
        </w:tc>
      </w:tr>
      <w:tr w:rsidR="002A4F8B" w:rsidRPr="005C3197" w:rsidTr="00302454">
        <w:trPr>
          <w:cantSplit/>
          <w:jc w:val="center"/>
        </w:trPr>
        <w:tc>
          <w:tcPr>
            <w:tcW w:w="550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Less than $52,000 per year</w:t>
            </w:r>
          </w:p>
        </w:tc>
        <w:tc>
          <w:tcPr>
            <w:tcW w:w="1819"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1479</w:t>
            </w:r>
          </w:p>
        </w:tc>
        <w:tc>
          <w:tcPr>
            <w:tcW w:w="182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23.4</w:t>
            </w:r>
          </w:p>
        </w:tc>
      </w:tr>
      <w:tr w:rsidR="002A4F8B" w:rsidRPr="005C3197" w:rsidTr="00302454">
        <w:trPr>
          <w:cantSplit/>
          <w:jc w:val="center"/>
        </w:trPr>
        <w:tc>
          <w:tcPr>
            <w:tcW w:w="5505" w:type="dxa"/>
            <w:tcBorders>
              <w:top w:val="nil"/>
              <w:bottom w:val="single" w:sz="4" w:space="0" w:color="FFFFFF"/>
              <w:right w:val="nil"/>
            </w:tcBorders>
            <w:shd w:val="clear" w:color="auto" w:fill="EFF3FF"/>
            <w:tcMar>
              <w:left w:w="40" w:type="dxa"/>
              <w:right w:w="40" w:type="dxa"/>
            </w:tcMar>
          </w:tcPr>
          <w:p w:rsidR="002A4F8B" w:rsidRPr="005C3197" w:rsidRDefault="002A4F8B" w:rsidP="00302454">
            <w:pPr>
              <w:pStyle w:val="TableRowHeadings"/>
              <w:rPr>
                <w:lang w:eastAsia="en-AU"/>
              </w:rPr>
            </w:pPr>
            <w:r w:rsidRPr="005C3197">
              <w:rPr>
                <w:lang w:eastAsia="en-AU"/>
              </w:rPr>
              <w:t>Not stated</w:t>
            </w:r>
          </w:p>
        </w:tc>
        <w:tc>
          <w:tcPr>
            <w:tcW w:w="1819"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312</w:t>
            </w:r>
          </w:p>
        </w:tc>
        <w:tc>
          <w:tcPr>
            <w:tcW w:w="1820" w:type="dxa"/>
            <w:tcBorders>
              <w:top w:val="nil"/>
              <w:left w:val="nil"/>
              <w:bottom w:val="nil"/>
              <w:right w:val="nil"/>
            </w:tcBorders>
            <w:shd w:val="clear" w:color="auto" w:fill="FFFFFF"/>
            <w:tcMar>
              <w:left w:w="40" w:type="dxa"/>
              <w:right w:w="40" w:type="dxa"/>
            </w:tcMar>
            <w:vAlign w:val="bottom"/>
          </w:tcPr>
          <w:p w:rsidR="002A4F8B" w:rsidRPr="005C3197" w:rsidRDefault="002A4F8B" w:rsidP="00302454">
            <w:pPr>
              <w:pStyle w:val="TableDataCell"/>
              <w:rPr>
                <w:lang w:eastAsia="en-AU"/>
              </w:rPr>
            </w:pPr>
            <w:r w:rsidRPr="005C3197">
              <w:rPr>
                <w:lang w:eastAsia="en-AU"/>
              </w:rPr>
              <w:t>4.9</w:t>
            </w:r>
          </w:p>
        </w:tc>
      </w:tr>
      <w:tr w:rsidR="002A4F8B" w:rsidRPr="005C3197" w:rsidTr="00302454">
        <w:trPr>
          <w:cantSplit/>
          <w:jc w:val="center"/>
        </w:trPr>
        <w:tc>
          <w:tcPr>
            <w:tcW w:w="5505"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819"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2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Pr="008127E8" w:rsidRDefault="002A4F8B" w:rsidP="002A4F8B">
      <w:pPr>
        <w:pStyle w:val="TableFootnote"/>
        <w:ind w:left="0" w:firstLine="0"/>
      </w:pPr>
      <w:r>
        <w:t>Household income includes the c</w:t>
      </w:r>
      <w:r w:rsidRPr="008127E8">
        <w:t>ombined income for the 2011-12 financial year of everyone living in the household before tax and other deductions are taken out.</w:t>
      </w:r>
    </w:p>
    <w:p w:rsidR="002A4F8B" w:rsidRDefault="002A4F8B" w:rsidP="002A4F8B">
      <w:pPr>
        <w:pStyle w:val="Caption"/>
        <w:keepNext/>
        <w:pageBreakBefore/>
      </w:pPr>
      <w:bookmarkStart w:id="295" w:name="_Toc414878900"/>
      <w:bookmarkStart w:id="296" w:name="_Toc414879472"/>
      <w:r>
        <w:lastRenderedPageBreak/>
        <w:t>Table S-</w:t>
      </w:r>
      <w:r>
        <w:rPr>
          <w:noProof/>
        </w:rPr>
        <w:t>4</w:t>
      </w:r>
      <w:r>
        <w:t>: Parent or carer interview sample by parent or carer education level</w:t>
      </w:r>
      <w:bookmarkEnd w:id="295"/>
      <w:bookmarkEnd w:id="296"/>
    </w:p>
    <w:tbl>
      <w:tblPr>
        <w:tblW w:w="9119" w:type="dxa"/>
        <w:jc w:val="center"/>
        <w:tblLayout w:type="fixed"/>
        <w:tblCellMar>
          <w:left w:w="0" w:type="dxa"/>
          <w:right w:w="0" w:type="dxa"/>
        </w:tblCellMar>
        <w:tblLook w:val="0020" w:firstRow="1" w:lastRow="0" w:firstColumn="0" w:lastColumn="0" w:noHBand="0" w:noVBand="0"/>
        <w:tblDescription w:val="In Table S-4 the first column defines ighest level of education of either primary and or secondary carer. Read across the rows for the number of respondents and then the proportion of respondents in each group."/>
      </w:tblPr>
      <w:tblGrid>
        <w:gridCol w:w="5493"/>
        <w:gridCol w:w="1813"/>
        <w:gridCol w:w="1813"/>
      </w:tblGrid>
      <w:tr w:rsidR="002A4F8B" w:rsidRPr="00E41A09" w:rsidTr="00302454">
        <w:trPr>
          <w:cantSplit/>
          <w:tblHeader/>
          <w:jc w:val="center"/>
        </w:trPr>
        <w:tc>
          <w:tcPr>
            <w:tcW w:w="549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Highest level of education of either primary or secondary parent or carer</w:t>
            </w:r>
          </w:p>
        </w:tc>
        <w:tc>
          <w:tcPr>
            <w:tcW w:w="181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1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E41A09" w:rsidTr="00302454">
        <w:trPr>
          <w:cantSplit/>
          <w:jc w:val="center"/>
        </w:trPr>
        <w:tc>
          <w:tcPr>
            <w:tcW w:w="5493"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Bachelor degree or higher</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2667</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42.3</w:t>
            </w:r>
          </w:p>
        </w:tc>
      </w:tr>
      <w:tr w:rsidR="002A4F8B" w:rsidRPr="00E41A09" w:rsidTr="00302454">
        <w:trPr>
          <w:cantSplit/>
          <w:jc w:val="center"/>
        </w:trPr>
        <w:tc>
          <w:tcPr>
            <w:tcW w:w="5493"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Diploma or certificate III/IV</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2414</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38.3</w:t>
            </w:r>
          </w:p>
        </w:tc>
      </w:tr>
      <w:tr w:rsidR="002A4F8B" w:rsidRPr="00E41A09" w:rsidTr="00302454">
        <w:trPr>
          <w:cantSplit/>
          <w:jc w:val="center"/>
        </w:trPr>
        <w:tc>
          <w:tcPr>
            <w:tcW w:w="5493"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Year 11 or 12</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756</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12.0</w:t>
            </w:r>
          </w:p>
        </w:tc>
      </w:tr>
      <w:tr w:rsidR="002A4F8B" w:rsidRPr="00E41A09" w:rsidTr="00302454">
        <w:trPr>
          <w:cantSplit/>
          <w:jc w:val="center"/>
        </w:trPr>
        <w:tc>
          <w:tcPr>
            <w:tcW w:w="5493"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Year 10 or below</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473</w:t>
            </w:r>
          </w:p>
        </w:tc>
        <w:tc>
          <w:tcPr>
            <w:tcW w:w="1813"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7.5</w:t>
            </w:r>
          </w:p>
        </w:tc>
      </w:tr>
      <w:tr w:rsidR="002A4F8B" w:rsidRPr="00E41A09" w:rsidTr="00302454">
        <w:trPr>
          <w:cantSplit/>
          <w:jc w:val="center"/>
        </w:trPr>
        <w:tc>
          <w:tcPr>
            <w:tcW w:w="5493"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813"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13"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Pr>
      <w:bookmarkStart w:id="297" w:name="_Toc414878901"/>
      <w:bookmarkStart w:id="298" w:name="_Toc414879473"/>
      <w:r>
        <w:t>Table S-</w:t>
      </w:r>
      <w:r>
        <w:rPr>
          <w:noProof/>
        </w:rPr>
        <w:t>5</w:t>
      </w:r>
      <w:r>
        <w:t>: Parent or carer interview sample by parent or carer labour force status</w:t>
      </w:r>
      <w:bookmarkEnd w:id="297"/>
      <w:bookmarkEnd w:id="298"/>
    </w:p>
    <w:tbl>
      <w:tblPr>
        <w:tblW w:w="9141" w:type="dxa"/>
        <w:jc w:val="center"/>
        <w:tblLayout w:type="fixed"/>
        <w:tblCellMar>
          <w:left w:w="0" w:type="dxa"/>
          <w:right w:w="0" w:type="dxa"/>
        </w:tblCellMar>
        <w:tblLook w:val="0020" w:firstRow="1" w:lastRow="0" w:firstColumn="0" w:lastColumn="0" w:noHBand="0" w:noVBand="0"/>
        <w:tblDescription w:val="In Table S-5 the first column defines parent or carer labour force status. Read across the rows for the number of respondents and then the proportion of respondents in each group."/>
      </w:tblPr>
      <w:tblGrid>
        <w:gridCol w:w="5504"/>
        <w:gridCol w:w="1818"/>
        <w:gridCol w:w="1819"/>
      </w:tblGrid>
      <w:tr w:rsidR="002A4F8B" w:rsidRPr="00E41A09" w:rsidTr="00302454">
        <w:trPr>
          <w:cantSplit/>
          <w:tblHeader/>
          <w:jc w:val="center"/>
        </w:trPr>
        <w:tc>
          <w:tcPr>
            <w:tcW w:w="5504"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Parent or carer labour force status</w:t>
            </w:r>
          </w:p>
        </w:tc>
        <w:tc>
          <w:tcPr>
            <w:tcW w:w="181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1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 xml:space="preserve">Both </w:t>
            </w:r>
            <w:r>
              <w:rPr>
                <w:lang w:eastAsia="en-AU"/>
              </w:rPr>
              <w:t xml:space="preserve">parents or </w:t>
            </w:r>
            <w:r w:rsidRPr="00E41A09">
              <w:rPr>
                <w:lang w:eastAsia="en-AU"/>
              </w:rPr>
              <w:t>carers employed</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3413</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54.1</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 xml:space="preserve">One </w:t>
            </w:r>
            <w:r>
              <w:rPr>
                <w:lang w:eastAsia="en-AU"/>
              </w:rPr>
              <w:t xml:space="preserve">parent or </w:t>
            </w:r>
            <w:r w:rsidRPr="00E41A09">
              <w:rPr>
                <w:lang w:eastAsia="en-AU"/>
              </w:rPr>
              <w:t xml:space="preserve">carer employed, one </w:t>
            </w:r>
            <w:r>
              <w:rPr>
                <w:lang w:eastAsia="en-AU"/>
              </w:rPr>
              <w:t xml:space="preserve">parent or </w:t>
            </w:r>
            <w:r w:rsidRPr="00E41A09">
              <w:rPr>
                <w:lang w:eastAsia="en-AU"/>
              </w:rPr>
              <w:t>carer not in employment</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1455</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23.1</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 xml:space="preserve">Both </w:t>
            </w:r>
            <w:r>
              <w:rPr>
                <w:lang w:eastAsia="en-AU"/>
              </w:rPr>
              <w:t xml:space="preserve">parents or </w:t>
            </w:r>
            <w:r w:rsidRPr="00E41A09">
              <w:rPr>
                <w:lang w:eastAsia="en-AU"/>
              </w:rPr>
              <w:t>carers not in employment</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209</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3.3</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 xml:space="preserve">Sole </w:t>
            </w:r>
            <w:r>
              <w:rPr>
                <w:lang w:eastAsia="en-AU"/>
              </w:rPr>
              <w:t xml:space="preserve">parent or </w:t>
            </w:r>
            <w:r w:rsidRPr="00E41A09">
              <w:rPr>
                <w:lang w:eastAsia="en-AU"/>
              </w:rPr>
              <w:t>carer employed</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740</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11.7</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 xml:space="preserve">Sole </w:t>
            </w:r>
            <w:r>
              <w:rPr>
                <w:lang w:eastAsia="en-AU"/>
              </w:rPr>
              <w:t xml:space="preserve">parent or </w:t>
            </w:r>
            <w:r w:rsidRPr="00E41A09">
              <w:rPr>
                <w:lang w:eastAsia="en-AU"/>
              </w:rPr>
              <w:t>carer not in employment</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475</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7.5</w:t>
            </w:r>
          </w:p>
        </w:tc>
      </w:tr>
      <w:tr w:rsidR="002A4F8B" w:rsidRPr="00E41A09" w:rsidTr="00302454">
        <w:trPr>
          <w:cantSplit/>
          <w:jc w:val="center"/>
        </w:trPr>
        <w:tc>
          <w:tcPr>
            <w:tcW w:w="5504" w:type="dxa"/>
            <w:tcBorders>
              <w:top w:val="nil"/>
              <w:bottom w:val="single" w:sz="4" w:space="0" w:color="FFFFFF"/>
              <w:right w:val="nil"/>
            </w:tcBorders>
            <w:shd w:val="clear" w:color="auto" w:fill="EFF3FF"/>
            <w:tcMar>
              <w:left w:w="40" w:type="dxa"/>
              <w:right w:w="40" w:type="dxa"/>
            </w:tcMar>
          </w:tcPr>
          <w:p w:rsidR="002A4F8B" w:rsidRPr="00E41A09" w:rsidRDefault="002A4F8B" w:rsidP="00302454">
            <w:pPr>
              <w:pStyle w:val="TableRowHeadings"/>
              <w:rPr>
                <w:lang w:eastAsia="en-AU"/>
              </w:rPr>
            </w:pPr>
            <w:r w:rsidRPr="00E41A09">
              <w:rPr>
                <w:lang w:eastAsia="en-AU"/>
              </w:rPr>
              <w:t>Not stated</w:t>
            </w:r>
          </w:p>
        </w:tc>
        <w:tc>
          <w:tcPr>
            <w:tcW w:w="1818"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18</w:t>
            </w:r>
          </w:p>
        </w:tc>
        <w:tc>
          <w:tcPr>
            <w:tcW w:w="1819"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0.3</w:t>
            </w:r>
          </w:p>
        </w:tc>
      </w:tr>
      <w:tr w:rsidR="002A4F8B" w:rsidRPr="00E41A09" w:rsidTr="00302454">
        <w:trPr>
          <w:cantSplit/>
          <w:jc w:val="center"/>
        </w:trPr>
        <w:tc>
          <w:tcPr>
            <w:tcW w:w="5504"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818"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19"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TableFootnote"/>
      </w:pPr>
      <w:r>
        <w:t>‘</w:t>
      </w:r>
      <w:r w:rsidRPr="007B2657">
        <w:t>Not in employment</w:t>
      </w:r>
      <w:r>
        <w:t>’</w:t>
      </w:r>
      <w:r w:rsidRPr="007B2657">
        <w:t xml:space="preserve"> combines unemployed and not in the labour force</w:t>
      </w:r>
      <w:r>
        <w:t>.</w:t>
      </w:r>
    </w:p>
    <w:p w:rsidR="002A4F8B" w:rsidRDefault="002A4F8B" w:rsidP="002A4F8B">
      <w:pPr>
        <w:pStyle w:val="Caption"/>
        <w:keepNext/>
      </w:pPr>
      <w:bookmarkStart w:id="299" w:name="_Toc414878902"/>
      <w:bookmarkStart w:id="300" w:name="_Toc414879474"/>
      <w:r>
        <w:t>Table S-</w:t>
      </w:r>
      <w:r>
        <w:rPr>
          <w:noProof/>
        </w:rPr>
        <w:t>6</w:t>
      </w:r>
      <w:r>
        <w:t>: Parent or carer interview sample by area of residence</w:t>
      </w:r>
      <w:bookmarkEnd w:id="299"/>
      <w:bookmarkEnd w:id="300"/>
    </w:p>
    <w:tbl>
      <w:tblPr>
        <w:tblW w:w="9107" w:type="dxa"/>
        <w:jc w:val="center"/>
        <w:tblLayout w:type="fixed"/>
        <w:tblCellMar>
          <w:left w:w="0" w:type="dxa"/>
          <w:right w:w="0" w:type="dxa"/>
        </w:tblCellMar>
        <w:tblLook w:val="0020" w:firstRow="1" w:lastRow="0" w:firstColumn="0" w:lastColumn="0" w:noHBand="0" w:noVBand="0"/>
        <w:tblDescription w:val="In Table S-6 the first column defines place of residence. Read across the rows for the number of respondents and then the proportion of respondents in each group."/>
      </w:tblPr>
      <w:tblGrid>
        <w:gridCol w:w="5487"/>
        <w:gridCol w:w="1810"/>
        <w:gridCol w:w="1810"/>
      </w:tblGrid>
      <w:tr w:rsidR="002A4F8B" w:rsidRPr="00E41A09" w:rsidTr="00302454">
        <w:trPr>
          <w:cantSplit/>
          <w:tblHeader/>
          <w:jc w:val="center"/>
        </w:trPr>
        <w:tc>
          <w:tcPr>
            <w:tcW w:w="548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Area of residence</w:t>
            </w:r>
          </w:p>
        </w:tc>
        <w:tc>
          <w:tcPr>
            <w:tcW w:w="181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1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E41A09"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810"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4044</w:t>
            </w:r>
          </w:p>
        </w:tc>
        <w:tc>
          <w:tcPr>
            <w:tcW w:w="1810"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64.1</w:t>
            </w:r>
          </w:p>
        </w:tc>
      </w:tr>
      <w:tr w:rsidR="002A4F8B" w:rsidRPr="00E41A09" w:rsidTr="00302454">
        <w:trPr>
          <w:cantSplit/>
          <w:jc w:val="center"/>
        </w:trPr>
        <w:tc>
          <w:tcPr>
            <w:tcW w:w="5487"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Rest of state</w:t>
            </w:r>
          </w:p>
        </w:tc>
        <w:tc>
          <w:tcPr>
            <w:tcW w:w="1810"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2266</w:t>
            </w:r>
          </w:p>
        </w:tc>
        <w:tc>
          <w:tcPr>
            <w:tcW w:w="1810" w:type="dxa"/>
            <w:tcBorders>
              <w:top w:val="nil"/>
              <w:left w:val="nil"/>
              <w:bottom w:val="nil"/>
              <w:right w:val="nil"/>
            </w:tcBorders>
            <w:shd w:val="clear" w:color="auto" w:fill="FFFFFF"/>
            <w:tcMar>
              <w:left w:w="40" w:type="dxa"/>
              <w:right w:w="40" w:type="dxa"/>
            </w:tcMar>
            <w:vAlign w:val="bottom"/>
          </w:tcPr>
          <w:p w:rsidR="002A4F8B" w:rsidRPr="00E41A09" w:rsidRDefault="002A4F8B" w:rsidP="00302454">
            <w:pPr>
              <w:pStyle w:val="TableDataCell"/>
              <w:rPr>
                <w:lang w:eastAsia="en-AU"/>
              </w:rPr>
            </w:pPr>
            <w:r w:rsidRPr="00E41A09">
              <w:rPr>
                <w:lang w:eastAsia="en-AU"/>
              </w:rPr>
              <w:t>35.9</w:t>
            </w:r>
          </w:p>
        </w:tc>
      </w:tr>
      <w:tr w:rsidR="002A4F8B" w:rsidRPr="00E41A09" w:rsidTr="00302454">
        <w:trPr>
          <w:cantSplit/>
          <w:jc w:val="center"/>
        </w:trPr>
        <w:tc>
          <w:tcPr>
            <w:tcW w:w="5487"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81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1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TableFootnote"/>
      </w:pPr>
      <w:proofErr w:type="gramStart"/>
      <w:r w:rsidRPr="00B736D6">
        <w:t>Based on the ABS classification Greater Capital City Statistical Area (GCCSA)</w:t>
      </w:r>
      <w:r>
        <w:t>.</w:t>
      </w:r>
      <w:proofErr w:type="gramEnd"/>
      <w:r>
        <w:tab/>
      </w:r>
    </w:p>
    <w:p w:rsidR="002A4F8B" w:rsidRDefault="002A4F8B" w:rsidP="002A4F8B">
      <w:pPr>
        <w:pStyle w:val="Caption"/>
        <w:keepNext/>
      </w:pPr>
      <w:bookmarkStart w:id="301" w:name="_Toc414878903"/>
      <w:bookmarkStart w:id="302" w:name="_Toc414879475"/>
      <w:r>
        <w:t>Table S-</w:t>
      </w:r>
      <w:r>
        <w:rPr>
          <w:noProof/>
        </w:rPr>
        <w:t>7</w:t>
      </w:r>
      <w:r>
        <w:t>: Parent or carer interview sample by country of birth of child or adolescent</w:t>
      </w:r>
      <w:bookmarkEnd w:id="301"/>
      <w:bookmarkEnd w:id="302"/>
    </w:p>
    <w:tbl>
      <w:tblPr>
        <w:tblW w:w="0" w:type="auto"/>
        <w:jc w:val="center"/>
        <w:tblLayout w:type="fixed"/>
        <w:tblCellMar>
          <w:left w:w="0" w:type="dxa"/>
          <w:right w:w="0" w:type="dxa"/>
        </w:tblCellMar>
        <w:tblLook w:val="0020" w:firstRow="1" w:lastRow="0" w:firstColumn="0" w:lastColumn="0" w:noHBand="0" w:noVBand="0"/>
        <w:tblDescription w:val="In Table S-7 the first column defines country of birth of the child or adolescent. Read across the rows for the number of respondents and then the proportion of respondents in each group."/>
      </w:tblPr>
      <w:tblGrid>
        <w:gridCol w:w="5477"/>
        <w:gridCol w:w="1805"/>
        <w:gridCol w:w="1805"/>
      </w:tblGrid>
      <w:tr w:rsidR="002A4F8B" w:rsidRPr="00D46752" w:rsidTr="00302454">
        <w:trPr>
          <w:cantSplit/>
          <w:tblHeader/>
          <w:jc w:val="center"/>
        </w:trPr>
        <w:tc>
          <w:tcPr>
            <w:tcW w:w="547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Child or adolescent country of birth</w:t>
            </w:r>
          </w:p>
        </w:tc>
        <w:tc>
          <w:tcPr>
            <w:tcW w:w="180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80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D46752" w:rsidTr="00302454">
        <w:trPr>
          <w:cantSplit/>
          <w:jc w:val="center"/>
        </w:trPr>
        <w:tc>
          <w:tcPr>
            <w:tcW w:w="5477"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Australia</w:t>
            </w:r>
          </w:p>
        </w:tc>
        <w:tc>
          <w:tcPr>
            <w:tcW w:w="1805"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5540</w:t>
            </w:r>
          </w:p>
        </w:tc>
        <w:tc>
          <w:tcPr>
            <w:tcW w:w="1805"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87.8</w:t>
            </w:r>
          </w:p>
        </w:tc>
      </w:tr>
      <w:tr w:rsidR="002A4F8B" w:rsidRPr="00D46752" w:rsidTr="00302454">
        <w:trPr>
          <w:cantSplit/>
          <w:jc w:val="center"/>
        </w:trPr>
        <w:tc>
          <w:tcPr>
            <w:tcW w:w="5477"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Overseas</w:t>
            </w:r>
          </w:p>
        </w:tc>
        <w:tc>
          <w:tcPr>
            <w:tcW w:w="1805"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770</w:t>
            </w:r>
          </w:p>
        </w:tc>
        <w:tc>
          <w:tcPr>
            <w:tcW w:w="1805"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12.2</w:t>
            </w:r>
          </w:p>
        </w:tc>
      </w:tr>
      <w:tr w:rsidR="002A4F8B" w:rsidRPr="00D46752" w:rsidTr="00302454">
        <w:trPr>
          <w:cantSplit/>
          <w:jc w:val="center"/>
        </w:trPr>
        <w:tc>
          <w:tcPr>
            <w:tcW w:w="5477"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805"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805"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ageBreakBefore/>
        <w:spacing w:before="0"/>
      </w:pPr>
      <w:bookmarkStart w:id="303" w:name="_Toc414878904"/>
      <w:bookmarkStart w:id="304" w:name="_Toc414879476"/>
      <w:r>
        <w:lastRenderedPageBreak/>
        <w:t>Table S-</w:t>
      </w:r>
      <w:r>
        <w:rPr>
          <w:noProof/>
        </w:rPr>
        <w:t>8</w:t>
      </w:r>
      <w:r>
        <w:t>: Parent or carer interview sample by country of birth of parents or carers</w:t>
      </w:r>
      <w:bookmarkEnd w:id="303"/>
      <w:bookmarkEnd w:id="304"/>
    </w:p>
    <w:tbl>
      <w:tblPr>
        <w:tblW w:w="9143" w:type="dxa"/>
        <w:jc w:val="center"/>
        <w:tblLayout w:type="fixed"/>
        <w:tblCellMar>
          <w:left w:w="0" w:type="dxa"/>
          <w:right w:w="0" w:type="dxa"/>
        </w:tblCellMar>
        <w:tblLook w:val="0020" w:firstRow="1" w:lastRow="0" w:firstColumn="0" w:lastColumn="0" w:noHBand="0" w:noVBand="0"/>
        <w:tblDescription w:val="In Table S-8 the first column definescountry of birth of the parent or carer. Read across the rows for the number of respondents and then the proportion of respondents in each group."/>
      </w:tblPr>
      <w:tblGrid>
        <w:gridCol w:w="5871"/>
        <w:gridCol w:w="1636"/>
        <w:gridCol w:w="1636"/>
      </w:tblGrid>
      <w:tr w:rsidR="002A4F8B" w:rsidRPr="00D46752" w:rsidTr="00302454">
        <w:trPr>
          <w:cantSplit/>
          <w:tblHeader/>
          <w:jc w:val="center"/>
        </w:trPr>
        <w:tc>
          <w:tcPr>
            <w:tcW w:w="5871"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Parent or carer country of birth</w:t>
            </w:r>
          </w:p>
        </w:tc>
        <w:tc>
          <w:tcPr>
            <w:tcW w:w="163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63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 xml:space="preserve">Both </w:t>
            </w:r>
            <w:r>
              <w:rPr>
                <w:lang w:eastAsia="en-AU"/>
              </w:rPr>
              <w:t xml:space="preserve">parents or </w:t>
            </w:r>
            <w:r w:rsidRPr="00D46752">
              <w:rPr>
                <w:lang w:eastAsia="en-AU"/>
              </w:rPr>
              <w:t>carers born in Australia</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2977</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47.2</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 xml:space="preserve">One </w:t>
            </w:r>
            <w:r>
              <w:rPr>
                <w:lang w:eastAsia="en-AU"/>
              </w:rPr>
              <w:t xml:space="preserve">parent or </w:t>
            </w:r>
            <w:r w:rsidRPr="00D46752">
              <w:rPr>
                <w:lang w:eastAsia="en-AU"/>
              </w:rPr>
              <w:t xml:space="preserve">carer born </w:t>
            </w:r>
            <w:r>
              <w:rPr>
                <w:lang w:eastAsia="en-AU"/>
              </w:rPr>
              <w:t>in Australia, o</w:t>
            </w:r>
            <w:r w:rsidRPr="00D46752">
              <w:rPr>
                <w:lang w:eastAsia="en-AU"/>
              </w:rPr>
              <w:t xml:space="preserve">ne </w:t>
            </w:r>
            <w:r>
              <w:rPr>
                <w:lang w:eastAsia="en-AU"/>
              </w:rPr>
              <w:t xml:space="preserve">parent or </w:t>
            </w:r>
            <w:r w:rsidRPr="00D46752">
              <w:rPr>
                <w:lang w:eastAsia="en-AU"/>
              </w:rPr>
              <w:t>carer born overseas</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929</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14.7</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 xml:space="preserve">Both </w:t>
            </w:r>
            <w:r>
              <w:rPr>
                <w:lang w:eastAsia="en-AU"/>
              </w:rPr>
              <w:t xml:space="preserve">parents or </w:t>
            </w:r>
            <w:r w:rsidRPr="00D46752">
              <w:rPr>
                <w:lang w:eastAsia="en-AU"/>
              </w:rPr>
              <w:t>carers born overseas</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1188</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18.8</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 xml:space="preserve">Sole </w:t>
            </w:r>
            <w:r>
              <w:rPr>
                <w:lang w:eastAsia="en-AU"/>
              </w:rPr>
              <w:t xml:space="preserve">parent or </w:t>
            </w:r>
            <w:r w:rsidRPr="00D46752">
              <w:rPr>
                <w:lang w:eastAsia="en-AU"/>
              </w:rPr>
              <w:t>carer born in Australia</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956</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15.2</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 xml:space="preserve">Sole </w:t>
            </w:r>
            <w:r>
              <w:rPr>
                <w:lang w:eastAsia="en-AU"/>
              </w:rPr>
              <w:t xml:space="preserve">parent or </w:t>
            </w:r>
            <w:r w:rsidRPr="00D46752">
              <w:rPr>
                <w:lang w:eastAsia="en-AU"/>
              </w:rPr>
              <w:t>carer born overseas</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259</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4.1</w:t>
            </w:r>
          </w:p>
        </w:tc>
      </w:tr>
      <w:tr w:rsidR="002A4F8B" w:rsidRPr="00D46752" w:rsidTr="00302454">
        <w:trPr>
          <w:cantSplit/>
          <w:jc w:val="center"/>
        </w:trPr>
        <w:tc>
          <w:tcPr>
            <w:tcW w:w="5871"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Not stated</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w:t>
            </w:r>
          </w:p>
        </w:tc>
        <w:tc>
          <w:tcPr>
            <w:tcW w:w="1636"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0.0</w:t>
            </w:r>
          </w:p>
        </w:tc>
      </w:tr>
      <w:tr w:rsidR="002A4F8B" w:rsidRPr="00D46752" w:rsidTr="00302454">
        <w:trPr>
          <w:cantSplit/>
          <w:jc w:val="center"/>
        </w:trPr>
        <w:tc>
          <w:tcPr>
            <w:tcW w:w="5871"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636"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636"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Pr>
      <w:bookmarkStart w:id="305" w:name="_Toc414878905"/>
      <w:bookmarkStart w:id="306" w:name="_Toc414879477"/>
      <w:r>
        <w:t>Table S-</w:t>
      </w:r>
      <w:r>
        <w:rPr>
          <w:noProof/>
        </w:rPr>
        <w:t>9</w:t>
      </w:r>
      <w:r>
        <w:t>: Parent or carer interview sample by housing tenure</w:t>
      </w:r>
      <w:bookmarkEnd w:id="305"/>
      <w:bookmarkEnd w:id="306"/>
    </w:p>
    <w:tbl>
      <w:tblPr>
        <w:tblW w:w="9116" w:type="dxa"/>
        <w:jc w:val="center"/>
        <w:tblLayout w:type="fixed"/>
        <w:tblCellMar>
          <w:left w:w="0" w:type="dxa"/>
          <w:right w:w="0" w:type="dxa"/>
        </w:tblCellMar>
        <w:tblLook w:val="0020" w:firstRow="1" w:lastRow="0" w:firstColumn="0" w:lastColumn="0" w:noHBand="0" w:noVBand="0"/>
        <w:tblDescription w:val="In Table S-9 the first column defines housing tenure. Read across the rows for the number of respondents and then the proportion of respondents in each group."/>
      </w:tblPr>
      <w:tblGrid>
        <w:gridCol w:w="5854"/>
        <w:gridCol w:w="1631"/>
        <w:gridCol w:w="1631"/>
      </w:tblGrid>
      <w:tr w:rsidR="002A4F8B" w:rsidRPr="00D46752" w:rsidTr="00302454">
        <w:trPr>
          <w:cantSplit/>
          <w:tblHeader/>
          <w:jc w:val="center"/>
        </w:trPr>
        <w:tc>
          <w:tcPr>
            <w:tcW w:w="5854"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Housing tenure</w:t>
            </w:r>
          </w:p>
        </w:tc>
        <w:tc>
          <w:tcPr>
            <w:tcW w:w="163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63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Owned outright</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777</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12.3</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Owned with a mortgage</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3488</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55.3</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268</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4.2</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1677</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26.6</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Other</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88</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1.4</w:t>
            </w:r>
          </w:p>
        </w:tc>
      </w:tr>
      <w:tr w:rsidR="002A4F8B" w:rsidRPr="00D46752" w:rsidTr="00302454">
        <w:trPr>
          <w:cantSplit/>
          <w:jc w:val="center"/>
        </w:trPr>
        <w:tc>
          <w:tcPr>
            <w:tcW w:w="5854"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sidRPr="00D46752">
              <w:rPr>
                <w:lang w:eastAsia="en-AU"/>
              </w:rPr>
              <w:t>Not stated</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12</w:t>
            </w:r>
          </w:p>
        </w:tc>
        <w:tc>
          <w:tcPr>
            <w:tcW w:w="1631" w:type="dxa"/>
            <w:tcBorders>
              <w:top w:val="nil"/>
              <w:left w:val="nil"/>
              <w:bottom w:val="nil"/>
              <w:right w:val="nil"/>
            </w:tcBorders>
            <w:shd w:val="clear" w:color="auto" w:fill="FFFFFF"/>
            <w:tcMar>
              <w:left w:w="40" w:type="dxa"/>
              <w:right w:w="40" w:type="dxa"/>
            </w:tcMar>
            <w:vAlign w:val="bottom"/>
          </w:tcPr>
          <w:p w:rsidR="002A4F8B" w:rsidRPr="00D46752" w:rsidRDefault="002A4F8B" w:rsidP="00302454">
            <w:pPr>
              <w:pStyle w:val="TableDataCell"/>
              <w:rPr>
                <w:lang w:eastAsia="en-AU"/>
              </w:rPr>
            </w:pPr>
            <w:r w:rsidRPr="00D46752">
              <w:rPr>
                <w:lang w:eastAsia="en-AU"/>
              </w:rPr>
              <w:t>0.2</w:t>
            </w:r>
          </w:p>
        </w:tc>
      </w:tr>
      <w:tr w:rsidR="002A4F8B" w:rsidRPr="00D46752" w:rsidTr="00302454">
        <w:trPr>
          <w:cantSplit/>
          <w:jc w:val="center"/>
        </w:trPr>
        <w:tc>
          <w:tcPr>
            <w:tcW w:w="5854"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631"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631"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Pr>
      <w:bookmarkStart w:id="307" w:name="_Toc414878906"/>
      <w:bookmarkStart w:id="308" w:name="_Toc414879478"/>
      <w:r>
        <w:t>Table S-</w:t>
      </w:r>
      <w:r>
        <w:rPr>
          <w:noProof/>
        </w:rPr>
        <w:t>10</w:t>
      </w:r>
      <w:r>
        <w:t>: Parent or carer interview sample by remoteness</w:t>
      </w:r>
      <w:r>
        <w:rPr>
          <w:noProof/>
        </w:rPr>
        <w:t xml:space="preserve"> area</w:t>
      </w:r>
      <w:bookmarkEnd w:id="307"/>
      <w:bookmarkEnd w:id="308"/>
    </w:p>
    <w:tbl>
      <w:tblPr>
        <w:tblW w:w="9116" w:type="dxa"/>
        <w:jc w:val="center"/>
        <w:tblLayout w:type="fixed"/>
        <w:tblCellMar>
          <w:left w:w="0" w:type="dxa"/>
          <w:right w:w="0" w:type="dxa"/>
        </w:tblCellMar>
        <w:tblLook w:val="0020" w:firstRow="1" w:lastRow="0" w:firstColumn="0" w:lastColumn="0" w:noHBand="0" w:noVBand="0"/>
        <w:tblDescription w:val="In Table S-10 the first column defines remoteness area. Read across the rows for the number of respondents and then the proportion of respondents in each group."/>
      </w:tblPr>
      <w:tblGrid>
        <w:gridCol w:w="5857"/>
        <w:gridCol w:w="1629"/>
        <w:gridCol w:w="1630"/>
      </w:tblGrid>
      <w:tr w:rsidR="002A4F8B" w:rsidRPr="00546092" w:rsidTr="00302454">
        <w:trPr>
          <w:cantSplit/>
          <w:tblHeader/>
          <w:jc w:val="center"/>
        </w:trPr>
        <w:tc>
          <w:tcPr>
            <w:tcW w:w="585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Remoteness area</w:t>
            </w:r>
          </w:p>
        </w:tc>
        <w:tc>
          <w:tcPr>
            <w:tcW w:w="16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63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546092" w:rsidTr="00302454">
        <w:trPr>
          <w:cantSplit/>
          <w:jc w:val="center"/>
        </w:trPr>
        <w:tc>
          <w:tcPr>
            <w:tcW w:w="5857"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Major Cities of Australia</w:t>
            </w:r>
          </w:p>
        </w:tc>
        <w:tc>
          <w:tcPr>
            <w:tcW w:w="1629"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4134</w:t>
            </w:r>
          </w:p>
        </w:tc>
        <w:tc>
          <w:tcPr>
            <w:tcW w:w="1630"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65.5</w:t>
            </w:r>
          </w:p>
        </w:tc>
      </w:tr>
      <w:tr w:rsidR="002A4F8B" w:rsidRPr="00546092" w:rsidTr="00302454">
        <w:trPr>
          <w:cantSplit/>
          <w:jc w:val="center"/>
        </w:trPr>
        <w:tc>
          <w:tcPr>
            <w:tcW w:w="5857"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Inner Regional Australia</w:t>
            </w:r>
          </w:p>
        </w:tc>
        <w:tc>
          <w:tcPr>
            <w:tcW w:w="1629"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1554</w:t>
            </w:r>
          </w:p>
        </w:tc>
        <w:tc>
          <w:tcPr>
            <w:tcW w:w="1630"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24.6</w:t>
            </w:r>
          </w:p>
        </w:tc>
      </w:tr>
      <w:tr w:rsidR="002A4F8B" w:rsidRPr="00546092" w:rsidTr="00302454">
        <w:trPr>
          <w:cantSplit/>
          <w:jc w:val="center"/>
        </w:trPr>
        <w:tc>
          <w:tcPr>
            <w:tcW w:w="5857"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Outer Regional Australia</w:t>
            </w:r>
          </w:p>
        </w:tc>
        <w:tc>
          <w:tcPr>
            <w:tcW w:w="1629"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516</w:t>
            </w:r>
          </w:p>
        </w:tc>
        <w:tc>
          <w:tcPr>
            <w:tcW w:w="1630"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8.2</w:t>
            </w:r>
          </w:p>
        </w:tc>
      </w:tr>
      <w:tr w:rsidR="002A4F8B" w:rsidRPr="00546092" w:rsidTr="00302454">
        <w:trPr>
          <w:cantSplit/>
          <w:jc w:val="center"/>
        </w:trPr>
        <w:tc>
          <w:tcPr>
            <w:tcW w:w="5857"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Remote Australia</w:t>
            </w:r>
            <w:r>
              <w:rPr>
                <w:lang w:eastAsia="en-AU"/>
              </w:rPr>
              <w:t xml:space="preserve"> or Very Remote Australia</w:t>
            </w:r>
          </w:p>
        </w:tc>
        <w:tc>
          <w:tcPr>
            <w:tcW w:w="1629"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106</w:t>
            </w:r>
          </w:p>
        </w:tc>
        <w:tc>
          <w:tcPr>
            <w:tcW w:w="1630"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1.7</w:t>
            </w:r>
          </w:p>
        </w:tc>
      </w:tr>
      <w:tr w:rsidR="002A4F8B" w:rsidRPr="00546092" w:rsidTr="00302454">
        <w:trPr>
          <w:cantSplit/>
          <w:jc w:val="center"/>
        </w:trPr>
        <w:tc>
          <w:tcPr>
            <w:tcW w:w="5857"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629"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630"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2A4F8B">
      <w:pPr>
        <w:pStyle w:val="Caption"/>
        <w:keepNext/>
      </w:pPr>
      <w:bookmarkStart w:id="309" w:name="_Toc414878907"/>
      <w:bookmarkStart w:id="310" w:name="_Toc414879479"/>
      <w:r>
        <w:t>Table S-</w:t>
      </w:r>
      <w:r>
        <w:rPr>
          <w:noProof/>
        </w:rPr>
        <w:t>11</w:t>
      </w:r>
      <w:r>
        <w:t>: Parent or carer interview sample by index of relative socio-economic disadvantage</w:t>
      </w:r>
      <w:bookmarkEnd w:id="309"/>
      <w:bookmarkEnd w:id="310"/>
    </w:p>
    <w:tbl>
      <w:tblPr>
        <w:tblW w:w="9132" w:type="dxa"/>
        <w:jc w:val="center"/>
        <w:tblLayout w:type="fixed"/>
        <w:tblCellMar>
          <w:left w:w="0" w:type="dxa"/>
          <w:right w:w="0" w:type="dxa"/>
        </w:tblCellMar>
        <w:tblLook w:val="0020" w:firstRow="1" w:lastRow="0" w:firstColumn="0" w:lastColumn="0" w:noHBand="0" w:noVBand="0"/>
        <w:tblDescription w:val="In Table S-11 the first column defines index of relative socio-economic disadvantage. Read across the rows for the number of respondents and then the proportion of respondents in each group."/>
      </w:tblPr>
      <w:tblGrid>
        <w:gridCol w:w="5862"/>
        <w:gridCol w:w="1635"/>
        <w:gridCol w:w="1635"/>
      </w:tblGrid>
      <w:tr w:rsidR="002A4F8B" w:rsidRPr="00546092" w:rsidTr="00302454">
        <w:trPr>
          <w:cantSplit/>
          <w:tblHeader/>
          <w:jc w:val="center"/>
        </w:trPr>
        <w:tc>
          <w:tcPr>
            <w:tcW w:w="5862"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Index of relative socio-economic disadvantage</w:t>
            </w:r>
          </w:p>
        </w:tc>
        <w:tc>
          <w:tcPr>
            <w:tcW w:w="163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Respondents</w:t>
            </w:r>
          </w:p>
        </w:tc>
        <w:tc>
          <w:tcPr>
            <w:tcW w:w="163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Proportion (%)</w:t>
            </w:r>
          </w:p>
        </w:tc>
      </w:tr>
      <w:tr w:rsidR="002A4F8B" w:rsidRPr="00546092" w:rsidTr="00302454">
        <w:trPr>
          <w:cantSplit/>
          <w:jc w:val="center"/>
        </w:trPr>
        <w:tc>
          <w:tcPr>
            <w:tcW w:w="5862"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Lowest quintile (most disadvantaged)</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1055</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16.7</w:t>
            </w:r>
          </w:p>
        </w:tc>
      </w:tr>
      <w:tr w:rsidR="002A4F8B" w:rsidRPr="00546092" w:rsidTr="00302454">
        <w:trPr>
          <w:cantSplit/>
          <w:jc w:val="center"/>
        </w:trPr>
        <w:tc>
          <w:tcPr>
            <w:tcW w:w="5862"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Second quintile</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1180</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18.7</w:t>
            </w:r>
          </w:p>
        </w:tc>
      </w:tr>
      <w:tr w:rsidR="002A4F8B" w:rsidRPr="00546092" w:rsidTr="00302454">
        <w:trPr>
          <w:cantSplit/>
          <w:jc w:val="center"/>
        </w:trPr>
        <w:tc>
          <w:tcPr>
            <w:tcW w:w="5862"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Third quintile</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1188</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18.8</w:t>
            </w:r>
          </w:p>
        </w:tc>
      </w:tr>
      <w:tr w:rsidR="002A4F8B" w:rsidRPr="00546092" w:rsidTr="00302454">
        <w:trPr>
          <w:cantSplit/>
          <w:jc w:val="center"/>
        </w:trPr>
        <w:tc>
          <w:tcPr>
            <w:tcW w:w="5862" w:type="dxa"/>
            <w:tcBorders>
              <w:top w:val="nil"/>
              <w:bottom w:val="single" w:sz="4" w:space="0" w:color="FFFFFF"/>
              <w:right w:val="nil"/>
            </w:tcBorders>
            <w:shd w:val="clear" w:color="auto" w:fill="EFF3FF"/>
            <w:tcMar>
              <w:left w:w="40" w:type="dxa"/>
              <w:right w:w="40" w:type="dxa"/>
            </w:tcMar>
          </w:tcPr>
          <w:p w:rsidR="002A4F8B" w:rsidRPr="00546092" w:rsidRDefault="002A4F8B" w:rsidP="00302454">
            <w:pPr>
              <w:pStyle w:val="TableRowHeadings"/>
              <w:rPr>
                <w:lang w:eastAsia="en-AU"/>
              </w:rPr>
            </w:pPr>
            <w:r w:rsidRPr="00546092">
              <w:rPr>
                <w:lang w:eastAsia="en-AU"/>
              </w:rPr>
              <w:t>Fourth quintile</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1436</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22.8</w:t>
            </w:r>
          </w:p>
        </w:tc>
      </w:tr>
      <w:tr w:rsidR="002A4F8B" w:rsidRPr="00546092" w:rsidTr="00302454">
        <w:trPr>
          <w:cantSplit/>
          <w:jc w:val="center"/>
        </w:trPr>
        <w:tc>
          <w:tcPr>
            <w:tcW w:w="5862" w:type="dxa"/>
            <w:tcBorders>
              <w:top w:val="nil"/>
              <w:bottom w:val="single" w:sz="4" w:space="0" w:color="FFFFFF"/>
              <w:right w:val="nil"/>
            </w:tcBorders>
            <w:shd w:val="clear" w:color="auto" w:fill="EFF3FF"/>
            <w:tcMar>
              <w:left w:w="40" w:type="dxa"/>
              <w:right w:w="40" w:type="dxa"/>
            </w:tcMar>
          </w:tcPr>
          <w:p w:rsidR="002A4F8B" w:rsidRPr="00546092" w:rsidRDefault="002A4F8B" w:rsidP="00AF58FA">
            <w:pPr>
              <w:pStyle w:val="TableRowHeadings"/>
              <w:rPr>
                <w:lang w:eastAsia="en-AU"/>
              </w:rPr>
            </w:pPr>
            <w:r w:rsidRPr="00546092">
              <w:rPr>
                <w:lang w:eastAsia="en-AU"/>
              </w:rPr>
              <w:t>Highest quintile (</w:t>
            </w:r>
            <w:r w:rsidR="00AF58FA">
              <w:rPr>
                <w:lang w:eastAsia="en-AU"/>
              </w:rPr>
              <w:t>least</w:t>
            </w:r>
            <w:r w:rsidRPr="00546092">
              <w:rPr>
                <w:lang w:eastAsia="en-AU"/>
              </w:rPr>
              <w:t xml:space="preserve"> </w:t>
            </w:r>
            <w:r w:rsidR="00AF58FA">
              <w:rPr>
                <w:lang w:eastAsia="en-AU"/>
              </w:rPr>
              <w:t>dis</w:t>
            </w:r>
            <w:r w:rsidRPr="00546092">
              <w:rPr>
                <w:lang w:eastAsia="en-AU"/>
              </w:rPr>
              <w:t>advantaged)</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1451</w:t>
            </w:r>
          </w:p>
        </w:tc>
        <w:tc>
          <w:tcPr>
            <w:tcW w:w="1635" w:type="dxa"/>
            <w:tcBorders>
              <w:top w:val="nil"/>
              <w:left w:val="nil"/>
              <w:bottom w:val="nil"/>
              <w:right w:val="nil"/>
            </w:tcBorders>
            <w:shd w:val="clear" w:color="auto" w:fill="FFFFFF"/>
            <w:tcMar>
              <w:left w:w="40" w:type="dxa"/>
              <w:right w:w="40" w:type="dxa"/>
            </w:tcMar>
            <w:vAlign w:val="bottom"/>
          </w:tcPr>
          <w:p w:rsidR="002A4F8B" w:rsidRPr="00546092" w:rsidRDefault="002A4F8B" w:rsidP="00302454">
            <w:pPr>
              <w:pStyle w:val="TableDataCell"/>
              <w:rPr>
                <w:lang w:eastAsia="en-AU"/>
              </w:rPr>
            </w:pPr>
            <w:r w:rsidRPr="00546092">
              <w:rPr>
                <w:lang w:eastAsia="en-AU"/>
              </w:rPr>
              <w:t>23.0</w:t>
            </w:r>
          </w:p>
        </w:tc>
      </w:tr>
      <w:tr w:rsidR="002A4F8B" w:rsidRPr="00546092" w:rsidTr="00302454">
        <w:trPr>
          <w:cantSplit/>
          <w:jc w:val="center"/>
        </w:trPr>
        <w:tc>
          <w:tcPr>
            <w:tcW w:w="5862" w:type="dxa"/>
            <w:tcBorders>
              <w:top w:val="nil"/>
              <w:bottom w:val="single" w:sz="6" w:space="0" w:color="000000"/>
              <w:right w:val="nil"/>
            </w:tcBorders>
            <w:shd w:val="clear" w:color="auto" w:fill="EFF3FF"/>
            <w:tcMar>
              <w:left w:w="40" w:type="dxa"/>
              <w:right w:w="40" w:type="dxa"/>
            </w:tcMar>
          </w:tcPr>
          <w:p w:rsidR="002A4F8B" w:rsidRPr="000C6080" w:rsidRDefault="002A4F8B" w:rsidP="00302454">
            <w:pPr>
              <w:pStyle w:val="TableRowHeadings"/>
              <w:rPr>
                <w:rStyle w:val="Strong"/>
              </w:rPr>
            </w:pPr>
            <w:r w:rsidRPr="000C6080">
              <w:rPr>
                <w:rStyle w:val="Strong"/>
              </w:rPr>
              <w:t>Total</w:t>
            </w:r>
          </w:p>
        </w:tc>
        <w:tc>
          <w:tcPr>
            <w:tcW w:w="1635"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6310</w:t>
            </w:r>
          </w:p>
        </w:tc>
        <w:tc>
          <w:tcPr>
            <w:tcW w:w="1635" w:type="dxa"/>
            <w:tcBorders>
              <w:top w:val="nil"/>
              <w:left w:val="nil"/>
              <w:bottom w:val="single" w:sz="6" w:space="0" w:color="000000"/>
              <w:right w:val="nil"/>
            </w:tcBorders>
            <w:shd w:val="clear" w:color="auto" w:fill="FFFFFF"/>
            <w:tcMar>
              <w:left w:w="40" w:type="dxa"/>
              <w:right w:w="40" w:type="dxa"/>
            </w:tcMar>
            <w:vAlign w:val="bottom"/>
          </w:tcPr>
          <w:p w:rsidR="002A4F8B" w:rsidRPr="000C6080" w:rsidRDefault="002A4F8B" w:rsidP="00302454">
            <w:pPr>
              <w:pStyle w:val="TableDataCell"/>
              <w:rPr>
                <w:rStyle w:val="Strong"/>
              </w:rPr>
            </w:pPr>
            <w:r w:rsidRPr="000C6080">
              <w:rPr>
                <w:rStyle w:val="Strong"/>
              </w:rPr>
              <w:t>100.0</w:t>
            </w:r>
          </w:p>
        </w:tc>
      </w:tr>
    </w:tbl>
    <w:p w:rsidR="002A4F8B" w:rsidRDefault="002A4F8B" w:rsidP="00822B56">
      <w:pPr>
        <w:pStyle w:val="Caption"/>
        <w:keepNext/>
        <w:pageBreakBefore/>
      </w:pPr>
      <w:bookmarkStart w:id="311" w:name="_Toc414878908"/>
      <w:bookmarkStart w:id="312" w:name="_Toc414879480"/>
      <w:r>
        <w:lastRenderedPageBreak/>
        <w:t>Table S-</w:t>
      </w:r>
      <w:r>
        <w:rPr>
          <w:noProof/>
        </w:rPr>
        <w:t>12</w:t>
      </w:r>
      <w:r>
        <w:t>: 4-17 year-olds by level of family functioning</w:t>
      </w:r>
      <w:bookmarkEnd w:id="311"/>
      <w:bookmarkEnd w:id="312"/>
    </w:p>
    <w:tbl>
      <w:tblPr>
        <w:tblW w:w="9100" w:type="dxa"/>
        <w:jc w:val="center"/>
        <w:tblLayout w:type="fixed"/>
        <w:tblCellMar>
          <w:left w:w="0" w:type="dxa"/>
          <w:right w:w="0" w:type="dxa"/>
        </w:tblCellMar>
        <w:tblLook w:val="0020" w:firstRow="1" w:lastRow="0" w:firstColumn="0" w:lastColumn="0" w:noHBand="0" w:noVBand="0"/>
        <w:tblDescription w:val="In Table S-12 the first column defines level of family functioning. Read across the rows for the percentage of families in each group."/>
      </w:tblPr>
      <w:tblGrid>
        <w:gridCol w:w="6994"/>
        <w:gridCol w:w="2106"/>
      </w:tblGrid>
      <w:tr w:rsidR="002A4F8B" w:rsidRPr="00A25077" w:rsidTr="00302454">
        <w:trPr>
          <w:cantSplit/>
          <w:tblHeader/>
          <w:jc w:val="center"/>
        </w:trPr>
        <w:tc>
          <w:tcPr>
            <w:tcW w:w="6994"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Level of family functioning</w:t>
            </w:r>
          </w:p>
        </w:tc>
        <w:tc>
          <w:tcPr>
            <w:tcW w:w="210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822B56" w:rsidP="00302454">
            <w:pPr>
              <w:pStyle w:val="TableColumnHeadings"/>
              <w:rPr>
                <w:rStyle w:val="Strong"/>
              </w:rPr>
            </w:pPr>
            <w:r>
              <w:rPr>
                <w:rStyle w:val="Strong"/>
              </w:rPr>
              <w:t>Proportion</w:t>
            </w:r>
            <w:r w:rsidR="002A4F8B" w:rsidRPr="000C6080">
              <w:rPr>
                <w:rStyle w:val="Strong"/>
              </w:rPr>
              <w:t xml:space="preserve"> (%)</w:t>
            </w:r>
          </w:p>
        </w:tc>
      </w:tr>
      <w:tr w:rsidR="002A4F8B" w:rsidRPr="00A25077" w:rsidTr="00302454">
        <w:trPr>
          <w:cantSplit/>
          <w:jc w:val="center"/>
        </w:trPr>
        <w:tc>
          <w:tcPr>
            <w:tcW w:w="6994" w:type="dxa"/>
            <w:tcBorders>
              <w:top w:val="nil"/>
              <w:bottom w:val="single" w:sz="4" w:space="0" w:color="FFFFFF"/>
              <w:right w:val="nil"/>
            </w:tcBorders>
            <w:shd w:val="clear" w:color="auto" w:fill="EFF3FF"/>
            <w:tcMar>
              <w:left w:w="40" w:type="dxa"/>
              <w:right w:w="40" w:type="dxa"/>
            </w:tcMar>
          </w:tcPr>
          <w:p w:rsidR="002A4F8B" w:rsidRPr="00A25077" w:rsidRDefault="002A4F8B" w:rsidP="00302454">
            <w:pPr>
              <w:pStyle w:val="TableRowHeadings"/>
            </w:pPr>
            <w:r w:rsidRPr="00A25077">
              <w:t>Very good</w:t>
            </w:r>
          </w:p>
        </w:tc>
        <w:tc>
          <w:tcPr>
            <w:tcW w:w="2106" w:type="dxa"/>
            <w:tcBorders>
              <w:top w:val="nil"/>
              <w:left w:val="nil"/>
              <w:bottom w:val="nil"/>
              <w:right w:val="nil"/>
            </w:tcBorders>
            <w:shd w:val="clear" w:color="auto" w:fill="FFFFFF"/>
            <w:tcMar>
              <w:left w:w="40" w:type="dxa"/>
              <w:right w:w="40" w:type="dxa"/>
            </w:tcMar>
            <w:vAlign w:val="bottom"/>
          </w:tcPr>
          <w:p w:rsidR="002A4F8B" w:rsidRPr="00A25077" w:rsidRDefault="002A4F8B" w:rsidP="00302454">
            <w:pPr>
              <w:pStyle w:val="TableDataCell"/>
            </w:pPr>
            <w:r w:rsidRPr="00A25077">
              <w:t>60.8</w:t>
            </w:r>
          </w:p>
        </w:tc>
      </w:tr>
      <w:tr w:rsidR="002A4F8B" w:rsidRPr="00A25077" w:rsidTr="00302454">
        <w:trPr>
          <w:cantSplit/>
          <w:jc w:val="center"/>
        </w:trPr>
        <w:tc>
          <w:tcPr>
            <w:tcW w:w="6994" w:type="dxa"/>
            <w:tcBorders>
              <w:top w:val="nil"/>
              <w:bottom w:val="single" w:sz="4" w:space="0" w:color="FFFFFF"/>
              <w:right w:val="nil"/>
            </w:tcBorders>
            <w:shd w:val="clear" w:color="auto" w:fill="EFF3FF"/>
            <w:tcMar>
              <w:left w:w="40" w:type="dxa"/>
              <w:right w:w="40" w:type="dxa"/>
            </w:tcMar>
          </w:tcPr>
          <w:p w:rsidR="002A4F8B" w:rsidRPr="00A25077" w:rsidRDefault="002A4F8B" w:rsidP="00302454">
            <w:pPr>
              <w:pStyle w:val="TableRowHeadings"/>
            </w:pPr>
            <w:r w:rsidRPr="00A25077">
              <w:t>Good</w:t>
            </w:r>
          </w:p>
        </w:tc>
        <w:tc>
          <w:tcPr>
            <w:tcW w:w="2106" w:type="dxa"/>
            <w:tcBorders>
              <w:top w:val="nil"/>
              <w:left w:val="nil"/>
              <w:bottom w:val="nil"/>
              <w:right w:val="nil"/>
            </w:tcBorders>
            <w:shd w:val="clear" w:color="auto" w:fill="FFFFFF"/>
            <w:tcMar>
              <w:left w:w="40" w:type="dxa"/>
              <w:right w:w="40" w:type="dxa"/>
            </w:tcMar>
            <w:vAlign w:val="bottom"/>
          </w:tcPr>
          <w:p w:rsidR="002A4F8B" w:rsidRPr="00A25077" w:rsidRDefault="002A4F8B" w:rsidP="00302454">
            <w:pPr>
              <w:pStyle w:val="TableDataCell"/>
            </w:pPr>
            <w:r w:rsidRPr="00A25077">
              <w:t>23.0</w:t>
            </w:r>
          </w:p>
        </w:tc>
      </w:tr>
      <w:tr w:rsidR="002A4F8B" w:rsidRPr="00A25077" w:rsidTr="00302454">
        <w:trPr>
          <w:cantSplit/>
          <w:jc w:val="center"/>
        </w:trPr>
        <w:tc>
          <w:tcPr>
            <w:tcW w:w="6994" w:type="dxa"/>
            <w:tcBorders>
              <w:top w:val="nil"/>
              <w:bottom w:val="single" w:sz="4" w:space="0" w:color="FFFFFF"/>
              <w:right w:val="nil"/>
            </w:tcBorders>
            <w:shd w:val="clear" w:color="auto" w:fill="EFF3FF"/>
            <w:tcMar>
              <w:left w:w="40" w:type="dxa"/>
              <w:right w:w="40" w:type="dxa"/>
            </w:tcMar>
          </w:tcPr>
          <w:p w:rsidR="002A4F8B" w:rsidRPr="00A25077" w:rsidRDefault="002A4F8B" w:rsidP="00302454">
            <w:pPr>
              <w:pStyle w:val="TableRowHeadings"/>
            </w:pPr>
            <w:r w:rsidRPr="00A25077">
              <w:t>Fair</w:t>
            </w:r>
          </w:p>
        </w:tc>
        <w:tc>
          <w:tcPr>
            <w:tcW w:w="2106" w:type="dxa"/>
            <w:tcBorders>
              <w:top w:val="nil"/>
              <w:left w:val="nil"/>
              <w:bottom w:val="nil"/>
              <w:right w:val="nil"/>
            </w:tcBorders>
            <w:shd w:val="clear" w:color="auto" w:fill="FFFFFF"/>
            <w:tcMar>
              <w:left w:w="40" w:type="dxa"/>
              <w:right w:w="40" w:type="dxa"/>
            </w:tcMar>
            <w:vAlign w:val="bottom"/>
          </w:tcPr>
          <w:p w:rsidR="002A4F8B" w:rsidRPr="00A25077" w:rsidRDefault="002A4F8B" w:rsidP="00302454">
            <w:pPr>
              <w:pStyle w:val="TableDataCell"/>
            </w:pPr>
            <w:r w:rsidRPr="00A25077">
              <w:t>12.5</w:t>
            </w:r>
          </w:p>
        </w:tc>
      </w:tr>
      <w:tr w:rsidR="002A4F8B" w:rsidRPr="00A25077" w:rsidTr="00302454">
        <w:trPr>
          <w:cantSplit/>
          <w:jc w:val="center"/>
        </w:trPr>
        <w:tc>
          <w:tcPr>
            <w:tcW w:w="6994" w:type="dxa"/>
            <w:tcBorders>
              <w:top w:val="nil"/>
              <w:bottom w:val="single" w:sz="6" w:space="0" w:color="000000"/>
              <w:right w:val="nil"/>
            </w:tcBorders>
            <w:shd w:val="clear" w:color="auto" w:fill="EFF3FF"/>
            <w:tcMar>
              <w:left w:w="40" w:type="dxa"/>
              <w:right w:w="40" w:type="dxa"/>
            </w:tcMar>
          </w:tcPr>
          <w:p w:rsidR="002A4F8B" w:rsidRPr="00A25077" w:rsidRDefault="002A4F8B" w:rsidP="00302454">
            <w:pPr>
              <w:pStyle w:val="TableRowHeadings"/>
            </w:pPr>
            <w:r w:rsidRPr="00A25077">
              <w:t>Poor</w:t>
            </w:r>
          </w:p>
        </w:tc>
        <w:tc>
          <w:tcPr>
            <w:tcW w:w="2106" w:type="dxa"/>
            <w:tcBorders>
              <w:top w:val="nil"/>
              <w:left w:val="nil"/>
              <w:bottom w:val="single" w:sz="6" w:space="0" w:color="000000"/>
              <w:right w:val="nil"/>
            </w:tcBorders>
            <w:shd w:val="clear" w:color="auto" w:fill="FFFFFF"/>
            <w:tcMar>
              <w:left w:w="40" w:type="dxa"/>
              <w:right w:w="40" w:type="dxa"/>
            </w:tcMar>
            <w:vAlign w:val="bottom"/>
          </w:tcPr>
          <w:p w:rsidR="002A4F8B" w:rsidRPr="00A25077" w:rsidRDefault="002A4F8B" w:rsidP="00302454">
            <w:pPr>
              <w:pStyle w:val="TableDataCell"/>
            </w:pPr>
            <w:r w:rsidRPr="00A25077">
              <w:t>3.7</w:t>
            </w:r>
          </w:p>
        </w:tc>
      </w:tr>
    </w:tbl>
    <w:p w:rsidR="002A4F8B" w:rsidRDefault="002A4F8B" w:rsidP="002A4F8B">
      <w:pPr>
        <w:pStyle w:val="TableFootnote"/>
      </w:pPr>
      <w:r>
        <w:t>Family functioning was measured across a number of domains by the McMaster Family Assessment Device (see glossary).</w:t>
      </w:r>
    </w:p>
    <w:p w:rsidR="002A4F8B" w:rsidRDefault="002A4F8B" w:rsidP="002A4F8B">
      <w:pPr>
        <w:pStyle w:val="Heading2"/>
      </w:pPr>
      <w:bookmarkStart w:id="313" w:name="_Toc414878909"/>
      <w:bookmarkStart w:id="314" w:name="_Toc414879481"/>
      <w:r>
        <w:t>Prevalence of mental disorders</w:t>
      </w:r>
      <w:bookmarkEnd w:id="313"/>
      <w:bookmarkEnd w:id="314"/>
    </w:p>
    <w:p w:rsidR="002A4F8B" w:rsidRPr="00653114" w:rsidRDefault="002A4F8B" w:rsidP="002A4F8B">
      <w:pPr>
        <w:pStyle w:val="Caption"/>
        <w:keepNext/>
      </w:pPr>
      <w:bookmarkStart w:id="315" w:name="_Toc414878910"/>
      <w:bookmarkStart w:id="316" w:name="_Toc414879482"/>
      <w:r>
        <w:t>Table S-</w:t>
      </w:r>
      <w:r>
        <w:rPr>
          <w:noProof/>
        </w:rPr>
        <w:t>13</w:t>
      </w:r>
      <w:r>
        <w:t>: 12-month prevalence of mental disorder among 4-17 year-olds by country of birth of child or adolescent</w:t>
      </w:r>
      <w:bookmarkEnd w:id="315"/>
      <w:bookmarkEnd w:id="316"/>
      <w:r>
        <w:t xml:space="preserve"> </w:t>
      </w:r>
    </w:p>
    <w:tbl>
      <w:tblPr>
        <w:tblW w:w="9141" w:type="dxa"/>
        <w:jc w:val="center"/>
        <w:tblLayout w:type="fixed"/>
        <w:tblCellMar>
          <w:left w:w="0" w:type="dxa"/>
          <w:right w:w="0" w:type="dxa"/>
        </w:tblCellMar>
        <w:tblLook w:val="0020" w:firstRow="1" w:lastRow="0" w:firstColumn="0" w:lastColumn="0" w:noHBand="0" w:noVBand="0"/>
        <w:tblDescription w:val="In Table S-13 the first column defines country of birth of the child or adolescent. Read across the rows for the prevalence of mental disorders in each group."/>
      </w:tblPr>
      <w:tblGrid>
        <w:gridCol w:w="7026"/>
        <w:gridCol w:w="2115"/>
      </w:tblGrid>
      <w:tr w:rsidR="002A4F8B" w:rsidRPr="00EF2F71"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Child or adolescent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Prevalence (%)</w:t>
            </w:r>
          </w:p>
        </w:tc>
      </w:tr>
      <w:tr w:rsidR="002A4F8B" w:rsidRPr="00EF2F71"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Australia</w:t>
            </w:r>
          </w:p>
        </w:tc>
        <w:tc>
          <w:tcPr>
            <w:tcW w:w="2115" w:type="dxa"/>
            <w:tcBorders>
              <w:top w:val="nil"/>
              <w:left w:val="nil"/>
              <w:bottom w:val="nil"/>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14.8</w:t>
            </w:r>
          </w:p>
        </w:tc>
      </w:tr>
      <w:tr w:rsidR="002A4F8B" w:rsidRPr="00EF2F71"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7.2</w:t>
            </w:r>
          </w:p>
        </w:tc>
      </w:tr>
    </w:tbl>
    <w:p w:rsidR="002A4F8B" w:rsidRDefault="002A4F8B" w:rsidP="002A4F8B">
      <w:pPr>
        <w:pStyle w:val="Caption"/>
        <w:keepNext/>
      </w:pPr>
      <w:bookmarkStart w:id="317" w:name="_Toc414878911"/>
      <w:bookmarkStart w:id="318" w:name="_Toc414879483"/>
      <w:r>
        <w:t>Table S-</w:t>
      </w:r>
      <w:r>
        <w:rPr>
          <w:noProof/>
        </w:rPr>
        <w:t>14</w:t>
      </w:r>
      <w:r>
        <w:t>: 12-month prevalence of mental disorder among 4-17 year-olds by country of birth of parents or carers</w:t>
      </w:r>
      <w:bookmarkEnd w:id="317"/>
      <w:bookmarkEnd w:id="318"/>
    </w:p>
    <w:tbl>
      <w:tblPr>
        <w:tblW w:w="9141" w:type="dxa"/>
        <w:jc w:val="center"/>
        <w:tblLayout w:type="fixed"/>
        <w:tblCellMar>
          <w:left w:w="0" w:type="dxa"/>
          <w:right w:w="0" w:type="dxa"/>
        </w:tblCellMar>
        <w:tblLook w:val="0020" w:firstRow="1" w:lastRow="0" w:firstColumn="0" w:lastColumn="0" w:noHBand="0" w:noVBand="0"/>
        <w:tblDescription w:val="In Table S-14 the first column defines country of birth of the parent or carer. Read across the rows for the prevalence of mental disorders in each group."/>
      </w:tblPr>
      <w:tblGrid>
        <w:gridCol w:w="7026"/>
        <w:gridCol w:w="2115"/>
      </w:tblGrid>
      <w:tr w:rsidR="002A4F8B" w:rsidRPr="00EF2F71"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0C6080" w:rsidRDefault="002A4F8B" w:rsidP="00302454">
            <w:pPr>
              <w:pStyle w:val="TableColumnHeadings"/>
              <w:jc w:val="left"/>
              <w:rPr>
                <w:rStyle w:val="Strong"/>
              </w:rPr>
            </w:pPr>
            <w:r w:rsidRPr="000C6080">
              <w:rPr>
                <w:rStyle w:val="Strong"/>
              </w:rPr>
              <w:t>Parent or carer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0C6080" w:rsidRDefault="002A4F8B" w:rsidP="00302454">
            <w:pPr>
              <w:pStyle w:val="TableColumnHeadings"/>
              <w:rPr>
                <w:rStyle w:val="Strong"/>
              </w:rPr>
            </w:pPr>
            <w:r w:rsidRPr="000C6080">
              <w:rPr>
                <w:rStyle w:val="Strong"/>
              </w:rPr>
              <w:t>Prevalence (%)</w:t>
            </w:r>
          </w:p>
        </w:tc>
      </w:tr>
      <w:tr w:rsidR="002A4F8B" w:rsidRPr="00EF2F71"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Both carers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14.3</w:t>
            </w:r>
          </w:p>
        </w:tc>
      </w:tr>
      <w:tr w:rsidR="002A4F8B" w:rsidRPr="00EF2F71"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F2F71" w:rsidRDefault="002A4F8B" w:rsidP="00302454">
            <w:pPr>
              <w:pStyle w:val="TableRowHeadings"/>
              <w:rPr>
                <w:lang w:eastAsia="en-AU"/>
              </w:rPr>
            </w:pPr>
            <w:r>
              <w:rPr>
                <w:lang w:eastAsia="en-AU"/>
              </w:rPr>
              <w:t>One carer born in Australia, o</w:t>
            </w:r>
            <w:r w:rsidRPr="00EF2F71">
              <w:rPr>
                <w:lang w:eastAsia="en-AU"/>
              </w:rPr>
              <w:t>ne carer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12.9</w:t>
            </w:r>
          </w:p>
        </w:tc>
      </w:tr>
      <w:tr w:rsidR="002A4F8B" w:rsidRPr="00EF2F71"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Both carers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5.1</w:t>
            </w:r>
          </w:p>
        </w:tc>
      </w:tr>
      <w:tr w:rsidR="002A4F8B" w:rsidRPr="00EF2F71"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Sole carer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24.6</w:t>
            </w:r>
          </w:p>
        </w:tc>
      </w:tr>
      <w:tr w:rsidR="002A4F8B" w:rsidRPr="00EF2F71"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EF2F71" w:rsidRDefault="002A4F8B" w:rsidP="00302454">
            <w:pPr>
              <w:pStyle w:val="TableRowHeadings"/>
              <w:rPr>
                <w:lang w:eastAsia="en-AU"/>
              </w:rPr>
            </w:pPr>
            <w:r w:rsidRPr="00EF2F71">
              <w:rPr>
                <w:lang w:eastAsia="en-AU"/>
              </w:rPr>
              <w:t>Sole carer born 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EF2F71" w:rsidRDefault="002A4F8B" w:rsidP="00302454">
            <w:pPr>
              <w:pStyle w:val="TableDataCell"/>
              <w:rPr>
                <w:lang w:eastAsia="en-AU"/>
              </w:rPr>
            </w:pPr>
            <w:r w:rsidRPr="00EF2F71">
              <w:rPr>
                <w:lang w:eastAsia="en-AU"/>
              </w:rPr>
              <w:t>13.4</w:t>
            </w:r>
          </w:p>
        </w:tc>
      </w:tr>
    </w:tbl>
    <w:p w:rsidR="002A4F8B" w:rsidRDefault="002A4F8B" w:rsidP="002A4F8B">
      <w:pPr>
        <w:pStyle w:val="Caption"/>
        <w:keepNext/>
      </w:pPr>
      <w:bookmarkStart w:id="319" w:name="_Toc414878912"/>
      <w:bookmarkStart w:id="320" w:name="_Toc414879484"/>
      <w:r>
        <w:t>Table S-</w:t>
      </w:r>
      <w:r>
        <w:rPr>
          <w:noProof/>
        </w:rPr>
        <w:t>15</w:t>
      </w:r>
      <w:r>
        <w:t>: 12-month prevalence of mental disorder among 4-17 year-olds by housing tenure</w:t>
      </w:r>
      <w:bookmarkEnd w:id="319"/>
      <w:bookmarkEnd w:id="320"/>
    </w:p>
    <w:tbl>
      <w:tblPr>
        <w:tblW w:w="9141" w:type="dxa"/>
        <w:jc w:val="center"/>
        <w:tblLayout w:type="fixed"/>
        <w:tblCellMar>
          <w:left w:w="0" w:type="dxa"/>
          <w:right w:w="0" w:type="dxa"/>
        </w:tblCellMar>
        <w:tblLook w:val="0020" w:firstRow="1" w:lastRow="0" w:firstColumn="0" w:lastColumn="0" w:noHBand="0" w:noVBand="0"/>
        <w:tblDescription w:val="In Table S-15 the first column defines housing tenure. Read across the rows for the prevalence of mental disorders in each group."/>
      </w:tblPr>
      <w:tblGrid>
        <w:gridCol w:w="7026"/>
        <w:gridCol w:w="2115"/>
      </w:tblGrid>
      <w:tr w:rsidR="002A4F8B" w:rsidRPr="00E0294E"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Housing tenure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E0294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0294E" w:rsidRDefault="002A4F8B" w:rsidP="00302454">
            <w:pPr>
              <w:pStyle w:val="TableRowHeadings"/>
              <w:rPr>
                <w:lang w:eastAsia="en-AU"/>
              </w:rPr>
            </w:pPr>
            <w:r w:rsidRPr="00E0294E">
              <w:rPr>
                <w:lang w:eastAsia="en-AU"/>
              </w:rPr>
              <w:t>Owned outright</w:t>
            </w:r>
          </w:p>
        </w:tc>
        <w:tc>
          <w:tcPr>
            <w:tcW w:w="2115" w:type="dxa"/>
            <w:tcBorders>
              <w:top w:val="nil"/>
              <w:left w:val="nil"/>
              <w:bottom w:val="nil"/>
              <w:right w:val="nil"/>
            </w:tcBorders>
            <w:shd w:val="clear" w:color="auto" w:fill="FFFFFF"/>
            <w:tcMar>
              <w:left w:w="40" w:type="dxa"/>
              <w:right w:w="40" w:type="dxa"/>
            </w:tcMar>
            <w:vAlign w:val="bottom"/>
          </w:tcPr>
          <w:p w:rsidR="002A4F8B" w:rsidRPr="00E0294E" w:rsidRDefault="002A4F8B" w:rsidP="00302454">
            <w:pPr>
              <w:pStyle w:val="TableDataCell"/>
              <w:rPr>
                <w:lang w:eastAsia="en-AU"/>
              </w:rPr>
            </w:pPr>
            <w:r w:rsidRPr="00E0294E">
              <w:rPr>
                <w:lang w:eastAsia="en-AU"/>
              </w:rPr>
              <w:t>10.5</w:t>
            </w:r>
          </w:p>
        </w:tc>
      </w:tr>
      <w:tr w:rsidR="002A4F8B" w:rsidRPr="00E0294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E0294E" w:rsidRDefault="002A4F8B" w:rsidP="00302454">
            <w:pPr>
              <w:pStyle w:val="TableRowHeadings"/>
              <w:rPr>
                <w:lang w:eastAsia="en-AU"/>
              </w:rPr>
            </w:pPr>
            <w:r w:rsidRPr="00E0294E">
              <w:rPr>
                <w:lang w:eastAsia="en-AU"/>
              </w:rPr>
              <w:t>Owned with a mortgage</w:t>
            </w:r>
          </w:p>
        </w:tc>
        <w:tc>
          <w:tcPr>
            <w:tcW w:w="2115" w:type="dxa"/>
            <w:tcBorders>
              <w:top w:val="nil"/>
              <w:left w:val="nil"/>
              <w:bottom w:val="nil"/>
              <w:right w:val="nil"/>
            </w:tcBorders>
            <w:shd w:val="clear" w:color="auto" w:fill="FFFFFF"/>
            <w:tcMar>
              <w:left w:w="40" w:type="dxa"/>
              <w:right w:w="40" w:type="dxa"/>
            </w:tcMar>
            <w:vAlign w:val="bottom"/>
          </w:tcPr>
          <w:p w:rsidR="002A4F8B" w:rsidRPr="00E0294E" w:rsidRDefault="002A4F8B" w:rsidP="00302454">
            <w:pPr>
              <w:pStyle w:val="TableDataCell"/>
              <w:rPr>
                <w:lang w:eastAsia="en-AU"/>
              </w:rPr>
            </w:pPr>
            <w:r w:rsidRPr="00E0294E">
              <w:rPr>
                <w:lang w:eastAsia="en-AU"/>
              </w:rPr>
              <w:t>11.2</w:t>
            </w:r>
          </w:p>
        </w:tc>
      </w:tr>
      <w:tr w:rsidR="002A4F8B" w:rsidRPr="00E0294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2115" w:type="dxa"/>
            <w:tcBorders>
              <w:top w:val="nil"/>
              <w:left w:val="nil"/>
              <w:bottom w:val="nil"/>
              <w:right w:val="nil"/>
            </w:tcBorders>
            <w:shd w:val="clear" w:color="auto" w:fill="FFFFFF"/>
            <w:tcMar>
              <w:left w:w="40" w:type="dxa"/>
              <w:right w:w="40" w:type="dxa"/>
            </w:tcMar>
            <w:vAlign w:val="bottom"/>
          </w:tcPr>
          <w:p w:rsidR="002A4F8B" w:rsidRPr="00E0294E" w:rsidRDefault="002A4F8B" w:rsidP="00302454">
            <w:pPr>
              <w:pStyle w:val="TableDataCell"/>
              <w:rPr>
                <w:lang w:eastAsia="en-AU"/>
              </w:rPr>
            </w:pPr>
            <w:r w:rsidRPr="00E0294E">
              <w:rPr>
                <w:lang w:eastAsia="en-AU"/>
              </w:rPr>
              <w:t>29.2</w:t>
            </w:r>
          </w:p>
        </w:tc>
      </w:tr>
      <w:tr w:rsidR="002A4F8B" w:rsidRPr="00E0294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2115" w:type="dxa"/>
            <w:tcBorders>
              <w:top w:val="nil"/>
              <w:left w:val="nil"/>
              <w:bottom w:val="nil"/>
              <w:right w:val="nil"/>
            </w:tcBorders>
            <w:shd w:val="clear" w:color="auto" w:fill="FFFFFF"/>
            <w:tcMar>
              <w:left w:w="40" w:type="dxa"/>
              <w:right w:w="40" w:type="dxa"/>
            </w:tcMar>
            <w:vAlign w:val="bottom"/>
          </w:tcPr>
          <w:p w:rsidR="002A4F8B" w:rsidRPr="00E0294E" w:rsidRDefault="002A4F8B" w:rsidP="00302454">
            <w:pPr>
              <w:pStyle w:val="TableDataCell"/>
              <w:rPr>
                <w:lang w:eastAsia="en-AU"/>
              </w:rPr>
            </w:pPr>
            <w:r w:rsidRPr="00E0294E">
              <w:rPr>
                <w:lang w:eastAsia="en-AU"/>
              </w:rPr>
              <w:t>17.7</w:t>
            </w:r>
          </w:p>
        </w:tc>
      </w:tr>
      <w:tr w:rsidR="002A4F8B" w:rsidRPr="00E0294E"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E0294E" w:rsidRDefault="002A4F8B" w:rsidP="00302454">
            <w:pPr>
              <w:pStyle w:val="TableRowHeadings"/>
              <w:rPr>
                <w:lang w:eastAsia="en-AU"/>
              </w:rPr>
            </w:pPr>
            <w:r w:rsidRPr="00E0294E">
              <w:rPr>
                <w:lang w:eastAsia="en-AU"/>
              </w:rPr>
              <w:t>Other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E0294E" w:rsidRDefault="002A4F8B" w:rsidP="00302454">
            <w:pPr>
              <w:pStyle w:val="TableDataCell"/>
              <w:rPr>
                <w:lang w:eastAsia="en-AU"/>
              </w:rPr>
            </w:pPr>
            <w:r w:rsidRPr="00E0294E">
              <w:rPr>
                <w:lang w:eastAsia="en-AU"/>
              </w:rPr>
              <w:t>18.2</w:t>
            </w:r>
          </w:p>
        </w:tc>
      </w:tr>
    </w:tbl>
    <w:p w:rsidR="002A4F8B" w:rsidRDefault="002A4F8B" w:rsidP="002A4F8B">
      <w:pPr>
        <w:pStyle w:val="Caption"/>
        <w:keepNext/>
        <w:pageBreakBefore/>
      </w:pPr>
      <w:bookmarkStart w:id="321" w:name="_Toc414878913"/>
      <w:bookmarkStart w:id="322" w:name="_Toc414879485"/>
      <w:r>
        <w:lastRenderedPageBreak/>
        <w:t>Table S-</w:t>
      </w:r>
      <w:r>
        <w:rPr>
          <w:noProof/>
        </w:rPr>
        <w:t>16</w:t>
      </w:r>
      <w:r>
        <w:t>: 12-month prevalence of mental disorder among 4-17 year-olds by remoteness area</w:t>
      </w:r>
      <w:bookmarkEnd w:id="321"/>
      <w:bookmarkEnd w:id="322"/>
    </w:p>
    <w:tbl>
      <w:tblPr>
        <w:tblW w:w="9141" w:type="dxa"/>
        <w:jc w:val="center"/>
        <w:tblLayout w:type="fixed"/>
        <w:tblCellMar>
          <w:left w:w="0" w:type="dxa"/>
          <w:right w:w="0" w:type="dxa"/>
        </w:tblCellMar>
        <w:tblLook w:val="0020" w:firstRow="1" w:lastRow="0" w:firstColumn="0" w:lastColumn="0" w:noHBand="0" w:noVBand="0"/>
        <w:tblDescription w:val="In Table S-16 the first column defines remoteness area. Read across the rows for the prevalence of mental disorders in each group."/>
      </w:tblPr>
      <w:tblGrid>
        <w:gridCol w:w="7026"/>
        <w:gridCol w:w="2115"/>
      </w:tblGrid>
      <w:tr w:rsidR="002A4F8B" w:rsidRPr="00350BBC"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Remoteness area</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Major Cities of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12.9</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Inner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14.8</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Outer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19.0</w:t>
            </w:r>
          </w:p>
        </w:tc>
      </w:tr>
      <w:tr w:rsidR="002A4F8B" w:rsidRPr="00350BBC"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Remote Australia</w:t>
            </w:r>
            <w:r>
              <w:rPr>
                <w:lang w:eastAsia="en-AU"/>
              </w:rPr>
              <w:t xml:space="preserve"> or Very Remote Australia</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14.0</w:t>
            </w:r>
          </w:p>
        </w:tc>
      </w:tr>
    </w:tbl>
    <w:p w:rsidR="002A4F8B" w:rsidRDefault="002A4F8B" w:rsidP="002A4F8B">
      <w:pPr>
        <w:pStyle w:val="Caption"/>
        <w:keepNext/>
      </w:pPr>
      <w:bookmarkStart w:id="323" w:name="_Toc414878914"/>
      <w:bookmarkStart w:id="324" w:name="_Toc414879486"/>
      <w:r>
        <w:t>Table S-</w:t>
      </w:r>
      <w:r>
        <w:rPr>
          <w:noProof/>
        </w:rPr>
        <w:t>17</w:t>
      </w:r>
      <w:r>
        <w:t>: 12-month prevalence of mental disorder among 4-17 year-olds by index of relative socio-economic disadvantage</w:t>
      </w:r>
      <w:bookmarkEnd w:id="323"/>
      <w:bookmarkEnd w:id="324"/>
    </w:p>
    <w:tbl>
      <w:tblPr>
        <w:tblW w:w="9141" w:type="dxa"/>
        <w:jc w:val="center"/>
        <w:tblLayout w:type="fixed"/>
        <w:tblCellMar>
          <w:left w:w="0" w:type="dxa"/>
          <w:right w:w="0" w:type="dxa"/>
        </w:tblCellMar>
        <w:tblLook w:val="0020" w:firstRow="1" w:lastRow="0" w:firstColumn="0" w:lastColumn="0" w:noHBand="0" w:noVBand="0"/>
        <w:tblDescription w:val="In Table S-17 the first column defines index of relative socio-economic disadvantage. Read across the rows for the prevalence of mental disorders in each group."/>
      </w:tblPr>
      <w:tblGrid>
        <w:gridCol w:w="7026"/>
        <w:gridCol w:w="2115"/>
      </w:tblGrid>
      <w:tr w:rsidR="002A4F8B" w:rsidRPr="00350BBC"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Index of relative socio-economic disadvantage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Lowest quintile (most disadvantaged)</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20.7</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Second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14.4</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Third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13.3</w:t>
            </w:r>
          </w:p>
        </w:tc>
      </w:tr>
      <w:tr w:rsidR="002A4F8B" w:rsidRPr="00350BB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50BBC" w:rsidRDefault="002A4F8B" w:rsidP="00302454">
            <w:pPr>
              <w:pStyle w:val="TableRowHeadings"/>
              <w:rPr>
                <w:lang w:eastAsia="en-AU"/>
              </w:rPr>
            </w:pPr>
            <w:r w:rsidRPr="00350BBC">
              <w:rPr>
                <w:lang w:eastAsia="en-AU"/>
              </w:rPr>
              <w:t>Fourth quintile</w:t>
            </w:r>
          </w:p>
        </w:tc>
        <w:tc>
          <w:tcPr>
            <w:tcW w:w="2115" w:type="dxa"/>
            <w:tcBorders>
              <w:top w:val="nil"/>
              <w:left w:val="nil"/>
              <w:bottom w:val="nil"/>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11.7</w:t>
            </w:r>
          </w:p>
        </w:tc>
      </w:tr>
      <w:tr w:rsidR="002A4F8B" w:rsidRPr="00350BBC"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350BBC" w:rsidRDefault="002A4F8B" w:rsidP="00AF58FA">
            <w:pPr>
              <w:pStyle w:val="TableRowHeadings"/>
              <w:rPr>
                <w:lang w:eastAsia="en-AU"/>
              </w:rPr>
            </w:pPr>
            <w:r w:rsidRPr="00350BBC">
              <w:rPr>
                <w:lang w:eastAsia="en-AU"/>
              </w:rPr>
              <w:t>Highest quintile (</w:t>
            </w:r>
            <w:r w:rsidR="00AF58FA">
              <w:rPr>
                <w:lang w:eastAsia="en-AU"/>
              </w:rPr>
              <w:t>least dis</w:t>
            </w:r>
            <w:r w:rsidRPr="00350BBC">
              <w:rPr>
                <w:lang w:eastAsia="en-AU"/>
              </w:rPr>
              <w:t>advantaged)</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350BBC" w:rsidRDefault="002A4F8B" w:rsidP="00302454">
            <w:pPr>
              <w:pStyle w:val="TableDataCell"/>
              <w:rPr>
                <w:lang w:eastAsia="en-AU"/>
              </w:rPr>
            </w:pPr>
            <w:r w:rsidRPr="00350BBC">
              <w:rPr>
                <w:lang w:eastAsia="en-AU"/>
              </w:rPr>
              <w:t>10.9</w:t>
            </w:r>
          </w:p>
        </w:tc>
      </w:tr>
    </w:tbl>
    <w:p w:rsidR="002A4F8B" w:rsidRPr="009F7F87" w:rsidRDefault="002A4F8B" w:rsidP="002A4F8B">
      <w:pPr>
        <w:pStyle w:val="Heading2"/>
      </w:pPr>
      <w:bookmarkStart w:id="325" w:name="_Toc414878915"/>
      <w:bookmarkStart w:id="326" w:name="_Toc414879487"/>
      <w:r>
        <w:t>Principal condition</w:t>
      </w:r>
      <w:bookmarkEnd w:id="325"/>
      <w:bookmarkEnd w:id="326"/>
    </w:p>
    <w:p w:rsidR="002A4F8B" w:rsidRDefault="002A4F8B" w:rsidP="002A4F8B">
      <w:pPr>
        <w:pStyle w:val="Caption"/>
        <w:keepNext/>
      </w:pPr>
      <w:bookmarkStart w:id="327" w:name="_Toc414878916"/>
      <w:bookmarkStart w:id="328" w:name="_Toc414879488"/>
      <w:r>
        <w:t>Table S-</w:t>
      </w:r>
      <w:r>
        <w:rPr>
          <w:noProof/>
        </w:rPr>
        <w:t>18</w:t>
      </w:r>
      <w:r>
        <w:t xml:space="preserve">: </w:t>
      </w:r>
      <w:r w:rsidRPr="00426DA9">
        <w:t xml:space="preserve">Principal condition by </w:t>
      </w:r>
      <w:r>
        <w:t xml:space="preserve">sex and </w:t>
      </w:r>
      <w:r w:rsidRPr="00426DA9">
        <w:t>age group</w:t>
      </w:r>
      <w:bookmarkEnd w:id="327"/>
      <w:bookmarkEnd w:id="328"/>
    </w:p>
    <w:tbl>
      <w:tblPr>
        <w:tblW w:w="9126" w:type="dxa"/>
        <w:jc w:val="center"/>
        <w:tblLayout w:type="fixed"/>
        <w:tblCellMar>
          <w:left w:w="0" w:type="dxa"/>
          <w:right w:w="0" w:type="dxa"/>
        </w:tblCellMar>
        <w:tblLook w:val="04A0" w:firstRow="1" w:lastRow="0" w:firstColumn="1" w:lastColumn="0" w:noHBand="0" w:noVBand="1"/>
        <w:tblDescription w:val="In Table S-18 the first column defines disorder. Read across the rows for the principal condition for males 4-11 years, males 12-17 years, males 4-17 years, females 4-11 years, females 12-17 years, females 4-17 years, persons 4-11 years, persons 12-17 years and persons 4-17 years."/>
      </w:tblPr>
      <w:tblGrid>
        <w:gridCol w:w="1701"/>
        <w:gridCol w:w="825"/>
        <w:gridCol w:w="825"/>
        <w:gridCol w:w="825"/>
        <w:gridCol w:w="825"/>
        <w:gridCol w:w="825"/>
        <w:gridCol w:w="825"/>
        <w:gridCol w:w="825"/>
        <w:gridCol w:w="825"/>
        <w:gridCol w:w="825"/>
      </w:tblGrid>
      <w:tr w:rsidR="002A4F8B" w:rsidTr="00302454">
        <w:trPr>
          <w:cantSplit/>
          <w:tblHeader/>
          <w:jc w:val="center"/>
        </w:trPr>
        <w:tc>
          <w:tcPr>
            <w:tcW w:w="1701" w:type="dxa"/>
            <w:tcBorders>
              <w:top w:val="single" w:sz="6" w:space="0" w:color="000000"/>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jc w:val="left"/>
              <w:rPr>
                <w:rStyle w:val="Strong"/>
              </w:rPr>
            </w:pPr>
            <w:r w:rsidRPr="00CF1ABD">
              <w:rPr>
                <w:rStyle w:val="Strong"/>
              </w:rPr>
              <w:t>Disorder</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Males</w:t>
            </w:r>
            <w:r w:rsidRPr="00CF1ABD">
              <w:rPr>
                <w:rStyle w:val="Strong"/>
              </w:rPr>
              <w:br/>
              <w:t>4-11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Males 12-17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Males</w:t>
            </w:r>
            <w:r w:rsidRPr="00CF1ABD">
              <w:rPr>
                <w:rStyle w:val="Strong"/>
              </w:rPr>
              <w:br/>
              <w:t>4-17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Females 4-11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Females 12-17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Females 4-17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Persons 4-11 years (%)</w:t>
            </w:r>
          </w:p>
        </w:tc>
        <w:tc>
          <w:tcPr>
            <w:tcW w:w="825" w:type="dxa"/>
            <w:tcBorders>
              <w:top w:val="single" w:sz="6" w:space="0" w:color="000000"/>
              <w:left w:val="single" w:sz="4" w:space="0" w:color="FFFFFF"/>
              <w:bottom w:val="single" w:sz="4" w:space="0" w:color="000000"/>
              <w:right w:val="nil"/>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Persons 12-17 years (%)</w:t>
            </w:r>
          </w:p>
        </w:tc>
        <w:tc>
          <w:tcPr>
            <w:tcW w:w="825" w:type="dxa"/>
            <w:tcBorders>
              <w:top w:val="single" w:sz="6" w:space="0" w:color="000000"/>
              <w:left w:val="single" w:sz="4" w:space="0" w:color="FFFFFF"/>
              <w:bottom w:val="single" w:sz="4" w:space="0" w:color="000000"/>
            </w:tcBorders>
            <w:shd w:val="clear" w:color="auto" w:fill="EFF3FF"/>
            <w:tcMar>
              <w:top w:w="0" w:type="dxa"/>
              <w:left w:w="40" w:type="dxa"/>
              <w:bottom w:w="0" w:type="dxa"/>
              <w:right w:w="40" w:type="dxa"/>
            </w:tcMar>
            <w:vAlign w:val="bottom"/>
            <w:hideMark/>
          </w:tcPr>
          <w:p w:rsidR="002A4F8B" w:rsidRPr="00CF1ABD" w:rsidRDefault="002A4F8B" w:rsidP="00302454">
            <w:pPr>
              <w:pStyle w:val="TableColumnHeadings"/>
              <w:rPr>
                <w:rStyle w:val="Strong"/>
              </w:rPr>
            </w:pPr>
            <w:r w:rsidRPr="00CF1ABD">
              <w:rPr>
                <w:rStyle w:val="Strong"/>
              </w:rPr>
              <w:t>Persons 4-17 years (%)</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Social phobia</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0.9</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2.1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1.4</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0.8</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1.7</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1.2</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0.8</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1.9</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1.3</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Separation anxiety</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4.0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3.5</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1.7</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2.7</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3.8</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2.9</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Generalised anxiety</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0.8</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0.7</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0.9</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1.2</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Obsessive-compulsive disorder</w:t>
            </w:r>
          </w:p>
        </w:tc>
        <w:tc>
          <w:tcPr>
            <w:tcW w:w="825" w:type="dxa"/>
            <w:shd w:val="clear" w:color="auto" w:fill="FFFFFF"/>
            <w:tcMar>
              <w:top w:w="0" w:type="dxa"/>
              <w:left w:w="40" w:type="dxa"/>
              <w:bottom w:w="0" w:type="dxa"/>
              <w:right w:w="40" w:type="dxa"/>
            </w:tcMar>
            <w:vAlign w:val="bottom"/>
          </w:tcPr>
          <w:p w:rsidR="002A4F8B" w:rsidRDefault="002A4F8B" w:rsidP="00302454">
            <w:pPr>
              <w:pStyle w:val="TableDataCell"/>
              <w:rPr>
                <w:rFonts w:eastAsiaTheme="minorEastAsia"/>
              </w:rPr>
            </w:pPr>
            <w:r>
              <w:rPr>
                <w:rFonts w:eastAsiaTheme="minorEastAsia"/>
              </w:rPr>
              <w:t>np</w:t>
            </w:r>
          </w:p>
        </w:tc>
        <w:tc>
          <w:tcPr>
            <w:tcW w:w="825" w:type="dxa"/>
            <w:shd w:val="clear" w:color="auto" w:fill="FFFFFF"/>
            <w:tcMar>
              <w:top w:w="0" w:type="dxa"/>
              <w:left w:w="40" w:type="dxa"/>
              <w:bottom w:w="0" w:type="dxa"/>
              <w:right w:w="40" w:type="dxa"/>
            </w:tcMar>
            <w:vAlign w:val="bottom"/>
          </w:tcPr>
          <w:p w:rsidR="002A4F8B" w:rsidRDefault="002A4F8B" w:rsidP="00302454">
            <w:pPr>
              <w:pStyle w:val="TableDataCell"/>
              <w:rPr>
                <w:rFonts w:eastAsiaTheme="minorEastAsia"/>
              </w:rPr>
            </w:pPr>
            <w:r>
              <w:rPr>
                <w:rFonts w:eastAsiaTheme="minorEastAsia"/>
              </w:rPr>
              <w:t>np</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0.2</w:t>
            </w:r>
          </w:p>
        </w:tc>
        <w:tc>
          <w:tcPr>
            <w:tcW w:w="825" w:type="dxa"/>
            <w:shd w:val="clear" w:color="auto" w:fill="FFFFFF"/>
            <w:tcMar>
              <w:top w:w="0" w:type="dxa"/>
              <w:left w:w="40" w:type="dxa"/>
              <w:bottom w:w="0" w:type="dxa"/>
              <w:right w:w="40" w:type="dxa"/>
            </w:tcMar>
            <w:vAlign w:val="bottom"/>
          </w:tcPr>
          <w:p w:rsidR="002A4F8B" w:rsidRDefault="002A4F8B" w:rsidP="00302454">
            <w:pPr>
              <w:pStyle w:val="TableDataCell"/>
              <w:rPr>
                <w:rFonts w:eastAsiaTheme="minorEastAsia"/>
              </w:rPr>
            </w:pPr>
            <w:r>
              <w:rPr>
                <w:rFonts w:eastAsiaTheme="minorEastAsia"/>
              </w:rPr>
              <w:t>np</w:t>
            </w:r>
          </w:p>
        </w:tc>
        <w:tc>
          <w:tcPr>
            <w:tcW w:w="825" w:type="dxa"/>
            <w:shd w:val="clear" w:color="auto" w:fill="FFFFFF"/>
            <w:tcMar>
              <w:top w:w="0" w:type="dxa"/>
              <w:left w:w="40" w:type="dxa"/>
              <w:bottom w:w="0" w:type="dxa"/>
              <w:right w:w="40" w:type="dxa"/>
            </w:tcMar>
            <w:vAlign w:val="bottom"/>
          </w:tcPr>
          <w:p w:rsidR="002A4F8B" w:rsidRDefault="002A4F8B" w:rsidP="00302454">
            <w:pPr>
              <w:pStyle w:val="TableDataCell"/>
              <w:rPr>
                <w:rFonts w:eastAsiaTheme="minorEastAsia"/>
              </w:rPr>
            </w:pPr>
            <w:r>
              <w:rPr>
                <w:rFonts w:eastAsiaTheme="minorEastAsia"/>
              </w:rPr>
              <w:t>np</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0.2</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0.2</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Major depressive disorder</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0.5</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4.7</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2.4</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0.6</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3.8</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2.0</w:t>
            </w:r>
          </w:p>
        </w:tc>
      </w:tr>
      <w:tr w:rsidR="002A4F8B" w:rsidTr="00302454">
        <w:trPr>
          <w:cantSplit/>
          <w:jc w:val="center"/>
        </w:trPr>
        <w:tc>
          <w:tcPr>
            <w:tcW w:w="1701" w:type="dxa"/>
            <w:tcBorders>
              <w:top w:val="nil"/>
              <w:bottom w:val="single" w:sz="4" w:space="0" w:color="FFFFFF"/>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Conduct disorder</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1.2</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1.0</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c>
          <w:tcPr>
            <w:tcW w:w="825" w:type="dxa"/>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1.1</w:t>
            </w:r>
          </w:p>
        </w:tc>
      </w:tr>
      <w:tr w:rsidR="002A4F8B" w:rsidTr="00302454">
        <w:trPr>
          <w:cantSplit/>
          <w:jc w:val="center"/>
        </w:trPr>
        <w:tc>
          <w:tcPr>
            <w:tcW w:w="1701" w:type="dxa"/>
            <w:tcBorders>
              <w:top w:val="nil"/>
              <w:bottom w:val="single" w:sz="6" w:space="0" w:color="000000"/>
              <w:right w:val="nil"/>
            </w:tcBorders>
            <w:shd w:val="clear" w:color="auto" w:fill="EFF3FF"/>
            <w:tcMar>
              <w:top w:w="0" w:type="dxa"/>
              <w:left w:w="40" w:type="dxa"/>
              <w:bottom w:w="0" w:type="dxa"/>
              <w:right w:w="40" w:type="dxa"/>
            </w:tcMar>
            <w:hideMark/>
          </w:tcPr>
          <w:p w:rsidR="002A4F8B" w:rsidRDefault="002A4F8B" w:rsidP="00302454">
            <w:pPr>
              <w:pStyle w:val="TableRowHeadings"/>
              <w:rPr>
                <w:rFonts w:eastAsiaTheme="minorEastAsia"/>
              </w:rPr>
            </w:pPr>
            <w:r>
              <w:t>ADHD</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8.6</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6.9</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7.9</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4.0</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1.8</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3.1</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6.3</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4.5</w:t>
            </w:r>
          </w:p>
        </w:tc>
        <w:tc>
          <w:tcPr>
            <w:tcW w:w="825" w:type="dxa"/>
            <w:tcBorders>
              <w:top w:val="nil"/>
              <w:left w:val="nil"/>
              <w:bottom w:val="single" w:sz="6" w:space="0" w:color="000000"/>
              <w:right w:val="nil"/>
            </w:tcBorders>
            <w:shd w:val="clear" w:color="auto" w:fill="FFFFFF"/>
            <w:tcMar>
              <w:top w:w="0" w:type="dxa"/>
              <w:left w:w="40" w:type="dxa"/>
              <w:bottom w:w="0" w:type="dxa"/>
              <w:right w:w="40" w:type="dxa"/>
            </w:tcMar>
            <w:vAlign w:val="bottom"/>
            <w:hideMark/>
          </w:tcPr>
          <w:p w:rsidR="002A4F8B" w:rsidRDefault="002A4F8B" w:rsidP="00302454">
            <w:pPr>
              <w:pStyle w:val="TableDataCell"/>
              <w:rPr>
                <w:rFonts w:eastAsiaTheme="minorEastAsia"/>
              </w:rPr>
            </w:pPr>
            <w:r>
              <w:t>5.5</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Heading2"/>
        <w:pageBreakBefore/>
      </w:pPr>
      <w:bookmarkStart w:id="329" w:name="_Toc414878917"/>
      <w:bookmarkStart w:id="330" w:name="_Toc414879489"/>
      <w:r>
        <w:lastRenderedPageBreak/>
        <w:t>Major depressive disorder</w:t>
      </w:r>
      <w:bookmarkEnd w:id="329"/>
      <w:bookmarkEnd w:id="330"/>
    </w:p>
    <w:p w:rsidR="002A4F8B" w:rsidRDefault="002A4F8B" w:rsidP="002A4F8B">
      <w:pPr>
        <w:pStyle w:val="Caption"/>
        <w:keepNext/>
      </w:pPr>
      <w:bookmarkStart w:id="331" w:name="_Toc414878918"/>
      <w:bookmarkStart w:id="332" w:name="_Toc414879490"/>
      <w:r>
        <w:t>Table S-</w:t>
      </w:r>
      <w:r>
        <w:rPr>
          <w:noProof/>
        </w:rPr>
        <w:t>19</w:t>
      </w:r>
      <w:r>
        <w:t xml:space="preserve">: </w:t>
      </w:r>
      <w:r w:rsidRPr="00C925BF">
        <w:t>12-month prevalence of m</w:t>
      </w:r>
      <w:r>
        <w:t>ajor depressive</w:t>
      </w:r>
      <w:r w:rsidRPr="00C925BF">
        <w:t xml:space="preserve"> disorder among 4-17 year-olds by country of birth of child or adolescent</w:t>
      </w:r>
      <w:bookmarkEnd w:id="331"/>
      <w:bookmarkEnd w:id="332"/>
    </w:p>
    <w:tbl>
      <w:tblPr>
        <w:tblW w:w="9141" w:type="dxa"/>
        <w:jc w:val="center"/>
        <w:tblLayout w:type="fixed"/>
        <w:tblCellMar>
          <w:left w:w="0" w:type="dxa"/>
          <w:right w:w="0" w:type="dxa"/>
        </w:tblCellMar>
        <w:tblLook w:val="0020" w:firstRow="1" w:lastRow="0" w:firstColumn="0" w:lastColumn="0" w:noHBand="0" w:noVBand="0"/>
        <w:tblDescription w:val="In Table S-19 the first column defines country of birth of the child or adolescent. Read across the rows for the prevalence of major depressive disorder in each group."/>
      </w:tblPr>
      <w:tblGrid>
        <w:gridCol w:w="7026"/>
        <w:gridCol w:w="2115"/>
      </w:tblGrid>
      <w:tr w:rsidR="002A4F8B" w:rsidRPr="00A8044C"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Child or adolescent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A8044C"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A8044C" w:rsidRDefault="002A4F8B" w:rsidP="00302454">
            <w:pPr>
              <w:pStyle w:val="TableRowHeadings"/>
              <w:rPr>
                <w:lang w:eastAsia="en-AU"/>
              </w:rPr>
            </w:pPr>
            <w:r w:rsidRPr="00A8044C">
              <w:rPr>
                <w:lang w:eastAsia="en-AU"/>
              </w:rPr>
              <w:t>Australia</w:t>
            </w:r>
          </w:p>
        </w:tc>
        <w:tc>
          <w:tcPr>
            <w:tcW w:w="2115" w:type="dxa"/>
            <w:tcBorders>
              <w:top w:val="nil"/>
              <w:left w:val="nil"/>
              <w:bottom w:val="nil"/>
              <w:right w:val="nil"/>
            </w:tcBorders>
            <w:shd w:val="clear" w:color="auto" w:fill="FFFFFF"/>
            <w:tcMar>
              <w:left w:w="40" w:type="dxa"/>
              <w:right w:w="40" w:type="dxa"/>
            </w:tcMar>
            <w:vAlign w:val="bottom"/>
          </w:tcPr>
          <w:p w:rsidR="002A4F8B" w:rsidRPr="00A8044C" w:rsidRDefault="002A4F8B" w:rsidP="00302454">
            <w:pPr>
              <w:pStyle w:val="TableDataCell"/>
              <w:rPr>
                <w:lang w:eastAsia="en-AU"/>
              </w:rPr>
            </w:pPr>
            <w:r w:rsidRPr="00A8044C">
              <w:rPr>
                <w:lang w:eastAsia="en-AU"/>
              </w:rPr>
              <w:t>3.0</w:t>
            </w:r>
          </w:p>
        </w:tc>
      </w:tr>
      <w:tr w:rsidR="002A4F8B" w:rsidRPr="00A8044C"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A8044C" w:rsidRDefault="002A4F8B" w:rsidP="00302454">
            <w:pPr>
              <w:pStyle w:val="TableRowHeadings"/>
              <w:rPr>
                <w:lang w:eastAsia="en-AU"/>
              </w:rPr>
            </w:pPr>
            <w:r w:rsidRPr="00A8044C">
              <w:rPr>
                <w:lang w:eastAsia="en-AU"/>
              </w:rPr>
              <w:t>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A8044C" w:rsidRDefault="002A4F8B" w:rsidP="00302454">
            <w:pPr>
              <w:pStyle w:val="TableDataCell"/>
              <w:rPr>
                <w:lang w:eastAsia="en-AU"/>
              </w:rPr>
            </w:pPr>
            <w:r w:rsidRPr="00A8044C">
              <w:rPr>
                <w:lang w:eastAsia="en-AU"/>
              </w:rPr>
              <w:t>1.3</w:t>
            </w:r>
          </w:p>
        </w:tc>
      </w:tr>
    </w:tbl>
    <w:p w:rsidR="002A4F8B" w:rsidRDefault="002A4F8B" w:rsidP="002A4F8B">
      <w:pPr>
        <w:pStyle w:val="Caption"/>
        <w:keepNext/>
      </w:pPr>
      <w:bookmarkStart w:id="333" w:name="_Toc414878919"/>
      <w:bookmarkStart w:id="334" w:name="_Toc414879491"/>
      <w:r>
        <w:t>Table S-</w:t>
      </w:r>
      <w:r>
        <w:rPr>
          <w:noProof/>
        </w:rPr>
        <w:t>20</w:t>
      </w:r>
      <w:r>
        <w:t xml:space="preserve">: </w:t>
      </w:r>
      <w:r w:rsidRPr="004D4261">
        <w:t>12-month prevalence of m</w:t>
      </w:r>
      <w:r>
        <w:t>ajor depressive</w:t>
      </w:r>
      <w:r w:rsidRPr="004D4261">
        <w:t xml:space="preserve"> disorder among 4-17 year-olds by country of birth of </w:t>
      </w:r>
      <w:r>
        <w:t>parents or carers</w:t>
      </w:r>
      <w:bookmarkEnd w:id="333"/>
      <w:bookmarkEnd w:id="334"/>
    </w:p>
    <w:tbl>
      <w:tblPr>
        <w:tblW w:w="9141" w:type="dxa"/>
        <w:jc w:val="center"/>
        <w:tblLayout w:type="fixed"/>
        <w:tblCellMar>
          <w:left w:w="0" w:type="dxa"/>
          <w:right w:w="0" w:type="dxa"/>
        </w:tblCellMar>
        <w:tblLook w:val="0020" w:firstRow="1" w:lastRow="0" w:firstColumn="0" w:lastColumn="0" w:noHBand="0" w:noVBand="0"/>
        <w:tblDescription w:val="In Table S-20 the first column defines country of birth of the parent or carer. Read across the rows for the prevalence of major depressive disorder in each group."/>
      </w:tblPr>
      <w:tblGrid>
        <w:gridCol w:w="7026"/>
        <w:gridCol w:w="2115"/>
      </w:tblGrid>
      <w:tr w:rsidR="002A4F8B" w:rsidRPr="00D30B5E"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Parent or carer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D30B5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30B5E" w:rsidRDefault="002A4F8B" w:rsidP="00302454">
            <w:pPr>
              <w:pStyle w:val="TableRowHeadings"/>
              <w:rPr>
                <w:lang w:eastAsia="en-AU"/>
              </w:rPr>
            </w:pPr>
            <w:r w:rsidRPr="00D30B5E">
              <w:rPr>
                <w:lang w:eastAsia="en-AU"/>
              </w:rPr>
              <w:t>Both carers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D30B5E" w:rsidRDefault="002A4F8B" w:rsidP="00302454">
            <w:pPr>
              <w:pStyle w:val="TableDataCell"/>
              <w:rPr>
                <w:lang w:eastAsia="en-AU"/>
              </w:rPr>
            </w:pPr>
            <w:r w:rsidRPr="00D30B5E">
              <w:rPr>
                <w:lang w:eastAsia="en-AU"/>
              </w:rPr>
              <w:t>2.3</w:t>
            </w:r>
          </w:p>
        </w:tc>
      </w:tr>
      <w:tr w:rsidR="002A4F8B" w:rsidRPr="00D30B5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30B5E" w:rsidRDefault="002A4F8B" w:rsidP="00302454">
            <w:pPr>
              <w:pStyle w:val="TableRowHeadings"/>
              <w:rPr>
                <w:lang w:eastAsia="en-AU"/>
              </w:rPr>
            </w:pPr>
            <w:r>
              <w:rPr>
                <w:lang w:eastAsia="en-AU"/>
              </w:rPr>
              <w:t>One carer born in Australia, o</w:t>
            </w:r>
            <w:r w:rsidRPr="00D30B5E">
              <w:rPr>
                <w:lang w:eastAsia="en-AU"/>
              </w:rPr>
              <w:t>ne carer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D30B5E" w:rsidRDefault="002A4F8B" w:rsidP="00302454">
            <w:pPr>
              <w:pStyle w:val="TableDataCell"/>
              <w:rPr>
                <w:lang w:eastAsia="en-AU"/>
              </w:rPr>
            </w:pPr>
            <w:r w:rsidRPr="00D30B5E">
              <w:rPr>
                <w:lang w:eastAsia="en-AU"/>
              </w:rPr>
              <w:t>2.8</w:t>
            </w:r>
          </w:p>
        </w:tc>
      </w:tr>
      <w:tr w:rsidR="002A4F8B" w:rsidRPr="00D30B5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30B5E" w:rsidRDefault="002A4F8B" w:rsidP="00302454">
            <w:pPr>
              <w:pStyle w:val="TableRowHeadings"/>
              <w:rPr>
                <w:lang w:eastAsia="en-AU"/>
              </w:rPr>
            </w:pPr>
            <w:r w:rsidRPr="00D30B5E">
              <w:rPr>
                <w:lang w:eastAsia="en-AU"/>
              </w:rPr>
              <w:t>Both carers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D30B5E" w:rsidRDefault="002A4F8B" w:rsidP="00302454">
            <w:pPr>
              <w:pStyle w:val="TableDataCell"/>
              <w:rPr>
                <w:lang w:eastAsia="en-AU"/>
              </w:rPr>
            </w:pPr>
            <w:r w:rsidRPr="00D30B5E">
              <w:rPr>
                <w:lang w:eastAsia="en-AU"/>
              </w:rPr>
              <w:t>1.0</w:t>
            </w:r>
          </w:p>
        </w:tc>
      </w:tr>
      <w:tr w:rsidR="002A4F8B" w:rsidRPr="00D30B5E"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30B5E" w:rsidRDefault="002A4F8B" w:rsidP="00302454">
            <w:pPr>
              <w:pStyle w:val="TableRowHeadings"/>
              <w:rPr>
                <w:lang w:eastAsia="en-AU"/>
              </w:rPr>
            </w:pPr>
            <w:r w:rsidRPr="00D30B5E">
              <w:rPr>
                <w:lang w:eastAsia="en-AU"/>
              </w:rPr>
              <w:t>Sole carer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D30B5E" w:rsidRDefault="002A4F8B" w:rsidP="00302454">
            <w:pPr>
              <w:pStyle w:val="TableDataCell"/>
              <w:rPr>
                <w:lang w:eastAsia="en-AU"/>
              </w:rPr>
            </w:pPr>
            <w:r w:rsidRPr="00D30B5E">
              <w:rPr>
                <w:lang w:eastAsia="en-AU"/>
              </w:rPr>
              <w:t>6.2</w:t>
            </w:r>
          </w:p>
        </w:tc>
      </w:tr>
      <w:tr w:rsidR="002A4F8B" w:rsidRPr="00D30B5E"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D30B5E" w:rsidRDefault="002A4F8B" w:rsidP="00302454">
            <w:pPr>
              <w:pStyle w:val="TableRowHeadings"/>
              <w:rPr>
                <w:lang w:eastAsia="en-AU"/>
              </w:rPr>
            </w:pPr>
            <w:r w:rsidRPr="00D30B5E">
              <w:rPr>
                <w:lang w:eastAsia="en-AU"/>
              </w:rPr>
              <w:t>Sole carer born 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D30B5E" w:rsidRDefault="002A4F8B" w:rsidP="00302454">
            <w:pPr>
              <w:pStyle w:val="TableDataCell"/>
              <w:rPr>
                <w:lang w:eastAsia="en-AU"/>
              </w:rPr>
            </w:pPr>
            <w:r w:rsidRPr="00D30B5E">
              <w:rPr>
                <w:lang w:eastAsia="en-AU"/>
              </w:rPr>
              <w:t>3.0</w:t>
            </w:r>
          </w:p>
        </w:tc>
      </w:tr>
    </w:tbl>
    <w:p w:rsidR="002A4F8B" w:rsidRDefault="002A4F8B" w:rsidP="002A4F8B">
      <w:pPr>
        <w:pStyle w:val="Caption"/>
        <w:keepNext/>
      </w:pPr>
      <w:bookmarkStart w:id="335" w:name="_Toc414878920"/>
      <w:bookmarkStart w:id="336" w:name="_Toc414879492"/>
      <w:r>
        <w:t>Table S-</w:t>
      </w:r>
      <w:r>
        <w:rPr>
          <w:noProof/>
        </w:rPr>
        <w:t>21</w:t>
      </w:r>
      <w:r>
        <w:t xml:space="preserve">: </w:t>
      </w:r>
      <w:r w:rsidRPr="00CC41C7">
        <w:t xml:space="preserve">12-month prevalence of </w:t>
      </w:r>
      <w:r>
        <w:t>major depressive</w:t>
      </w:r>
      <w:r w:rsidRPr="00CC41C7">
        <w:t xml:space="preserve"> disorder among 4-17 year-olds by housing tenure</w:t>
      </w:r>
      <w:bookmarkEnd w:id="335"/>
      <w:bookmarkEnd w:id="336"/>
    </w:p>
    <w:tbl>
      <w:tblPr>
        <w:tblW w:w="9141" w:type="dxa"/>
        <w:jc w:val="center"/>
        <w:tblLayout w:type="fixed"/>
        <w:tblCellMar>
          <w:left w:w="0" w:type="dxa"/>
          <w:right w:w="0" w:type="dxa"/>
        </w:tblCellMar>
        <w:tblLook w:val="0020" w:firstRow="1" w:lastRow="0" w:firstColumn="0" w:lastColumn="0" w:noHBand="0" w:noVBand="0"/>
        <w:tblDescription w:val="In Table S-21 the first column defines housing tenure. Read across the rows for the prevalence of major depressive disorder in each group."/>
      </w:tblPr>
      <w:tblGrid>
        <w:gridCol w:w="7026"/>
        <w:gridCol w:w="2115"/>
      </w:tblGrid>
      <w:tr w:rsidR="002A4F8B" w:rsidRPr="00600854"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Housing tenure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600854"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600854" w:rsidRDefault="002A4F8B" w:rsidP="00302454">
            <w:pPr>
              <w:pStyle w:val="TableRowHeadings"/>
              <w:rPr>
                <w:lang w:eastAsia="en-AU"/>
              </w:rPr>
            </w:pPr>
            <w:r w:rsidRPr="00600854">
              <w:rPr>
                <w:lang w:eastAsia="en-AU"/>
              </w:rPr>
              <w:t>Owned outright</w:t>
            </w:r>
          </w:p>
        </w:tc>
        <w:tc>
          <w:tcPr>
            <w:tcW w:w="2115" w:type="dxa"/>
            <w:tcBorders>
              <w:top w:val="nil"/>
              <w:left w:val="nil"/>
              <w:bottom w:val="nil"/>
              <w:right w:val="nil"/>
            </w:tcBorders>
            <w:shd w:val="clear" w:color="auto" w:fill="FFFFFF"/>
            <w:tcMar>
              <w:left w:w="40" w:type="dxa"/>
              <w:right w:w="40" w:type="dxa"/>
            </w:tcMar>
            <w:vAlign w:val="bottom"/>
          </w:tcPr>
          <w:p w:rsidR="002A4F8B" w:rsidRPr="00600854" w:rsidRDefault="002A4F8B" w:rsidP="00302454">
            <w:pPr>
              <w:pStyle w:val="TableDataCell"/>
              <w:rPr>
                <w:lang w:eastAsia="en-AU"/>
              </w:rPr>
            </w:pPr>
            <w:r w:rsidRPr="00600854">
              <w:rPr>
                <w:lang w:eastAsia="en-AU"/>
              </w:rPr>
              <w:t>2.7</w:t>
            </w:r>
          </w:p>
        </w:tc>
      </w:tr>
      <w:tr w:rsidR="002A4F8B" w:rsidRPr="00600854"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600854" w:rsidRDefault="002A4F8B" w:rsidP="00302454">
            <w:pPr>
              <w:pStyle w:val="TableRowHeadings"/>
              <w:rPr>
                <w:lang w:eastAsia="en-AU"/>
              </w:rPr>
            </w:pPr>
            <w:r w:rsidRPr="00600854">
              <w:rPr>
                <w:lang w:eastAsia="en-AU"/>
              </w:rPr>
              <w:t>Owned with a mortgage</w:t>
            </w:r>
          </w:p>
        </w:tc>
        <w:tc>
          <w:tcPr>
            <w:tcW w:w="2115" w:type="dxa"/>
            <w:tcBorders>
              <w:top w:val="nil"/>
              <w:left w:val="nil"/>
              <w:bottom w:val="nil"/>
              <w:right w:val="nil"/>
            </w:tcBorders>
            <w:shd w:val="clear" w:color="auto" w:fill="FFFFFF"/>
            <w:tcMar>
              <w:left w:w="40" w:type="dxa"/>
              <w:right w:w="40" w:type="dxa"/>
            </w:tcMar>
            <w:vAlign w:val="bottom"/>
          </w:tcPr>
          <w:p w:rsidR="002A4F8B" w:rsidRPr="00600854" w:rsidRDefault="002A4F8B" w:rsidP="00302454">
            <w:pPr>
              <w:pStyle w:val="TableDataCell"/>
              <w:rPr>
                <w:lang w:eastAsia="en-AU"/>
              </w:rPr>
            </w:pPr>
            <w:r w:rsidRPr="00600854">
              <w:rPr>
                <w:lang w:eastAsia="en-AU"/>
              </w:rPr>
              <w:t>2.1</w:t>
            </w:r>
          </w:p>
        </w:tc>
      </w:tr>
      <w:tr w:rsidR="002A4F8B" w:rsidRPr="00600854"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2115" w:type="dxa"/>
            <w:tcBorders>
              <w:top w:val="nil"/>
              <w:left w:val="nil"/>
              <w:bottom w:val="nil"/>
              <w:right w:val="nil"/>
            </w:tcBorders>
            <w:shd w:val="clear" w:color="auto" w:fill="FFFFFF"/>
            <w:tcMar>
              <w:left w:w="40" w:type="dxa"/>
              <w:right w:w="40" w:type="dxa"/>
            </w:tcMar>
            <w:vAlign w:val="bottom"/>
          </w:tcPr>
          <w:p w:rsidR="002A4F8B" w:rsidRPr="00600854" w:rsidRDefault="002A4F8B" w:rsidP="00302454">
            <w:pPr>
              <w:pStyle w:val="TableDataCell"/>
              <w:rPr>
                <w:lang w:eastAsia="en-AU"/>
              </w:rPr>
            </w:pPr>
            <w:r w:rsidRPr="00600854">
              <w:rPr>
                <w:lang w:eastAsia="en-AU"/>
              </w:rPr>
              <w:t>6.3</w:t>
            </w:r>
          </w:p>
        </w:tc>
      </w:tr>
      <w:tr w:rsidR="002A4F8B" w:rsidRPr="00600854"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2115" w:type="dxa"/>
            <w:tcBorders>
              <w:top w:val="nil"/>
              <w:left w:val="nil"/>
              <w:bottom w:val="nil"/>
              <w:right w:val="nil"/>
            </w:tcBorders>
            <w:shd w:val="clear" w:color="auto" w:fill="FFFFFF"/>
            <w:tcMar>
              <w:left w:w="40" w:type="dxa"/>
              <w:right w:w="40" w:type="dxa"/>
            </w:tcMar>
            <w:vAlign w:val="bottom"/>
          </w:tcPr>
          <w:p w:rsidR="002A4F8B" w:rsidRPr="00600854" w:rsidRDefault="002A4F8B" w:rsidP="00302454">
            <w:pPr>
              <w:pStyle w:val="TableDataCell"/>
              <w:rPr>
                <w:lang w:eastAsia="en-AU"/>
              </w:rPr>
            </w:pPr>
            <w:r w:rsidRPr="00600854">
              <w:rPr>
                <w:lang w:eastAsia="en-AU"/>
              </w:rPr>
              <w:t>3.5</w:t>
            </w:r>
          </w:p>
        </w:tc>
      </w:tr>
      <w:tr w:rsidR="002A4F8B" w:rsidRPr="00600854"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600854" w:rsidRDefault="002A4F8B" w:rsidP="00302454">
            <w:pPr>
              <w:pStyle w:val="TableRowHeadings"/>
              <w:rPr>
                <w:lang w:eastAsia="en-AU"/>
              </w:rPr>
            </w:pPr>
            <w:r w:rsidRPr="00600854">
              <w:rPr>
                <w:lang w:eastAsia="en-AU"/>
              </w:rPr>
              <w:t>Other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600854" w:rsidRDefault="002A4F8B" w:rsidP="00302454">
            <w:pPr>
              <w:pStyle w:val="TableDataCell"/>
              <w:rPr>
                <w:lang w:eastAsia="en-AU"/>
              </w:rPr>
            </w:pPr>
            <w:r w:rsidRPr="00600854">
              <w:rPr>
                <w:lang w:eastAsia="en-AU"/>
              </w:rPr>
              <w:t>4.4</w:t>
            </w:r>
          </w:p>
        </w:tc>
      </w:tr>
    </w:tbl>
    <w:p w:rsidR="002A4F8B" w:rsidRDefault="002A4F8B" w:rsidP="002A4F8B">
      <w:pPr>
        <w:pStyle w:val="Caption"/>
        <w:keepNext/>
      </w:pPr>
      <w:bookmarkStart w:id="337" w:name="_Toc414878921"/>
      <w:bookmarkStart w:id="338" w:name="_Toc414879493"/>
      <w:r>
        <w:t>Table S-</w:t>
      </w:r>
      <w:r>
        <w:rPr>
          <w:noProof/>
        </w:rPr>
        <w:t>22</w:t>
      </w:r>
      <w:r>
        <w:t xml:space="preserve">: </w:t>
      </w:r>
      <w:r w:rsidRPr="002055C0">
        <w:t>12-month prevalence of m</w:t>
      </w:r>
      <w:r>
        <w:t>ajor depressive</w:t>
      </w:r>
      <w:r w:rsidRPr="002055C0">
        <w:t xml:space="preserve"> disorder among 4-17 year-olds by remoteness area</w:t>
      </w:r>
      <w:bookmarkEnd w:id="337"/>
      <w:bookmarkEnd w:id="338"/>
    </w:p>
    <w:tbl>
      <w:tblPr>
        <w:tblW w:w="9141" w:type="dxa"/>
        <w:jc w:val="center"/>
        <w:tblLayout w:type="fixed"/>
        <w:tblCellMar>
          <w:left w:w="0" w:type="dxa"/>
          <w:right w:w="0" w:type="dxa"/>
        </w:tblCellMar>
        <w:tblLook w:val="0020" w:firstRow="1" w:lastRow="0" w:firstColumn="0" w:lastColumn="0" w:noHBand="0" w:noVBand="0"/>
        <w:tblDescription w:val="In Table S-22 the first column defines remoteness area. Read across the rows for the prevalence of major depressive disorder in each group."/>
      </w:tblPr>
      <w:tblGrid>
        <w:gridCol w:w="7026"/>
        <w:gridCol w:w="2115"/>
      </w:tblGrid>
      <w:tr w:rsidR="002A4F8B" w:rsidRPr="003B6DAA"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Remoteness area</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3B6DAA"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B6DAA" w:rsidRDefault="002A4F8B" w:rsidP="00302454">
            <w:pPr>
              <w:pStyle w:val="TableRowHeadings"/>
              <w:rPr>
                <w:lang w:eastAsia="en-AU"/>
              </w:rPr>
            </w:pPr>
            <w:r w:rsidRPr="003B6DAA">
              <w:rPr>
                <w:lang w:eastAsia="en-AU"/>
              </w:rPr>
              <w:t>Major Cities of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B6DAA" w:rsidRDefault="002A4F8B" w:rsidP="00302454">
            <w:pPr>
              <w:pStyle w:val="TableDataCell"/>
              <w:rPr>
                <w:lang w:eastAsia="en-AU"/>
              </w:rPr>
            </w:pPr>
            <w:r w:rsidRPr="003B6DAA">
              <w:rPr>
                <w:lang w:eastAsia="en-AU"/>
              </w:rPr>
              <w:t>2.7</w:t>
            </w:r>
          </w:p>
        </w:tc>
      </w:tr>
      <w:tr w:rsidR="002A4F8B" w:rsidRPr="003B6DAA"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B6DAA" w:rsidRDefault="002A4F8B" w:rsidP="00302454">
            <w:pPr>
              <w:pStyle w:val="TableRowHeadings"/>
              <w:rPr>
                <w:lang w:eastAsia="en-AU"/>
              </w:rPr>
            </w:pPr>
            <w:r w:rsidRPr="003B6DAA">
              <w:rPr>
                <w:lang w:eastAsia="en-AU"/>
              </w:rPr>
              <w:t>Inner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B6DAA" w:rsidRDefault="002A4F8B" w:rsidP="00302454">
            <w:pPr>
              <w:pStyle w:val="TableDataCell"/>
              <w:rPr>
                <w:lang w:eastAsia="en-AU"/>
              </w:rPr>
            </w:pPr>
            <w:r w:rsidRPr="003B6DAA">
              <w:rPr>
                <w:lang w:eastAsia="en-AU"/>
              </w:rPr>
              <w:t>2.8</w:t>
            </w:r>
          </w:p>
        </w:tc>
      </w:tr>
      <w:tr w:rsidR="002A4F8B" w:rsidRPr="003B6DAA"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3B6DAA" w:rsidRDefault="002A4F8B" w:rsidP="00302454">
            <w:pPr>
              <w:pStyle w:val="TableRowHeadings"/>
              <w:rPr>
                <w:lang w:eastAsia="en-AU"/>
              </w:rPr>
            </w:pPr>
            <w:r w:rsidRPr="003B6DAA">
              <w:rPr>
                <w:lang w:eastAsia="en-AU"/>
              </w:rPr>
              <w:t>Outer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3B6DAA" w:rsidRDefault="002A4F8B" w:rsidP="00302454">
            <w:pPr>
              <w:pStyle w:val="TableDataCell"/>
              <w:rPr>
                <w:lang w:eastAsia="en-AU"/>
              </w:rPr>
            </w:pPr>
            <w:r w:rsidRPr="003B6DAA">
              <w:rPr>
                <w:lang w:eastAsia="en-AU"/>
              </w:rPr>
              <w:t>3.3</w:t>
            </w:r>
          </w:p>
        </w:tc>
      </w:tr>
      <w:tr w:rsidR="002A4F8B" w:rsidRPr="003B6DAA"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3B6DAA" w:rsidRDefault="002A4F8B" w:rsidP="00302454">
            <w:pPr>
              <w:pStyle w:val="TableRowHeadings"/>
              <w:rPr>
                <w:lang w:eastAsia="en-AU"/>
              </w:rPr>
            </w:pPr>
            <w:r w:rsidRPr="003B6DAA">
              <w:rPr>
                <w:lang w:eastAsia="en-AU"/>
              </w:rPr>
              <w:t>Remote Australia</w:t>
            </w:r>
            <w:r>
              <w:rPr>
                <w:lang w:eastAsia="en-AU"/>
              </w:rPr>
              <w:t xml:space="preserve"> or Very Remote Australia</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3B6DAA" w:rsidRDefault="002A4F8B" w:rsidP="00302454">
            <w:pPr>
              <w:pStyle w:val="TableDataCell"/>
              <w:rPr>
                <w:lang w:eastAsia="en-AU"/>
              </w:rPr>
            </w:pPr>
            <w:r w:rsidRPr="003B6DAA">
              <w:rPr>
                <w:lang w:eastAsia="en-AU"/>
              </w:rPr>
              <w:t>4.4</w:t>
            </w:r>
          </w:p>
        </w:tc>
      </w:tr>
    </w:tbl>
    <w:p w:rsidR="002A4F8B" w:rsidRDefault="002A4F8B" w:rsidP="002A4F8B">
      <w:pPr>
        <w:pStyle w:val="Caption"/>
        <w:keepNext/>
        <w:pageBreakBefore/>
        <w:spacing w:before="0"/>
      </w:pPr>
      <w:bookmarkStart w:id="339" w:name="_Toc414878922"/>
      <w:bookmarkStart w:id="340" w:name="_Toc414879494"/>
      <w:r>
        <w:lastRenderedPageBreak/>
        <w:t>Table S-</w:t>
      </w:r>
      <w:r>
        <w:rPr>
          <w:noProof/>
        </w:rPr>
        <w:t>23</w:t>
      </w:r>
      <w:r>
        <w:t xml:space="preserve">: </w:t>
      </w:r>
      <w:r w:rsidRPr="00A34786">
        <w:t>12-month prevalence of m</w:t>
      </w:r>
      <w:r>
        <w:t>ajor depressive</w:t>
      </w:r>
      <w:r w:rsidRPr="00A34786">
        <w:t xml:space="preserve"> disorder among 4-17 year-olds by index of relative socio-economic disadvantage</w:t>
      </w:r>
      <w:bookmarkEnd w:id="339"/>
      <w:bookmarkEnd w:id="340"/>
    </w:p>
    <w:tbl>
      <w:tblPr>
        <w:tblW w:w="9141" w:type="dxa"/>
        <w:jc w:val="center"/>
        <w:tblLayout w:type="fixed"/>
        <w:tblCellMar>
          <w:left w:w="0" w:type="dxa"/>
          <w:right w:w="0" w:type="dxa"/>
        </w:tblCellMar>
        <w:tblLook w:val="0020" w:firstRow="1" w:lastRow="0" w:firstColumn="0" w:lastColumn="0" w:noHBand="0" w:noVBand="0"/>
        <w:tblDescription w:val="In Table S-23 the first column defines index of relative socioeconomic disadvantage. Read across the rows for the prevalence of major depressive disorder in each group."/>
      </w:tblPr>
      <w:tblGrid>
        <w:gridCol w:w="7026"/>
        <w:gridCol w:w="2115"/>
      </w:tblGrid>
      <w:tr w:rsidR="002A4F8B" w:rsidRPr="007A4563"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Index of relative socio-economic disadvantage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7A4563"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7A4563" w:rsidRDefault="002A4F8B" w:rsidP="00302454">
            <w:pPr>
              <w:pStyle w:val="TableRowHeadings"/>
              <w:rPr>
                <w:lang w:eastAsia="en-AU"/>
              </w:rPr>
            </w:pPr>
            <w:r w:rsidRPr="007A4563">
              <w:rPr>
                <w:lang w:eastAsia="en-AU"/>
              </w:rPr>
              <w:t>Lowest quintile (most disadvantaged)</w:t>
            </w:r>
          </w:p>
        </w:tc>
        <w:tc>
          <w:tcPr>
            <w:tcW w:w="2115" w:type="dxa"/>
            <w:tcBorders>
              <w:top w:val="nil"/>
              <w:left w:val="nil"/>
              <w:bottom w:val="nil"/>
              <w:right w:val="nil"/>
            </w:tcBorders>
            <w:shd w:val="clear" w:color="auto" w:fill="FFFFFF"/>
            <w:tcMar>
              <w:left w:w="40" w:type="dxa"/>
              <w:right w:w="40" w:type="dxa"/>
            </w:tcMar>
            <w:vAlign w:val="bottom"/>
          </w:tcPr>
          <w:p w:rsidR="002A4F8B" w:rsidRPr="007A4563" w:rsidRDefault="002A4F8B" w:rsidP="00302454">
            <w:pPr>
              <w:pStyle w:val="TableDataCell"/>
              <w:rPr>
                <w:lang w:eastAsia="en-AU"/>
              </w:rPr>
            </w:pPr>
            <w:r w:rsidRPr="007A4563">
              <w:rPr>
                <w:lang w:eastAsia="en-AU"/>
              </w:rPr>
              <w:t>4.0</w:t>
            </w:r>
          </w:p>
        </w:tc>
      </w:tr>
      <w:tr w:rsidR="002A4F8B" w:rsidRPr="007A4563"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7A4563" w:rsidRDefault="002A4F8B" w:rsidP="00302454">
            <w:pPr>
              <w:pStyle w:val="TableRowHeadings"/>
              <w:rPr>
                <w:lang w:eastAsia="en-AU"/>
              </w:rPr>
            </w:pPr>
            <w:r w:rsidRPr="007A4563">
              <w:rPr>
                <w:lang w:eastAsia="en-AU"/>
              </w:rPr>
              <w:t>Second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7A4563" w:rsidRDefault="002A4F8B" w:rsidP="00302454">
            <w:pPr>
              <w:pStyle w:val="TableDataCell"/>
              <w:rPr>
                <w:lang w:eastAsia="en-AU"/>
              </w:rPr>
            </w:pPr>
            <w:r w:rsidRPr="007A4563">
              <w:rPr>
                <w:lang w:eastAsia="en-AU"/>
              </w:rPr>
              <w:t>2.6</w:t>
            </w:r>
          </w:p>
        </w:tc>
      </w:tr>
      <w:tr w:rsidR="002A4F8B" w:rsidRPr="007A4563"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7A4563" w:rsidRDefault="002A4F8B" w:rsidP="00302454">
            <w:pPr>
              <w:pStyle w:val="TableRowHeadings"/>
              <w:rPr>
                <w:lang w:eastAsia="en-AU"/>
              </w:rPr>
            </w:pPr>
            <w:r w:rsidRPr="007A4563">
              <w:rPr>
                <w:lang w:eastAsia="en-AU"/>
              </w:rPr>
              <w:t>Third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7A4563" w:rsidRDefault="002A4F8B" w:rsidP="00302454">
            <w:pPr>
              <w:pStyle w:val="TableDataCell"/>
              <w:rPr>
                <w:lang w:eastAsia="en-AU"/>
              </w:rPr>
            </w:pPr>
            <w:r w:rsidRPr="007A4563">
              <w:rPr>
                <w:lang w:eastAsia="en-AU"/>
              </w:rPr>
              <w:t>2.9</w:t>
            </w:r>
          </w:p>
        </w:tc>
      </w:tr>
      <w:tr w:rsidR="002A4F8B" w:rsidRPr="007A4563"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7A4563" w:rsidRDefault="002A4F8B" w:rsidP="00302454">
            <w:pPr>
              <w:pStyle w:val="TableRowHeadings"/>
              <w:rPr>
                <w:lang w:eastAsia="en-AU"/>
              </w:rPr>
            </w:pPr>
            <w:r w:rsidRPr="007A4563">
              <w:rPr>
                <w:lang w:eastAsia="en-AU"/>
              </w:rPr>
              <w:t>Fourth quintile</w:t>
            </w:r>
          </w:p>
        </w:tc>
        <w:tc>
          <w:tcPr>
            <w:tcW w:w="2115" w:type="dxa"/>
            <w:tcBorders>
              <w:top w:val="nil"/>
              <w:left w:val="nil"/>
              <w:bottom w:val="nil"/>
              <w:right w:val="nil"/>
            </w:tcBorders>
            <w:shd w:val="clear" w:color="auto" w:fill="FFFFFF"/>
            <w:tcMar>
              <w:left w:w="40" w:type="dxa"/>
              <w:right w:w="40" w:type="dxa"/>
            </w:tcMar>
            <w:vAlign w:val="bottom"/>
          </w:tcPr>
          <w:p w:rsidR="002A4F8B" w:rsidRPr="007A4563" w:rsidRDefault="002A4F8B" w:rsidP="00302454">
            <w:pPr>
              <w:pStyle w:val="TableDataCell"/>
              <w:rPr>
                <w:lang w:eastAsia="en-AU"/>
              </w:rPr>
            </w:pPr>
            <w:r w:rsidRPr="007A4563">
              <w:rPr>
                <w:lang w:eastAsia="en-AU"/>
              </w:rPr>
              <w:t>2.1</w:t>
            </w:r>
          </w:p>
        </w:tc>
      </w:tr>
      <w:tr w:rsidR="002A4F8B" w:rsidRPr="007A4563"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7A4563" w:rsidRDefault="002A4F8B" w:rsidP="00AF58FA">
            <w:pPr>
              <w:pStyle w:val="TableRowHeadings"/>
              <w:rPr>
                <w:lang w:eastAsia="en-AU"/>
              </w:rPr>
            </w:pPr>
            <w:r w:rsidRPr="007A4563">
              <w:rPr>
                <w:lang w:eastAsia="en-AU"/>
              </w:rPr>
              <w:t>Highest quintile (</w:t>
            </w:r>
            <w:r w:rsidR="00AF58FA">
              <w:rPr>
                <w:lang w:eastAsia="en-AU"/>
              </w:rPr>
              <w:t>least dis</w:t>
            </w:r>
            <w:r w:rsidRPr="007A4563">
              <w:rPr>
                <w:lang w:eastAsia="en-AU"/>
              </w:rPr>
              <w:t>advantaged)</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7A4563" w:rsidRDefault="002A4F8B" w:rsidP="00302454">
            <w:pPr>
              <w:pStyle w:val="TableDataCell"/>
              <w:rPr>
                <w:lang w:eastAsia="en-AU"/>
              </w:rPr>
            </w:pPr>
            <w:r w:rsidRPr="007A4563">
              <w:rPr>
                <w:lang w:eastAsia="en-AU"/>
              </w:rPr>
              <w:t>2.6</w:t>
            </w:r>
          </w:p>
        </w:tc>
      </w:tr>
    </w:tbl>
    <w:p w:rsidR="002A4F8B" w:rsidRDefault="002A4F8B" w:rsidP="002A4F8B">
      <w:pPr>
        <w:pStyle w:val="Heading2"/>
      </w:pPr>
      <w:bookmarkStart w:id="341" w:name="_Toc414878923"/>
      <w:bookmarkStart w:id="342" w:name="_Toc414879495"/>
      <w:r>
        <w:t>Anxiety disorders</w:t>
      </w:r>
      <w:bookmarkEnd w:id="341"/>
      <w:bookmarkEnd w:id="342"/>
    </w:p>
    <w:p w:rsidR="002A4F8B" w:rsidRDefault="002A4F8B" w:rsidP="002A4F8B">
      <w:pPr>
        <w:pStyle w:val="Caption"/>
        <w:keepNext/>
      </w:pPr>
      <w:bookmarkStart w:id="343" w:name="_Toc414878924"/>
      <w:bookmarkStart w:id="344" w:name="_Toc414879496"/>
      <w:r>
        <w:t>Table S-</w:t>
      </w:r>
      <w:r>
        <w:rPr>
          <w:noProof/>
        </w:rPr>
        <w:t>24</w:t>
      </w:r>
      <w:r>
        <w:t xml:space="preserve">: </w:t>
      </w:r>
      <w:r w:rsidRPr="00CE3C0A">
        <w:t xml:space="preserve">12-month prevalence of anxiety disorders among 4-17 year-olds by </w:t>
      </w:r>
      <w:r>
        <w:t>country of birth of child or adolescent</w:t>
      </w:r>
      <w:bookmarkEnd w:id="343"/>
      <w:bookmarkEnd w:id="344"/>
    </w:p>
    <w:tbl>
      <w:tblPr>
        <w:tblW w:w="9150" w:type="dxa"/>
        <w:jc w:val="center"/>
        <w:tblLayout w:type="fixed"/>
        <w:tblCellMar>
          <w:left w:w="0" w:type="dxa"/>
          <w:right w:w="0" w:type="dxa"/>
        </w:tblCellMar>
        <w:tblLook w:val="0020" w:firstRow="1" w:lastRow="0" w:firstColumn="0" w:lastColumn="0" w:noHBand="0" w:noVBand="0"/>
        <w:tblDescription w:val="In Table S-24 the first column defines country of birth of the child or adolescent. Read across the rows for the prevalence of social phobia, separation anxiety, generalised anxiety, obsessive-compulsive, and finally any anxiety disorder in each group."/>
      </w:tblPr>
      <w:tblGrid>
        <w:gridCol w:w="3016"/>
        <w:gridCol w:w="1226"/>
        <w:gridCol w:w="1227"/>
        <w:gridCol w:w="1227"/>
        <w:gridCol w:w="1227"/>
        <w:gridCol w:w="1227"/>
      </w:tblGrid>
      <w:tr w:rsidR="002A4F8B" w:rsidRPr="0002244B" w:rsidTr="00302454">
        <w:trPr>
          <w:cantSplit/>
          <w:tblHeader/>
          <w:jc w:val="center"/>
        </w:trPr>
        <w:tc>
          <w:tcPr>
            <w:tcW w:w="301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Child or adolescent country of birth</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Social phobia</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Separation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Generalised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Obsessive-compulsive</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tcBorders>
            <w:shd w:val="clear" w:color="auto" w:fill="EFF3FF"/>
            <w:tcMar>
              <w:left w:w="40" w:type="dxa"/>
              <w:right w:w="40" w:type="dxa"/>
            </w:tcMar>
          </w:tcPr>
          <w:p w:rsidR="002A4F8B" w:rsidRPr="00CF1ABD" w:rsidRDefault="002A4F8B" w:rsidP="00302454">
            <w:pPr>
              <w:pStyle w:val="TableColumnHeadings"/>
              <w:rPr>
                <w:rStyle w:val="Strong"/>
              </w:rPr>
            </w:pPr>
            <w:r w:rsidRPr="00CF1ABD">
              <w:rPr>
                <w:rStyle w:val="Strong"/>
              </w:rPr>
              <w:t xml:space="preserve">Any anxiety </w:t>
            </w:r>
            <w:proofErr w:type="gramStart"/>
            <w:r w:rsidRPr="00CF1ABD">
              <w:rPr>
                <w:rStyle w:val="Strong"/>
              </w:rPr>
              <w:t>disorder</w:t>
            </w:r>
            <w:proofErr w:type="gramEnd"/>
            <w:r w:rsidRPr="00CF1ABD">
              <w:rPr>
                <w:rStyle w:val="Strong"/>
              </w:rPr>
              <w:br/>
              <w:t>(%)</w:t>
            </w:r>
          </w:p>
        </w:tc>
      </w:tr>
      <w:tr w:rsidR="002A4F8B" w:rsidRPr="0002244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2.5</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4.6</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2.4</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0.8</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7.4</w:t>
            </w:r>
          </w:p>
        </w:tc>
      </w:tr>
      <w:tr w:rsidR="002A4F8B" w:rsidRPr="0002244B" w:rsidTr="00302454">
        <w:trPr>
          <w:cantSplit/>
          <w:jc w:val="center"/>
        </w:trPr>
        <w:tc>
          <w:tcPr>
            <w:tcW w:w="3016" w:type="dxa"/>
            <w:tcBorders>
              <w:top w:val="nil"/>
              <w:bottom w:val="single" w:sz="6" w:space="0" w:color="000000"/>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Overseas</w:t>
            </w:r>
          </w:p>
        </w:tc>
        <w:tc>
          <w:tcPr>
            <w:tcW w:w="1226"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1.1</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1.4</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0.9</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3.2</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45" w:name="_Toc414878925"/>
      <w:bookmarkStart w:id="346" w:name="_Toc414879497"/>
      <w:r>
        <w:t>Table S-</w:t>
      </w:r>
      <w:r>
        <w:rPr>
          <w:noProof/>
        </w:rPr>
        <w:t>25</w:t>
      </w:r>
      <w:r>
        <w:t xml:space="preserve">: </w:t>
      </w:r>
      <w:r w:rsidRPr="002C13BB">
        <w:t xml:space="preserve">12-month prevalence of anxiety disorders among 4-17 year-olds by country of birth of </w:t>
      </w:r>
      <w:r>
        <w:t>parents or carers</w:t>
      </w:r>
      <w:bookmarkEnd w:id="345"/>
      <w:bookmarkEnd w:id="346"/>
    </w:p>
    <w:tbl>
      <w:tblPr>
        <w:tblW w:w="9150" w:type="dxa"/>
        <w:jc w:val="center"/>
        <w:tblLayout w:type="fixed"/>
        <w:tblCellMar>
          <w:left w:w="0" w:type="dxa"/>
          <w:right w:w="0" w:type="dxa"/>
        </w:tblCellMar>
        <w:tblLook w:val="0020" w:firstRow="1" w:lastRow="0" w:firstColumn="0" w:lastColumn="0" w:noHBand="0" w:noVBand="0"/>
        <w:tblDescription w:val="In Table S-25 the first column defines country of birth of parent or carer. Read across the rows for the prevalence of social phobia, separation anxiety, generalised anxiety, obsessive-compulsive, and finally any anxiety disorder in each group."/>
      </w:tblPr>
      <w:tblGrid>
        <w:gridCol w:w="3016"/>
        <w:gridCol w:w="1226"/>
        <w:gridCol w:w="1227"/>
        <w:gridCol w:w="1227"/>
        <w:gridCol w:w="1227"/>
        <w:gridCol w:w="1227"/>
      </w:tblGrid>
      <w:tr w:rsidR="002A4F8B" w:rsidRPr="0002244B" w:rsidTr="00302454">
        <w:trPr>
          <w:cantSplit/>
          <w:tblHeader/>
          <w:jc w:val="center"/>
        </w:trPr>
        <w:tc>
          <w:tcPr>
            <w:tcW w:w="301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Parent or carer country of birth</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Social phobia</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Separation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Generalised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Obsessive-compulsive</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tcBorders>
            <w:shd w:val="clear" w:color="auto" w:fill="EFF3FF"/>
            <w:tcMar>
              <w:left w:w="40" w:type="dxa"/>
              <w:right w:w="40" w:type="dxa"/>
            </w:tcMar>
          </w:tcPr>
          <w:p w:rsidR="002A4F8B" w:rsidRPr="00CF1ABD" w:rsidRDefault="002A4F8B" w:rsidP="00302454">
            <w:pPr>
              <w:pStyle w:val="TableColumnHeadings"/>
              <w:rPr>
                <w:rStyle w:val="Strong"/>
              </w:rPr>
            </w:pPr>
            <w:r w:rsidRPr="00CF1ABD">
              <w:rPr>
                <w:rStyle w:val="Strong"/>
              </w:rPr>
              <w:t xml:space="preserve">Any anxiety </w:t>
            </w:r>
            <w:proofErr w:type="gramStart"/>
            <w:r w:rsidRPr="00CF1ABD">
              <w:rPr>
                <w:rStyle w:val="Strong"/>
              </w:rPr>
              <w:t>disorder</w:t>
            </w:r>
            <w:proofErr w:type="gramEnd"/>
            <w:r w:rsidRPr="00CF1ABD">
              <w:rPr>
                <w:rStyle w:val="Strong"/>
              </w:rPr>
              <w:br/>
              <w:t>(%)</w:t>
            </w:r>
          </w:p>
        </w:tc>
      </w:tr>
      <w:tr w:rsidR="002A4F8B" w:rsidRPr="0002244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Both carers born in 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2.1</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4.0</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2.3</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0.7</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6.6</w:t>
            </w:r>
          </w:p>
        </w:tc>
      </w:tr>
      <w:tr w:rsidR="002A4F8B" w:rsidRPr="0002244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2244B" w:rsidRDefault="002A4F8B" w:rsidP="00302454">
            <w:pPr>
              <w:pStyle w:val="TableRowHeadings"/>
              <w:rPr>
                <w:lang w:eastAsia="en-AU"/>
              </w:rPr>
            </w:pPr>
            <w:r>
              <w:rPr>
                <w:lang w:eastAsia="en-AU"/>
              </w:rPr>
              <w:t>One carer born in Australia, o</w:t>
            </w:r>
            <w:r w:rsidRPr="0002244B">
              <w:rPr>
                <w:lang w:eastAsia="en-AU"/>
              </w:rPr>
              <w:t>ne carer born overseas</w:t>
            </w:r>
          </w:p>
        </w:tc>
        <w:tc>
          <w:tcPr>
            <w:tcW w:w="1226"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2.4</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3.0</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2.1</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0.4</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6.1</w:t>
            </w:r>
          </w:p>
        </w:tc>
      </w:tr>
      <w:tr w:rsidR="002A4F8B" w:rsidRPr="0002244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Both carers born overseas</w:t>
            </w:r>
          </w:p>
        </w:tc>
        <w:tc>
          <w:tcPr>
            <w:tcW w:w="1226"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0.7</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0.9</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0.5</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0.5</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2.1</w:t>
            </w:r>
          </w:p>
        </w:tc>
      </w:tr>
      <w:tr w:rsidR="002A4F8B" w:rsidRPr="0002244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Sole carer born in 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4.9</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10.3</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4.2</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2.0</w:t>
            </w:r>
          </w:p>
        </w:tc>
        <w:tc>
          <w:tcPr>
            <w:tcW w:w="1227" w:type="dxa"/>
            <w:tcBorders>
              <w:top w:val="nil"/>
              <w:left w:val="nil"/>
              <w:bottom w:val="nil"/>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14.8</w:t>
            </w:r>
          </w:p>
        </w:tc>
      </w:tr>
      <w:tr w:rsidR="002A4F8B" w:rsidRPr="0002244B" w:rsidTr="00302454">
        <w:trPr>
          <w:cantSplit/>
          <w:jc w:val="center"/>
        </w:trPr>
        <w:tc>
          <w:tcPr>
            <w:tcW w:w="3016" w:type="dxa"/>
            <w:tcBorders>
              <w:top w:val="nil"/>
              <w:bottom w:val="single" w:sz="6" w:space="0" w:color="000000"/>
              <w:right w:val="nil"/>
            </w:tcBorders>
            <w:shd w:val="clear" w:color="auto" w:fill="EFF3FF"/>
            <w:tcMar>
              <w:left w:w="40" w:type="dxa"/>
              <w:right w:w="40" w:type="dxa"/>
            </w:tcMar>
          </w:tcPr>
          <w:p w:rsidR="002A4F8B" w:rsidRPr="0002244B" w:rsidRDefault="002A4F8B" w:rsidP="00302454">
            <w:pPr>
              <w:pStyle w:val="TableRowHeadings"/>
              <w:rPr>
                <w:lang w:eastAsia="en-AU"/>
              </w:rPr>
            </w:pPr>
            <w:r w:rsidRPr="0002244B">
              <w:rPr>
                <w:lang w:eastAsia="en-AU"/>
              </w:rPr>
              <w:t>Sole carer born overseas</w:t>
            </w:r>
          </w:p>
        </w:tc>
        <w:tc>
          <w:tcPr>
            <w:tcW w:w="1226"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2.5</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4.5</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2244B" w:rsidRDefault="002A4F8B" w:rsidP="00302454">
            <w:pPr>
              <w:pStyle w:val="TableDataCell"/>
              <w:rPr>
                <w:lang w:eastAsia="en-AU"/>
              </w:rPr>
            </w:pPr>
            <w:r w:rsidRPr="0002244B">
              <w:rPr>
                <w:lang w:eastAsia="en-AU"/>
              </w:rPr>
              <w:t>5.7</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347" w:name="_Toc414878926"/>
      <w:bookmarkStart w:id="348" w:name="_Toc414879498"/>
      <w:r>
        <w:lastRenderedPageBreak/>
        <w:t>Table S-</w:t>
      </w:r>
      <w:r>
        <w:rPr>
          <w:noProof/>
        </w:rPr>
        <w:t>26</w:t>
      </w:r>
      <w:r>
        <w:t xml:space="preserve">: </w:t>
      </w:r>
      <w:r w:rsidRPr="00F37944">
        <w:t>12-month prevalence of anxiety disorders among 4-17 year-</w:t>
      </w:r>
      <w:r>
        <w:t>olds by housing tenure</w:t>
      </w:r>
      <w:bookmarkEnd w:id="347"/>
      <w:bookmarkEnd w:id="348"/>
    </w:p>
    <w:tbl>
      <w:tblPr>
        <w:tblW w:w="9150" w:type="dxa"/>
        <w:jc w:val="center"/>
        <w:tblLayout w:type="fixed"/>
        <w:tblCellMar>
          <w:left w:w="0" w:type="dxa"/>
          <w:right w:w="0" w:type="dxa"/>
        </w:tblCellMar>
        <w:tblLook w:val="0020" w:firstRow="1" w:lastRow="0" w:firstColumn="0" w:lastColumn="0" w:noHBand="0" w:noVBand="0"/>
        <w:tblDescription w:val="In Table S-26 the first column defines housing tenure. Read across the rows for the prevalence of social phobia, separation anxiety, generalised anxiety, obsessive-compulsive, and finally any anxiety disorder in each group."/>
      </w:tblPr>
      <w:tblGrid>
        <w:gridCol w:w="3016"/>
        <w:gridCol w:w="1226"/>
        <w:gridCol w:w="1227"/>
        <w:gridCol w:w="1227"/>
        <w:gridCol w:w="1227"/>
        <w:gridCol w:w="1227"/>
      </w:tblGrid>
      <w:tr w:rsidR="002A4F8B" w:rsidRPr="00A64D3D" w:rsidTr="00302454">
        <w:trPr>
          <w:cantSplit/>
          <w:tblHeader/>
          <w:jc w:val="center"/>
        </w:trPr>
        <w:tc>
          <w:tcPr>
            <w:tcW w:w="301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Housing tenure</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Social phobia</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Separation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Generalised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Obsessive-compulsive</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tcBorders>
            <w:shd w:val="clear" w:color="auto" w:fill="EFF3FF"/>
            <w:tcMar>
              <w:left w:w="40" w:type="dxa"/>
              <w:right w:w="40" w:type="dxa"/>
            </w:tcMar>
          </w:tcPr>
          <w:p w:rsidR="002A4F8B" w:rsidRPr="00CF1ABD" w:rsidRDefault="002A4F8B" w:rsidP="00302454">
            <w:pPr>
              <w:pStyle w:val="TableColumnHeadings"/>
              <w:rPr>
                <w:rStyle w:val="Strong"/>
              </w:rPr>
            </w:pPr>
            <w:r w:rsidRPr="00CF1ABD">
              <w:rPr>
                <w:rStyle w:val="Strong"/>
              </w:rPr>
              <w:t xml:space="preserve">Any anxiety </w:t>
            </w:r>
            <w:proofErr w:type="gramStart"/>
            <w:r w:rsidRPr="00CF1ABD">
              <w:rPr>
                <w:rStyle w:val="Strong"/>
              </w:rPr>
              <w:t>disorder</w:t>
            </w:r>
            <w:proofErr w:type="gramEnd"/>
            <w:r w:rsidRPr="00CF1ABD">
              <w:rPr>
                <w:rStyle w:val="Strong"/>
              </w:rPr>
              <w:br/>
              <w:t>(%)</w:t>
            </w:r>
          </w:p>
        </w:tc>
      </w:tr>
      <w:tr w:rsidR="002A4F8B" w:rsidRPr="00A64D3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A64D3D" w:rsidRDefault="002A4F8B" w:rsidP="00302454">
            <w:pPr>
              <w:pStyle w:val="TableRowHeadings"/>
              <w:rPr>
                <w:lang w:eastAsia="en-AU"/>
              </w:rPr>
            </w:pPr>
            <w:r w:rsidRPr="00A64D3D">
              <w:rPr>
                <w:lang w:eastAsia="en-AU"/>
              </w:rPr>
              <w:t>Owned outright</w:t>
            </w:r>
          </w:p>
        </w:tc>
        <w:tc>
          <w:tcPr>
            <w:tcW w:w="1226"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1.8</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1.7</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1.3</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0.6</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4.1</w:t>
            </w:r>
          </w:p>
        </w:tc>
      </w:tr>
      <w:tr w:rsidR="002A4F8B" w:rsidRPr="00A64D3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A64D3D" w:rsidRDefault="002A4F8B" w:rsidP="00302454">
            <w:pPr>
              <w:pStyle w:val="TableRowHeadings"/>
              <w:rPr>
                <w:lang w:eastAsia="en-AU"/>
              </w:rPr>
            </w:pPr>
            <w:r w:rsidRPr="00A64D3D">
              <w:rPr>
                <w:lang w:eastAsia="en-AU"/>
              </w:rPr>
              <w:t>Owned with a mortgage</w:t>
            </w:r>
          </w:p>
        </w:tc>
        <w:tc>
          <w:tcPr>
            <w:tcW w:w="1226"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1.8</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3.4</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1.9</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0.5</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5.8</w:t>
            </w:r>
          </w:p>
        </w:tc>
      </w:tr>
      <w:tr w:rsidR="002A4F8B" w:rsidRPr="00A64D3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1226"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6.0</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12.1</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4.3</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3.5</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16.6</w:t>
            </w:r>
          </w:p>
        </w:tc>
      </w:tr>
      <w:tr w:rsidR="002A4F8B" w:rsidRPr="00A64D3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1226"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2.9</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5.5</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2.7</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1.1</w:t>
            </w:r>
          </w:p>
        </w:tc>
        <w:tc>
          <w:tcPr>
            <w:tcW w:w="1227" w:type="dxa"/>
            <w:tcBorders>
              <w:top w:val="nil"/>
              <w:left w:val="nil"/>
              <w:bottom w:val="nil"/>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8.5</w:t>
            </w:r>
          </w:p>
        </w:tc>
      </w:tr>
      <w:tr w:rsidR="002A4F8B" w:rsidRPr="00A64D3D" w:rsidTr="00302454">
        <w:trPr>
          <w:cantSplit/>
          <w:jc w:val="center"/>
        </w:trPr>
        <w:tc>
          <w:tcPr>
            <w:tcW w:w="3016" w:type="dxa"/>
            <w:tcBorders>
              <w:top w:val="nil"/>
              <w:bottom w:val="single" w:sz="6" w:space="0" w:color="000000"/>
              <w:right w:val="nil"/>
            </w:tcBorders>
            <w:shd w:val="clear" w:color="auto" w:fill="EFF3FF"/>
            <w:tcMar>
              <w:left w:w="40" w:type="dxa"/>
              <w:right w:w="40" w:type="dxa"/>
            </w:tcMar>
          </w:tcPr>
          <w:p w:rsidR="002A4F8B" w:rsidRPr="00A64D3D" w:rsidRDefault="002A4F8B" w:rsidP="00302454">
            <w:pPr>
              <w:pStyle w:val="TableRowHeadings"/>
              <w:rPr>
                <w:lang w:eastAsia="en-AU"/>
              </w:rPr>
            </w:pPr>
            <w:r w:rsidRPr="00A64D3D">
              <w:rPr>
                <w:lang w:eastAsia="en-AU"/>
              </w:rPr>
              <w:t>Other</w:t>
            </w:r>
          </w:p>
        </w:tc>
        <w:tc>
          <w:tcPr>
            <w:tcW w:w="1226" w:type="dxa"/>
            <w:tcBorders>
              <w:top w:val="nil"/>
              <w:left w:val="nil"/>
              <w:bottom w:val="single" w:sz="6" w:space="0" w:color="000000"/>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6.5</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A64D3D" w:rsidRDefault="002A4F8B" w:rsidP="00302454">
            <w:pPr>
              <w:pStyle w:val="TableDataCell"/>
              <w:rPr>
                <w:lang w:eastAsia="en-AU"/>
              </w:rPr>
            </w:pPr>
            <w:r w:rsidRPr="00A64D3D">
              <w:rPr>
                <w:lang w:eastAsia="en-AU"/>
              </w:rPr>
              <w:t>8.4</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49" w:name="_Toc414878927"/>
      <w:bookmarkStart w:id="350" w:name="_Toc414879499"/>
      <w:r>
        <w:t>Table S-</w:t>
      </w:r>
      <w:r>
        <w:rPr>
          <w:noProof/>
        </w:rPr>
        <w:t>27</w:t>
      </w:r>
      <w:r>
        <w:t xml:space="preserve">: </w:t>
      </w:r>
      <w:r w:rsidRPr="00D45D40">
        <w:t xml:space="preserve">12-month prevalence of anxiety disorders among 4-17 year-olds by </w:t>
      </w:r>
      <w:r>
        <w:t>remoteness area</w:t>
      </w:r>
      <w:bookmarkEnd w:id="349"/>
      <w:bookmarkEnd w:id="350"/>
    </w:p>
    <w:tbl>
      <w:tblPr>
        <w:tblW w:w="9150" w:type="dxa"/>
        <w:jc w:val="center"/>
        <w:tblLayout w:type="fixed"/>
        <w:tblCellMar>
          <w:left w:w="0" w:type="dxa"/>
          <w:right w:w="0" w:type="dxa"/>
        </w:tblCellMar>
        <w:tblLook w:val="0020" w:firstRow="1" w:lastRow="0" w:firstColumn="0" w:lastColumn="0" w:noHBand="0" w:noVBand="0"/>
        <w:tblDescription w:val="In Table S-27 the first column defines remoteness area. Read across the rows for the prevalence of social phobia, separation anxiety, generalised anxiety, obsessive-compulsive, and finally any anxiety disorder in each group."/>
      </w:tblPr>
      <w:tblGrid>
        <w:gridCol w:w="3016"/>
        <w:gridCol w:w="1226"/>
        <w:gridCol w:w="1227"/>
        <w:gridCol w:w="1227"/>
        <w:gridCol w:w="1227"/>
        <w:gridCol w:w="1227"/>
      </w:tblGrid>
      <w:tr w:rsidR="002A4F8B" w:rsidRPr="000F64CB" w:rsidTr="00302454">
        <w:trPr>
          <w:cantSplit/>
          <w:tblHeader/>
          <w:jc w:val="center"/>
        </w:trPr>
        <w:tc>
          <w:tcPr>
            <w:tcW w:w="301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Remoteness area</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Social phobia</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Separation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Generalised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Obsessive-compulsive</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tcBorders>
            <w:shd w:val="clear" w:color="auto" w:fill="EFF3FF"/>
            <w:tcMar>
              <w:left w:w="40" w:type="dxa"/>
              <w:right w:w="40" w:type="dxa"/>
            </w:tcMar>
          </w:tcPr>
          <w:p w:rsidR="002A4F8B" w:rsidRPr="00CF1ABD" w:rsidRDefault="002A4F8B" w:rsidP="00302454">
            <w:pPr>
              <w:pStyle w:val="TableColumnHeadings"/>
              <w:rPr>
                <w:rStyle w:val="Strong"/>
              </w:rPr>
            </w:pPr>
            <w:r w:rsidRPr="00CF1ABD">
              <w:rPr>
                <w:rStyle w:val="Strong"/>
              </w:rPr>
              <w:t xml:space="preserve">Any anxiety </w:t>
            </w:r>
            <w:proofErr w:type="gramStart"/>
            <w:r w:rsidRPr="00CF1ABD">
              <w:rPr>
                <w:rStyle w:val="Strong"/>
              </w:rPr>
              <w:t>disorder</w:t>
            </w:r>
            <w:proofErr w:type="gramEnd"/>
            <w:r w:rsidRPr="00CF1ABD">
              <w:rPr>
                <w:rStyle w:val="Strong"/>
              </w:rPr>
              <w:br/>
              <w:t>(%)</w:t>
            </w:r>
          </w:p>
        </w:tc>
      </w:tr>
      <w:tr w:rsidR="002A4F8B" w:rsidRPr="000F64C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F64CB" w:rsidRDefault="002A4F8B" w:rsidP="00302454">
            <w:pPr>
              <w:pStyle w:val="TableRowHeadings"/>
              <w:rPr>
                <w:lang w:eastAsia="en-AU"/>
              </w:rPr>
            </w:pPr>
            <w:r w:rsidRPr="000F64CB">
              <w:rPr>
                <w:lang w:eastAsia="en-AU"/>
              </w:rPr>
              <w:t>Major Cities of 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2.2</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3.9</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2.1</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0.9</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6.4</w:t>
            </w:r>
          </w:p>
        </w:tc>
      </w:tr>
      <w:tr w:rsidR="002A4F8B" w:rsidRPr="000F64C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F64CB" w:rsidRDefault="002A4F8B" w:rsidP="00302454">
            <w:pPr>
              <w:pStyle w:val="TableRowHeadings"/>
              <w:rPr>
                <w:lang w:eastAsia="en-AU"/>
              </w:rPr>
            </w:pPr>
            <w:r w:rsidRPr="000F64CB">
              <w:rPr>
                <w:lang w:eastAsia="en-AU"/>
              </w:rPr>
              <w:t>Inner Regional 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3.0</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5.2</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2.5</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0.9</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8.1</w:t>
            </w:r>
          </w:p>
        </w:tc>
      </w:tr>
      <w:tr w:rsidR="002A4F8B" w:rsidRPr="000F64CB"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0F64CB" w:rsidRDefault="002A4F8B" w:rsidP="00302454">
            <w:pPr>
              <w:pStyle w:val="TableRowHeadings"/>
              <w:rPr>
                <w:lang w:eastAsia="en-AU"/>
              </w:rPr>
            </w:pPr>
            <w:r w:rsidRPr="000F64CB">
              <w:rPr>
                <w:lang w:eastAsia="en-AU"/>
              </w:rPr>
              <w:t>Outer Regional Australia</w:t>
            </w:r>
          </w:p>
        </w:tc>
        <w:tc>
          <w:tcPr>
            <w:tcW w:w="1226"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1.7</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4.4</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1.6</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Pr>
                <w:lang w:eastAsia="en-AU"/>
              </w:rPr>
              <w:t>np</w:t>
            </w:r>
          </w:p>
        </w:tc>
        <w:tc>
          <w:tcPr>
            <w:tcW w:w="1227" w:type="dxa"/>
            <w:tcBorders>
              <w:top w:val="nil"/>
              <w:left w:val="nil"/>
              <w:bottom w:val="nil"/>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7.7</w:t>
            </w:r>
          </w:p>
        </w:tc>
      </w:tr>
      <w:tr w:rsidR="002A4F8B" w:rsidRPr="000F64CB" w:rsidTr="00302454">
        <w:trPr>
          <w:cantSplit/>
          <w:jc w:val="center"/>
        </w:trPr>
        <w:tc>
          <w:tcPr>
            <w:tcW w:w="3016" w:type="dxa"/>
            <w:tcBorders>
              <w:top w:val="nil"/>
              <w:bottom w:val="single" w:sz="6" w:space="0" w:color="000000"/>
              <w:right w:val="nil"/>
            </w:tcBorders>
            <w:shd w:val="clear" w:color="auto" w:fill="EFF3FF"/>
            <w:tcMar>
              <w:left w:w="40" w:type="dxa"/>
              <w:right w:w="40" w:type="dxa"/>
            </w:tcMar>
          </w:tcPr>
          <w:p w:rsidR="002A4F8B" w:rsidRPr="000F64CB" w:rsidRDefault="002A4F8B" w:rsidP="00302454">
            <w:pPr>
              <w:pStyle w:val="TableRowHeadings"/>
              <w:rPr>
                <w:lang w:eastAsia="en-AU"/>
              </w:rPr>
            </w:pPr>
            <w:r w:rsidRPr="000F64CB">
              <w:rPr>
                <w:lang w:eastAsia="en-AU"/>
              </w:rPr>
              <w:t>Remote Australia</w:t>
            </w:r>
            <w:r>
              <w:rPr>
                <w:lang w:eastAsia="en-AU"/>
              </w:rPr>
              <w:t xml:space="preserve"> or Very Remote Australia</w:t>
            </w:r>
          </w:p>
        </w:tc>
        <w:tc>
          <w:tcPr>
            <w:tcW w:w="1226" w:type="dxa"/>
            <w:tcBorders>
              <w:top w:val="nil"/>
              <w:left w:val="nil"/>
              <w:bottom w:val="single" w:sz="6" w:space="0" w:color="000000"/>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3.9</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Pr>
                <w:lang w:eastAsia="en-AU"/>
              </w:rPr>
              <w:t>np</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0F64CB" w:rsidRDefault="002A4F8B" w:rsidP="00302454">
            <w:pPr>
              <w:pStyle w:val="TableDataCell"/>
              <w:rPr>
                <w:lang w:eastAsia="en-AU"/>
              </w:rPr>
            </w:pPr>
            <w:r w:rsidRPr="000F64CB">
              <w:rPr>
                <w:lang w:eastAsia="en-AU"/>
              </w:rPr>
              <w:t>5.3</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51" w:name="_Toc414878928"/>
      <w:bookmarkStart w:id="352" w:name="_Toc414879500"/>
      <w:r>
        <w:t>Table S-</w:t>
      </w:r>
      <w:r>
        <w:rPr>
          <w:noProof/>
        </w:rPr>
        <w:t>28</w:t>
      </w:r>
      <w:r>
        <w:t xml:space="preserve">: </w:t>
      </w:r>
      <w:r w:rsidRPr="0046439C">
        <w:t xml:space="preserve">12-month prevalence of </w:t>
      </w:r>
      <w:r>
        <w:t>anxiety disorders</w:t>
      </w:r>
      <w:r w:rsidRPr="0046439C">
        <w:t xml:space="preserve"> among 4-17 year-olds by index of relative socio-economic disadvantage</w:t>
      </w:r>
      <w:bookmarkEnd w:id="351"/>
      <w:bookmarkEnd w:id="352"/>
    </w:p>
    <w:tbl>
      <w:tblPr>
        <w:tblW w:w="9150" w:type="dxa"/>
        <w:jc w:val="center"/>
        <w:tblLayout w:type="fixed"/>
        <w:tblCellMar>
          <w:left w:w="0" w:type="dxa"/>
          <w:right w:w="0" w:type="dxa"/>
        </w:tblCellMar>
        <w:tblLook w:val="0020" w:firstRow="1" w:lastRow="0" w:firstColumn="0" w:lastColumn="0" w:noHBand="0" w:noVBand="0"/>
        <w:tblDescription w:val="In Table S-28 the first column defines index of relative socio-economic disadvantage. Read across the rows for the prevalence of social phobia, separation anxiety, generalised anxiety, obsessive-compulsive, and finally any anxiety disorder in each group."/>
      </w:tblPr>
      <w:tblGrid>
        <w:gridCol w:w="3016"/>
        <w:gridCol w:w="1226"/>
        <w:gridCol w:w="1227"/>
        <w:gridCol w:w="1227"/>
        <w:gridCol w:w="1227"/>
        <w:gridCol w:w="1227"/>
      </w:tblGrid>
      <w:tr w:rsidR="002A4F8B" w:rsidRPr="006C4B5D" w:rsidTr="00302454">
        <w:trPr>
          <w:cantSplit/>
          <w:tblHeader/>
          <w:jc w:val="center"/>
        </w:trPr>
        <w:tc>
          <w:tcPr>
            <w:tcW w:w="301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Index of relative socio-economic disadvantage</w:t>
            </w:r>
          </w:p>
        </w:tc>
        <w:tc>
          <w:tcPr>
            <w:tcW w:w="122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Social phobia</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Separation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Generalised anxiety</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Obsessive-compulsive</w:t>
            </w:r>
          </w:p>
          <w:p w:rsidR="002A4F8B" w:rsidRPr="00CF1ABD" w:rsidRDefault="002A4F8B" w:rsidP="00302454">
            <w:pPr>
              <w:pStyle w:val="TableColumnHeadings"/>
              <w:rPr>
                <w:rStyle w:val="Strong"/>
              </w:rPr>
            </w:pPr>
            <w:r w:rsidRPr="00CF1ABD">
              <w:rPr>
                <w:rStyle w:val="Strong"/>
              </w:rPr>
              <w:t>(%)</w:t>
            </w:r>
          </w:p>
        </w:tc>
        <w:tc>
          <w:tcPr>
            <w:tcW w:w="1227" w:type="dxa"/>
            <w:tcBorders>
              <w:top w:val="single" w:sz="6" w:space="0" w:color="000000"/>
              <w:left w:val="single" w:sz="4" w:space="0" w:color="FFFFFF"/>
              <w:bottom w:val="single" w:sz="4" w:space="0" w:color="000000"/>
            </w:tcBorders>
            <w:shd w:val="clear" w:color="auto" w:fill="EFF3FF"/>
            <w:tcMar>
              <w:left w:w="40" w:type="dxa"/>
              <w:right w:w="40" w:type="dxa"/>
            </w:tcMar>
          </w:tcPr>
          <w:p w:rsidR="002A4F8B" w:rsidRPr="00CF1ABD" w:rsidRDefault="002A4F8B" w:rsidP="00302454">
            <w:pPr>
              <w:pStyle w:val="TableColumnHeadings"/>
              <w:rPr>
                <w:rStyle w:val="Strong"/>
              </w:rPr>
            </w:pPr>
            <w:r w:rsidRPr="00CF1ABD">
              <w:rPr>
                <w:rStyle w:val="Strong"/>
              </w:rPr>
              <w:t xml:space="preserve">Any anxiety </w:t>
            </w:r>
            <w:proofErr w:type="gramStart"/>
            <w:r w:rsidRPr="00CF1ABD">
              <w:rPr>
                <w:rStyle w:val="Strong"/>
              </w:rPr>
              <w:t>disorder</w:t>
            </w:r>
            <w:proofErr w:type="gramEnd"/>
            <w:r w:rsidRPr="00CF1ABD">
              <w:rPr>
                <w:rStyle w:val="Strong"/>
              </w:rPr>
              <w:br/>
              <w:t>(%)</w:t>
            </w:r>
          </w:p>
        </w:tc>
      </w:tr>
      <w:tr w:rsidR="002A4F8B" w:rsidRPr="006C4B5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6C4B5D" w:rsidRDefault="002A4F8B" w:rsidP="00302454">
            <w:pPr>
              <w:pStyle w:val="TableRowHeadings"/>
              <w:rPr>
                <w:lang w:eastAsia="en-AU"/>
              </w:rPr>
            </w:pPr>
            <w:r w:rsidRPr="006C4B5D">
              <w:rPr>
                <w:lang w:eastAsia="en-AU"/>
              </w:rPr>
              <w:t>Lowest quintile (most disadvantaged)</w:t>
            </w:r>
          </w:p>
        </w:tc>
        <w:tc>
          <w:tcPr>
            <w:tcW w:w="1226"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3.8</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6.1</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2.5</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2.0</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10.4</w:t>
            </w:r>
          </w:p>
        </w:tc>
      </w:tr>
      <w:tr w:rsidR="002A4F8B" w:rsidRPr="006C4B5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6C4B5D" w:rsidRDefault="002A4F8B" w:rsidP="00302454">
            <w:pPr>
              <w:pStyle w:val="TableRowHeadings"/>
              <w:rPr>
                <w:lang w:eastAsia="en-AU"/>
              </w:rPr>
            </w:pPr>
            <w:r w:rsidRPr="006C4B5D">
              <w:rPr>
                <w:lang w:eastAsia="en-AU"/>
              </w:rPr>
              <w:t>Second quintile</w:t>
            </w:r>
          </w:p>
        </w:tc>
        <w:tc>
          <w:tcPr>
            <w:tcW w:w="1226"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1.6</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5.1</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2.2</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0.7</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7.3</w:t>
            </w:r>
          </w:p>
        </w:tc>
      </w:tr>
      <w:tr w:rsidR="002A4F8B" w:rsidRPr="006C4B5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6C4B5D" w:rsidRDefault="002A4F8B" w:rsidP="00302454">
            <w:pPr>
              <w:pStyle w:val="TableRowHeadings"/>
              <w:rPr>
                <w:lang w:eastAsia="en-AU"/>
              </w:rPr>
            </w:pPr>
            <w:r w:rsidRPr="006C4B5D">
              <w:rPr>
                <w:lang w:eastAsia="en-AU"/>
              </w:rPr>
              <w:t>Third quintile</w:t>
            </w:r>
          </w:p>
        </w:tc>
        <w:tc>
          <w:tcPr>
            <w:tcW w:w="1226"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2.9</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3.6</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2.2</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0.4</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6.2</w:t>
            </w:r>
          </w:p>
        </w:tc>
      </w:tr>
      <w:tr w:rsidR="002A4F8B" w:rsidRPr="006C4B5D" w:rsidTr="00302454">
        <w:trPr>
          <w:cantSplit/>
          <w:jc w:val="center"/>
        </w:trPr>
        <w:tc>
          <w:tcPr>
            <w:tcW w:w="3016" w:type="dxa"/>
            <w:tcBorders>
              <w:top w:val="nil"/>
              <w:bottom w:val="single" w:sz="4" w:space="0" w:color="FFFFFF"/>
              <w:right w:val="nil"/>
            </w:tcBorders>
            <w:shd w:val="clear" w:color="auto" w:fill="EFF3FF"/>
            <w:tcMar>
              <w:left w:w="40" w:type="dxa"/>
              <w:right w:w="40" w:type="dxa"/>
            </w:tcMar>
          </w:tcPr>
          <w:p w:rsidR="002A4F8B" w:rsidRPr="006C4B5D" w:rsidRDefault="002A4F8B" w:rsidP="00302454">
            <w:pPr>
              <w:pStyle w:val="TableRowHeadings"/>
              <w:rPr>
                <w:lang w:eastAsia="en-AU"/>
              </w:rPr>
            </w:pPr>
            <w:r w:rsidRPr="006C4B5D">
              <w:rPr>
                <w:lang w:eastAsia="en-AU"/>
              </w:rPr>
              <w:t>Fourth quintile</w:t>
            </w:r>
          </w:p>
        </w:tc>
        <w:tc>
          <w:tcPr>
            <w:tcW w:w="1226"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1.6</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3.6</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2.3</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0.4</w:t>
            </w:r>
          </w:p>
        </w:tc>
        <w:tc>
          <w:tcPr>
            <w:tcW w:w="1227" w:type="dxa"/>
            <w:tcBorders>
              <w:top w:val="nil"/>
              <w:left w:val="nil"/>
              <w:bottom w:val="nil"/>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6.1</w:t>
            </w:r>
          </w:p>
        </w:tc>
      </w:tr>
      <w:tr w:rsidR="002A4F8B" w:rsidRPr="006C4B5D" w:rsidTr="00302454">
        <w:trPr>
          <w:cantSplit/>
          <w:jc w:val="center"/>
        </w:trPr>
        <w:tc>
          <w:tcPr>
            <w:tcW w:w="3016" w:type="dxa"/>
            <w:tcBorders>
              <w:top w:val="nil"/>
              <w:bottom w:val="single" w:sz="6" w:space="0" w:color="000000"/>
              <w:right w:val="nil"/>
            </w:tcBorders>
            <w:shd w:val="clear" w:color="auto" w:fill="EFF3FF"/>
            <w:tcMar>
              <w:left w:w="40" w:type="dxa"/>
              <w:right w:w="40" w:type="dxa"/>
            </w:tcMar>
          </w:tcPr>
          <w:p w:rsidR="002A4F8B" w:rsidRPr="006C4B5D" w:rsidRDefault="002A4F8B" w:rsidP="00AF58FA">
            <w:pPr>
              <w:pStyle w:val="TableRowHeadings"/>
              <w:rPr>
                <w:lang w:eastAsia="en-AU"/>
              </w:rPr>
            </w:pPr>
            <w:r w:rsidRPr="006C4B5D">
              <w:rPr>
                <w:lang w:eastAsia="en-AU"/>
              </w:rPr>
              <w:t>Highest quintile (</w:t>
            </w:r>
            <w:r w:rsidR="00AF58FA">
              <w:rPr>
                <w:lang w:eastAsia="en-AU"/>
              </w:rPr>
              <w:t>least dis</w:t>
            </w:r>
            <w:r w:rsidRPr="006C4B5D">
              <w:rPr>
                <w:lang w:eastAsia="en-AU"/>
              </w:rPr>
              <w:t>advantaged)</w:t>
            </w:r>
          </w:p>
        </w:tc>
        <w:tc>
          <w:tcPr>
            <w:tcW w:w="1226" w:type="dxa"/>
            <w:tcBorders>
              <w:top w:val="nil"/>
              <w:left w:val="nil"/>
              <w:bottom w:val="single" w:sz="6" w:space="0" w:color="000000"/>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2.0</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3.2</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1.7</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0.8</w:t>
            </w:r>
          </w:p>
        </w:tc>
        <w:tc>
          <w:tcPr>
            <w:tcW w:w="1227" w:type="dxa"/>
            <w:tcBorders>
              <w:top w:val="nil"/>
              <w:left w:val="nil"/>
              <w:bottom w:val="single" w:sz="6" w:space="0" w:color="000000"/>
              <w:right w:val="nil"/>
            </w:tcBorders>
            <w:shd w:val="clear" w:color="auto" w:fill="FFFFFF"/>
            <w:tcMar>
              <w:left w:w="40" w:type="dxa"/>
              <w:right w:w="40" w:type="dxa"/>
            </w:tcMar>
            <w:vAlign w:val="bottom"/>
          </w:tcPr>
          <w:p w:rsidR="002A4F8B" w:rsidRPr="006C4B5D" w:rsidRDefault="002A4F8B" w:rsidP="00302454">
            <w:pPr>
              <w:pStyle w:val="TableDataCell"/>
              <w:rPr>
                <w:lang w:eastAsia="en-AU"/>
              </w:rPr>
            </w:pPr>
            <w:r w:rsidRPr="006C4B5D">
              <w:rPr>
                <w:lang w:eastAsia="en-AU"/>
              </w:rPr>
              <w:t>5.3</w:t>
            </w:r>
          </w:p>
        </w:tc>
      </w:tr>
    </w:tbl>
    <w:p w:rsidR="002A4F8B" w:rsidRDefault="002A4F8B" w:rsidP="002A4F8B">
      <w:pPr>
        <w:pStyle w:val="Heading2"/>
        <w:pageBreakBefore/>
      </w:pPr>
      <w:bookmarkStart w:id="353" w:name="_Toc414878929"/>
      <w:bookmarkStart w:id="354" w:name="_Toc414879501"/>
      <w:r>
        <w:lastRenderedPageBreak/>
        <w:t>ADHD</w:t>
      </w:r>
      <w:bookmarkEnd w:id="353"/>
      <w:bookmarkEnd w:id="354"/>
    </w:p>
    <w:p w:rsidR="002A4F8B" w:rsidRDefault="002A4F8B" w:rsidP="002A4F8B">
      <w:pPr>
        <w:pStyle w:val="Caption"/>
        <w:keepNext/>
      </w:pPr>
      <w:bookmarkStart w:id="355" w:name="_Toc414878930"/>
      <w:bookmarkStart w:id="356" w:name="_Toc414879502"/>
      <w:r>
        <w:t>Table S-</w:t>
      </w:r>
      <w:r>
        <w:rPr>
          <w:noProof/>
        </w:rPr>
        <w:t>29</w:t>
      </w:r>
      <w:r>
        <w:t xml:space="preserve">: </w:t>
      </w:r>
      <w:r w:rsidRPr="006E033A">
        <w:t xml:space="preserve">12-month prevalence of </w:t>
      </w:r>
      <w:r>
        <w:t>ADHD</w:t>
      </w:r>
      <w:r w:rsidRPr="006E033A">
        <w:t xml:space="preserve"> among 4-17 year-olds by country of birth of child or adolescent</w:t>
      </w:r>
      <w:bookmarkEnd w:id="355"/>
      <w:bookmarkEnd w:id="356"/>
    </w:p>
    <w:tbl>
      <w:tblPr>
        <w:tblW w:w="9141" w:type="dxa"/>
        <w:jc w:val="center"/>
        <w:tblLayout w:type="fixed"/>
        <w:tblCellMar>
          <w:left w:w="0" w:type="dxa"/>
          <w:right w:w="0" w:type="dxa"/>
        </w:tblCellMar>
        <w:tblLook w:val="0020" w:firstRow="1" w:lastRow="0" w:firstColumn="0" w:lastColumn="0" w:noHBand="0" w:noVBand="0"/>
        <w:tblDescription w:val="In Table S-29 the first column defines country of birth of the child or adolescent. Read across the rows for the prevalence of ADHD in each group."/>
      </w:tblPr>
      <w:tblGrid>
        <w:gridCol w:w="7026"/>
        <w:gridCol w:w="2115"/>
      </w:tblGrid>
      <w:tr w:rsidR="002A4F8B" w:rsidRPr="000D78B5"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Child or adolescent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7.9</w:t>
            </w:r>
          </w:p>
        </w:tc>
      </w:tr>
      <w:tr w:rsidR="002A4F8B" w:rsidRPr="000D78B5"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3.9</w:t>
            </w:r>
          </w:p>
        </w:tc>
      </w:tr>
    </w:tbl>
    <w:p w:rsidR="002A4F8B" w:rsidRDefault="002A4F8B" w:rsidP="002A4F8B">
      <w:pPr>
        <w:pStyle w:val="Caption"/>
        <w:keepNext/>
      </w:pPr>
      <w:bookmarkStart w:id="357" w:name="_Toc414878931"/>
      <w:bookmarkStart w:id="358" w:name="_Toc414879503"/>
      <w:r>
        <w:t>Table S-</w:t>
      </w:r>
      <w:r>
        <w:rPr>
          <w:noProof/>
        </w:rPr>
        <w:t>30</w:t>
      </w:r>
      <w:r>
        <w:t xml:space="preserve">: </w:t>
      </w:r>
      <w:r w:rsidRPr="004427BA">
        <w:t xml:space="preserve">12-month prevalence of ADHD among 4-17 year-olds by country of birth of </w:t>
      </w:r>
      <w:r>
        <w:t>parents or carers</w:t>
      </w:r>
      <w:bookmarkEnd w:id="357"/>
      <w:bookmarkEnd w:id="358"/>
    </w:p>
    <w:tbl>
      <w:tblPr>
        <w:tblW w:w="9141" w:type="dxa"/>
        <w:jc w:val="center"/>
        <w:tblLayout w:type="fixed"/>
        <w:tblCellMar>
          <w:left w:w="0" w:type="dxa"/>
          <w:right w:w="0" w:type="dxa"/>
        </w:tblCellMar>
        <w:tblLook w:val="0020" w:firstRow="1" w:lastRow="0" w:firstColumn="0" w:lastColumn="0" w:noHBand="0" w:noVBand="0"/>
        <w:tblDescription w:val="In Table S-30 the first column defines country of birth of the parent or carer. Read across the rows for the prevalence of ADHD in each group."/>
      </w:tblPr>
      <w:tblGrid>
        <w:gridCol w:w="7026"/>
        <w:gridCol w:w="2115"/>
      </w:tblGrid>
      <w:tr w:rsidR="002A4F8B" w:rsidRPr="000D78B5"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Parent or carer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Both carers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7.9</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Pr>
                <w:lang w:eastAsia="en-AU"/>
              </w:rPr>
              <w:t>One carer born in Australia, o</w:t>
            </w:r>
            <w:r w:rsidRPr="000D78B5">
              <w:rPr>
                <w:lang w:eastAsia="en-AU"/>
              </w:rPr>
              <w:t>ne carer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6.9</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Both carers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3.0</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Sole carer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12.1</w:t>
            </w:r>
          </w:p>
        </w:tc>
      </w:tr>
      <w:tr w:rsidR="002A4F8B" w:rsidRPr="000D78B5"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Sole carer born 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6.4</w:t>
            </w:r>
          </w:p>
        </w:tc>
      </w:tr>
    </w:tbl>
    <w:p w:rsidR="002A4F8B" w:rsidRDefault="002A4F8B" w:rsidP="002A4F8B">
      <w:pPr>
        <w:pStyle w:val="Caption"/>
        <w:keepNext/>
      </w:pPr>
      <w:bookmarkStart w:id="359" w:name="_Toc414878932"/>
      <w:bookmarkStart w:id="360" w:name="_Toc414879504"/>
      <w:r>
        <w:t>Table S-</w:t>
      </w:r>
      <w:r>
        <w:rPr>
          <w:noProof/>
        </w:rPr>
        <w:t>31</w:t>
      </w:r>
      <w:r>
        <w:t xml:space="preserve">: </w:t>
      </w:r>
      <w:r w:rsidRPr="006F36C1">
        <w:t xml:space="preserve">12-month prevalence of ADHD among 4-17 year-olds by </w:t>
      </w:r>
      <w:r>
        <w:t>housing tenure</w:t>
      </w:r>
      <w:bookmarkEnd w:id="359"/>
      <w:bookmarkEnd w:id="360"/>
    </w:p>
    <w:tbl>
      <w:tblPr>
        <w:tblW w:w="9141" w:type="dxa"/>
        <w:jc w:val="center"/>
        <w:tblLayout w:type="fixed"/>
        <w:tblCellMar>
          <w:left w:w="0" w:type="dxa"/>
          <w:right w:w="0" w:type="dxa"/>
        </w:tblCellMar>
        <w:tblLook w:val="0020" w:firstRow="1" w:lastRow="0" w:firstColumn="0" w:lastColumn="0" w:noHBand="0" w:noVBand="0"/>
        <w:tblDescription w:val="In Table S-31 the first column defines housing tenure. Read across the rows for the prevalence of ADHD in each group."/>
      </w:tblPr>
      <w:tblGrid>
        <w:gridCol w:w="7026"/>
        <w:gridCol w:w="2115"/>
      </w:tblGrid>
      <w:tr w:rsidR="002A4F8B" w:rsidRPr="000D78B5"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Housing tenure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Owned outright</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5.3</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Owned with a mortgage</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5.8</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17.2</w:t>
            </w:r>
          </w:p>
        </w:tc>
      </w:tr>
      <w:tr w:rsidR="002A4F8B" w:rsidRPr="000D78B5"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2115" w:type="dxa"/>
            <w:tcBorders>
              <w:top w:val="nil"/>
              <w:left w:val="nil"/>
              <w:bottom w:val="nil"/>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9.6</w:t>
            </w:r>
          </w:p>
        </w:tc>
      </w:tr>
      <w:tr w:rsidR="002A4F8B" w:rsidRPr="000D78B5"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D78B5" w:rsidRDefault="002A4F8B" w:rsidP="00302454">
            <w:pPr>
              <w:pStyle w:val="TableRowHeadings"/>
              <w:rPr>
                <w:lang w:eastAsia="en-AU"/>
              </w:rPr>
            </w:pPr>
            <w:r w:rsidRPr="000D78B5">
              <w:rPr>
                <w:lang w:eastAsia="en-AU"/>
              </w:rPr>
              <w:t>Other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D78B5" w:rsidRDefault="002A4F8B" w:rsidP="00302454">
            <w:pPr>
              <w:pStyle w:val="TableDataCell"/>
              <w:rPr>
                <w:lang w:eastAsia="en-AU"/>
              </w:rPr>
            </w:pPr>
            <w:r w:rsidRPr="000D78B5">
              <w:rPr>
                <w:lang w:eastAsia="en-AU"/>
              </w:rPr>
              <w:t>9.5</w:t>
            </w:r>
          </w:p>
        </w:tc>
      </w:tr>
    </w:tbl>
    <w:p w:rsidR="002A4F8B" w:rsidRDefault="002A4F8B" w:rsidP="002A4F8B">
      <w:pPr>
        <w:pStyle w:val="Caption"/>
        <w:keepNext/>
      </w:pPr>
      <w:bookmarkStart w:id="361" w:name="_Toc414878933"/>
      <w:bookmarkStart w:id="362" w:name="_Toc414879505"/>
      <w:r>
        <w:t>Table S-</w:t>
      </w:r>
      <w:r>
        <w:rPr>
          <w:noProof/>
        </w:rPr>
        <w:t>32</w:t>
      </w:r>
      <w:r>
        <w:t xml:space="preserve">: </w:t>
      </w:r>
      <w:r w:rsidRPr="00B626E3">
        <w:t xml:space="preserve">12-month prevalence of ADHD among 4-17 year-olds by </w:t>
      </w:r>
      <w:r>
        <w:t>remoteness area</w:t>
      </w:r>
      <w:bookmarkEnd w:id="361"/>
      <w:bookmarkEnd w:id="362"/>
    </w:p>
    <w:tbl>
      <w:tblPr>
        <w:tblW w:w="9141" w:type="dxa"/>
        <w:jc w:val="center"/>
        <w:tblLayout w:type="fixed"/>
        <w:tblCellMar>
          <w:left w:w="0" w:type="dxa"/>
          <w:right w:w="0" w:type="dxa"/>
        </w:tblCellMar>
        <w:tblLook w:val="0020" w:firstRow="1" w:lastRow="0" w:firstColumn="0" w:lastColumn="0" w:noHBand="0" w:noVBand="0"/>
        <w:tblDescription w:val="In Table S-32 the first column defines remoteness area. Read across the rows for the prevalence of ADHD in each group."/>
      </w:tblPr>
      <w:tblGrid>
        <w:gridCol w:w="7026"/>
        <w:gridCol w:w="2115"/>
      </w:tblGrid>
      <w:tr w:rsidR="002A4F8B" w:rsidRPr="005A494F"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Remoteness area</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Major Cities of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7.0</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Inner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7.8</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Outer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10.0</w:t>
            </w:r>
          </w:p>
        </w:tc>
      </w:tr>
      <w:tr w:rsidR="002A4F8B" w:rsidRPr="005A494F"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Remote Australia</w:t>
            </w:r>
            <w:r>
              <w:rPr>
                <w:lang w:eastAsia="en-AU"/>
              </w:rPr>
              <w:t xml:space="preserve"> or Very Remote Australia</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4.3</w:t>
            </w:r>
          </w:p>
        </w:tc>
      </w:tr>
    </w:tbl>
    <w:p w:rsidR="002A4F8B" w:rsidRPr="00CF1ABD" w:rsidRDefault="002A4F8B" w:rsidP="00661A11">
      <w:pPr>
        <w:pStyle w:val="Caption"/>
        <w:keepNext/>
        <w:pageBreakBefore/>
        <w:spacing w:before="0"/>
        <w:rPr>
          <w:rStyle w:val="Strong"/>
        </w:rPr>
      </w:pPr>
      <w:bookmarkStart w:id="363" w:name="_Toc414878934"/>
      <w:bookmarkStart w:id="364" w:name="_Toc414879506"/>
      <w:r>
        <w:lastRenderedPageBreak/>
        <w:t>Table S-</w:t>
      </w:r>
      <w:r>
        <w:rPr>
          <w:noProof/>
        </w:rPr>
        <w:t>33</w:t>
      </w:r>
      <w:r>
        <w:t>: 12-month prevalence of ADHD among 4-17 year-olds by index of relative socio-economic disadvantage</w:t>
      </w:r>
      <w:bookmarkEnd w:id="363"/>
      <w:bookmarkEnd w:id="364"/>
    </w:p>
    <w:tbl>
      <w:tblPr>
        <w:tblW w:w="9141" w:type="dxa"/>
        <w:jc w:val="center"/>
        <w:tblLayout w:type="fixed"/>
        <w:tblCellMar>
          <w:left w:w="0" w:type="dxa"/>
          <w:right w:w="0" w:type="dxa"/>
        </w:tblCellMar>
        <w:tblLook w:val="0020" w:firstRow="1" w:lastRow="0" w:firstColumn="0" w:lastColumn="0" w:noHBand="0" w:noVBand="0"/>
        <w:tblDescription w:val="In Table S-33 the first column defines index of relative socio-economic disadvantage. Read across the rows for the prevalence of ADHD in each group."/>
      </w:tblPr>
      <w:tblGrid>
        <w:gridCol w:w="7026"/>
        <w:gridCol w:w="2115"/>
      </w:tblGrid>
      <w:tr w:rsidR="002A4F8B" w:rsidRPr="00CF1ABD"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shd w:val="clear" w:color="auto" w:fill="EFF3FF"/>
              <w:jc w:val="left"/>
              <w:rPr>
                <w:rStyle w:val="Strong"/>
              </w:rPr>
            </w:pPr>
            <w:r w:rsidRPr="00CF1ABD">
              <w:rPr>
                <w:rStyle w:val="Strong"/>
              </w:rPr>
              <w:t>Index of relative socio-economic disadvantage</w:t>
            </w:r>
          </w:p>
        </w:tc>
        <w:tc>
          <w:tcPr>
            <w:tcW w:w="2115" w:type="dxa"/>
            <w:tcBorders>
              <w:top w:val="single" w:sz="6" w:space="0" w:color="000000"/>
              <w:left w:val="single" w:sz="4" w:space="0" w:color="FFFFFF"/>
              <w:bottom w:val="single" w:sz="4" w:space="0" w:color="000000"/>
            </w:tcBorders>
            <w:shd w:val="clear" w:color="auto" w:fill="E7F1F0"/>
            <w:tcMar>
              <w:left w:w="40" w:type="dxa"/>
              <w:right w:w="40" w:type="dxa"/>
            </w:tcMar>
            <w:vAlign w:val="bottom"/>
          </w:tcPr>
          <w:p w:rsidR="002A4F8B" w:rsidRPr="00CF1ABD" w:rsidRDefault="002A4F8B" w:rsidP="00302454">
            <w:pPr>
              <w:pStyle w:val="TableColumnHeadings"/>
              <w:shd w:val="clear" w:color="auto" w:fill="EFF3FF"/>
              <w:rPr>
                <w:rStyle w:val="Strong"/>
              </w:rPr>
            </w:pPr>
            <w:r w:rsidRPr="00CF1ABD">
              <w:rPr>
                <w:rStyle w:val="Strong"/>
              </w:rPr>
              <w:t>Prevalence (%)</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Lowest quintile (most disadvantaged)</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12.2</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Second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8.1</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Third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7.0</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Fourth quintile</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5.6</w:t>
            </w:r>
          </w:p>
        </w:tc>
      </w:tr>
      <w:tr w:rsidR="002A4F8B" w:rsidRPr="005A494F"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5A494F" w:rsidRDefault="002A4F8B" w:rsidP="00AF58FA">
            <w:pPr>
              <w:pStyle w:val="TableRowHeadings"/>
              <w:rPr>
                <w:lang w:eastAsia="en-AU"/>
              </w:rPr>
            </w:pPr>
            <w:r w:rsidRPr="005A494F">
              <w:rPr>
                <w:lang w:eastAsia="en-AU"/>
              </w:rPr>
              <w:t>Highest quintile (</w:t>
            </w:r>
            <w:r w:rsidR="00AF58FA">
              <w:rPr>
                <w:lang w:eastAsia="en-AU"/>
              </w:rPr>
              <w:t>least dis</w:t>
            </w:r>
            <w:r w:rsidRPr="005A494F">
              <w:rPr>
                <w:lang w:eastAsia="en-AU"/>
              </w:rPr>
              <w:t>advantaged)</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5.2</w:t>
            </w:r>
          </w:p>
        </w:tc>
      </w:tr>
    </w:tbl>
    <w:p w:rsidR="002A4F8B" w:rsidRDefault="002A4F8B" w:rsidP="002A4F8B">
      <w:pPr>
        <w:pStyle w:val="Heading2"/>
      </w:pPr>
      <w:bookmarkStart w:id="365" w:name="_Toc414878935"/>
      <w:bookmarkStart w:id="366" w:name="_Toc414879507"/>
      <w:r>
        <w:t>Conduct disorder</w:t>
      </w:r>
      <w:bookmarkEnd w:id="365"/>
      <w:bookmarkEnd w:id="366"/>
    </w:p>
    <w:p w:rsidR="002A4F8B" w:rsidRDefault="002A4F8B" w:rsidP="002A4F8B">
      <w:pPr>
        <w:pStyle w:val="Caption"/>
        <w:keepNext/>
      </w:pPr>
      <w:bookmarkStart w:id="367" w:name="_Toc414878936"/>
      <w:bookmarkStart w:id="368" w:name="_Toc414879508"/>
      <w:r>
        <w:t>Table S-</w:t>
      </w:r>
      <w:r>
        <w:rPr>
          <w:noProof/>
        </w:rPr>
        <w:t>34</w:t>
      </w:r>
      <w:r>
        <w:t>: 12-month prevalence of conduct disorder among 4-17 year-olds by country of birth of child or adolescent</w:t>
      </w:r>
      <w:bookmarkEnd w:id="367"/>
      <w:bookmarkEnd w:id="368"/>
    </w:p>
    <w:tbl>
      <w:tblPr>
        <w:tblW w:w="9141" w:type="dxa"/>
        <w:jc w:val="center"/>
        <w:tblLayout w:type="fixed"/>
        <w:tblCellMar>
          <w:left w:w="0" w:type="dxa"/>
          <w:right w:w="0" w:type="dxa"/>
        </w:tblCellMar>
        <w:tblLook w:val="0020" w:firstRow="1" w:lastRow="0" w:firstColumn="0" w:lastColumn="0" w:noHBand="0" w:noVBand="0"/>
        <w:tblDescription w:val="In Table S-34 the first column defines country of birth of the child or adolescent. Read across the rows for the prevalence of conduct disorder in each group."/>
      </w:tblPr>
      <w:tblGrid>
        <w:gridCol w:w="7026"/>
        <w:gridCol w:w="2115"/>
      </w:tblGrid>
      <w:tr w:rsidR="002A4F8B" w:rsidRPr="005A494F"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CF1ABD" w:rsidRDefault="002A4F8B" w:rsidP="00302454">
            <w:pPr>
              <w:pStyle w:val="TableColumnHeadings"/>
              <w:jc w:val="left"/>
              <w:rPr>
                <w:rStyle w:val="Strong"/>
              </w:rPr>
            </w:pPr>
            <w:r w:rsidRPr="00CF1ABD">
              <w:rPr>
                <w:rStyle w:val="Strong"/>
              </w:rPr>
              <w:t>Child or adolescent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CF1ABD" w:rsidRDefault="002A4F8B" w:rsidP="00302454">
            <w:pPr>
              <w:pStyle w:val="TableColumnHeadings"/>
              <w:rPr>
                <w:rStyle w:val="Strong"/>
              </w:rPr>
            </w:pPr>
            <w:r w:rsidRPr="00CF1ABD">
              <w:rPr>
                <w:rStyle w:val="Strong"/>
              </w:rPr>
              <w:t>Prevalence (%)</w:t>
            </w:r>
          </w:p>
        </w:tc>
      </w:tr>
      <w:tr w:rsidR="002A4F8B" w:rsidRPr="005A494F"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Australia</w:t>
            </w:r>
          </w:p>
        </w:tc>
        <w:tc>
          <w:tcPr>
            <w:tcW w:w="2115" w:type="dxa"/>
            <w:tcBorders>
              <w:top w:val="nil"/>
              <w:left w:val="nil"/>
              <w:bottom w:val="nil"/>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2.3</w:t>
            </w:r>
          </w:p>
        </w:tc>
      </w:tr>
      <w:tr w:rsidR="002A4F8B" w:rsidRPr="005A494F"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5A494F" w:rsidRDefault="002A4F8B" w:rsidP="00302454">
            <w:pPr>
              <w:pStyle w:val="TableRowHeadings"/>
              <w:rPr>
                <w:lang w:eastAsia="en-AU"/>
              </w:rPr>
            </w:pPr>
            <w:r w:rsidRPr="005A494F">
              <w:rPr>
                <w:lang w:eastAsia="en-AU"/>
              </w:rPr>
              <w:t>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5A494F" w:rsidRDefault="002A4F8B" w:rsidP="00302454">
            <w:pPr>
              <w:pStyle w:val="TableDataCell"/>
              <w:rPr>
                <w:lang w:eastAsia="en-AU"/>
              </w:rPr>
            </w:pPr>
            <w:r w:rsidRPr="005A494F">
              <w:rPr>
                <w:lang w:eastAsia="en-AU"/>
              </w:rPr>
              <w:t>0.5</w:t>
            </w:r>
          </w:p>
        </w:tc>
      </w:tr>
    </w:tbl>
    <w:p w:rsidR="002A4F8B" w:rsidRDefault="002A4F8B" w:rsidP="002A4F8B">
      <w:pPr>
        <w:pStyle w:val="Caption"/>
        <w:keepNext/>
      </w:pPr>
      <w:bookmarkStart w:id="369" w:name="_Toc414878937"/>
      <w:bookmarkStart w:id="370" w:name="_Toc414879509"/>
      <w:r>
        <w:t>Table S-</w:t>
      </w:r>
      <w:r>
        <w:rPr>
          <w:noProof/>
        </w:rPr>
        <w:t>35</w:t>
      </w:r>
      <w:r>
        <w:t xml:space="preserve">: </w:t>
      </w:r>
      <w:r w:rsidRPr="00507EBF">
        <w:t xml:space="preserve">12-month prevalence of conduct disorder among 4-17 year-olds by country of birth of </w:t>
      </w:r>
      <w:r>
        <w:t>parents or carers</w:t>
      </w:r>
      <w:bookmarkEnd w:id="369"/>
      <w:bookmarkEnd w:id="370"/>
    </w:p>
    <w:tbl>
      <w:tblPr>
        <w:tblW w:w="9141" w:type="dxa"/>
        <w:jc w:val="center"/>
        <w:tblLayout w:type="fixed"/>
        <w:tblCellMar>
          <w:left w:w="0" w:type="dxa"/>
          <w:right w:w="0" w:type="dxa"/>
        </w:tblCellMar>
        <w:tblLook w:val="0020" w:firstRow="1" w:lastRow="0" w:firstColumn="0" w:lastColumn="0" w:noHBand="0" w:noVBand="0"/>
        <w:tblDescription w:val="In Table S-35 the first column defines country of birth of the parent or carer. Read across the rows for the prevalence of conduct disorder in each group."/>
      </w:tblPr>
      <w:tblGrid>
        <w:gridCol w:w="7026"/>
        <w:gridCol w:w="2115"/>
      </w:tblGrid>
      <w:tr w:rsidR="002A4F8B" w:rsidRPr="000E38E8"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Parent or carer country of birth</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Prevalence (%)</w:t>
            </w:r>
          </w:p>
        </w:tc>
      </w:tr>
      <w:tr w:rsidR="002A4F8B" w:rsidRPr="000E38E8"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E38E8" w:rsidRDefault="002A4F8B" w:rsidP="00302454">
            <w:pPr>
              <w:pStyle w:val="TableRowHeadings"/>
              <w:rPr>
                <w:lang w:eastAsia="en-AU"/>
              </w:rPr>
            </w:pPr>
            <w:r w:rsidRPr="000E38E8">
              <w:rPr>
                <w:lang w:eastAsia="en-AU"/>
              </w:rPr>
              <w:t>Both carers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E38E8" w:rsidRDefault="002A4F8B" w:rsidP="00302454">
            <w:pPr>
              <w:pStyle w:val="TableDataCell"/>
              <w:rPr>
                <w:lang w:eastAsia="en-AU"/>
              </w:rPr>
            </w:pPr>
            <w:r w:rsidRPr="000E38E8">
              <w:rPr>
                <w:lang w:eastAsia="en-AU"/>
              </w:rPr>
              <w:t>2.0</w:t>
            </w:r>
          </w:p>
        </w:tc>
      </w:tr>
      <w:tr w:rsidR="002A4F8B" w:rsidRPr="000E38E8"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E38E8" w:rsidRDefault="002A4F8B" w:rsidP="00302454">
            <w:pPr>
              <w:pStyle w:val="TableRowHeadings"/>
              <w:rPr>
                <w:lang w:eastAsia="en-AU"/>
              </w:rPr>
            </w:pPr>
            <w:r>
              <w:rPr>
                <w:lang w:eastAsia="en-AU"/>
              </w:rPr>
              <w:t>One carer born in Australia, o</w:t>
            </w:r>
            <w:r w:rsidRPr="000E38E8">
              <w:rPr>
                <w:lang w:eastAsia="en-AU"/>
              </w:rPr>
              <w:t>ne carer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0E38E8" w:rsidRDefault="002A4F8B" w:rsidP="00302454">
            <w:pPr>
              <w:pStyle w:val="TableDataCell"/>
              <w:rPr>
                <w:lang w:eastAsia="en-AU"/>
              </w:rPr>
            </w:pPr>
            <w:r w:rsidRPr="000E38E8">
              <w:rPr>
                <w:lang w:eastAsia="en-AU"/>
              </w:rPr>
              <w:t>1.0</w:t>
            </w:r>
          </w:p>
        </w:tc>
      </w:tr>
      <w:tr w:rsidR="002A4F8B" w:rsidRPr="000E38E8"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E38E8" w:rsidRDefault="002A4F8B" w:rsidP="00302454">
            <w:pPr>
              <w:pStyle w:val="TableRowHeadings"/>
              <w:rPr>
                <w:lang w:eastAsia="en-AU"/>
              </w:rPr>
            </w:pPr>
            <w:r w:rsidRPr="000E38E8">
              <w:rPr>
                <w:lang w:eastAsia="en-AU"/>
              </w:rPr>
              <w:t>Both carers born overseas</w:t>
            </w:r>
          </w:p>
        </w:tc>
        <w:tc>
          <w:tcPr>
            <w:tcW w:w="2115" w:type="dxa"/>
            <w:tcBorders>
              <w:top w:val="nil"/>
              <w:left w:val="nil"/>
              <w:bottom w:val="nil"/>
              <w:right w:val="nil"/>
            </w:tcBorders>
            <w:shd w:val="clear" w:color="auto" w:fill="FFFFFF"/>
            <w:tcMar>
              <w:left w:w="40" w:type="dxa"/>
              <w:right w:w="40" w:type="dxa"/>
            </w:tcMar>
            <w:vAlign w:val="bottom"/>
          </w:tcPr>
          <w:p w:rsidR="002A4F8B" w:rsidRPr="000E38E8" w:rsidRDefault="002A4F8B" w:rsidP="00302454">
            <w:pPr>
              <w:pStyle w:val="TableDataCell"/>
              <w:rPr>
                <w:lang w:eastAsia="en-AU"/>
              </w:rPr>
            </w:pPr>
            <w:r>
              <w:rPr>
                <w:lang w:eastAsia="en-AU"/>
              </w:rPr>
              <w:t>np</w:t>
            </w:r>
          </w:p>
        </w:tc>
      </w:tr>
      <w:tr w:rsidR="002A4F8B" w:rsidRPr="000E38E8"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E38E8" w:rsidRDefault="002A4F8B" w:rsidP="00302454">
            <w:pPr>
              <w:pStyle w:val="TableRowHeadings"/>
              <w:rPr>
                <w:lang w:eastAsia="en-AU"/>
              </w:rPr>
            </w:pPr>
            <w:r w:rsidRPr="000E38E8">
              <w:rPr>
                <w:lang w:eastAsia="en-AU"/>
              </w:rPr>
              <w:t>Sole carer born in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E38E8" w:rsidRDefault="002A4F8B" w:rsidP="00302454">
            <w:pPr>
              <w:pStyle w:val="TableDataCell"/>
              <w:rPr>
                <w:lang w:eastAsia="en-AU"/>
              </w:rPr>
            </w:pPr>
            <w:r w:rsidRPr="000E38E8">
              <w:rPr>
                <w:lang w:eastAsia="en-AU"/>
              </w:rPr>
              <w:t>5.2</w:t>
            </w:r>
          </w:p>
        </w:tc>
      </w:tr>
      <w:tr w:rsidR="002A4F8B" w:rsidRPr="000E38E8"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E38E8" w:rsidRDefault="002A4F8B" w:rsidP="00302454">
            <w:pPr>
              <w:pStyle w:val="TableRowHeadings"/>
              <w:rPr>
                <w:lang w:eastAsia="en-AU"/>
              </w:rPr>
            </w:pPr>
            <w:r w:rsidRPr="000E38E8">
              <w:rPr>
                <w:lang w:eastAsia="en-AU"/>
              </w:rPr>
              <w:t>Sole carer born overseas</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E38E8" w:rsidRDefault="002A4F8B" w:rsidP="00302454">
            <w:pPr>
              <w:pStyle w:val="TableDataCell"/>
              <w:rPr>
                <w:lang w:eastAsia="en-AU"/>
              </w:rPr>
            </w:pPr>
            <w:r w:rsidRPr="000E38E8">
              <w:rPr>
                <w:lang w:eastAsia="en-AU"/>
              </w:rPr>
              <w:t>4.3</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71" w:name="_Toc414878938"/>
      <w:bookmarkStart w:id="372" w:name="_Toc414879510"/>
      <w:r>
        <w:t>Table S-</w:t>
      </w:r>
      <w:r>
        <w:rPr>
          <w:noProof/>
        </w:rPr>
        <w:t>36</w:t>
      </w:r>
      <w:r>
        <w:t xml:space="preserve">: </w:t>
      </w:r>
      <w:r w:rsidRPr="00885F73">
        <w:t xml:space="preserve">12-month prevalence of conduct disorder among 4-17 year-olds by </w:t>
      </w:r>
      <w:r>
        <w:t>housing tenure</w:t>
      </w:r>
      <w:bookmarkEnd w:id="371"/>
      <w:bookmarkEnd w:id="372"/>
    </w:p>
    <w:tbl>
      <w:tblPr>
        <w:tblW w:w="9141" w:type="dxa"/>
        <w:jc w:val="center"/>
        <w:tblLayout w:type="fixed"/>
        <w:tblCellMar>
          <w:left w:w="0" w:type="dxa"/>
          <w:right w:w="0" w:type="dxa"/>
        </w:tblCellMar>
        <w:tblLook w:val="0020" w:firstRow="1" w:lastRow="0" w:firstColumn="0" w:lastColumn="0" w:noHBand="0" w:noVBand="0"/>
        <w:tblDescription w:val="In Table S-36 the first column defines housing tenure. Read across the rows for the prevalence of conduct disorder in each group."/>
      </w:tblPr>
      <w:tblGrid>
        <w:gridCol w:w="7026"/>
        <w:gridCol w:w="2115"/>
      </w:tblGrid>
      <w:tr w:rsidR="002A4F8B" w:rsidRPr="000B5E6B"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Housing tenure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Prevalence (%)</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Owned outright</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Pr>
                <w:lang w:eastAsia="en-AU"/>
              </w:rPr>
              <w:t>0.6</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Owned with a mortgage</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1.2</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public housing</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10.8</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D46752" w:rsidRDefault="002A4F8B" w:rsidP="00302454">
            <w:pPr>
              <w:pStyle w:val="TableRowHeadings"/>
              <w:rPr>
                <w:lang w:eastAsia="en-AU"/>
              </w:rPr>
            </w:pPr>
            <w:r>
              <w:rPr>
                <w:lang w:eastAsia="en-AU"/>
              </w:rPr>
              <w:t>Rented —</w:t>
            </w:r>
            <w:r w:rsidRPr="00D46752">
              <w:rPr>
                <w:lang w:eastAsia="en-AU"/>
              </w:rPr>
              <w:t xml:space="preserve"> other</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3.0</w:t>
            </w:r>
          </w:p>
        </w:tc>
      </w:tr>
      <w:tr w:rsidR="002A4F8B" w:rsidRPr="000B5E6B"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Other</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Pr>
                <w:lang w:eastAsia="en-AU"/>
              </w:rPr>
              <w:t>np</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373" w:name="_Toc414878939"/>
      <w:bookmarkStart w:id="374" w:name="_Toc414879511"/>
      <w:r>
        <w:lastRenderedPageBreak/>
        <w:t>Table S-</w:t>
      </w:r>
      <w:r>
        <w:rPr>
          <w:noProof/>
        </w:rPr>
        <w:t>37</w:t>
      </w:r>
      <w:r>
        <w:t xml:space="preserve">: </w:t>
      </w:r>
      <w:r w:rsidRPr="007122C2">
        <w:t>12-month prevalence of conduct disorder among 4-17 year-olds by</w:t>
      </w:r>
      <w:r>
        <w:t xml:space="preserve"> remoteness area</w:t>
      </w:r>
      <w:bookmarkEnd w:id="373"/>
      <w:bookmarkEnd w:id="374"/>
    </w:p>
    <w:tbl>
      <w:tblPr>
        <w:tblW w:w="9141" w:type="dxa"/>
        <w:jc w:val="center"/>
        <w:tblLayout w:type="fixed"/>
        <w:tblCellMar>
          <w:left w:w="0" w:type="dxa"/>
          <w:right w:w="0" w:type="dxa"/>
        </w:tblCellMar>
        <w:tblLook w:val="0020" w:firstRow="1" w:lastRow="0" w:firstColumn="0" w:lastColumn="0" w:noHBand="0" w:noVBand="0"/>
        <w:tblDescription w:val="In Table S-37 the first column defines remoteness area. Read across the rows for the prevalence of conduct disorder in each group."/>
      </w:tblPr>
      <w:tblGrid>
        <w:gridCol w:w="7026"/>
        <w:gridCol w:w="2115"/>
      </w:tblGrid>
      <w:tr w:rsidR="002A4F8B" w:rsidRPr="000B5E6B"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Remoteness area</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Prevalence (%)</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Major Cities of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1.6</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Inner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3.0</w:t>
            </w:r>
          </w:p>
        </w:tc>
      </w:tr>
      <w:tr w:rsidR="002A4F8B" w:rsidRPr="000B5E6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Outer Regional Australia</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sidRPr="000B5E6B">
              <w:rPr>
                <w:lang w:eastAsia="en-AU"/>
              </w:rPr>
              <w:t>2.6</w:t>
            </w:r>
          </w:p>
        </w:tc>
      </w:tr>
      <w:tr w:rsidR="002A4F8B" w:rsidRPr="000B5E6B"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Pr="000B5E6B" w:rsidRDefault="002A4F8B" w:rsidP="00302454">
            <w:pPr>
              <w:pStyle w:val="TableRowHeadings"/>
              <w:rPr>
                <w:lang w:eastAsia="en-AU"/>
              </w:rPr>
            </w:pPr>
            <w:r w:rsidRPr="000B5E6B">
              <w:rPr>
                <w:lang w:eastAsia="en-AU"/>
              </w:rPr>
              <w:t>Remote Australia</w:t>
            </w:r>
            <w:r>
              <w:rPr>
                <w:lang w:eastAsia="en-AU"/>
              </w:rPr>
              <w:t xml:space="preserve"> or Very Remote Australia</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B5E6B" w:rsidRDefault="002A4F8B" w:rsidP="00302454">
            <w:pPr>
              <w:pStyle w:val="TableDataCell"/>
              <w:rPr>
                <w:lang w:eastAsia="en-AU"/>
              </w:rPr>
            </w:pPr>
            <w:r>
              <w:rPr>
                <w:lang w:eastAsia="en-AU"/>
              </w:rPr>
              <w:t>np</w:t>
            </w:r>
          </w:p>
        </w:tc>
      </w:tr>
    </w:tbl>
    <w:p w:rsidR="002A4F8B" w:rsidRDefault="002A4F8B" w:rsidP="002A4F8B">
      <w:pPr>
        <w:pStyle w:val="TableFootnote"/>
        <w:tabs>
          <w:tab w:val="left" w:pos="490"/>
        </w:tabs>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75" w:name="_Toc414878940"/>
      <w:bookmarkStart w:id="376" w:name="_Toc414879512"/>
      <w:r>
        <w:t>Table S-</w:t>
      </w:r>
      <w:r>
        <w:rPr>
          <w:noProof/>
        </w:rPr>
        <w:t>38</w:t>
      </w:r>
      <w:r>
        <w:t xml:space="preserve">: </w:t>
      </w:r>
      <w:r w:rsidRPr="006056A6">
        <w:t>12-month prevalence of conduct disorder among 4-17 year-olds by</w:t>
      </w:r>
      <w:r>
        <w:t xml:space="preserve"> index of relative socio-economic disadvantage</w:t>
      </w:r>
      <w:bookmarkEnd w:id="375"/>
      <w:bookmarkEnd w:id="376"/>
    </w:p>
    <w:tbl>
      <w:tblPr>
        <w:tblW w:w="9141" w:type="dxa"/>
        <w:jc w:val="center"/>
        <w:tblLayout w:type="fixed"/>
        <w:tblCellMar>
          <w:left w:w="0" w:type="dxa"/>
          <w:right w:w="0" w:type="dxa"/>
        </w:tblCellMar>
        <w:tblLook w:val="0020" w:firstRow="1" w:lastRow="0" w:firstColumn="0" w:lastColumn="0" w:noHBand="0" w:noVBand="0"/>
        <w:tblDescription w:val="In Table S-38 the first column defines level of relative socio-economic disadvantage. Read across the rows for the prevalence of conduct disorder in each group."/>
      </w:tblPr>
      <w:tblGrid>
        <w:gridCol w:w="7026"/>
        <w:gridCol w:w="2115"/>
      </w:tblGrid>
      <w:tr w:rsidR="002A4F8B" w:rsidTr="00302454">
        <w:trPr>
          <w:cantSplit/>
          <w:tblHeader/>
          <w:jc w:val="center"/>
        </w:trPr>
        <w:tc>
          <w:tcPr>
            <w:tcW w:w="702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Index of relative socio-economic disadvantage</w:t>
            </w:r>
          </w:p>
        </w:tc>
        <w:tc>
          <w:tcPr>
            <w:tcW w:w="211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Prevalence (%)</w:t>
            </w:r>
          </w:p>
        </w:tc>
      </w:tr>
      <w:tr w:rsidR="002A4F8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Lowest quintile (most disadvantaged)</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pPr>
            <w:r w:rsidRPr="000B5E6B">
              <w:t>5.7</w:t>
            </w:r>
          </w:p>
        </w:tc>
      </w:tr>
      <w:tr w:rsidR="002A4F8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Second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pPr>
            <w:r w:rsidRPr="000B5E6B">
              <w:t>1.4</w:t>
            </w:r>
          </w:p>
        </w:tc>
      </w:tr>
      <w:tr w:rsidR="002A4F8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Third quintile</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pPr>
            <w:r w:rsidRPr="000B5E6B">
              <w:t>1.6</w:t>
            </w:r>
          </w:p>
        </w:tc>
      </w:tr>
      <w:tr w:rsidR="002A4F8B" w:rsidTr="00302454">
        <w:trPr>
          <w:cantSplit/>
          <w:jc w:val="center"/>
        </w:trPr>
        <w:tc>
          <w:tcPr>
            <w:tcW w:w="7026"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Fourth quintile</w:t>
            </w:r>
          </w:p>
        </w:tc>
        <w:tc>
          <w:tcPr>
            <w:tcW w:w="2115" w:type="dxa"/>
            <w:tcBorders>
              <w:top w:val="nil"/>
              <w:left w:val="nil"/>
              <w:bottom w:val="nil"/>
              <w:right w:val="nil"/>
            </w:tcBorders>
            <w:shd w:val="clear" w:color="auto" w:fill="FFFFFF"/>
            <w:tcMar>
              <w:left w:w="40" w:type="dxa"/>
              <w:right w:w="40" w:type="dxa"/>
            </w:tcMar>
            <w:vAlign w:val="bottom"/>
          </w:tcPr>
          <w:p w:rsidR="002A4F8B" w:rsidRPr="000B5E6B" w:rsidRDefault="002A4F8B" w:rsidP="00302454">
            <w:pPr>
              <w:pStyle w:val="TableDataCell"/>
            </w:pPr>
            <w:r w:rsidRPr="000B5E6B">
              <w:t>1.1</w:t>
            </w:r>
          </w:p>
        </w:tc>
      </w:tr>
      <w:tr w:rsidR="002A4F8B" w:rsidTr="00302454">
        <w:trPr>
          <w:cantSplit/>
          <w:jc w:val="center"/>
        </w:trPr>
        <w:tc>
          <w:tcPr>
            <w:tcW w:w="7026" w:type="dxa"/>
            <w:tcBorders>
              <w:top w:val="nil"/>
              <w:bottom w:val="single" w:sz="6" w:space="0" w:color="000000"/>
              <w:right w:val="nil"/>
            </w:tcBorders>
            <w:shd w:val="clear" w:color="auto" w:fill="EFF3FF"/>
            <w:tcMar>
              <w:left w:w="40" w:type="dxa"/>
              <w:right w:w="40" w:type="dxa"/>
            </w:tcMar>
          </w:tcPr>
          <w:p w:rsidR="002A4F8B" w:rsidRDefault="002A4F8B" w:rsidP="00AF58FA">
            <w:pPr>
              <w:pStyle w:val="TableRowHeadings"/>
            </w:pPr>
            <w:r>
              <w:t>Highest quintile (</w:t>
            </w:r>
            <w:r w:rsidR="00AF58FA">
              <w:rPr>
                <w:lang w:eastAsia="en-AU"/>
              </w:rPr>
              <w:t>least dis</w:t>
            </w:r>
            <w:r>
              <w:t>advantaged)</w:t>
            </w:r>
          </w:p>
        </w:tc>
        <w:tc>
          <w:tcPr>
            <w:tcW w:w="2115" w:type="dxa"/>
            <w:tcBorders>
              <w:top w:val="nil"/>
              <w:left w:val="nil"/>
              <w:bottom w:val="single" w:sz="6" w:space="0" w:color="000000"/>
              <w:right w:val="nil"/>
            </w:tcBorders>
            <w:shd w:val="clear" w:color="auto" w:fill="FFFFFF"/>
            <w:tcMar>
              <w:left w:w="40" w:type="dxa"/>
              <w:right w:w="40" w:type="dxa"/>
            </w:tcMar>
            <w:vAlign w:val="bottom"/>
          </w:tcPr>
          <w:p w:rsidR="002A4F8B" w:rsidRPr="000B5E6B" w:rsidRDefault="002A4F8B" w:rsidP="00302454">
            <w:pPr>
              <w:pStyle w:val="TableDataCell"/>
            </w:pPr>
            <w:r w:rsidRPr="000B5E6B">
              <w:t>1.1</w:t>
            </w:r>
          </w:p>
        </w:tc>
      </w:tr>
    </w:tbl>
    <w:p w:rsidR="002A4F8B" w:rsidRDefault="002A4F8B" w:rsidP="002A4F8B">
      <w:pPr>
        <w:pStyle w:val="BodyText"/>
      </w:pPr>
    </w:p>
    <w:p w:rsidR="002A4F8B" w:rsidRDefault="002A4F8B" w:rsidP="002A4F8B">
      <w:pPr>
        <w:pStyle w:val="Heading2"/>
      </w:pPr>
      <w:bookmarkStart w:id="377" w:name="_Toc414878941"/>
      <w:bookmarkStart w:id="378" w:name="_Toc414879513"/>
      <w:r>
        <w:t>Mental disorders in adolescents aged 16-17 years</w:t>
      </w:r>
      <w:bookmarkEnd w:id="377"/>
      <w:bookmarkEnd w:id="378"/>
    </w:p>
    <w:p w:rsidR="002A4F8B" w:rsidRDefault="002A4F8B" w:rsidP="002A4F8B">
      <w:pPr>
        <w:pStyle w:val="Caption"/>
        <w:keepNext/>
      </w:pPr>
      <w:bookmarkStart w:id="379" w:name="_Toc414878942"/>
      <w:bookmarkStart w:id="380" w:name="_Toc414879514"/>
      <w:r>
        <w:t>Table S-</w:t>
      </w:r>
      <w:r>
        <w:rPr>
          <w:noProof/>
        </w:rPr>
        <w:t>39</w:t>
      </w:r>
      <w:r>
        <w:t xml:space="preserve">: </w:t>
      </w:r>
      <w:r w:rsidRPr="00D95F50">
        <w:t xml:space="preserve">12-month prevalence of mental disorders among 16-17 year-olds by </w:t>
      </w:r>
      <w:r>
        <w:t xml:space="preserve">type of </w:t>
      </w:r>
      <w:r w:rsidRPr="00D95F50">
        <w:t>disorder and sex</w:t>
      </w:r>
      <w:bookmarkEnd w:id="379"/>
      <w:bookmarkEnd w:id="380"/>
    </w:p>
    <w:tbl>
      <w:tblPr>
        <w:tblW w:w="9114" w:type="dxa"/>
        <w:jc w:val="center"/>
        <w:tblLayout w:type="fixed"/>
        <w:tblCellMar>
          <w:left w:w="0" w:type="dxa"/>
          <w:right w:w="0" w:type="dxa"/>
        </w:tblCellMar>
        <w:tblLook w:val="0020" w:firstRow="1" w:lastRow="0" w:firstColumn="0" w:lastColumn="0" w:noHBand="0" w:noVBand="0"/>
        <w:tblDescription w:val="In Table S-39 the first column defines mental disorder. Read across the rows forthe proportion of males, the proportion of females and then the proportion of persons who have each mental disorder."/>
      </w:tblPr>
      <w:tblGrid>
        <w:gridCol w:w="3201"/>
        <w:gridCol w:w="1971"/>
        <w:gridCol w:w="1971"/>
        <w:gridCol w:w="1971"/>
      </w:tblGrid>
      <w:tr w:rsidR="002A4F8B" w:rsidRPr="003E4E84" w:rsidTr="00302454">
        <w:trPr>
          <w:cantSplit/>
          <w:tblHeader/>
          <w:jc w:val="center"/>
        </w:trPr>
        <w:tc>
          <w:tcPr>
            <w:tcW w:w="3201"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Disorder</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Males (%)</w:t>
            </w:r>
          </w:p>
        </w:tc>
        <w:tc>
          <w:tcPr>
            <w:tcW w:w="197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Females (%)</w:t>
            </w:r>
          </w:p>
        </w:tc>
        <w:tc>
          <w:tcPr>
            <w:tcW w:w="197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Persons (%)</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Social phobia</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2.8</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4.8</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3.8</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Separation anxiety disorder</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2.2</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4.3</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3.2</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Generalised anxiety disorder</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2.5</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5.3</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3.9</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Obsessive-compulsive disorder</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Pr>
                <w:lang w:eastAsia="en-AU"/>
              </w:rPr>
              <w:t>np</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1.2</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0.8</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Any anxiety disorder</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5.4</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10.2</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7.8</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Major depressive disorder</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5.4</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10.0</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7.7</w:t>
            </w:r>
          </w:p>
        </w:tc>
      </w:tr>
      <w:tr w:rsidR="002A4F8B" w:rsidRPr="003E4E84" w:rsidTr="00302454">
        <w:trPr>
          <w:cantSplit/>
          <w:jc w:val="center"/>
        </w:trPr>
        <w:tc>
          <w:tcPr>
            <w:tcW w:w="3201" w:type="dxa"/>
            <w:tcBorders>
              <w:top w:val="nil"/>
              <w:bottom w:val="single" w:sz="4" w:space="0" w:color="FFFFFF"/>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ADHD</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5.3</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2.8</w:t>
            </w:r>
          </w:p>
        </w:tc>
        <w:tc>
          <w:tcPr>
            <w:tcW w:w="1971" w:type="dxa"/>
            <w:tcBorders>
              <w:top w:val="nil"/>
              <w:left w:val="nil"/>
              <w:bottom w:val="nil"/>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4.0</w:t>
            </w:r>
          </w:p>
        </w:tc>
      </w:tr>
      <w:tr w:rsidR="002A4F8B" w:rsidRPr="003E4E84" w:rsidTr="00302454">
        <w:trPr>
          <w:cantSplit/>
          <w:jc w:val="center"/>
        </w:trPr>
        <w:tc>
          <w:tcPr>
            <w:tcW w:w="3201" w:type="dxa"/>
            <w:tcBorders>
              <w:top w:val="nil"/>
              <w:bottom w:val="single" w:sz="4" w:space="0" w:color="auto"/>
              <w:right w:val="nil"/>
            </w:tcBorders>
            <w:shd w:val="clear" w:color="auto" w:fill="EFF3FF"/>
            <w:tcMar>
              <w:left w:w="40" w:type="dxa"/>
              <w:right w:w="40" w:type="dxa"/>
            </w:tcMar>
          </w:tcPr>
          <w:p w:rsidR="002A4F8B" w:rsidRPr="003E4E84" w:rsidRDefault="002A4F8B" w:rsidP="00302454">
            <w:pPr>
              <w:pStyle w:val="TableRowHeadings"/>
              <w:rPr>
                <w:lang w:eastAsia="en-AU"/>
              </w:rPr>
            </w:pPr>
            <w:r w:rsidRPr="003E4E84">
              <w:rPr>
                <w:lang w:eastAsia="en-AU"/>
              </w:rPr>
              <w:t>Conduct disorder</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2.5</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1.2</w:t>
            </w:r>
          </w:p>
        </w:tc>
        <w:tc>
          <w:tcPr>
            <w:tcW w:w="1971" w:type="dxa"/>
            <w:tcBorders>
              <w:top w:val="nil"/>
              <w:left w:val="nil"/>
              <w:bottom w:val="single" w:sz="4" w:space="0" w:color="auto"/>
              <w:right w:val="nil"/>
            </w:tcBorders>
            <w:shd w:val="clear" w:color="auto" w:fill="FFFFFF"/>
            <w:tcMar>
              <w:left w:w="40" w:type="dxa"/>
              <w:right w:w="40" w:type="dxa"/>
            </w:tcMar>
            <w:vAlign w:val="bottom"/>
          </w:tcPr>
          <w:p w:rsidR="002A4F8B" w:rsidRPr="003E4E84" w:rsidRDefault="002A4F8B" w:rsidP="00302454">
            <w:pPr>
              <w:pStyle w:val="TableDataCell"/>
              <w:rPr>
                <w:lang w:eastAsia="en-AU"/>
              </w:rPr>
            </w:pPr>
            <w:r w:rsidRPr="003E4E84">
              <w:rPr>
                <w:lang w:eastAsia="en-AU"/>
              </w:rPr>
              <w:t>1.8</w:t>
            </w:r>
          </w:p>
        </w:tc>
      </w:tr>
      <w:tr w:rsidR="002A4F8B" w:rsidRPr="003E4E84" w:rsidTr="00302454">
        <w:trPr>
          <w:cantSplit/>
          <w:jc w:val="center"/>
        </w:trPr>
        <w:tc>
          <w:tcPr>
            <w:tcW w:w="3201" w:type="dxa"/>
            <w:tcBorders>
              <w:top w:val="single" w:sz="4" w:space="0" w:color="auto"/>
              <w:bottom w:val="single" w:sz="6" w:space="0" w:color="000000"/>
              <w:right w:val="nil"/>
            </w:tcBorders>
            <w:shd w:val="clear" w:color="auto" w:fill="EFF3FF"/>
            <w:tcMar>
              <w:left w:w="40" w:type="dxa"/>
              <w:right w:w="40" w:type="dxa"/>
            </w:tcMar>
          </w:tcPr>
          <w:p w:rsidR="002A4F8B" w:rsidRPr="002925AD" w:rsidRDefault="002A4F8B" w:rsidP="00302454">
            <w:pPr>
              <w:pStyle w:val="TableRowHeadings"/>
              <w:rPr>
                <w:rStyle w:val="Strong"/>
              </w:rPr>
            </w:pPr>
            <w:r w:rsidRPr="002925AD">
              <w:rPr>
                <w:rStyle w:val="Strong"/>
              </w:rPr>
              <w:t>Any mental disorder</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14.1</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15.3</w:t>
            </w:r>
          </w:p>
        </w:tc>
        <w:tc>
          <w:tcPr>
            <w:tcW w:w="1971"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14.7</w:t>
            </w:r>
          </w:p>
        </w:tc>
      </w:tr>
    </w:tbl>
    <w:p w:rsidR="002A4F8B" w:rsidRPr="003E4E84" w:rsidRDefault="002A4F8B" w:rsidP="002A4F8B">
      <w:pPr>
        <w:pStyle w:val="TableFootnote"/>
        <w:rPr>
          <w:rFonts w:cs="Source Sans Pro Light"/>
          <w:sz w:val="20"/>
          <w:szCs w:val="20"/>
        </w:rPr>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381" w:name="_Toc414878943"/>
      <w:bookmarkStart w:id="382" w:name="_Toc414879515"/>
      <w:r>
        <w:lastRenderedPageBreak/>
        <w:t>Table S-</w:t>
      </w:r>
      <w:r>
        <w:rPr>
          <w:noProof/>
        </w:rPr>
        <w:t>40</w:t>
      </w:r>
      <w:r>
        <w:t xml:space="preserve">: </w:t>
      </w:r>
      <w:r w:rsidRPr="000D32C0">
        <w:t>12-month prevalence of mental disorders among 16-17 year-olds by type of disorder and severity of impact</w:t>
      </w:r>
      <w:bookmarkEnd w:id="381"/>
      <w:bookmarkEnd w:id="382"/>
    </w:p>
    <w:tbl>
      <w:tblPr>
        <w:tblW w:w="9119" w:type="dxa"/>
        <w:jc w:val="center"/>
        <w:tblLayout w:type="fixed"/>
        <w:tblCellMar>
          <w:left w:w="0" w:type="dxa"/>
          <w:right w:w="0" w:type="dxa"/>
        </w:tblCellMar>
        <w:tblLook w:val="0020" w:firstRow="1" w:lastRow="0" w:firstColumn="0" w:lastColumn="0" w:noHBand="0" w:noVBand="0"/>
        <w:tblDescription w:val="In Table S-40 the first column defines mental disorder. Read across the rows forthe proportion with mild disorder, the proportion with moderate disorder, the proportion with severe disorder, and the total proportion with disorder."/>
      </w:tblPr>
      <w:tblGrid>
        <w:gridCol w:w="2779"/>
        <w:gridCol w:w="1585"/>
        <w:gridCol w:w="1585"/>
        <w:gridCol w:w="1585"/>
        <w:gridCol w:w="1585"/>
      </w:tblGrid>
      <w:tr w:rsidR="002A4F8B" w:rsidRPr="000673A6" w:rsidTr="00302454">
        <w:trPr>
          <w:cantSplit/>
          <w:tblHeader/>
          <w:jc w:val="center"/>
        </w:trPr>
        <w:tc>
          <w:tcPr>
            <w:tcW w:w="2779"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Disorder</w:t>
            </w:r>
          </w:p>
        </w:tc>
        <w:tc>
          <w:tcPr>
            <w:tcW w:w="158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Mild (%)</w:t>
            </w:r>
          </w:p>
        </w:tc>
        <w:tc>
          <w:tcPr>
            <w:tcW w:w="158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Moderate (%)</w:t>
            </w:r>
          </w:p>
        </w:tc>
        <w:tc>
          <w:tcPr>
            <w:tcW w:w="158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Severe (%)</w:t>
            </w:r>
          </w:p>
        </w:tc>
        <w:tc>
          <w:tcPr>
            <w:tcW w:w="158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Total (%)</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Social phobia</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1.1</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1.0</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1.7</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3.8</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Separation anxiety disorder</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0.8</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1.0</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1.4</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3.2</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Generalised anxiety disorder</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1.1</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1.5</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1.3</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3.9</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Obsessive-compulsive disorder</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Pr>
                <w:lang w:eastAsia="en-AU"/>
              </w:rPr>
              <w:t>np</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Pr>
                <w:lang w:eastAsia="en-AU"/>
              </w:rPr>
              <w:t>np</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0.3</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0.8</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Any anxiety disorder</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2.6</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2.6</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2.7</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7.8</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Major depressive disorder</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1.5</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3.1</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3.1</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7.7</w:t>
            </w:r>
          </w:p>
        </w:tc>
      </w:tr>
      <w:tr w:rsidR="002A4F8B" w:rsidRPr="000673A6" w:rsidTr="00302454">
        <w:trPr>
          <w:cantSplit/>
          <w:jc w:val="center"/>
        </w:trPr>
        <w:tc>
          <w:tcPr>
            <w:tcW w:w="2779"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ADHD</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2.2</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1.4</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0.4</w:t>
            </w:r>
          </w:p>
        </w:tc>
        <w:tc>
          <w:tcPr>
            <w:tcW w:w="1585"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4.0</w:t>
            </w:r>
          </w:p>
        </w:tc>
      </w:tr>
      <w:tr w:rsidR="002A4F8B" w:rsidRPr="000673A6" w:rsidTr="00302454">
        <w:trPr>
          <w:cantSplit/>
          <w:jc w:val="center"/>
        </w:trPr>
        <w:tc>
          <w:tcPr>
            <w:tcW w:w="2779" w:type="dxa"/>
            <w:tcBorders>
              <w:top w:val="nil"/>
              <w:bottom w:val="single" w:sz="4" w:space="0" w:color="auto"/>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Conduct disorder</w:t>
            </w:r>
          </w:p>
        </w:tc>
        <w:tc>
          <w:tcPr>
            <w:tcW w:w="1585" w:type="dxa"/>
            <w:tcBorders>
              <w:top w:val="nil"/>
              <w:left w:val="nil"/>
              <w:bottom w:val="single" w:sz="4" w:space="0" w:color="auto"/>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0.6</w:t>
            </w:r>
          </w:p>
        </w:tc>
        <w:tc>
          <w:tcPr>
            <w:tcW w:w="1585" w:type="dxa"/>
            <w:tcBorders>
              <w:top w:val="nil"/>
              <w:left w:val="nil"/>
              <w:bottom w:val="single" w:sz="4" w:space="0" w:color="auto"/>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0.9</w:t>
            </w:r>
          </w:p>
        </w:tc>
        <w:tc>
          <w:tcPr>
            <w:tcW w:w="1585" w:type="dxa"/>
            <w:tcBorders>
              <w:top w:val="nil"/>
              <w:left w:val="nil"/>
              <w:bottom w:val="single" w:sz="4" w:space="0" w:color="auto"/>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0.3</w:t>
            </w:r>
          </w:p>
        </w:tc>
        <w:tc>
          <w:tcPr>
            <w:tcW w:w="1585" w:type="dxa"/>
            <w:tcBorders>
              <w:top w:val="nil"/>
              <w:left w:val="nil"/>
              <w:bottom w:val="single" w:sz="4" w:space="0" w:color="auto"/>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1.8</w:t>
            </w:r>
          </w:p>
        </w:tc>
      </w:tr>
      <w:tr w:rsidR="002A4F8B" w:rsidRPr="000673A6" w:rsidTr="00302454">
        <w:trPr>
          <w:cantSplit/>
          <w:jc w:val="center"/>
        </w:trPr>
        <w:tc>
          <w:tcPr>
            <w:tcW w:w="2779" w:type="dxa"/>
            <w:tcBorders>
              <w:top w:val="single" w:sz="4" w:space="0" w:color="auto"/>
              <w:bottom w:val="single" w:sz="6" w:space="0" w:color="000000"/>
              <w:right w:val="nil"/>
            </w:tcBorders>
            <w:shd w:val="clear" w:color="auto" w:fill="EFF3FF"/>
            <w:tcMar>
              <w:left w:w="40" w:type="dxa"/>
              <w:right w:w="40" w:type="dxa"/>
            </w:tcMar>
          </w:tcPr>
          <w:p w:rsidR="002A4F8B" w:rsidRPr="002925AD" w:rsidRDefault="002A4F8B" w:rsidP="00302454">
            <w:pPr>
              <w:pStyle w:val="TableRowHeadings"/>
              <w:rPr>
                <w:rStyle w:val="Strong"/>
              </w:rPr>
            </w:pPr>
            <w:r w:rsidRPr="002925AD">
              <w:rPr>
                <w:rStyle w:val="Strong"/>
              </w:rPr>
              <w:t>Any mental disorder</w:t>
            </w:r>
          </w:p>
        </w:tc>
        <w:tc>
          <w:tcPr>
            <w:tcW w:w="1585"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5.2</w:t>
            </w:r>
          </w:p>
        </w:tc>
        <w:tc>
          <w:tcPr>
            <w:tcW w:w="1585"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5.8</w:t>
            </w:r>
          </w:p>
        </w:tc>
        <w:tc>
          <w:tcPr>
            <w:tcW w:w="1585"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3.7</w:t>
            </w:r>
          </w:p>
        </w:tc>
        <w:tc>
          <w:tcPr>
            <w:tcW w:w="1585"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14.7</w:t>
            </w:r>
          </w:p>
        </w:tc>
      </w:tr>
    </w:tbl>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383" w:name="_Toc414878944"/>
      <w:bookmarkStart w:id="384" w:name="_Toc414879516"/>
      <w:r>
        <w:t>Table S-</w:t>
      </w:r>
      <w:r>
        <w:rPr>
          <w:noProof/>
        </w:rPr>
        <w:t>41</w:t>
      </w:r>
      <w:r>
        <w:t xml:space="preserve">: </w:t>
      </w:r>
      <w:r w:rsidRPr="00404E7A">
        <w:t>12-month prevalence of oppositional problem behaviours among 16-17 year-olds by sex</w:t>
      </w:r>
      <w:bookmarkEnd w:id="383"/>
      <w:bookmarkEnd w:id="384"/>
    </w:p>
    <w:tbl>
      <w:tblPr>
        <w:tblW w:w="0" w:type="auto"/>
        <w:jc w:val="center"/>
        <w:tblLayout w:type="fixed"/>
        <w:tblCellMar>
          <w:left w:w="0" w:type="dxa"/>
          <w:right w:w="0" w:type="dxa"/>
        </w:tblCellMar>
        <w:tblLook w:val="0020" w:firstRow="1" w:lastRow="0" w:firstColumn="0" w:lastColumn="0" w:noHBand="0" w:noVBand="0"/>
        <w:tblDescription w:val="In Table S-41 the first column defines sex. Read across the rows for the proportion with oppositional problem behaviours."/>
      </w:tblPr>
      <w:tblGrid>
        <w:gridCol w:w="6215"/>
        <w:gridCol w:w="2874"/>
      </w:tblGrid>
      <w:tr w:rsidR="002A4F8B" w:rsidRPr="000673A6" w:rsidTr="00302454">
        <w:trPr>
          <w:cantSplit/>
          <w:tblHeader/>
          <w:jc w:val="center"/>
        </w:trPr>
        <w:tc>
          <w:tcPr>
            <w:tcW w:w="621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Sex</w:t>
            </w:r>
          </w:p>
        </w:tc>
        <w:tc>
          <w:tcPr>
            <w:tcW w:w="287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Per cent</w:t>
            </w:r>
          </w:p>
        </w:tc>
      </w:tr>
      <w:tr w:rsidR="002A4F8B" w:rsidRPr="000673A6" w:rsidTr="00302454">
        <w:trPr>
          <w:cantSplit/>
          <w:jc w:val="center"/>
        </w:trPr>
        <w:tc>
          <w:tcPr>
            <w:tcW w:w="6215" w:type="dxa"/>
            <w:tcBorders>
              <w:top w:val="nil"/>
              <w:bottom w:val="single" w:sz="4" w:space="0" w:color="FFFFFF"/>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Males</w:t>
            </w:r>
          </w:p>
        </w:tc>
        <w:tc>
          <w:tcPr>
            <w:tcW w:w="2874" w:type="dxa"/>
            <w:tcBorders>
              <w:top w:val="nil"/>
              <w:left w:val="nil"/>
              <w:bottom w:val="nil"/>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4.5</w:t>
            </w:r>
          </w:p>
        </w:tc>
      </w:tr>
      <w:tr w:rsidR="002A4F8B" w:rsidRPr="000673A6" w:rsidTr="00302454">
        <w:trPr>
          <w:cantSplit/>
          <w:jc w:val="center"/>
        </w:trPr>
        <w:tc>
          <w:tcPr>
            <w:tcW w:w="6215" w:type="dxa"/>
            <w:tcBorders>
              <w:top w:val="nil"/>
              <w:bottom w:val="single" w:sz="4" w:space="0" w:color="auto"/>
              <w:right w:val="nil"/>
            </w:tcBorders>
            <w:shd w:val="clear" w:color="auto" w:fill="EFF3FF"/>
            <w:tcMar>
              <w:left w:w="40" w:type="dxa"/>
              <w:right w:w="40" w:type="dxa"/>
            </w:tcMar>
          </w:tcPr>
          <w:p w:rsidR="002A4F8B" w:rsidRPr="000673A6" w:rsidRDefault="002A4F8B" w:rsidP="00302454">
            <w:pPr>
              <w:pStyle w:val="TableRowHeadings"/>
              <w:rPr>
                <w:lang w:eastAsia="en-AU"/>
              </w:rPr>
            </w:pPr>
            <w:r w:rsidRPr="000673A6">
              <w:rPr>
                <w:lang w:eastAsia="en-AU"/>
              </w:rPr>
              <w:t>Females</w:t>
            </w:r>
          </w:p>
        </w:tc>
        <w:tc>
          <w:tcPr>
            <w:tcW w:w="2874" w:type="dxa"/>
            <w:tcBorders>
              <w:top w:val="nil"/>
              <w:left w:val="nil"/>
              <w:bottom w:val="single" w:sz="4" w:space="0" w:color="auto"/>
              <w:right w:val="nil"/>
            </w:tcBorders>
            <w:shd w:val="clear" w:color="auto" w:fill="FFFFFF"/>
            <w:tcMar>
              <w:left w:w="40" w:type="dxa"/>
              <w:right w:w="40" w:type="dxa"/>
            </w:tcMar>
            <w:vAlign w:val="bottom"/>
          </w:tcPr>
          <w:p w:rsidR="002A4F8B" w:rsidRPr="000673A6" w:rsidRDefault="002A4F8B" w:rsidP="00302454">
            <w:pPr>
              <w:pStyle w:val="TableDataCell"/>
              <w:rPr>
                <w:lang w:eastAsia="en-AU"/>
              </w:rPr>
            </w:pPr>
            <w:r w:rsidRPr="000673A6">
              <w:rPr>
                <w:lang w:eastAsia="en-AU"/>
              </w:rPr>
              <w:t>6.6</w:t>
            </w:r>
          </w:p>
        </w:tc>
      </w:tr>
      <w:tr w:rsidR="002A4F8B" w:rsidRPr="000673A6" w:rsidTr="00302454">
        <w:trPr>
          <w:cantSplit/>
          <w:jc w:val="center"/>
        </w:trPr>
        <w:tc>
          <w:tcPr>
            <w:tcW w:w="6215" w:type="dxa"/>
            <w:tcBorders>
              <w:top w:val="single" w:sz="4" w:space="0" w:color="auto"/>
              <w:bottom w:val="single" w:sz="6" w:space="0" w:color="000000"/>
              <w:right w:val="nil"/>
            </w:tcBorders>
            <w:shd w:val="clear" w:color="auto" w:fill="EFF3FF"/>
            <w:tcMar>
              <w:left w:w="40" w:type="dxa"/>
              <w:right w:w="40" w:type="dxa"/>
            </w:tcMar>
          </w:tcPr>
          <w:p w:rsidR="002A4F8B" w:rsidRPr="002925AD" w:rsidRDefault="002A4F8B" w:rsidP="00302454">
            <w:pPr>
              <w:pStyle w:val="TableRowHeadings"/>
              <w:rPr>
                <w:rStyle w:val="Strong"/>
              </w:rPr>
            </w:pPr>
            <w:r w:rsidRPr="002925AD">
              <w:rPr>
                <w:rStyle w:val="Strong"/>
              </w:rPr>
              <w:t>Persons</w:t>
            </w:r>
          </w:p>
        </w:tc>
        <w:tc>
          <w:tcPr>
            <w:tcW w:w="2874" w:type="dxa"/>
            <w:tcBorders>
              <w:top w:val="single" w:sz="4" w:space="0" w:color="auto"/>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5.5</w:t>
            </w:r>
          </w:p>
        </w:tc>
      </w:tr>
    </w:tbl>
    <w:p w:rsidR="002A4F8B" w:rsidRDefault="002A4F8B" w:rsidP="002A4F8B">
      <w:pPr>
        <w:pStyle w:val="Caption"/>
        <w:keepNext/>
      </w:pPr>
      <w:bookmarkStart w:id="385" w:name="_Toc414878945"/>
      <w:bookmarkStart w:id="386" w:name="_Toc414879517"/>
      <w:r>
        <w:t>Table S-</w:t>
      </w:r>
      <w:r>
        <w:rPr>
          <w:noProof/>
        </w:rPr>
        <w:t>42</w:t>
      </w:r>
      <w:r>
        <w:t xml:space="preserve">: </w:t>
      </w:r>
      <w:r w:rsidRPr="00456240">
        <w:t>Average days absent from school in pa</w:t>
      </w:r>
      <w:r>
        <w:t>s</w:t>
      </w:r>
      <w:r w:rsidRPr="00456240">
        <w:t>t 12 months due to symptoms of mental disorders among 16-17 year-olds with mental disorders by type of disorder</w:t>
      </w:r>
      <w:bookmarkEnd w:id="385"/>
      <w:bookmarkEnd w:id="386"/>
    </w:p>
    <w:tbl>
      <w:tblPr>
        <w:tblW w:w="0" w:type="auto"/>
        <w:jc w:val="center"/>
        <w:tblLayout w:type="fixed"/>
        <w:tblCellMar>
          <w:left w:w="0" w:type="dxa"/>
          <w:right w:w="0" w:type="dxa"/>
        </w:tblCellMar>
        <w:tblLook w:val="0020" w:firstRow="1" w:lastRow="0" w:firstColumn="0" w:lastColumn="0" w:noHBand="0" w:noVBand="0"/>
        <w:tblDescription w:val="In Table S-42 the first column defines disorder. Read across the rows for the average number of days absent from school."/>
      </w:tblPr>
      <w:tblGrid>
        <w:gridCol w:w="5108"/>
        <w:gridCol w:w="3997"/>
      </w:tblGrid>
      <w:tr w:rsidR="002A4F8B" w:rsidRPr="00817F16" w:rsidTr="00302454">
        <w:trPr>
          <w:cantSplit/>
          <w:tblHeader/>
          <w:jc w:val="center"/>
        </w:trPr>
        <w:tc>
          <w:tcPr>
            <w:tcW w:w="5108"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Disorder</w:t>
            </w:r>
          </w:p>
        </w:tc>
        <w:tc>
          <w:tcPr>
            <w:tcW w:w="399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Average (days)</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Social phobia</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19</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Separation anxiety disorder</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41</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Generalised anxiety disorder</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19</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Obsessive-compulsive disorder</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15</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Any anxiety disorder</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24</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Major depressive disorder</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26</w:t>
            </w:r>
          </w:p>
        </w:tc>
      </w:tr>
      <w:tr w:rsidR="002A4F8B" w:rsidRPr="00817F16" w:rsidTr="00302454">
        <w:trPr>
          <w:cantSplit/>
          <w:jc w:val="center"/>
        </w:trPr>
        <w:tc>
          <w:tcPr>
            <w:tcW w:w="5108" w:type="dxa"/>
            <w:tcBorders>
              <w:top w:val="nil"/>
              <w:bottom w:val="single" w:sz="4" w:space="0" w:color="FFFFFF"/>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ADHD</w:t>
            </w:r>
          </w:p>
        </w:tc>
        <w:tc>
          <w:tcPr>
            <w:tcW w:w="3997" w:type="dxa"/>
            <w:tcBorders>
              <w:top w:val="nil"/>
              <w:left w:val="nil"/>
              <w:bottom w:val="nil"/>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8</w:t>
            </w:r>
          </w:p>
        </w:tc>
      </w:tr>
      <w:tr w:rsidR="002A4F8B" w:rsidRPr="00817F16" w:rsidTr="00302454">
        <w:trPr>
          <w:cantSplit/>
          <w:jc w:val="center"/>
        </w:trPr>
        <w:tc>
          <w:tcPr>
            <w:tcW w:w="5108" w:type="dxa"/>
            <w:tcBorders>
              <w:top w:val="nil"/>
              <w:bottom w:val="single" w:sz="6" w:space="0" w:color="000000"/>
              <w:right w:val="nil"/>
            </w:tcBorders>
            <w:shd w:val="clear" w:color="auto" w:fill="EFF3FF"/>
            <w:tcMar>
              <w:left w:w="40" w:type="dxa"/>
              <w:right w:w="40" w:type="dxa"/>
            </w:tcMar>
          </w:tcPr>
          <w:p w:rsidR="002A4F8B" w:rsidRPr="00817F16" w:rsidRDefault="002A4F8B" w:rsidP="00302454">
            <w:pPr>
              <w:pStyle w:val="TableRowHeadings"/>
              <w:rPr>
                <w:lang w:eastAsia="en-AU"/>
              </w:rPr>
            </w:pPr>
            <w:r w:rsidRPr="00817F16">
              <w:rPr>
                <w:lang w:eastAsia="en-AU"/>
              </w:rPr>
              <w:t>Conduct disorder</w:t>
            </w:r>
          </w:p>
        </w:tc>
        <w:tc>
          <w:tcPr>
            <w:tcW w:w="3997" w:type="dxa"/>
            <w:tcBorders>
              <w:top w:val="nil"/>
              <w:left w:val="nil"/>
              <w:bottom w:val="single" w:sz="6" w:space="0" w:color="000000"/>
              <w:right w:val="nil"/>
            </w:tcBorders>
            <w:shd w:val="clear" w:color="auto" w:fill="FFFFFF"/>
            <w:tcMar>
              <w:left w:w="40" w:type="dxa"/>
              <w:right w:w="40" w:type="dxa"/>
            </w:tcMar>
            <w:vAlign w:val="bottom"/>
          </w:tcPr>
          <w:p w:rsidR="002A4F8B" w:rsidRPr="00817F16" w:rsidRDefault="002A4F8B" w:rsidP="00302454">
            <w:pPr>
              <w:pStyle w:val="TableDataCell"/>
              <w:rPr>
                <w:lang w:eastAsia="en-AU"/>
              </w:rPr>
            </w:pPr>
            <w:r w:rsidRPr="00817F16">
              <w:rPr>
                <w:lang w:eastAsia="en-AU"/>
              </w:rPr>
              <w:t>7</w:t>
            </w:r>
          </w:p>
        </w:tc>
      </w:tr>
    </w:tbl>
    <w:p w:rsidR="002A4F8B" w:rsidRDefault="002A4F8B" w:rsidP="002A4F8B">
      <w:pPr>
        <w:pStyle w:val="Heading2"/>
        <w:pageBreakBefore/>
        <w:spacing w:before="0"/>
      </w:pPr>
      <w:bookmarkStart w:id="387" w:name="_Toc414878946"/>
      <w:bookmarkStart w:id="388" w:name="_Toc414879518"/>
      <w:r>
        <w:lastRenderedPageBreak/>
        <w:t>Strengths and Difficulties Questionnaire</w:t>
      </w:r>
      <w:bookmarkEnd w:id="387"/>
      <w:bookmarkEnd w:id="388"/>
    </w:p>
    <w:p w:rsidR="002A4F8B" w:rsidRDefault="002A4F8B" w:rsidP="002A4F8B">
      <w:pPr>
        <w:pStyle w:val="Caption"/>
        <w:keepNext/>
      </w:pPr>
      <w:bookmarkStart w:id="389" w:name="_Toc414878947"/>
      <w:bookmarkStart w:id="390" w:name="_Toc414879519"/>
      <w:r>
        <w:t>Table S-</w:t>
      </w:r>
      <w:r>
        <w:rPr>
          <w:noProof/>
        </w:rPr>
        <w:t>43</w:t>
      </w:r>
      <w:r>
        <w:t xml:space="preserve">: </w:t>
      </w:r>
      <w:r w:rsidRPr="00CA689F">
        <w:t xml:space="preserve">Prevalence of </w:t>
      </w:r>
      <w:r>
        <w:t xml:space="preserve">parent or carer reported Strengths and Difficulties Questionnaire (SDQ) </w:t>
      </w:r>
      <w:r w:rsidRPr="00CA689F">
        <w:t>total difficulties</w:t>
      </w:r>
      <w:r>
        <w:t xml:space="preserve"> score in the abnormal range</w:t>
      </w:r>
      <w:r w:rsidRPr="006056A6">
        <w:t xml:space="preserve"> among 4-17 year-olds</w:t>
      </w:r>
      <w:r>
        <w:t xml:space="preserve"> by sex and age group</w:t>
      </w:r>
      <w:bookmarkEnd w:id="389"/>
      <w:bookmarkEnd w:id="390"/>
    </w:p>
    <w:tbl>
      <w:tblPr>
        <w:tblW w:w="9082" w:type="dxa"/>
        <w:jc w:val="center"/>
        <w:tblLayout w:type="fixed"/>
        <w:tblCellMar>
          <w:left w:w="0" w:type="dxa"/>
          <w:right w:w="0" w:type="dxa"/>
        </w:tblCellMar>
        <w:tblLook w:val="0020" w:firstRow="1" w:lastRow="0" w:firstColumn="0" w:lastColumn="0" w:noHBand="0" w:noVBand="0"/>
        <w:tblDescription w:val="In Table S-43 the first column defines sex and the second column defines age group. Read across the rows for the prevalence and population estimate in each group."/>
      </w:tblPr>
      <w:tblGrid>
        <w:gridCol w:w="1470"/>
        <w:gridCol w:w="2996"/>
        <w:gridCol w:w="2308"/>
        <w:gridCol w:w="2308"/>
      </w:tblGrid>
      <w:tr w:rsidR="002A4F8B" w:rsidRPr="003B0EA0" w:rsidTr="00302454">
        <w:trPr>
          <w:cantSplit/>
          <w:tblHeader/>
          <w:jc w:val="center"/>
        </w:trPr>
        <w:tc>
          <w:tcPr>
            <w:tcW w:w="1470"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Sex</w:t>
            </w:r>
          </w:p>
        </w:tc>
        <w:tc>
          <w:tcPr>
            <w:tcW w:w="2996" w:type="dxa"/>
            <w:tcBorders>
              <w:top w:val="single" w:sz="6" w:space="0" w:color="000000"/>
              <w:left w:val="single" w:sz="4" w:space="0" w:color="FFFFFF"/>
              <w:bottom w:val="single" w:sz="4" w:space="0" w:color="000000"/>
              <w:right w:val="single" w:sz="4" w:space="0" w:color="FFFFFF"/>
            </w:tcBorders>
            <w:shd w:val="clear" w:color="auto" w:fill="EFF3FF"/>
            <w:vAlign w:val="bottom"/>
          </w:tcPr>
          <w:p w:rsidR="002A4F8B" w:rsidRPr="002925AD" w:rsidRDefault="002A4F8B" w:rsidP="00302454">
            <w:pPr>
              <w:pStyle w:val="TableColumnHeadings"/>
              <w:jc w:val="left"/>
              <w:rPr>
                <w:rStyle w:val="Strong"/>
              </w:rPr>
            </w:pPr>
            <w:r w:rsidRPr="002925AD">
              <w:rPr>
                <w:rStyle w:val="Strong"/>
              </w:rPr>
              <w:t>Age group</w:t>
            </w:r>
          </w:p>
        </w:tc>
        <w:tc>
          <w:tcPr>
            <w:tcW w:w="230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Prevalence (%)</w:t>
            </w:r>
          </w:p>
        </w:tc>
        <w:tc>
          <w:tcPr>
            <w:tcW w:w="230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Population estimate</w:t>
            </w:r>
          </w:p>
        </w:tc>
      </w:tr>
      <w:tr w:rsidR="002A4F8B" w:rsidRPr="003B0EA0" w:rsidTr="00302454">
        <w:trPr>
          <w:cantSplit/>
          <w:jc w:val="center"/>
        </w:trPr>
        <w:tc>
          <w:tcPr>
            <w:tcW w:w="1470" w:type="dxa"/>
            <w:vMerge w:val="restart"/>
            <w:tcBorders>
              <w:top w:val="single" w:sz="4" w:space="0" w:color="000000"/>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r w:rsidRPr="003B0EA0">
              <w:t xml:space="preserve">Males </w:t>
            </w:r>
          </w:p>
          <w:p w:rsidR="002A4F8B" w:rsidRPr="003B0EA0" w:rsidRDefault="002A4F8B" w:rsidP="00302454">
            <w:pPr>
              <w:pStyle w:val="TableRowHeadings"/>
            </w:pPr>
          </w:p>
        </w:tc>
        <w:tc>
          <w:tcPr>
            <w:tcW w:w="2996" w:type="dxa"/>
            <w:tcBorders>
              <w:top w:val="single" w:sz="4" w:space="0" w:color="000000"/>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rsidRPr="003B0EA0">
              <w:t xml:space="preserve">4-11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11.8</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140,000</w:t>
            </w:r>
          </w:p>
        </w:tc>
      </w:tr>
      <w:tr w:rsidR="002A4F8B" w:rsidRPr="003B0EA0" w:rsidTr="00302454">
        <w:trPr>
          <w:cantSplit/>
          <w:jc w:val="center"/>
        </w:trPr>
        <w:tc>
          <w:tcPr>
            <w:tcW w:w="1470" w:type="dxa"/>
            <w:vMerge/>
            <w:tcBorders>
              <w:top w:val="single" w:sz="4" w:space="0" w:color="FFFFFF"/>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rsidRPr="003B0EA0">
              <w:t xml:space="preserve">12-17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12.3</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107,000</w:t>
            </w:r>
          </w:p>
        </w:tc>
      </w:tr>
      <w:tr w:rsidR="002A4F8B" w:rsidRPr="003B0EA0" w:rsidTr="00302454">
        <w:trPr>
          <w:cantSplit/>
          <w:jc w:val="center"/>
        </w:trPr>
        <w:tc>
          <w:tcPr>
            <w:tcW w:w="1470" w:type="dxa"/>
            <w:vMerge/>
            <w:tcBorders>
              <w:top w:val="single" w:sz="4" w:space="0" w:color="FFFFFF"/>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2925AD" w:rsidRDefault="002A4F8B" w:rsidP="00302454">
            <w:pPr>
              <w:pStyle w:val="TableRowHeadings"/>
              <w:rPr>
                <w:rStyle w:val="Strong"/>
              </w:rPr>
            </w:pPr>
            <w:r w:rsidRPr="002925AD">
              <w:rPr>
                <w:rStyle w:val="Strong"/>
              </w:rPr>
              <w:t xml:space="preserve">4-17 years </w:t>
            </w:r>
          </w:p>
        </w:tc>
        <w:tc>
          <w:tcPr>
            <w:tcW w:w="2308" w:type="dxa"/>
            <w:tcBorders>
              <w:top w:val="nil"/>
              <w:left w:val="nil"/>
              <w:bottom w:val="nil"/>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12.0</w:t>
            </w:r>
          </w:p>
        </w:tc>
        <w:tc>
          <w:tcPr>
            <w:tcW w:w="2308" w:type="dxa"/>
            <w:tcBorders>
              <w:top w:val="nil"/>
              <w:left w:val="nil"/>
              <w:bottom w:val="nil"/>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247,000</w:t>
            </w:r>
          </w:p>
        </w:tc>
      </w:tr>
      <w:tr w:rsidR="002A4F8B" w:rsidRPr="003B0EA0" w:rsidTr="00302454">
        <w:trPr>
          <w:cantSplit/>
          <w:jc w:val="center"/>
        </w:trPr>
        <w:tc>
          <w:tcPr>
            <w:tcW w:w="1470" w:type="dxa"/>
            <w:vMerge w:val="restart"/>
            <w:tcBorders>
              <w:top w:val="single" w:sz="4" w:space="0" w:color="FFFFFF"/>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r w:rsidRPr="003B0EA0">
              <w:t>Females</w:t>
            </w:r>
          </w:p>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rsidRPr="003B0EA0">
              <w:t xml:space="preserve">4-11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7.8</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88,200</w:t>
            </w:r>
          </w:p>
        </w:tc>
      </w:tr>
      <w:tr w:rsidR="002A4F8B" w:rsidRPr="003B0EA0" w:rsidTr="00302454">
        <w:trPr>
          <w:cantSplit/>
          <w:jc w:val="center"/>
        </w:trPr>
        <w:tc>
          <w:tcPr>
            <w:tcW w:w="1470" w:type="dxa"/>
            <w:vMerge/>
            <w:tcBorders>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rsidRPr="003B0EA0">
              <w:t xml:space="preserve">12-17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8.3</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68,900</w:t>
            </w:r>
          </w:p>
        </w:tc>
      </w:tr>
      <w:tr w:rsidR="002A4F8B" w:rsidRPr="003B0EA0" w:rsidTr="00302454">
        <w:trPr>
          <w:cantSplit/>
          <w:jc w:val="center"/>
        </w:trPr>
        <w:tc>
          <w:tcPr>
            <w:tcW w:w="1470" w:type="dxa"/>
            <w:vMerge/>
            <w:tcBorders>
              <w:bottom w:val="single" w:sz="4" w:space="0" w:color="FFFFFF"/>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2925AD" w:rsidRDefault="002A4F8B" w:rsidP="00302454">
            <w:pPr>
              <w:pStyle w:val="TableRowHeadings"/>
              <w:rPr>
                <w:rStyle w:val="Strong"/>
              </w:rPr>
            </w:pPr>
            <w:r w:rsidRPr="002925AD">
              <w:rPr>
                <w:rStyle w:val="Strong"/>
              </w:rPr>
              <w:t xml:space="preserve">4-17 years </w:t>
            </w:r>
          </w:p>
        </w:tc>
        <w:tc>
          <w:tcPr>
            <w:tcW w:w="2308" w:type="dxa"/>
            <w:tcBorders>
              <w:top w:val="nil"/>
              <w:left w:val="nil"/>
              <w:bottom w:val="nil"/>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8.0</w:t>
            </w:r>
          </w:p>
        </w:tc>
        <w:tc>
          <w:tcPr>
            <w:tcW w:w="2308" w:type="dxa"/>
            <w:tcBorders>
              <w:top w:val="nil"/>
              <w:left w:val="nil"/>
              <w:bottom w:val="nil"/>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157,000</w:t>
            </w:r>
          </w:p>
        </w:tc>
      </w:tr>
      <w:tr w:rsidR="002A4F8B" w:rsidRPr="003B0EA0" w:rsidTr="00302454">
        <w:trPr>
          <w:cantSplit/>
          <w:jc w:val="center"/>
        </w:trPr>
        <w:tc>
          <w:tcPr>
            <w:tcW w:w="1470" w:type="dxa"/>
            <w:vMerge w:val="restart"/>
            <w:tcBorders>
              <w:top w:val="single" w:sz="4" w:space="0" w:color="FFFFFF"/>
              <w:bottom w:val="single" w:sz="6" w:space="0" w:color="000000"/>
              <w:right w:val="single" w:sz="4" w:space="0" w:color="FFFFFF" w:themeColor="background1"/>
            </w:tcBorders>
            <w:shd w:val="clear" w:color="auto" w:fill="EFF3FF"/>
            <w:tcMar>
              <w:left w:w="40" w:type="dxa"/>
              <w:right w:w="40" w:type="dxa"/>
            </w:tcMar>
          </w:tcPr>
          <w:p w:rsidR="002A4F8B" w:rsidRPr="002925AD" w:rsidRDefault="002A4F8B" w:rsidP="00302454">
            <w:pPr>
              <w:pStyle w:val="TableRowHeadings"/>
              <w:rPr>
                <w:rStyle w:val="Strong"/>
              </w:rPr>
            </w:pPr>
            <w:r w:rsidRPr="002925AD">
              <w:rPr>
                <w:rStyle w:val="Strong"/>
              </w:rPr>
              <w:t>Persons</w:t>
            </w:r>
          </w:p>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rsidRPr="003B0EA0">
              <w:t xml:space="preserve">4-11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9.9</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228,000</w:t>
            </w:r>
          </w:p>
        </w:tc>
      </w:tr>
      <w:tr w:rsidR="002A4F8B" w:rsidRPr="003B0EA0" w:rsidTr="00302454">
        <w:trPr>
          <w:cantSplit/>
          <w:jc w:val="center"/>
        </w:trPr>
        <w:tc>
          <w:tcPr>
            <w:tcW w:w="1470" w:type="dxa"/>
            <w:vMerge/>
            <w:tcBorders>
              <w:bottom w:val="single" w:sz="6" w:space="0" w:color="000000"/>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4" w:space="0" w:color="FFFFFF" w:themeColor="background1"/>
              <w:right w:val="nil"/>
            </w:tcBorders>
            <w:shd w:val="clear" w:color="auto" w:fill="EFF3FF"/>
          </w:tcPr>
          <w:p w:rsidR="002A4F8B" w:rsidRPr="003B0EA0" w:rsidRDefault="002A4F8B" w:rsidP="00302454">
            <w:pPr>
              <w:pStyle w:val="TableRowHeadings"/>
            </w:pPr>
            <w:r>
              <w:t>1</w:t>
            </w:r>
            <w:r w:rsidRPr="003B0EA0">
              <w:t xml:space="preserve">2-17 years </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10.3</w:t>
            </w:r>
          </w:p>
        </w:tc>
        <w:tc>
          <w:tcPr>
            <w:tcW w:w="2308" w:type="dxa"/>
            <w:tcBorders>
              <w:top w:val="nil"/>
              <w:left w:val="nil"/>
              <w:bottom w:val="nil"/>
              <w:right w:val="nil"/>
            </w:tcBorders>
            <w:shd w:val="clear" w:color="auto" w:fill="FFFFFF"/>
            <w:tcMar>
              <w:left w:w="40" w:type="dxa"/>
              <w:right w:w="40" w:type="dxa"/>
            </w:tcMar>
            <w:vAlign w:val="bottom"/>
          </w:tcPr>
          <w:p w:rsidR="002A4F8B" w:rsidRPr="003B0EA0" w:rsidRDefault="002A4F8B" w:rsidP="00302454">
            <w:pPr>
              <w:pStyle w:val="TableDataCell"/>
            </w:pPr>
            <w:r w:rsidRPr="003B0EA0">
              <w:t>176,000</w:t>
            </w:r>
          </w:p>
        </w:tc>
      </w:tr>
      <w:tr w:rsidR="002A4F8B" w:rsidRPr="003B0EA0" w:rsidTr="00302454">
        <w:trPr>
          <w:cantSplit/>
          <w:jc w:val="center"/>
        </w:trPr>
        <w:tc>
          <w:tcPr>
            <w:tcW w:w="1470" w:type="dxa"/>
            <w:vMerge/>
            <w:tcBorders>
              <w:bottom w:val="single" w:sz="6" w:space="0" w:color="000000"/>
              <w:right w:val="single" w:sz="4" w:space="0" w:color="FFFFFF" w:themeColor="background1"/>
            </w:tcBorders>
            <w:shd w:val="clear" w:color="auto" w:fill="EFF3FF"/>
            <w:tcMar>
              <w:left w:w="40" w:type="dxa"/>
              <w:right w:w="40" w:type="dxa"/>
            </w:tcMar>
          </w:tcPr>
          <w:p w:rsidR="002A4F8B" w:rsidRPr="003B0EA0" w:rsidRDefault="002A4F8B" w:rsidP="00302454">
            <w:pPr>
              <w:pStyle w:val="TableRowHeadings"/>
            </w:pPr>
          </w:p>
        </w:tc>
        <w:tc>
          <w:tcPr>
            <w:tcW w:w="2996" w:type="dxa"/>
            <w:tcBorders>
              <w:top w:val="single" w:sz="4" w:space="0" w:color="FFFFFF" w:themeColor="background1"/>
              <w:left w:val="single" w:sz="4" w:space="0" w:color="FFFFFF" w:themeColor="background1"/>
              <w:bottom w:val="single" w:sz="6" w:space="0" w:color="000000"/>
              <w:right w:val="nil"/>
            </w:tcBorders>
            <w:shd w:val="clear" w:color="auto" w:fill="EFF3FF"/>
          </w:tcPr>
          <w:p w:rsidR="002A4F8B" w:rsidRPr="002925AD" w:rsidRDefault="002A4F8B" w:rsidP="00302454">
            <w:pPr>
              <w:pStyle w:val="TableRowHeadings"/>
              <w:rPr>
                <w:rStyle w:val="Strong"/>
              </w:rPr>
            </w:pPr>
            <w:r w:rsidRPr="002925AD">
              <w:rPr>
                <w:rStyle w:val="Strong"/>
              </w:rPr>
              <w:t xml:space="preserve">4-17 years </w:t>
            </w:r>
          </w:p>
        </w:tc>
        <w:tc>
          <w:tcPr>
            <w:tcW w:w="2308"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10.1</w:t>
            </w:r>
          </w:p>
        </w:tc>
        <w:tc>
          <w:tcPr>
            <w:tcW w:w="2308"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404,000</w:t>
            </w:r>
          </w:p>
        </w:tc>
      </w:tr>
    </w:tbl>
    <w:p w:rsidR="002A4F8B" w:rsidRDefault="002A4F8B" w:rsidP="002A4F8B">
      <w:pPr>
        <w:pStyle w:val="Caption"/>
        <w:keepNext/>
      </w:pPr>
      <w:bookmarkStart w:id="391" w:name="_Toc414878948"/>
      <w:bookmarkStart w:id="392" w:name="_Toc414879520"/>
      <w:r>
        <w:t>Table S-</w:t>
      </w:r>
      <w:r>
        <w:rPr>
          <w:noProof/>
        </w:rPr>
        <w:t>44</w:t>
      </w:r>
      <w:r>
        <w:t>: Prevalence of parent or carer reported SDQ scale scores in the abnormal range</w:t>
      </w:r>
      <w:r w:rsidRPr="006056A6">
        <w:t xml:space="preserve"> among 4-17 year-olds</w:t>
      </w:r>
      <w:r>
        <w:t xml:space="preserve"> by SDQ scale, sex and age group</w:t>
      </w:r>
      <w:bookmarkEnd w:id="391"/>
      <w:bookmarkEnd w:id="392"/>
    </w:p>
    <w:tbl>
      <w:tblPr>
        <w:tblW w:w="9143" w:type="dxa"/>
        <w:jc w:val="center"/>
        <w:tblLayout w:type="fixed"/>
        <w:tblCellMar>
          <w:left w:w="0" w:type="dxa"/>
          <w:right w:w="0" w:type="dxa"/>
        </w:tblCellMar>
        <w:tblLook w:val="0020" w:firstRow="1" w:lastRow="0" w:firstColumn="0" w:lastColumn="0" w:noHBand="0" w:noVBand="0"/>
        <w:tblDescription w:val="In Table S-44 the first column defines SDQ scale. Read across the rows for the prevalence in males 4-11 years, in males 12-17 years, in females 4-11 years, in females 12-17 years and finally in persons 4-17 years."/>
      </w:tblPr>
      <w:tblGrid>
        <w:gridCol w:w="2585"/>
        <w:gridCol w:w="1311"/>
        <w:gridCol w:w="1312"/>
        <w:gridCol w:w="1311"/>
        <w:gridCol w:w="1312"/>
        <w:gridCol w:w="1312"/>
      </w:tblGrid>
      <w:tr w:rsidR="002A4F8B" w:rsidRPr="00BC39D2" w:rsidTr="00302454">
        <w:trPr>
          <w:cantSplit/>
          <w:tblHeader/>
          <w:jc w:val="center"/>
        </w:trPr>
        <w:tc>
          <w:tcPr>
            <w:tcW w:w="258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SDQ scale</w:t>
            </w:r>
          </w:p>
        </w:tc>
        <w:tc>
          <w:tcPr>
            <w:tcW w:w="131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Males 4-11 years (%)</w:t>
            </w:r>
          </w:p>
        </w:tc>
        <w:tc>
          <w:tcPr>
            <w:tcW w:w="131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Males 12-17 years (%)</w:t>
            </w:r>
          </w:p>
        </w:tc>
        <w:tc>
          <w:tcPr>
            <w:tcW w:w="131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Females 4-11 years (%)</w:t>
            </w:r>
          </w:p>
        </w:tc>
        <w:tc>
          <w:tcPr>
            <w:tcW w:w="131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Females 12-17 years (%)</w:t>
            </w:r>
          </w:p>
        </w:tc>
        <w:tc>
          <w:tcPr>
            <w:tcW w:w="13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Persons 4-17 years (%)</w:t>
            </w:r>
          </w:p>
        </w:tc>
      </w:tr>
      <w:tr w:rsidR="002A4F8B" w:rsidRPr="00BC39D2" w:rsidTr="00302454">
        <w:trPr>
          <w:cantSplit/>
          <w:jc w:val="center"/>
        </w:trPr>
        <w:tc>
          <w:tcPr>
            <w:tcW w:w="2585" w:type="dxa"/>
            <w:tcBorders>
              <w:top w:val="nil"/>
              <w:bottom w:val="single" w:sz="4" w:space="0" w:color="FFFFFF"/>
              <w:right w:val="nil"/>
            </w:tcBorders>
            <w:shd w:val="clear" w:color="auto" w:fill="EFF3FF"/>
            <w:tcMar>
              <w:left w:w="40" w:type="dxa"/>
              <w:right w:w="40" w:type="dxa"/>
            </w:tcMar>
          </w:tcPr>
          <w:p w:rsidR="002A4F8B" w:rsidRPr="00BC39D2" w:rsidRDefault="002A4F8B" w:rsidP="00302454">
            <w:pPr>
              <w:pStyle w:val="TableRowHeadings"/>
            </w:pPr>
            <w:r w:rsidRPr="00BC39D2">
              <w:t>Emotional problems</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10.2</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13.7</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11.8</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19.3</w:t>
            </w:r>
          </w:p>
        </w:tc>
        <w:tc>
          <w:tcPr>
            <w:tcW w:w="1312" w:type="dxa"/>
            <w:tcBorders>
              <w:top w:val="nil"/>
              <w:left w:val="nil"/>
              <w:bottom w:val="nil"/>
              <w:right w:val="nil"/>
            </w:tcBorders>
            <w:shd w:val="clear" w:color="auto" w:fill="FFFFFF"/>
            <w:tcMar>
              <w:left w:w="40" w:type="dxa"/>
              <w:right w:w="40" w:type="dxa"/>
            </w:tcMar>
            <w:vAlign w:val="bottom"/>
          </w:tcPr>
          <w:p w:rsidR="002A4F8B" w:rsidRPr="00BC39D2" w:rsidRDefault="002A4F8B" w:rsidP="00302454">
            <w:pPr>
              <w:pStyle w:val="TableDataCell"/>
            </w:pPr>
            <w:r w:rsidRPr="00BC39D2">
              <w:t>13.3</w:t>
            </w:r>
          </w:p>
        </w:tc>
      </w:tr>
      <w:tr w:rsidR="002A4F8B" w:rsidRPr="00BC39D2" w:rsidTr="00302454">
        <w:trPr>
          <w:cantSplit/>
          <w:jc w:val="center"/>
        </w:trPr>
        <w:tc>
          <w:tcPr>
            <w:tcW w:w="2585" w:type="dxa"/>
            <w:tcBorders>
              <w:top w:val="nil"/>
              <w:bottom w:val="single" w:sz="4" w:space="0" w:color="FFFFFF"/>
              <w:right w:val="nil"/>
            </w:tcBorders>
            <w:shd w:val="clear" w:color="auto" w:fill="EFF3FF"/>
            <w:tcMar>
              <w:left w:w="40" w:type="dxa"/>
              <w:right w:w="40" w:type="dxa"/>
            </w:tcMar>
          </w:tcPr>
          <w:p w:rsidR="002A4F8B" w:rsidRPr="00BC39D2" w:rsidRDefault="002A4F8B" w:rsidP="00302454">
            <w:pPr>
              <w:pStyle w:val="TableRowHeadings"/>
            </w:pPr>
            <w:r w:rsidRPr="00BC39D2">
              <w:t>Conduct problems</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12.5</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11.6</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9.5</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7.9</w:t>
            </w:r>
          </w:p>
        </w:tc>
        <w:tc>
          <w:tcPr>
            <w:tcW w:w="1312" w:type="dxa"/>
            <w:tcBorders>
              <w:top w:val="nil"/>
              <w:left w:val="nil"/>
              <w:bottom w:val="nil"/>
              <w:right w:val="nil"/>
            </w:tcBorders>
            <w:shd w:val="clear" w:color="auto" w:fill="FFFFFF"/>
            <w:tcMar>
              <w:left w:w="40" w:type="dxa"/>
              <w:right w:w="40" w:type="dxa"/>
            </w:tcMar>
            <w:vAlign w:val="bottom"/>
          </w:tcPr>
          <w:p w:rsidR="002A4F8B" w:rsidRPr="00BC39D2" w:rsidRDefault="002A4F8B" w:rsidP="00302454">
            <w:pPr>
              <w:pStyle w:val="TableDataCell"/>
            </w:pPr>
            <w:r w:rsidRPr="00BC39D2">
              <w:t>10.5</w:t>
            </w:r>
          </w:p>
        </w:tc>
      </w:tr>
      <w:tr w:rsidR="002A4F8B" w:rsidRPr="00BC39D2" w:rsidTr="00302454">
        <w:trPr>
          <w:cantSplit/>
          <w:jc w:val="center"/>
        </w:trPr>
        <w:tc>
          <w:tcPr>
            <w:tcW w:w="2585" w:type="dxa"/>
            <w:tcBorders>
              <w:top w:val="nil"/>
              <w:bottom w:val="single" w:sz="4" w:space="0" w:color="FFFFFF"/>
              <w:right w:val="nil"/>
            </w:tcBorders>
            <w:shd w:val="clear" w:color="auto" w:fill="EFF3FF"/>
            <w:tcMar>
              <w:left w:w="40" w:type="dxa"/>
              <w:right w:w="40" w:type="dxa"/>
            </w:tcMar>
          </w:tcPr>
          <w:p w:rsidR="002A4F8B" w:rsidRPr="00BC39D2" w:rsidRDefault="002A4F8B" w:rsidP="00302454">
            <w:pPr>
              <w:pStyle w:val="TableRowHeadings"/>
            </w:pPr>
            <w:r w:rsidRPr="00BC39D2">
              <w:t>Hyperactivity</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19.0</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14.9</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10.2</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6.4</w:t>
            </w:r>
          </w:p>
        </w:tc>
        <w:tc>
          <w:tcPr>
            <w:tcW w:w="1312" w:type="dxa"/>
            <w:tcBorders>
              <w:top w:val="nil"/>
              <w:left w:val="nil"/>
              <w:bottom w:val="nil"/>
              <w:right w:val="nil"/>
            </w:tcBorders>
            <w:shd w:val="clear" w:color="auto" w:fill="FFFFFF"/>
            <w:tcMar>
              <w:left w:w="40" w:type="dxa"/>
              <w:right w:w="40" w:type="dxa"/>
            </w:tcMar>
            <w:vAlign w:val="bottom"/>
          </w:tcPr>
          <w:p w:rsidR="002A4F8B" w:rsidRPr="00BC39D2" w:rsidRDefault="002A4F8B" w:rsidP="00302454">
            <w:pPr>
              <w:pStyle w:val="TableDataCell"/>
            </w:pPr>
            <w:r w:rsidRPr="00BC39D2">
              <w:t>13.0</w:t>
            </w:r>
          </w:p>
        </w:tc>
      </w:tr>
      <w:tr w:rsidR="002A4F8B" w:rsidRPr="00BC39D2" w:rsidTr="00302454">
        <w:trPr>
          <w:cantSplit/>
          <w:jc w:val="center"/>
        </w:trPr>
        <w:tc>
          <w:tcPr>
            <w:tcW w:w="2585" w:type="dxa"/>
            <w:tcBorders>
              <w:top w:val="nil"/>
              <w:bottom w:val="single" w:sz="4" w:space="0" w:color="FFFFFF"/>
              <w:right w:val="nil"/>
            </w:tcBorders>
            <w:shd w:val="clear" w:color="auto" w:fill="EFF3FF"/>
            <w:tcMar>
              <w:left w:w="40" w:type="dxa"/>
              <w:right w:w="40" w:type="dxa"/>
            </w:tcMar>
          </w:tcPr>
          <w:p w:rsidR="002A4F8B" w:rsidRPr="00BC39D2" w:rsidRDefault="002A4F8B" w:rsidP="00302454">
            <w:pPr>
              <w:pStyle w:val="TableRowHeadings"/>
            </w:pPr>
            <w:r w:rsidRPr="00BC39D2">
              <w:t>Peer problems</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12.6</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16.4</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9.6</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13.4</w:t>
            </w:r>
          </w:p>
        </w:tc>
        <w:tc>
          <w:tcPr>
            <w:tcW w:w="1312" w:type="dxa"/>
            <w:tcBorders>
              <w:top w:val="nil"/>
              <w:left w:val="nil"/>
              <w:bottom w:val="nil"/>
              <w:right w:val="nil"/>
            </w:tcBorders>
            <w:shd w:val="clear" w:color="auto" w:fill="FFFFFF"/>
            <w:tcMar>
              <w:left w:w="40" w:type="dxa"/>
              <w:right w:w="40" w:type="dxa"/>
            </w:tcMar>
            <w:vAlign w:val="bottom"/>
          </w:tcPr>
          <w:p w:rsidR="002A4F8B" w:rsidRPr="00BC39D2" w:rsidRDefault="002A4F8B" w:rsidP="00302454">
            <w:pPr>
              <w:pStyle w:val="TableDataCell"/>
            </w:pPr>
            <w:r w:rsidRPr="00BC39D2">
              <w:t>12.7</w:t>
            </w:r>
          </w:p>
        </w:tc>
      </w:tr>
      <w:tr w:rsidR="002A4F8B" w:rsidRPr="00BC39D2" w:rsidTr="00302454">
        <w:trPr>
          <w:cantSplit/>
          <w:jc w:val="center"/>
        </w:trPr>
        <w:tc>
          <w:tcPr>
            <w:tcW w:w="2585" w:type="dxa"/>
            <w:tcBorders>
              <w:top w:val="nil"/>
              <w:bottom w:val="single" w:sz="4" w:space="0" w:color="FFFFFF"/>
              <w:right w:val="nil"/>
            </w:tcBorders>
            <w:shd w:val="clear" w:color="auto" w:fill="EFF3FF"/>
            <w:tcMar>
              <w:left w:w="40" w:type="dxa"/>
              <w:right w:w="40" w:type="dxa"/>
            </w:tcMar>
          </w:tcPr>
          <w:p w:rsidR="002A4F8B" w:rsidRPr="00BC39D2" w:rsidRDefault="002A4F8B" w:rsidP="00302454">
            <w:pPr>
              <w:pStyle w:val="TableRowHeadings"/>
            </w:pPr>
            <w:r w:rsidRPr="00BC39D2">
              <w:t>Prosocial behaviour</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2.9</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4.5</w:t>
            </w:r>
          </w:p>
        </w:tc>
        <w:tc>
          <w:tcPr>
            <w:tcW w:w="1311"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w:t>
            </w:r>
          </w:p>
        </w:tc>
        <w:tc>
          <w:tcPr>
            <w:tcW w:w="13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1.8</w:t>
            </w:r>
          </w:p>
        </w:tc>
        <w:tc>
          <w:tcPr>
            <w:tcW w:w="1312" w:type="dxa"/>
            <w:tcBorders>
              <w:top w:val="nil"/>
              <w:left w:val="nil"/>
              <w:bottom w:val="nil"/>
              <w:right w:val="nil"/>
            </w:tcBorders>
            <w:shd w:val="clear" w:color="auto" w:fill="FFFFFF"/>
            <w:tcMar>
              <w:left w:w="40" w:type="dxa"/>
              <w:right w:w="40" w:type="dxa"/>
            </w:tcMar>
            <w:vAlign w:val="bottom"/>
          </w:tcPr>
          <w:p w:rsidR="002A4F8B" w:rsidRPr="00BC39D2" w:rsidRDefault="002A4F8B" w:rsidP="00302454">
            <w:pPr>
              <w:pStyle w:val="TableDataCell"/>
            </w:pPr>
            <w:r w:rsidRPr="00BC39D2">
              <w:t>2.7</w:t>
            </w:r>
          </w:p>
        </w:tc>
      </w:tr>
      <w:tr w:rsidR="002A4F8B" w:rsidRPr="00BC39D2" w:rsidTr="00302454">
        <w:trPr>
          <w:cantSplit/>
          <w:jc w:val="center"/>
        </w:trPr>
        <w:tc>
          <w:tcPr>
            <w:tcW w:w="2585" w:type="dxa"/>
            <w:tcBorders>
              <w:top w:val="nil"/>
              <w:bottom w:val="single" w:sz="6" w:space="0" w:color="000000"/>
              <w:right w:val="nil"/>
            </w:tcBorders>
            <w:shd w:val="clear" w:color="auto" w:fill="EFF3FF"/>
            <w:tcMar>
              <w:left w:w="40" w:type="dxa"/>
              <w:right w:w="40" w:type="dxa"/>
            </w:tcMar>
          </w:tcPr>
          <w:p w:rsidR="002A4F8B" w:rsidRPr="002925AD" w:rsidRDefault="002A4F8B" w:rsidP="00302454">
            <w:pPr>
              <w:pStyle w:val="TableRowHeadings"/>
              <w:rPr>
                <w:rStyle w:val="Strong"/>
              </w:rPr>
            </w:pPr>
            <w:r w:rsidRPr="002925AD">
              <w:rPr>
                <w:rStyle w:val="Strong"/>
              </w:rPr>
              <w:t>Total difficulties</w:t>
            </w:r>
          </w:p>
        </w:tc>
        <w:tc>
          <w:tcPr>
            <w:tcW w:w="1311"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11.8</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12.3</w:t>
            </w:r>
          </w:p>
        </w:tc>
        <w:tc>
          <w:tcPr>
            <w:tcW w:w="1311"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7.8</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8.3</w:t>
            </w:r>
          </w:p>
        </w:tc>
        <w:tc>
          <w:tcPr>
            <w:tcW w:w="1312" w:type="dxa"/>
            <w:tcBorders>
              <w:top w:val="nil"/>
              <w:left w:val="nil"/>
              <w:bottom w:val="single" w:sz="6" w:space="0" w:color="000000"/>
              <w:right w:val="nil"/>
            </w:tcBorders>
            <w:shd w:val="clear" w:color="auto" w:fill="FFFFFF"/>
            <w:tcMar>
              <w:left w:w="40" w:type="dxa"/>
              <w:right w:w="40" w:type="dxa"/>
            </w:tcMar>
            <w:vAlign w:val="bottom"/>
          </w:tcPr>
          <w:p w:rsidR="002A4F8B" w:rsidRPr="002925AD" w:rsidRDefault="002A4F8B" w:rsidP="00302454">
            <w:pPr>
              <w:pStyle w:val="TableDataCell"/>
              <w:rPr>
                <w:rStyle w:val="Strong"/>
              </w:rPr>
            </w:pPr>
            <w:r w:rsidRPr="002925AD">
              <w:rPr>
                <w:rStyle w:val="Strong"/>
              </w:rPr>
              <w:t>10.1</w:t>
            </w:r>
          </w:p>
        </w:tc>
      </w:tr>
    </w:tbl>
    <w:p w:rsidR="002A4F8B" w:rsidRDefault="002A4F8B" w:rsidP="002A4F8B">
      <w:pPr>
        <w:pStyle w:val="Caption"/>
        <w:keepNext/>
      </w:pPr>
      <w:bookmarkStart w:id="393" w:name="_Toc414878949"/>
      <w:bookmarkStart w:id="394" w:name="_Toc414879521"/>
      <w:r>
        <w:t>Table S-</w:t>
      </w:r>
      <w:r>
        <w:rPr>
          <w:noProof/>
        </w:rPr>
        <w:t>45</w:t>
      </w:r>
      <w:r>
        <w:t>: Prevalence of</w:t>
      </w:r>
      <w:r w:rsidRPr="00CA689F">
        <w:t xml:space="preserve"> </w:t>
      </w:r>
      <w:r>
        <w:t>parent or carer reported SDQ scale scores in the abnormal range</w:t>
      </w:r>
      <w:r w:rsidRPr="006056A6">
        <w:t xml:space="preserve"> among 4-17 year-olds</w:t>
      </w:r>
      <w:r>
        <w:t xml:space="preserve"> by </w:t>
      </w:r>
      <w:r w:rsidR="00541C9A">
        <w:t xml:space="preserve">SDQ scale and </w:t>
      </w:r>
      <w:r>
        <w:t>household income</w:t>
      </w:r>
      <w:bookmarkEnd w:id="393"/>
      <w:bookmarkEnd w:id="394"/>
    </w:p>
    <w:tbl>
      <w:tblPr>
        <w:tblW w:w="9137" w:type="dxa"/>
        <w:jc w:val="center"/>
        <w:tblLayout w:type="fixed"/>
        <w:tblCellMar>
          <w:left w:w="0" w:type="dxa"/>
          <w:right w:w="0" w:type="dxa"/>
        </w:tblCellMar>
        <w:tblLook w:val="0020" w:firstRow="1" w:lastRow="0" w:firstColumn="0" w:lastColumn="0" w:noHBand="0" w:noVBand="0"/>
        <w:tblDescription w:val="In Table S-45 the first column defines household income. Read across the rows for prevalence of emotional problems, conduct problems, hyperactivity, peer problems, prosocial behaviour and finally total difficulties."/>
      </w:tblPr>
      <w:tblGrid>
        <w:gridCol w:w="2198"/>
        <w:gridCol w:w="1156"/>
        <w:gridCol w:w="1157"/>
        <w:gridCol w:w="1156"/>
        <w:gridCol w:w="1157"/>
        <w:gridCol w:w="1156"/>
        <w:gridCol w:w="1157"/>
      </w:tblGrid>
      <w:tr w:rsidR="002A4F8B" w:rsidRPr="00760E89" w:rsidTr="00302454">
        <w:trPr>
          <w:cantSplit/>
          <w:tblHeader/>
          <w:jc w:val="center"/>
        </w:trPr>
        <w:tc>
          <w:tcPr>
            <w:tcW w:w="2198"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Household income before tax</w:t>
            </w:r>
          </w:p>
        </w:tc>
        <w:tc>
          <w:tcPr>
            <w:tcW w:w="11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Emotional problems</w:t>
            </w:r>
          </w:p>
        </w:tc>
        <w:tc>
          <w:tcPr>
            <w:tcW w:w="115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Conduct problems</w:t>
            </w:r>
          </w:p>
        </w:tc>
        <w:tc>
          <w:tcPr>
            <w:tcW w:w="1156" w:type="dxa"/>
            <w:tcBorders>
              <w:top w:val="single" w:sz="6" w:space="0" w:color="000000"/>
              <w:left w:val="single" w:sz="4" w:space="0" w:color="FFFFFF"/>
              <w:bottom w:val="single" w:sz="4" w:space="0" w:color="000000"/>
              <w:right w:val="nil"/>
            </w:tcBorders>
            <w:shd w:val="clear" w:color="auto" w:fill="EFF3FF"/>
            <w:tcMar>
              <w:left w:w="0" w:type="dxa"/>
              <w:right w:w="0" w:type="dxa"/>
            </w:tcMar>
            <w:vAlign w:val="bottom"/>
          </w:tcPr>
          <w:p w:rsidR="002A4F8B" w:rsidRPr="002925AD" w:rsidRDefault="002A4F8B" w:rsidP="00302454">
            <w:pPr>
              <w:pStyle w:val="TableColumnHeadings"/>
              <w:rPr>
                <w:rStyle w:val="Strong"/>
              </w:rPr>
            </w:pPr>
            <w:r w:rsidRPr="002925AD">
              <w:rPr>
                <w:rStyle w:val="Strong"/>
              </w:rPr>
              <w:t>Hyperactivity</w:t>
            </w:r>
          </w:p>
        </w:tc>
        <w:tc>
          <w:tcPr>
            <w:tcW w:w="115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Peer problems</w:t>
            </w:r>
          </w:p>
        </w:tc>
        <w:tc>
          <w:tcPr>
            <w:tcW w:w="115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Prosocial behaviour</w:t>
            </w:r>
          </w:p>
        </w:tc>
        <w:tc>
          <w:tcPr>
            <w:tcW w:w="115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Total difficulties</w:t>
            </w:r>
          </w:p>
        </w:tc>
      </w:tr>
      <w:tr w:rsidR="002A4F8B" w:rsidRPr="00760E89" w:rsidTr="00302454">
        <w:trPr>
          <w:cantSplit/>
          <w:jc w:val="center"/>
        </w:trPr>
        <w:tc>
          <w:tcPr>
            <w:tcW w:w="2198" w:type="dxa"/>
            <w:tcBorders>
              <w:top w:val="nil"/>
              <w:bottom w:val="single" w:sz="4" w:space="0" w:color="FFFFFF"/>
              <w:right w:val="nil"/>
            </w:tcBorders>
            <w:shd w:val="clear" w:color="auto" w:fill="EFF3FF"/>
            <w:tcMar>
              <w:left w:w="40" w:type="dxa"/>
              <w:right w:w="40" w:type="dxa"/>
            </w:tcMar>
          </w:tcPr>
          <w:p w:rsidR="002A4F8B" w:rsidRPr="00760E89" w:rsidRDefault="002A4F8B" w:rsidP="00302454">
            <w:pPr>
              <w:pStyle w:val="TableRowHeadings"/>
            </w:pPr>
            <w:r w:rsidRPr="00760E89">
              <w:t xml:space="preserve">$130,000 or more per year </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10.4</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7.2</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10.8</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8.4</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2.2</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rPr>
                <w:rFonts w:ascii="Source Sans Pro" w:hAnsi="Source Sans Pro"/>
              </w:rPr>
            </w:pPr>
            <w:r w:rsidRPr="00760E89">
              <w:rPr>
                <w:rFonts w:ascii="Source Sans Pro" w:hAnsi="Source Sans Pro"/>
              </w:rPr>
              <w:t>6.4</w:t>
            </w:r>
          </w:p>
        </w:tc>
      </w:tr>
      <w:tr w:rsidR="002A4F8B" w:rsidRPr="00760E89" w:rsidTr="00302454">
        <w:trPr>
          <w:cantSplit/>
          <w:jc w:val="center"/>
        </w:trPr>
        <w:tc>
          <w:tcPr>
            <w:tcW w:w="2198" w:type="dxa"/>
            <w:tcBorders>
              <w:top w:val="nil"/>
              <w:bottom w:val="single" w:sz="4" w:space="0" w:color="FFFFFF"/>
              <w:right w:val="nil"/>
            </w:tcBorders>
            <w:shd w:val="clear" w:color="auto" w:fill="EFF3FF"/>
            <w:tcMar>
              <w:left w:w="40" w:type="dxa"/>
              <w:right w:w="40" w:type="dxa"/>
            </w:tcMar>
          </w:tcPr>
          <w:p w:rsidR="002A4F8B" w:rsidRPr="00760E89" w:rsidRDefault="002A4F8B" w:rsidP="00302454">
            <w:pPr>
              <w:pStyle w:val="TableRowHeadings"/>
            </w:pPr>
            <w:r w:rsidRPr="00760E89">
              <w:t xml:space="preserve">$52,000-$129,999 per year </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13.0</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9.7</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11.4</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11.6</w:t>
            </w:r>
          </w:p>
        </w:tc>
        <w:tc>
          <w:tcPr>
            <w:tcW w:w="1156"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pPr>
            <w:r w:rsidRPr="00760E89">
              <w:t>2.3</w:t>
            </w:r>
          </w:p>
        </w:tc>
        <w:tc>
          <w:tcPr>
            <w:tcW w:w="1157" w:type="dxa"/>
            <w:tcBorders>
              <w:top w:val="nil"/>
              <w:left w:val="nil"/>
              <w:bottom w:val="nil"/>
              <w:right w:val="nil"/>
            </w:tcBorders>
            <w:shd w:val="clear" w:color="auto" w:fill="FFFFFF"/>
            <w:tcMar>
              <w:left w:w="40" w:type="dxa"/>
              <w:right w:w="40" w:type="dxa"/>
            </w:tcMar>
            <w:vAlign w:val="bottom"/>
          </w:tcPr>
          <w:p w:rsidR="002A4F8B" w:rsidRPr="00760E89" w:rsidRDefault="002A4F8B" w:rsidP="00302454">
            <w:pPr>
              <w:pStyle w:val="TableDataCell"/>
              <w:rPr>
                <w:rFonts w:ascii="Source Sans Pro" w:hAnsi="Source Sans Pro"/>
              </w:rPr>
            </w:pPr>
            <w:r w:rsidRPr="00760E89">
              <w:rPr>
                <w:rFonts w:ascii="Source Sans Pro" w:hAnsi="Source Sans Pro"/>
              </w:rPr>
              <w:t>9.0</w:t>
            </w:r>
          </w:p>
        </w:tc>
      </w:tr>
      <w:tr w:rsidR="002A4F8B" w:rsidRPr="00760E89" w:rsidTr="00302454">
        <w:trPr>
          <w:cantSplit/>
          <w:jc w:val="center"/>
        </w:trPr>
        <w:tc>
          <w:tcPr>
            <w:tcW w:w="2198" w:type="dxa"/>
            <w:tcBorders>
              <w:top w:val="nil"/>
              <w:bottom w:val="single" w:sz="6" w:space="0" w:color="000000"/>
              <w:right w:val="nil"/>
            </w:tcBorders>
            <w:shd w:val="clear" w:color="auto" w:fill="EFF3FF"/>
            <w:tcMar>
              <w:left w:w="40" w:type="dxa"/>
              <w:right w:w="40" w:type="dxa"/>
            </w:tcMar>
          </w:tcPr>
          <w:p w:rsidR="002A4F8B" w:rsidRPr="00760E89" w:rsidRDefault="002A4F8B" w:rsidP="00302454">
            <w:pPr>
              <w:pStyle w:val="TableRowHeadings"/>
            </w:pPr>
            <w:r w:rsidRPr="00760E89">
              <w:t xml:space="preserve">Less than $52,000 per year </w:t>
            </w:r>
          </w:p>
        </w:tc>
        <w:tc>
          <w:tcPr>
            <w:tcW w:w="1156"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pPr>
            <w:r w:rsidRPr="00760E89">
              <w:t>16.5</w:t>
            </w:r>
          </w:p>
        </w:tc>
        <w:tc>
          <w:tcPr>
            <w:tcW w:w="1157"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pPr>
            <w:r w:rsidRPr="00760E89">
              <w:t>15.2</w:t>
            </w:r>
          </w:p>
        </w:tc>
        <w:tc>
          <w:tcPr>
            <w:tcW w:w="1156"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pPr>
            <w:r w:rsidRPr="00760E89">
              <w:t>18.2</w:t>
            </w:r>
          </w:p>
        </w:tc>
        <w:tc>
          <w:tcPr>
            <w:tcW w:w="1157"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pPr>
            <w:r w:rsidRPr="00760E89">
              <w:t>18.5</w:t>
            </w:r>
          </w:p>
        </w:tc>
        <w:tc>
          <w:tcPr>
            <w:tcW w:w="1156"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pPr>
            <w:r w:rsidRPr="00760E89">
              <w:t>4.0</w:t>
            </w:r>
          </w:p>
        </w:tc>
        <w:tc>
          <w:tcPr>
            <w:tcW w:w="1157" w:type="dxa"/>
            <w:tcBorders>
              <w:top w:val="nil"/>
              <w:left w:val="nil"/>
              <w:bottom w:val="single" w:sz="6" w:space="0" w:color="000000"/>
              <w:right w:val="nil"/>
            </w:tcBorders>
            <w:shd w:val="clear" w:color="auto" w:fill="FFFFFF"/>
            <w:tcMar>
              <w:left w:w="40" w:type="dxa"/>
              <w:right w:w="40" w:type="dxa"/>
            </w:tcMar>
            <w:vAlign w:val="bottom"/>
          </w:tcPr>
          <w:p w:rsidR="002A4F8B" w:rsidRPr="00760E89" w:rsidRDefault="002A4F8B" w:rsidP="00302454">
            <w:pPr>
              <w:pStyle w:val="TableDataCell"/>
              <w:rPr>
                <w:rFonts w:ascii="Source Sans Pro" w:hAnsi="Source Sans Pro"/>
              </w:rPr>
            </w:pPr>
            <w:r w:rsidRPr="00760E89">
              <w:rPr>
                <w:rFonts w:ascii="Source Sans Pro" w:hAnsi="Source Sans Pro"/>
              </w:rPr>
              <w:t>15.2</w:t>
            </w:r>
          </w:p>
        </w:tc>
      </w:tr>
    </w:tbl>
    <w:p w:rsidR="002A4F8B" w:rsidRPr="008127E8" w:rsidRDefault="002A4F8B" w:rsidP="002A4F8B">
      <w:pPr>
        <w:pStyle w:val="TableFootnote"/>
        <w:ind w:left="0" w:firstLine="0"/>
      </w:pPr>
      <w:r>
        <w:t>Household income includes the c</w:t>
      </w:r>
      <w:r w:rsidRPr="008127E8">
        <w:t>ombined income for the 2011-12 financial year of everyone living in the household before tax and other deductions are taken out.</w:t>
      </w:r>
    </w:p>
    <w:p w:rsidR="002A4F8B" w:rsidRDefault="002A4F8B" w:rsidP="002A4F8B">
      <w:pPr>
        <w:pStyle w:val="Caption"/>
        <w:keepNext/>
        <w:pageBreakBefore/>
      </w:pPr>
      <w:bookmarkStart w:id="395" w:name="_Toc414878950"/>
      <w:bookmarkStart w:id="396" w:name="_Toc414879522"/>
      <w:r>
        <w:lastRenderedPageBreak/>
        <w:t>Table S-</w:t>
      </w:r>
      <w:r>
        <w:rPr>
          <w:noProof/>
        </w:rPr>
        <w:t>46</w:t>
      </w:r>
      <w:r>
        <w:t>: Prevalence of</w:t>
      </w:r>
      <w:r w:rsidRPr="00CA689F">
        <w:t xml:space="preserve"> </w:t>
      </w:r>
      <w:r>
        <w:t>parent or carer reported SDQ scale scores in the abnormal range</w:t>
      </w:r>
      <w:r w:rsidRPr="006056A6">
        <w:t xml:space="preserve"> among 4-17 year-olds</w:t>
      </w:r>
      <w:r>
        <w:t xml:space="preserve"> by SDQ scale and highest level of education of either primary or secondary parent or carer</w:t>
      </w:r>
      <w:bookmarkEnd w:id="395"/>
      <w:bookmarkEnd w:id="396"/>
    </w:p>
    <w:tbl>
      <w:tblPr>
        <w:tblW w:w="9149" w:type="dxa"/>
        <w:jc w:val="center"/>
        <w:tblLayout w:type="fixed"/>
        <w:tblCellMar>
          <w:left w:w="0" w:type="dxa"/>
          <w:right w:w="0" w:type="dxa"/>
        </w:tblCellMar>
        <w:tblLook w:val="0020" w:firstRow="1" w:lastRow="0" w:firstColumn="0" w:lastColumn="0" w:noHBand="0" w:noVBand="0"/>
        <w:tblDescription w:val="In Table S-46 the first column defines highest education level of either primary or secondary parent or carer. Read across the rows for prevalence of emotional problems, conduct problems, hyperactivity, peer problems, prosocial behaviour and finally total difficulties."/>
      </w:tblPr>
      <w:tblGrid>
        <w:gridCol w:w="2189"/>
        <w:gridCol w:w="1160"/>
        <w:gridCol w:w="1160"/>
        <w:gridCol w:w="1160"/>
        <w:gridCol w:w="1160"/>
        <w:gridCol w:w="1160"/>
        <w:gridCol w:w="1160"/>
      </w:tblGrid>
      <w:tr w:rsidR="002A4F8B" w:rsidRPr="004B5C91" w:rsidTr="00302454">
        <w:trPr>
          <w:cantSplit/>
          <w:tblHeader/>
          <w:jc w:val="center"/>
        </w:trPr>
        <w:tc>
          <w:tcPr>
            <w:tcW w:w="2189"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jc w:val="left"/>
              <w:rPr>
                <w:rStyle w:val="Strong"/>
              </w:rPr>
            </w:pPr>
            <w:r w:rsidRPr="002925AD">
              <w:rPr>
                <w:rStyle w:val="Strong"/>
              </w:rPr>
              <w:t>Highest level of education of either primary or secondary parent or carer</w:t>
            </w:r>
          </w:p>
        </w:tc>
        <w:tc>
          <w:tcPr>
            <w:tcW w:w="11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Emotional problems</w:t>
            </w:r>
          </w:p>
        </w:tc>
        <w:tc>
          <w:tcPr>
            <w:tcW w:w="11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Conduct problems</w:t>
            </w:r>
          </w:p>
        </w:tc>
        <w:tc>
          <w:tcPr>
            <w:tcW w:w="1160" w:type="dxa"/>
            <w:tcBorders>
              <w:top w:val="single" w:sz="6" w:space="0" w:color="000000"/>
              <w:left w:val="single" w:sz="4" w:space="0" w:color="FFFFFF"/>
              <w:bottom w:val="single" w:sz="4" w:space="0" w:color="000000"/>
              <w:right w:val="nil"/>
            </w:tcBorders>
            <w:shd w:val="clear" w:color="auto" w:fill="EFF3FF"/>
            <w:tcMar>
              <w:left w:w="28" w:type="dxa"/>
              <w:right w:w="28" w:type="dxa"/>
            </w:tcMar>
            <w:vAlign w:val="bottom"/>
          </w:tcPr>
          <w:p w:rsidR="002A4F8B" w:rsidRPr="002925AD" w:rsidRDefault="002A4F8B" w:rsidP="00302454">
            <w:pPr>
              <w:pStyle w:val="TableColumnHeadings"/>
              <w:rPr>
                <w:rStyle w:val="Strong"/>
              </w:rPr>
            </w:pPr>
            <w:r w:rsidRPr="002925AD">
              <w:rPr>
                <w:rStyle w:val="Strong"/>
              </w:rPr>
              <w:t>Hyperactivity</w:t>
            </w:r>
          </w:p>
        </w:tc>
        <w:tc>
          <w:tcPr>
            <w:tcW w:w="11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Peer problems</w:t>
            </w:r>
          </w:p>
        </w:tc>
        <w:tc>
          <w:tcPr>
            <w:tcW w:w="116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Prosocial behaviour</w:t>
            </w:r>
          </w:p>
        </w:tc>
        <w:tc>
          <w:tcPr>
            <w:tcW w:w="116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Total difficulties</w:t>
            </w:r>
          </w:p>
        </w:tc>
      </w:tr>
      <w:tr w:rsidR="002A4F8B" w:rsidRPr="004B5C91" w:rsidTr="00302454">
        <w:trPr>
          <w:cantSplit/>
          <w:jc w:val="center"/>
        </w:trPr>
        <w:tc>
          <w:tcPr>
            <w:tcW w:w="2189" w:type="dxa"/>
            <w:tcBorders>
              <w:top w:val="nil"/>
              <w:bottom w:val="single" w:sz="4" w:space="0" w:color="FFFFFF"/>
              <w:right w:val="nil"/>
            </w:tcBorders>
            <w:shd w:val="clear" w:color="auto" w:fill="EFF3FF"/>
            <w:tcMar>
              <w:left w:w="40" w:type="dxa"/>
              <w:right w:w="40" w:type="dxa"/>
            </w:tcMar>
          </w:tcPr>
          <w:p w:rsidR="002A4F8B" w:rsidRPr="004B5C91" w:rsidRDefault="002A4F8B" w:rsidP="00302454">
            <w:pPr>
              <w:pStyle w:val="TableRowHeadings"/>
            </w:pPr>
            <w:r w:rsidRPr="004B5C91">
              <w:t>Bachelor degree or higher</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10.1</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6.7</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10.2</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9.2</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2.4</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6.1</w:t>
            </w:r>
          </w:p>
        </w:tc>
      </w:tr>
      <w:tr w:rsidR="002A4F8B" w:rsidRPr="004B5C91" w:rsidTr="00302454">
        <w:trPr>
          <w:cantSplit/>
          <w:jc w:val="center"/>
        </w:trPr>
        <w:tc>
          <w:tcPr>
            <w:tcW w:w="2189" w:type="dxa"/>
            <w:tcBorders>
              <w:top w:val="nil"/>
              <w:bottom w:val="single" w:sz="4" w:space="0" w:color="FFFFFF"/>
              <w:right w:val="nil"/>
            </w:tcBorders>
            <w:shd w:val="clear" w:color="auto" w:fill="EFF3FF"/>
            <w:tcMar>
              <w:left w:w="40" w:type="dxa"/>
              <w:right w:w="40" w:type="dxa"/>
            </w:tcMar>
          </w:tcPr>
          <w:p w:rsidR="002A4F8B" w:rsidRPr="004B5C91" w:rsidRDefault="002A4F8B" w:rsidP="00302454">
            <w:pPr>
              <w:pStyle w:val="TableRowHeadings"/>
            </w:pPr>
            <w:r w:rsidRPr="004B5C91">
              <w:t>Diploma or certificate III/IV</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14.9</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12.5</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14.2</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14.0</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2.7</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11.8</w:t>
            </w:r>
          </w:p>
        </w:tc>
      </w:tr>
      <w:tr w:rsidR="002A4F8B" w:rsidRPr="004B5C91" w:rsidTr="00302454">
        <w:trPr>
          <w:cantSplit/>
          <w:jc w:val="center"/>
        </w:trPr>
        <w:tc>
          <w:tcPr>
            <w:tcW w:w="2189" w:type="dxa"/>
            <w:tcBorders>
              <w:top w:val="nil"/>
              <w:bottom w:val="single" w:sz="4" w:space="0" w:color="FFFFFF"/>
              <w:right w:val="nil"/>
            </w:tcBorders>
            <w:shd w:val="clear" w:color="auto" w:fill="EFF3FF"/>
            <w:tcMar>
              <w:left w:w="40" w:type="dxa"/>
              <w:right w:w="40" w:type="dxa"/>
            </w:tcMar>
          </w:tcPr>
          <w:p w:rsidR="002A4F8B" w:rsidRPr="004B5C91" w:rsidRDefault="002A4F8B" w:rsidP="00302454">
            <w:pPr>
              <w:pStyle w:val="TableRowHeadings"/>
            </w:pPr>
            <w:r w:rsidRPr="004B5C91">
              <w:t>Year 11 or 12</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15.2</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13.3</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14.8</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15.7</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2.4</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12.2</w:t>
            </w:r>
          </w:p>
        </w:tc>
      </w:tr>
      <w:tr w:rsidR="002A4F8B" w:rsidRPr="004B5C91" w:rsidTr="00302454">
        <w:trPr>
          <w:cantSplit/>
          <w:jc w:val="center"/>
        </w:trPr>
        <w:tc>
          <w:tcPr>
            <w:tcW w:w="2189" w:type="dxa"/>
            <w:tcBorders>
              <w:top w:val="nil"/>
              <w:bottom w:val="single" w:sz="6" w:space="0" w:color="000000"/>
              <w:right w:val="nil"/>
            </w:tcBorders>
            <w:shd w:val="clear" w:color="auto" w:fill="EFF3FF"/>
            <w:tcMar>
              <w:left w:w="40" w:type="dxa"/>
              <w:right w:w="40" w:type="dxa"/>
            </w:tcMar>
          </w:tcPr>
          <w:p w:rsidR="002A4F8B" w:rsidRPr="004B5C91" w:rsidRDefault="002A4F8B" w:rsidP="00302454">
            <w:pPr>
              <w:pStyle w:val="TableRowHeadings"/>
            </w:pPr>
            <w:r w:rsidRPr="004B5C91">
              <w:t>Year 10 or below</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pPr>
            <w:r w:rsidRPr="004B5C91">
              <w:t>19.0</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pPr>
            <w:r w:rsidRPr="004B5C91">
              <w:t>16.4</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pPr>
            <w:r w:rsidRPr="004B5C91">
              <w:t>19.4</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pPr>
            <w:r w:rsidRPr="004B5C91">
              <w:t>20.1</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pPr>
            <w:r w:rsidRPr="004B5C91">
              <w:t>5.0</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18.6</w:t>
            </w:r>
          </w:p>
        </w:tc>
      </w:tr>
    </w:tbl>
    <w:p w:rsidR="002A4F8B" w:rsidRDefault="002A4F8B" w:rsidP="002A4F8B">
      <w:pPr>
        <w:pStyle w:val="Caption"/>
        <w:keepNext/>
      </w:pPr>
      <w:bookmarkStart w:id="397" w:name="_Toc414878951"/>
      <w:bookmarkStart w:id="398" w:name="_Toc414879523"/>
      <w:r>
        <w:t>Table S-</w:t>
      </w:r>
      <w:r>
        <w:rPr>
          <w:noProof/>
        </w:rPr>
        <w:t>47</w:t>
      </w:r>
      <w:r>
        <w:t>: Prevalence of</w:t>
      </w:r>
      <w:r w:rsidRPr="00CA689F">
        <w:t xml:space="preserve"> </w:t>
      </w:r>
      <w:r>
        <w:t>parent or carer reported SDQ scale scores in the abnormal range</w:t>
      </w:r>
      <w:r w:rsidRPr="006056A6">
        <w:t xml:space="preserve"> among 4-17 year-olds</w:t>
      </w:r>
      <w:r>
        <w:t xml:space="preserve"> by SDQ scale and labour force status of parents or carers</w:t>
      </w:r>
      <w:bookmarkEnd w:id="397"/>
      <w:bookmarkEnd w:id="398"/>
    </w:p>
    <w:tbl>
      <w:tblPr>
        <w:tblW w:w="9140" w:type="dxa"/>
        <w:jc w:val="center"/>
        <w:tblLayout w:type="fixed"/>
        <w:tblCellMar>
          <w:left w:w="0" w:type="dxa"/>
          <w:right w:w="0" w:type="dxa"/>
        </w:tblCellMar>
        <w:tblLook w:val="0020" w:firstRow="1" w:lastRow="0" w:firstColumn="0" w:lastColumn="0" w:noHBand="0" w:noVBand="0"/>
        <w:tblDescription w:val="In Table S-47 the first column defines labour force status of parents or carers. Read across the rows for prevalence of emotional problems, conduct problems, hyperactivity, peer problems, prosocial behaviour and finally total difficulties."/>
      </w:tblPr>
      <w:tblGrid>
        <w:gridCol w:w="2185"/>
        <w:gridCol w:w="1159"/>
        <w:gridCol w:w="1159"/>
        <w:gridCol w:w="1159"/>
        <w:gridCol w:w="1159"/>
        <w:gridCol w:w="1159"/>
        <w:gridCol w:w="1160"/>
      </w:tblGrid>
      <w:tr w:rsidR="002A4F8B" w:rsidRPr="004B5C91" w:rsidTr="00302454">
        <w:trPr>
          <w:cantSplit/>
          <w:tblHeader/>
          <w:jc w:val="center"/>
        </w:trPr>
        <w:tc>
          <w:tcPr>
            <w:tcW w:w="218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RowHeadings"/>
              <w:rPr>
                <w:rStyle w:val="Strong"/>
              </w:rPr>
            </w:pPr>
            <w:r w:rsidRPr="002925AD">
              <w:rPr>
                <w:rStyle w:val="Strong"/>
              </w:rPr>
              <w:t>Parent or carer labour force status</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Emotional problems</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Conduct problems</w:t>
            </w:r>
          </w:p>
        </w:tc>
        <w:tc>
          <w:tcPr>
            <w:tcW w:w="1159" w:type="dxa"/>
            <w:tcBorders>
              <w:top w:val="single" w:sz="6" w:space="0" w:color="000000"/>
              <w:left w:val="single" w:sz="4" w:space="0" w:color="FFFFFF"/>
              <w:bottom w:val="single" w:sz="4" w:space="0" w:color="000000"/>
              <w:right w:val="nil"/>
            </w:tcBorders>
            <w:shd w:val="clear" w:color="auto" w:fill="EFF3FF"/>
            <w:tcMar>
              <w:left w:w="28" w:type="dxa"/>
              <w:right w:w="28" w:type="dxa"/>
            </w:tcMar>
            <w:vAlign w:val="bottom"/>
          </w:tcPr>
          <w:p w:rsidR="002A4F8B" w:rsidRPr="002925AD" w:rsidRDefault="002A4F8B" w:rsidP="00302454">
            <w:pPr>
              <w:pStyle w:val="TableColumnHeadings"/>
              <w:rPr>
                <w:rStyle w:val="Strong"/>
              </w:rPr>
            </w:pPr>
            <w:r w:rsidRPr="002925AD">
              <w:rPr>
                <w:rStyle w:val="Strong"/>
              </w:rPr>
              <w:t>Hyperactivity</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Peer problems</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Prosocial behaviour</w:t>
            </w:r>
          </w:p>
        </w:tc>
        <w:tc>
          <w:tcPr>
            <w:tcW w:w="116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925AD" w:rsidRDefault="002A4F8B" w:rsidP="00302454">
            <w:pPr>
              <w:pStyle w:val="TableColumnHeadings"/>
              <w:rPr>
                <w:rStyle w:val="Strong"/>
              </w:rPr>
            </w:pPr>
            <w:r w:rsidRPr="002925AD">
              <w:rPr>
                <w:rStyle w:val="Strong"/>
              </w:rPr>
              <w:t>Total difficulties</w:t>
            </w:r>
          </w:p>
        </w:tc>
      </w:tr>
      <w:tr w:rsidR="002A4F8B" w:rsidRPr="004B5C91" w:rsidTr="00302454">
        <w:trPr>
          <w:cantSplit/>
          <w:jc w:val="center"/>
        </w:trPr>
        <w:tc>
          <w:tcPr>
            <w:tcW w:w="218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11.2</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7.7</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10.6</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10.2</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2.3</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7.4</w:t>
            </w:r>
          </w:p>
        </w:tc>
      </w:tr>
      <w:tr w:rsidR="002A4F8B" w:rsidRPr="004B5C91" w:rsidTr="00302454">
        <w:trPr>
          <w:cantSplit/>
          <w:jc w:val="center"/>
        </w:trPr>
        <w:tc>
          <w:tcPr>
            <w:tcW w:w="218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13.4</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11.6</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13.3</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12.9</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2.3</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10.6</w:t>
            </w:r>
          </w:p>
        </w:tc>
      </w:tr>
      <w:tr w:rsidR="002A4F8B" w:rsidRPr="004B5C91" w:rsidTr="00302454">
        <w:trPr>
          <w:cantSplit/>
          <w:jc w:val="center"/>
        </w:trPr>
        <w:tc>
          <w:tcPr>
            <w:tcW w:w="218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17.0</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19.6</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18.8</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17.5</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4.9</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15.9</w:t>
            </w:r>
          </w:p>
        </w:tc>
      </w:tr>
      <w:tr w:rsidR="002A4F8B" w:rsidRPr="004B5C91" w:rsidTr="00302454">
        <w:trPr>
          <w:cantSplit/>
          <w:jc w:val="center"/>
        </w:trPr>
        <w:tc>
          <w:tcPr>
            <w:tcW w:w="2185" w:type="dxa"/>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16.5</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11.3</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13.5</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13.1</w:t>
            </w:r>
          </w:p>
        </w:tc>
        <w:tc>
          <w:tcPr>
            <w:tcW w:w="1159"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pPr>
            <w:r w:rsidRPr="004B5C91">
              <w:t>3.3</w:t>
            </w:r>
          </w:p>
        </w:tc>
        <w:tc>
          <w:tcPr>
            <w:tcW w:w="1160" w:type="dxa"/>
            <w:tcBorders>
              <w:top w:val="nil"/>
              <w:left w:val="nil"/>
              <w:bottom w:val="nil"/>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10.8</w:t>
            </w:r>
          </w:p>
        </w:tc>
      </w:tr>
      <w:tr w:rsidR="002A4F8B" w:rsidRPr="004B5C91" w:rsidTr="00302454">
        <w:trPr>
          <w:cantSplit/>
          <w:jc w:val="center"/>
        </w:trPr>
        <w:tc>
          <w:tcPr>
            <w:tcW w:w="2185" w:type="dxa"/>
            <w:tcBorders>
              <w:top w:val="nil"/>
              <w:bottom w:val="single" w:sz="6" w:space="0" w:color="auto"/>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159"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pPr>
            <w:r w:rsidRPr="004B5C91">
              <w:t>20.8</w:t>
            </w:r>
          </w:p>
        </w:tc>
        <w:tc>
          <w:tcPr>
            <w:tcW w:w="1159"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pPr>
            <w:r w:rsidRPr="004B5C91">
              <w:t>19.8</w:t>
            </w:r>
          </w:p>
        </w:tc>
        <w:tc>
          <w:tcPr>
            <w:tcW w:w="1159"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pPr>
            <w:r w:rsidRPr="004B5C91">
              <w:t>24.5</w:t>
            </w:r>
          </w:p>
        </w:tc>
        <w:tc>
          <w:tcPr>
            <w:tcW w:w="1159"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pPr>
            <w:r w:rsidRPr="004B5C91">
              <w:t>25.5</w:t>
            </w:r>
          </w:p>
        </w:tc>
        <w:tc>
          <w:tcPr>
            <w:tcW w:w="1159"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pPr>
            <w:r w:rsidRPr="004B5C91">
              <w:t>5.2</w:t>
            </w:r>
          </w:p>
        </w:tc>
        <w:tc>
          <w:tcPr>
            <w:tcW w:w="1160" w:type="dxa"/>
            <w:tcBorders>
              <w:top w:val="nil"/>
              <w:left w:val="nil"/>
              <w:bottom w:val="single" w:sz="6" w:space="0" w:color="auto"/>
              <w:right w:val="nil"/>
            </w:tcBorders>
            <w:shd w:val="clear" w:color="auto" w:fill="FFFFFF"/>
            <w:tcMar>
              <w:left w:w="40" w:type="dxa"/>
              <w:right w:w="40" w:type="dxa"/>
            </w:tcMar>
            <w:vAlign w:val="bottom"/>
          </w:tcPr>
          <w:p w:rsidR="002A4F8B" w:rsidRPr="004B5C91" w:rsidRDefault="002A4F8B" w:rsidP="00302454">
            <w:pPr>
              <w:pStyle w:val="TableDataCell"/>
              <w:rPr>
                <w:rFonts w:ascii="Source Sans Pro" w:hAnsi="Source Sans Pro"/>
              </w:rPr>
            </w:pPr>
            <w:r w:rsidRPr="004B5C91">
              <w:rPr>
                <w:rFonts w:ascii="Source Sans Pro" w:hAnsi="Source Sans Pro"/>
              </w:rPr>
              <w:t>22.0</w:t>
            </w:r>
          </w:p>
        </w:tc>
      </w:tr>
    </w:tbl>
    <w:p w:rsidR="002A4F8B" w:rsidRDefault="002A4F8B" w:rsidP="002A4F8B">
      <w:pPr>
        <w:pStyle w:val="Caption"/>
        <w:keepNext/>
      </w:pPr>
      <w:bookmarkStart w:id="399" w:name="_Toc414878952"/>
      <w:bookmarkStart w:id="400" w:name="_Toc414879524"/>
      <w:r>
        <w:t>Table S-</w:t>
      </w:r>
      <w:r>
        <w:rPr>
          <w:noProof/>
        </w:rPr>
        <w:t>48</w:t>
      </w:r>
      <w:r>
        <w:t>: Prevalence of</w:t>
      </w:r>
      <w:r w:rsidRPr="00CA689F">
        <w:t xml:space="preserve"> </w:t>
      </w:r>
      <w:r>
        <w:t>parent or carer reported SDQ scale scores in the abnormal range</w:t>
      </w:r>
      <w:r w:rsidRPr="006056A6">
        <w:t xml:space="preserve"> among 4-17 year-olds</w:t>
      </w:r>
      <w:r>
        <w:t xml:space="preserve"> by SDQ scale and area of residence</w:t>
      </w:r>
      <w:bookmarkEnd w:id="399"/>
      <w:bookmarkEnd w:id="400"/>
    </w:p>
    <w:tbl>
      <w:tblPr>
        <w:tblW w:w="9142" w:type="dxa"/>
        <w:jc w:val="center"/>
        <w:tblLayout w:type="fixed"/>
        <w:tblCellMar>
          <w:left w:w="0" w:type="dxa"/>
          <w:right w:w="0" w:type="dxa"/>
        </w:tblCellMar>
        <w:tblLook w:val="0020" w:firstRow="1" w:lastRow="0" w:firstColumn="0" w:lastColumn="0" w:noHBand="0" w:noVBand="0"/>
        <w:tblDescription w:val="In Table S-48 the first column defines place of residence. Read across the rows for prevalence of emotional problems, conduct problems, hyperactivity, peer problems, prosocial behaviour and finally total difficulties."/>
      </w:tblPr>
      <w:tblGrid>
        <w:gridCol w:w="2186"/>
        <w:gridCol w:w="1159"/>
        <w:gridCol w:w="1159"/>
        <w:gridCol w:w="1160"/>
        <w:gridCol w:w="1159"/>
        <w:gridCol w:w="1159"/>
        <w:gridCol w:w="1160"/>
      </w:tblGrid>
      <w:tr w:rsidR="002A4F8B" w:rsidRPr="004363DC" w:rsidTr="00302454">
        <w:trPr>
          <w:cantSplit/>
          <w:tblHeader/>
          <w:jc w:val="center"/>
        </w:trPr>
        <w:tc>
          <w:tcPr>
            <w:tcW w:w="218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RowHeadings"/>
              <w:rPr>
                <w:rStyle w:val="Strong"/>
              </w:rPr>
            </w:pPr>
            <w:r w:rsidRPr="00AF6B65">
              <w:rPr>
                <w:rStyle w:val="Strong"/>
              </w:rPr>
              <w:t>Area of residence</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Emotional problems</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Conduct problems</w:t>
            </w:r>
          </w:p>
        </w:tc>
        <w:tc>
          <w:tcPr>
            <w:tcW w:w="1160" w:type="dxa"/>
            <w:tcBorders>
              <w:top w:val="single" w:sz="6" w:space="0" w:color="000000"/>
              <w:left w:val="single" w:sz="4" w:space="0" w:color="FFFFFF"/>
              <w:bottom w:val="single" w:sz="4" w:space="0" w:color="000000"/>
              <w:right w:val="nil"/>
            </w:tcBorders>
            <w:shd w:val="clear" w:color="auto" w:fill="EFF3FF"/>
            <w:tcMar>
              <w:left w:w="28" w:type="dxa"/>
              <w:right w:w="28" w:type="dxa"/>
            </w:tcMar>
            <w:vAlign w:val="bottom"/>
          </w:tcPr>
          <w:p w:rsidR="002A4F8B" w:rsidRPr="00AF6B65" w:rsidRDefault="002A4F8B" w:rsidP="00302454">
            <w:pPr>
              <w:pStyle w:val="TableColumnHeadings"/>
              <w:rPr>
                <w:rStyle w:val="Strong"/>
              </w:rPr>
            </w:pPr>
            <w:r w:rsidRPr="00AF6B65">
              <w:rPr>
                <w:rStyle w:val="Strong"/>
              </w:rPr>
              <w:t>Hyperactivity</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Peer problems</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Prosocial behaviour</w:t>
            </w:r>
          </w:p>
        </w:tc>
        <w:tc>
          <w:tcPr>
            <w:tcW w:w="116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Total difficulties</w:t>
            </w:r>
          </w:p>
        </w:tc>
      </w:tr>
      <w:tr w:rsidR="002A4F8B" w:rsidRPr="004363DC" w:rsidTr="00302454">
        <w:trPr>
          <w:cantSplit/>
          <w:jc w:val="center"/>
        </w:trPr>
        <w:tc>
          <w:tcPr>
            <w:tcW w:w="2186" w:type="dxa"/>
            <w:tcBorders>
              <w:top w:val="nil"/>
              <w:bottom w:val="single" w:sz="4" w:space="0" w:color="FFFFFF"/>
              <w:right w:val="nil"/>
            </w:tcBorders>
            <w:shd w:val="clear" w:color="auto" w:fill="EFF3FF"/>
            <w:tcMar>
              <w:left w:w="40" w:type="dxa"/>
              <w:right w:w="40" w:type="dxa"/>
            </w:tcMar>
          </w:tcPr>
          <w:p w:rsidR="002A4F8B" w:rsidRPr="00301889" w:rsidRDefault="002A4F8B" w:rsidP="00302454">
            <w:pPr>
              <w:pStyle w:val="TableRowHeadings"/>
              <w:rPr>
                <w:lang w:eastAsia="en-AU"/>
              </w:rPr>
            </w:pPr>
            <w:r>
              <w:rPr>
                <w:lang w:eastAsia="en-AU"/>
              </w:rPr>
              <w:t>Greater capital cities</w:t>
            </w:r>
          </w:p>
        </w:tc>
        <w:tc>
          <w:tcPr>
            <w:tcW w:w="1159"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13.1</w:t>
            </w:r>
          </w:p>
        </w:tc>
        <w:tc>
          <w:tcPr>
            <w:tcW w:w="1159"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9.5</w:t>
            </w:r>
          </w:p>
        </w:tc>
        <w:tc>
          <w:tcPr>
            <w:tcW w:w="1160"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12.7</w:t>
            </w:r>
          </w:p>
        </w:tc>
        <w:tc>
          <w:tcPr>
            <w:tcW w:w="1159"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11.0</w:t>
            </w:r>
          </w:p>
        </w:tc>
        <w:tc>
          <w:tcPr>
            <w:tcW w:w="1159"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2.5</w:t>
            </w:r>
          </w:p>
        </w:tc>
        <w:tc>
          <w:tcPr>
            <w:tcW w:w="1160" w:type="dxa"/>
            <w:tcBorders>
              <w:top w:val="nil"/>
              <w:left w:val="nil"/>
              <w:bottom w:val="nil"/>
              <w:right w:val="nil"/>
            </w:tcBorders>
            <w:shd w:val="clear" w:color="auto" w:fill="FFFFFF"/>
            <w:tcMar>
              <w:left w:w="40" w:type="dxa"/>
              <w:right w:w="40" w:type="dxa"/>
            </w:tcMar>
            <w:vAlign w:val="bottom"/>
          </w:tcPr>
          <w:p w:rsidR="002A4F8B" w:rsidRPr="004363DC" w:rsidRDefault="002A4F8B" w:rsidP="00302454">
            <w:pPr>
              <w:pStyle w:val="TableDataCell"/>
            </w:pPr>
            <w:r w:rsidRPr="004363DC">
              <w:t>9.5</w:t>
            </w:r>
          </w:p>
        </w:tc>
      </w:tr>
      <w:tr w:rsidR="002A4F8B" w:rsidRPr="004363DC" w:rsidTr="00302454">
        <w:trPr>
          <w:cantSplit/>
          <w:jc w:val="center"/>
        </w:trPr>
        <w:tc>
          <w:tcPr>
            <w:tcW w:w="2186" w:type="dxa"/>
            <w:tcBorders>
              <w:top w:val="nil"/>
              <w:bottom w:val="single" w:sz="6" w:space="0" w:color="000000"/>
              <w:right w:val="nil"/>
            </w:tcBorders>
            <w:shd w:val="clear" w:color="auto" w:fill="EFF3FF"/>
            <w:tcMar>
              <w:left w:w="40" w:type="dxa"/>
              <w:right w:w="40" w:type="dxa"/>
            </w:tcMar>
          </w:tcPr>
          <w:p w:rsidR="002A4F8B" w:rsidRPr="00301889" w:rsidRDefault="002A4F8B" w:rsidP="00302454">
            <w:pPr>
              <w:pStyle w:val="TableRowHeadings"/>
              <w:rPr>
                <w:lang w:eastAsia="en-AU"/>
              </w:rPr>
            </w:pPr>
            <w:r>
              <w:rPr>
                <w:lang w:eastAsia="en-AU"/>
              </w:rPr>
              <w:t>Rest of state</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13.7</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12.2</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13.7</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15.6</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3.1</w:t>
            </w:r>
          </w:p>
        </w:tc>
        <w:tc>
          <w:tcPr>
            <w:tcW w:w="1160" w:type="dxa"/>
            <w:tcBorders>
              <w:top w:val="nil"/>
              <w:left w:val="nil"/>
              <w:bottom w:val="single" w:sz="6" w:space="0" w:color="000000"/>
              <w:right w:val="nil"/>
            </w:tcBorders>
            <w:shd w:val="clear" w:color="auto" w:fill="FFFFFF"/>
            <w:tcMar>
              <w:left w:w="40" w:type="dxa"/>
              <w:right w:w="40" w:type="dxa"/>
            </w:tcMar>
            <w:vAlign w:val="bottom"/>
          </w:tcPr>
          <w:p w:rsidR="002A4F8B" w:rsidRPr="004363DC" w:rsidRDefault="002A4F8B" w:rsidP="00302454">
            <w:pPr>
              <w:pStyle w:val="TableDataCell"/>
            </w:pPr>
            <w:r w:rsidRPr="004363DC">
              <w:t>11.1</w:t>
            </w:r>
          </w:p>
        </w:tc>
      </w:tr>
    </w:tbl>
    <w:p w:rsidR="002A4F8B" w:rsidRDefault="002A4F8B" w:rsidP="002A4F8B">
      <w:pPr>
        <w:pStyle w:val="TableFootnote"/>
      </w:pPr>
      <w:proofErr w:type="gramStart"/>
      <w:r w:rsidRPr="00B736D6">
        <w:t>Based on the ABS classification Greater Capital City Statistical Area (GCCSA)</w:t>
      </w:r>
      <w:r>
        <w:t>.</w:t>
      </w:r>
      <w:proofErr w:type="gramEnd"/>
    </w:p>
    <w:p w:rsidR="002A4F8B" w:rsidRDefault="002A4F8B" w:rsidP="002A4F8B">
      <w:pPr>
        <w:pStyle w:val="Caption"/>
        <w:keepNext/>
        <w:pageBreakBefore/>
      </w:pPr>
      <w:bookmarkStart w:id="401" w:name="_Toc414878953"/>
      <w:bookmarkStart w:id="402" w:name="_Toc414879525"/>
      <w:r>
        <w:lastRenderedPageBreak/>
        <w:t>Table S-</w:t>
      </w:r>
      <w:r>
        <w:rPr>
          <w:noProof/>
        </w:rPr>
        <w:t>49</w:t>
      </w:r>
      <w:r>
        <w:t>: 4-17 year-olds by</w:t>
      </w:r>
      <w:r w:rsidRPr="00CA689F">
        <w:t xml:space="preserve"> </w:t>
      </w:r>
      <w:r>
        <w:t>parent or carer reported SDQ total difficulties score and SDQ impact score</w:t>
      </w:r>
      <w:bookmarkEnd w:id="401"/>
      <w:bookmarkEnd w:id="402"/>
    </w:p>
    <w:tbl>
      <w:tblPr>
        <w:tblW w:w="9121" w:type="dxa"/>
        <w:jc w:val="center"/>
        <w:tblLayout w:type="fixed"/>
        <w:tblCellMar>
          <w:left w:w="0" w:type="dxa"/>
          <w:right w:w="0" w:type="dxa"/>
        </w:tblCellMar>
        <w:tblLook w:val="0020" w:firstRow="1" w:lastRow="0" w:firstColumn="0" w:lastColumn="0" w:noHBand="0" w:noVBand="0"/>
        <w:tblDescription w:val="In Table S-49 the first column defines total difficulties score. Read across the rows for the proportion with mild, moderate and finally severe SDQ impact scores."/>
      </w:tblPr>
      <w:tblGrid>
        <w:gridCol w:w="1717"/>
        <w:gridCol w:w="2086"/>
        <w:gridCol w:w="2868"/>
        <w:gridCol w:w="2450"/>
      </w:tblGrid>
      <w:tr w:rsidR="002A4F8B" w:rsidRPr="00B86774" w:rsidTr="00302454">
        <w:trPr>
          <w:cantSplit/>
          <w:tblHeader/>
          <w:jc w:val="center"/>
        </w:trPr>
        <w:tc>
          <w:tcPr>
            <w:tcW w:w="171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RowHeadings"/>
              <w:rPr>
                <w:rStyle w:val="Strong"/>
              </w:rPr>
            </w:pPr>
            <w:r w:rsidRPr="00AF6B65">
              <w:rPr>
                <w:rStyle w:val="Strong"/>
              </w:rPr>
              <w:t>Total Difficulties</w:t>
            </w:r>
          </w:p>
        </w:tc>
        <w:tc>
          <w:tcPr>
            <w:tcW w:w="2086"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SDQ impact — Normal</w:t>
            </w:r>
          </w:p>
        </w:tc>
        <w:tc>
          <w:tcPr>
            <w:tcW w:w="286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SDQ impact — Borderline</w:t>
            </w:r>
          </w:p>
        </w:tc>
        <w:tc>
          <w:tcPr>
            <w:tcW w:w="245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SDQ impact — Abnormal</w:t>
            </w:r>
          </w:p>
        </w:tc>
      </w:tr>
      <w:tr w:rsidR="002A4F8B" w:rsidRPr="00B86774" w:rsidTr="00302454">
        <w:trPr>
          <w:cantSplit/>
          <w:jc w:val="center"/>
        </w:trPr>
        <w:tc>
          <w:tcPr>
            <w:tcW w:w="1717"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Normal</w:t>
            </w:r>
          </w:p>
        </w:tc>
        <w:tc>
          <w:tcPr>
            <w:tcW w:w="2086"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89.4</w:t>
            </w:r>
          </w:p>
        </w:tc>
        <w:tc>
          <w:tcPr>
            <w:tcW w:w="2868"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4.7</w:t>
            </w:r>
          </w:p>
        </w:tc>
        <w:tc>
          <w:tcPr>
            <w:tcW w:w="2450"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5.9</w:t>
            </w:r>
          </w:p>
        </w:tc>
      </w:tr>
      <w:tr w:rsidR="002A4F8B" w:rsidRPr="00B86774" w:rsidTr="00302454">
        <w:trPr>
          <w:cantSplit/>
          <w:jc w:val="center"/>
        </w:trPr>
        <w:tc>
          <w:tcPr>
            <w:tcW w:w="1717"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Borderline</w:t>
            </w:r>
          </w:p>
        </w:tc>
        <w:tc>
          <w:tcPr>
            <w:tcW w:w="2086"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39.6</w:t>
            </w:r>
          </w:p>
        </w:tc>
        <w:tc>
          <w:tcPr>
            <w:tcW w:w="2868"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17.5</w:t>
            </w:r>
          </w:p>
        </w:tc>
        <w:tc>
          <w:tcPr>
            <w:tcW w:w="2450"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42.9</w:t>
            </w:r>
          </w:p>
        </w:tc>
      </w:tr>
      <w:tr w:rsidR="002A4F8B" w:rsidRPr="00B86774" w:rsidTr="00302454">
        <w:trPr>
          <w:cantSplit/>
          <w:jc w:val="center"/>
        </w:trPr>
        <w:tc>
          <w:tcPr>
            <w:tcW w:w="1717" w:type="dxa"/>
            <w:tcBorders>
              <w:top w:val="nil"/>
              <w:bottom w:val="single" w:sz="6" w:space="0" w:color="000000"/>
              <w:right w:val="nil"/>
            </w:tcBorders>
            <w:shd w:val="clear" w:color="auto" w:fill="EFF3FF"/>
            <w:tcMar>
              <w:left w:w="40" w:type="dxa"/>
              <w:right w:w="40" w:type="dxa"/>
            </w:tcMar>
          </w:tcPr>
          <w:p w:rsidR="002A4F8B" w:rsidRPr="00B86774" w:rsidRDefault="002A4F8B" w:rsidP="00302454">
            <w:pPr>
              <w:pStyle w:val="TableRowHeadings"/>
            </w:pPr>
            <w:r w:rsidRPr="00B86774">
              <w:t>Abnormal</w:t>
            </w:r>
          </w:p>
        </w:tc>
        <w:tc>
          <w:tcPr>
            <w:tcW w:w="2086" w:type="dxa"/>
            <w:tcBorders>
              <w:top w:val="nil"/>
              <w:left w:val="nil"/>
              <w:bottom w:val="single" w:sz="6" w:space="0" w:color="000000"/>
              <w:right w:val="nil"/>
            </w:tcBorders>
            <w:shd w:val="clear" w:color="auto" w:fill="FFFFFF"/>
            <w:tcMar>
              <w:left w:w="40" w:type="dxa"/>
              <w:right w:w="40" w:type="dxa"/>
            </w:tcMar>
            <w:vAlign w:val="bottom"/>
          </w:tcPr>
          <w:p w:rsidR="002A4F8B" w:rsidRPr="00B86774" w:rsidRDefault="002A4F8B" w:rsidP="00302454">
            <w:pPr>
              <w:pStyle w:val="TableDataCell"/>
            </w:pPr>
            <w:r w:rsidRPr="00B86774">
              <w:t>16.7</w:t>
            </w:r>
          </w:p>
        </w:tc>
        <w:tc>
          <w:tcPr>
            <w:tcW w:w="2868" w:type="dxa"/>
            <w:tcBorders>
              <w:top w:val="nil"/>
              <w:left w:val="nil"/>
              <w:bottom w:val="single" w:sz="6" w:space="0" w:color="000000"/>
              <w:right w:val="nil"/>
            </w:tcBorders>
            <w:shd w:val="clear" w:color="auto" w:fill="FFFFFF"/>
            <w:tcMar>
              <w:left w:w="40" w:type="dxa"/>
              <w:right w:w="40" w:type="dxa"/>
            </w:tcMar>
            <w:vAlign w:val="bottom"/>
          </w:tcPr>
          <w:p w:rsidR="002A4F8B" w:rsidRPr="00B86774" w:rsidRDefault="002A4F8B" w:rsidP="00302454">
            <w:pPr>
              <w:pStyle w:val="TableDataCell"/>
            </w:pPr>
            <w:r w:rsidRPr="00B86774">
              <w:t>11.2</w:t>
            </w:r>
          </w:p>
        </w:tc>
        <w:tc>
          <w:tcPr>
            <w:tcW w:w="2450" w:type="dxa"/>
            <w:tcBorders>
              <w:top w:val="nil"/>
              <w:left w:val="nil"/>
              <w:bottom w:val="single" w:sz="6" w:space="0" w:color="000000"/>
              <w:right w:val="nil"/>
            </w:tcBorders>
            <w:shd w:val="clear" w:color="auto" w:fill="FFFFFF"/>
            <w:tcMar>
              <w:left w:w="40" w:type="dxa"/>
              <w:right w:w="40" w:type="dxa"/>
            </w:tcMar>
            <w:vAlign w:val="bottom"/>
          </w:tcPr>
          <w:p w:rsidR="002A4F8B" w:rsidRPr="00B86774" w:rsidRDefault="002A4F8B" w:rsidP="00302454">
            <w:pPr>
              <w:pStyle w:val="TableDataCell"/>
            </w:pPr>
            <w:r w:rsidRPr="00B86774">
              <w:t>72.0</w:t>
            </w:r>
          </w:p>
        </w:tc>
      </w:tr>
    </w:tbl>
    <w:p w:rsidR="002A4F8B" w:rsidRDefault="002A4F8B" w:rsidP="002A4F8B">
      <w:pPr>
        <w:pStyle w:val="Heading2"/>
      </w:pPr>
      <w:bookmarkStart w:id="403" w:name="_Toc414878954"/>
      <w:bookmarkStart w:id="404" w:name="_Toc414879526"/>
      <w:r>
        <w:t>K10+ days out of role</w:t>
      </w:r>
      <w:bookmarkEnd w:id="403"/>
      <w:bookmarkEnd w:id="404"/>
    </w:p>
    <w:p w:rsidR="002A4F8B" w:rsidRDefault="002A4F8B" w:rsidP="002A4F8B">
      <w:pPr>
        <w:pStyle w:val="Caption"/>
        <w:keepNext/>
      </w:pPr>
      <w:bookmarkStart w:id="405" w:name="_Toc414878955"/>
      <w:bookmarkStart w:id="406" w:name="_Toc414879527"/>
      <w:r>
        <w:t>Table S-</w:t>
      </w:r>
      <w:r>
        <w:rPr>
          <w:noProof/>
        </w:rPr>
        <w:t>50</w:t>
      </w:r>
      <w:r>
        <w:t>: Number of days out of role (K10+) among 11-17 year-olds by sex</w:t>
      </w:r>
      <w:bookmarkEnd w:id="405"/>
      <w:bookmarkEnd w:id="406"/>
    </w:p>
    <w:tbl>
      <w:tblPr>
        <w:tblW w:w="0" w:type="auto"/>
        <w:jc w:val="center"/>
        <w:tblLayout w:type="fixed"/>
        <w:tblCellMar>
          <w:left w:w="0" w:type="dxa"/>
          <w:right w:w="0" w:type="dxa"/>
        </w:tblCellMar>
        <w:tblLook w:val="0020" w:firstRow="1" w:lastRow="0" w:firstColumn="0" w:lastColumn="0" w:noHBand="0" w:noVBand="0"/>
        <w:tblDescription w:val="In Table S-50 the first column defines days out of role. Read across the rows for the proportions of males and females with that number of days out of role."/>
      </w:tblPr>
      <w:tblGrid>
        <w:gridCol w:w="2862"/>
        <w:gridCol w:w="3109"/>
        <w:gridCol w:w="3109"/>
      </w:tblGrid>
      <w:tr w:rsidR="002A4F8B" w:rsidRPr="00B86774" w:rsidTr="00302454">
        <w:trPr>
          <w:cantSplit/>
          <w:trHeight w:val="380"/>
          <w:tblHeader/>
          <w:jc w:val="center"/>
        </w:trPr>
        <w:tc>
          <w:tcPr>
            <w:tcW w:w="2862"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Days out of role</w:t>
            </w:r>
          </w:p>
        </w:tc>
        <w:tc>
          <w:tcPr>
            <w:tcW w:w="310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Males (%)</w:t>
            </w:r>
          </w:p>
        </w:tc>
        <w:tc>
          <w:tcPr>
            <w:tcW w:w="310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Females (%)</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0 days</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75.7</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65.6</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1 day</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7.8</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8.3</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2 days</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5.5</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8.7</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3 days</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3.0</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4.8</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4 days</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2.6</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4.6</w:t>
            </w:r>
          </w:p>
        </w:tc>
      </w:tr>
      <w:tr w:rsidR="002A4F8B" w:rsidRPr="00B86774" w:rsidTr="00302454">
        <w:trPr>
          <w:cantSplit/>
          <w:trHeight w:val="380"/>
          <w:jc w:val="center"/>
        </w:trPr>
        <w:tc>
          <w:tcPr>
            <w:tcW w:w="2862" w:type="dxa"/>
            <w:tcBorders>
              <w:top w:val="nil"/>
              <w:bottom w:val="single" w:sz="4" w:space="0" w:color="FFFFFF"/>
              <w:right w:val="nil"/>
            </w:tcBorders>
            <w:shd w:val="clear" w:color="auto" w:fill="EFF3FF"/>
            <w:tcMar>
              <w:left w:w="40" w:type="dxa"/>
              <w:right w:w="40" w:type="dxa"/>
            </w:tcMar>
          </w:tcPr>
          <w:p w:rsidR="002A4F8B" w:rsidRPr="00B86774" w:rsidRDefault="002A4F8B" w:rsidP="00302454">
            <w:pPr>
              <w:pStyle w:val="TableRowHeadings"/>
            </w:pPr>
            <w:r w:rsidRPr="00B86774">
              <w:t>5-9 days</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3.4</w:t>
            </w:r>
          </w:p>
        </w:tc>
        <w:tc>
          <w:tcPr>
            <w:tcW w:w="3109" w:type="dxa"/>
            <w:tcBorders>
              <w:top w:val="nil"/>
              <w:left w:val="nil"/>
              <w:bottom w:val="nil"/>
              <w:right w:val="nil"/>
            </w:tcBorders>
            <w:shd w:val="clear" w:color="auto" w:fill="FFFFFF"/>
            <w:tcMar>
              <w:left w:w="40" w:type="dxa"/>
              <w:right w:w="40" w:type="dxa"/>
            </w:tcMar>
            <w:vAlign w:val="bottom"/>
          </w:tcPr>
          <w:p w:rsidR="002A4F8B" w:rsidRPr="00B86774" w:rsidRDefault="002A4F8B" w:rsidP="00302454">
            <w:pPr>
              <w:pStyle w:val="TableDataCell"/>
            </w:pPr>
            <w:r w:rsidRPr="00B86774">
              <w:t>5.0</w:t>
            </w:r>
          </w:p>
        </w:tc>
      </w:tr>
      <w:tr w:rsidR="002A4F8B" w:rsidRPr="00B86774" w:rsidTr="00302454">
        <w:trPr>
          <w:cantSplit/>
          <w:trHeight w:val="380"/>
          <w:jc w:val="center"/>
        </w:trPr>
        <w:tc>
          <w:tcPr>
            <w:tcW w:w="2862" w:type="dxa"/>
            <w:tcBorders>
              <w:top w:val="nil"/>
              <w:bottom w:val="single" w:sz="6" w:space="0" w:color="000000"/>
              <w:right w:val="nil"/>
            </w:tcBorders>
            <w:shd w:val="clear" w:color="auto" w:fill="EFF3FF"/>
            <w:tcMar>
              <w:left w:w="40" w:type="dxa"/>
              <w:right w:w="40" w:type="dxa"/>
            </w:tcMar>
          </w:tcPr>
          <w:p w:rsidR="002A4F8B" w:rsidRPr="00B86774" w:rsidRDefault="002A4F8B" w:rsidP="00302454">
            <w:pPr>
              <w:pStyle w:val="TableRowHeadings"/>
            </w:pPr>
            <w:r w:rsidRPr="00B86774">
              <w:t>10 or more days</w:t>
            </w:r>
          </w:p>
        </w:tc>
        <w:tc>
          <w:tcPr>
            <w:tcW w:w="3109" w:type="dxa"/>
            <w:tcBorders>
              <w:top w:val="nil"/>
              <w:left w:val="nil"/>
              <w:bottom w:val="single" w:sz="6" w:space="0" w:color="000000"/>
              <w:right w:val="nil"/>
            </w:tcBorders>
            <w:shd w:val="clear" w:color="auto" w:fill="FFFFFF"/>
            <w:tcMar>
              <w:left w:w="40" w:type="dxa"/>
              <w:right w:w="40" w:type="dxa"/>
            </w:tcMar>
            <w:vAlign w:val="bottom"/>
          </w:tcPr>
          <w:p w:rsidR="002A4F8B" w:rsidRPr="00B86774" w:rsidRDefault="002A4F8B" w:rsidP="00302454">
            <w:pPr>
              <w:pStyle w:val="TableDataCell"/>
            </w:pPr>
            <w:r w:rsidRPr="00B86774">
              <w:t>1.9</w:t>
            </w:r>
          </w:p>
        </w:tc>
        <w:tc>
          <w:tcPr>
            <w:tcW w:w="3109" w:type="dxa"/>
            <w:tcBorders>
              <w:top w:val="nil"/>
              <w:left w:val="nil"/>
              <w:bottom w:val="single" w:sz="6" w:space="0" w:color="000000"/>
              <w:right w:val="nil"/>
            </w:tcBorders>
            <w:shd w:val="clear" w:color="auto" w:fill="FFFFFF"/>
            <w:tcMar>
              <w:left w:w="40" w:type="dxa"/>
              <w:right w:w="40" w:type="dxa"/>
            </w:tcMar>
            <w:vAlign w:val="bottom"/>
          </w:tcPr>
          <w:p w:rsidR="002A4F8B" w:rsidRPr="00B86774" w:rsidRDefault="002A4F8B" w:rsidP="00302454">
            <w:pPr>
              <w:pStyle w:val="TableDataCell"/>
            </w:pPr>
            <w:r w:rsidRPr="00B86774">
              <w:t>3.0</w:t>
            </w:r>
          </w:p>
        </w:tc>
      </w:tr>
    </w:tbl>
    <w:p w:rsidR="002A4F8B" w:rsidRDefault="002A4F8B" w:rsidP="002A4F8B">
      <w:pPr>
        <w:pStyle w:val="Heading2"/>
        <w:pageBreakBefore/>
        <w:spacing w:before="0"/>
      </w:pPr>
      <w:bookmarkStart w:id="407" w:name="_Toc414878956"/>
      <w:bookmarkStart w:id="408" w:name="_Toc414879528"/>
      <w:r>
        <w:lastRenderedPageBreak/>
        <w:t>Self-harm</w:t>
      </w:r>
      <w:bookmarkEnd w:id="407"/>
      <w:bookmarkEnd w:id="408"/>
    </w:p>
    <w:p w:rsidR="002A4F8B" w:rsidRDefault="002A4F8B" w:rsidP="002A4F8B">
      <w:pPr>
        <w:pStyle w:val="Caption"/>
        <w:keepNext/>
      </w:pPr>
      <w:bookmarkStart w:id="409" w:name="_Toc414878957"/>
      <w:bookmarkStart w:id="410" w:name="_Toc414879529"/>
      <w:r>
        <w:t>Table S-</w:t>
      </w:r>
      <w:r>
        <w:rPr>
          <w:noProof/>
        </w:rPr>
        <w:t>51</w:t>
      </w:r>
      <w:r>
        <w:t>: Self harm among 12-17 year-olds by sex and adolescent self-reported SDQ rating</w:t>
      </w:r>
      <w:bookmarkEnd w:id="409"/>
      <w:bookmarkEnd w:id="410"/>
    </w:p>
    <w:tbl>
      <w:tblPr>
        <w:tblW w:w="9128" w:type="dxa"/>
        <w:jc w:val="center"/>
        <w:tblLayout w:type="fixed"/>
        <w:tblCellMar>
          <w:left w:w="0" w:type="dxa"/>
          <w:right w:w="0" w:type="dxa"/>
        </w:tblCellMar>
        <w:tblLook w:val="0020" w:firstRow="1" w:lastRow="0" w:firstColumn="0" w:lastColumn="0" w:noHBand="0" w:noVBand="0"/>
        <w:tblDescription w:val="In Table S-51 the first column defines sex and the second column defines SDQ scale rating and subscales. Read across the rows for the prevalence ofself-harm ever, self-harm 4 or more times, self-harm in the previous 12 months and having received medical treatment for self-harm in previous 12 months."/>
      </w:tblPr>
      <w:tblGrid>
        <w:gridCol w:w="1073"/>
        <w:gridCol w:w="2884"/>
        <w:gridCol w:w="1330"/>
        <w:gridCol w:w="1329"/>
        <w:gridCol w:w="1274"/>
        <w:gridCol w:w="1238"/>
      </w:tblGrid>
      <w:tr w:rsidR="002A4F8B" w:rsidRPr="00D6292D" w:rsidTr="00302454">
        <w:trPr>
          <w:cantSplit/>
          <w:tblHeader/>
          <w:jc w:val="center"/>
        </w:trPr>
        <w:tc>
          <w:tcPr>
            <w:tcW w:w="107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Sex</w:t>
            </w:r>
          </w:p>
        </w:tc>
        <w:tc>
          <w:tcPr>
            <w:tcW w:w="2884"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SDQ scale rating and subscales</w:t>
            </w:r>
          </w:p>
        </w:tc>
        <w:tc>
          <w:tcPr>
            <w:tcW w:w="1330"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32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27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c>
          <w:tcPr>
            <w:tcW w:w="123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Received medical treatment for self-harm in previous 12 months (%)</w:t>
            </w:r>
          </w:p>
        </w:tc>
      </w:tr>
      <w:tr w:rsidR="002A4F8B" w:rsidRPr="00D6292D" w:rsidTr="00302454">
        <w:trPr>
          <w:cantSplit/>
          <w:jc w:val="center"/>
        </w:trPr>
        <w:tc>
          <w:tcPr>
            <w:tcW w:w="1073"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Male</w:t>
            </w:r>
            <w:r>
              <w:rPr>
                <w:lang w:eastAsia="en-AU"/>
              </w:rPr>
              <w:t>s</w:t>
            </w: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2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28"/>
              </w:tabs>
              <w:rPr>
                <w:lang w:eastAsia="en-AU"/>
              </w:rPr>
            </w:pPr>
            <w:r w:rsidRPr="00E56A00">
              <w:rPr>
                <w:lang w:eastAsia="en-AU"/>
              </w:rPr>
              <w:tab/>
              <w:t>Normal</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4.5</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1.5</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2.5</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Borderline</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10.2</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5.1</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6.3</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Abnormal</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23.4</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11.3</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15.1</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2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D6292D" w:rsidRDefault="002A4F8B" w:rsidP="00302454">
            <w:pPr>
              <w:pStyle w:val="TableRowHeadings"/>
              <w:tabs>
                <w:tab w:val="left" w:pos="328"/>
              </w:tabs>
              <w:rPr>
                <w:lang w:eastAsia="en-AU"/>
              </w:rPr>
            </w:pPr>
            <w:r w:rsidRPr="00E56A00">
              <w:rPr>
                <w:lang w:eastAsia="en-AU"/>
              </w:rPr>
              <w:tab/>
              <w:t>Emotional symptoms</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22.5</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11.3</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16.7</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Conduct problems</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19.8</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8.5</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12.5</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Hyperactivity</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9.4</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4.4</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7.5</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Peer problems</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32.4</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12.0</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19.4</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Female</w:t>
            </w:r>
            <w:r>
              <w:rPr>
                <w:lang w:eastAsia="en-AU"/>
              </w:rPr>
              <w:t>s</w:t>
            </w: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2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28"/>
              </w:tabs>
              <w:rPr>
                <w:lang w:eastAsia="en-AU"/>
              </w:rPr>
            </w:pPr>
            <w:r w:rsidRPr="00E56A00">
              <w:rPr>
                <w:lang w:eastAsia="en-AU"/>
              </w:rPr>
              <w:tab/>
              <w:t>Normal</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7.2</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3.1</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5.0</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Borderline</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27.7</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15.0</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23.6</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Pr>
                <w:lang w:eastAsia="en-AU"/>
              </w:rPr>
              <w:t>np</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Abnormal</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46.7</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36.4</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40.2</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6.9</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2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D6292D" w:rsidRDefault="002A4F8B" w:rsidP="00302454">
            <w:pPr>
              <w:pStyle w:val="TableRowHeadings"/>
              <w:tabs>
                <w:tab w:val="left" w:pos="328"/>
              </w:tabs>
              <w:rPr>
                <w:lang w:eastAsia="en-AU"/>
              </w:rPr>
            </w:pPr>
            <w:r w:rsidRPr="00E56A00">
              <w:rPr>
                <w:lang w:eastAsia="en-AU"/>
              </w:rPr>
              <w:tab/>
              <w:t>Emotional symptoms</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41.4</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29.0</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36.9</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4.8</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Conduct problems</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38.7</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30.0</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36.6</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6.9</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4" w:space="0" w:color="FFFFFF"/>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Hyperactivity</w:t>
            </w:r>
          </w:p>
        </w:tc>
        <w:tc>
          <w:tcPr>
            <w:tcW w:w="1330"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31.0</w:t>
            </w:r>
          </w:p>
        </w:tc>
        <w:tc>
          <w:tcPr>
            <w:tcW w:w="1329"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21.5</w:t>
            </w:r>
          </w:p>
        </w:tc>
        <w:tc>
          <w:tcPr>
            <w:tcW w:w="1274"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25.1</w:t>
            </w:r>
          </w:p>
        </w:tc>
        <w:tc>
          <w:tcPr>
            <w:tcW w:w="1238" w:type="dxa"/>
            <w:tcBorders>
              <w:top w:val="nil"/>
              <w:left w:val="nil"/>
              <w:bottom w:val="nil"/>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3.3</w:t>
            </w:r>
          </w:p>
        </w:tc>
      </w:tr>
      <w:tr w:rsidR="002A4F8B" w:rsidRPr="00D6292D" w:rsidTr="00302454">
        <w:trPr>
          <w:cantSplit/>
          <w:jc w:val="center"/>
        </w:trPr>
        <w:tc>
          <w:tcPr>
            <w:tcW w:w="1073" w:type="dxa"/>
            <w:vMerge/>
            <w:tcBorders>
              <w:top w:val="single" w:sz="6" w:space="0" w:color="000000"/>
              <w:bottom w:val="single" w:sz="6" w:space="0" w:color="000000"/>
              <w:right w:val="nil"/>
            </w:tcBorders>
            <w:shd w:val="clear" w:color="auto" w:fill="EFF3FF"/>
            <w:tcMar>
              <w:left w:w="40" w:type="dxa"/>
              <w:right w:w="40" w:type="dxa"/>
            </w:tcMar>
          </w:tcPr>
          <w:p w:rsidR="002A4F8B" w:rsidRPr="00D6292D" w:rsidRDefault="002A4F8B" w:rsidP="00302454">
            <w:pPr>
              <w:pStyle w:val="TableRowHeadings"/>
              <w:rPr>
                <w:rFonts w:ascii="Times New Roman" w:hAnsi="Times New Roman" w:cs="Times New Roman"/>
                <w:sz w:val="24"/>
                <w:szCs w:val="24"/>
                <w:lang w:eastAsia="en-AU"/>
              </w:rPr>
            </w:pPr>
          </w:p>
        </w:tc>
        <w:tc>
          <w:tcPr>
            <w:tcW w:w="2884" w:type="dxa"/>
            <w:tcBorders>
              <w:top w:val="nil"/>
              <w:left w:val="single" w:sz="4" w:space="0" w:color="FFFFFF"/>
              <w:bottom w:val="single" w:sz="6" w:space="0" w:color="000000"/>
              <w:right w:val="nil"/>
            </w:tcBorders>
            <w:shd w:val="clear" w:color="auto" w:fill="EFF3FF"/>
            <w:tcMar>
              <w:left w:w="40" w:type="dxa"/>
              <w:right w:w="40" w:type="dxa"/>
            </w:tcMar>
          </w:tcPr>
          <w:p w:rsidR="002A4F8B" w:rsidRPr="00D6292D" w:rsidRDefault="002A4F8B" w:rsidP="00302454">
            <w:pPr>
              <w:pStyle w:val="TableRowHeadings"/>
              <w:tabs>
                <w:tab w:val="left" w:pos="328"/>
              </w:tabs>
              <w:rPr>
                <w:lang w:eastAsia="en-AU"/>
              </w:rPr>
            </w:pPr>
            <w:r w:rsidRPr="00E56A00">
              <w:rPr>
                <w:lang w:eastAsia="en-AU"/>
              </w:rPr>
              <w:tab/>
              <w:t>Peer problems</w:t>
            </w:r>
          </w:p>
        </w:tc>
        <w:tc>
          <w:tcPr>
            <w:tcW w:w="1330" w:type="dxa"/>
            <w:tcBorders>
              <w:top w:val="nil"/>
              <w:left w:val="nil"/>
              <w:bottom w:val="single" w:sz="6" w:space="0" w:color="000000"/>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52.2</w:t>
            </w:r>
          </w:p>
        </w:tc>
        <w:tc>
          <w:tcPr>
            <w:tcW w:w="1329" w:type="dxa"/>
            <w:tcBorders>
              <w:top w:val="nil"/>
              <w:left w:val="nil"/>
              <w:bottom w:val="single" w:sz="6" w:space="0" w:color="000000"/>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39.2</w:t>
            </w:r>
          </w:p>
        </w:tc>
        <w:tc>
          <w:tcPr>
            <w:tcW w:w="1274" w:type="dxa"/>
            <w:tcBorders>
              <w:top w:val="nil"/>
              <w:left w:val="nil"/>
              <w:bottom w:val="single" w:sz="6" w:space="0" w:color="000000"/>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46.4</w:t>
            </w:r>
          </w:p>
        </w:tc>
        <w:tc>
          <w:tcPr>
            <w:tcW w:w="1238" w:type="dxa"/>
            <w:tcBorders>
              <w:top w:val="nil"/>
              <w:left w:val="nil"/>
              <w:bottom w:val="single" w:sz="6" w:space="0" w:color="000000"/>
              <w:right w:val="nil"/>
            </w:tcBorders>
            <w:shd w:val="clear" w:color="auto" w:fill="FFFFFF"/>
            <w:tcMar>
              <w:left w:w="40" w:type="dxa"/>
              <w:right w:w="40" w:type="dxa"/>
            </w:tcMar>
            <w:vAlign w:val="bottom"/>
          </w:tcPr>
          <w:p w:rsidR="002A4F8B" w:rsidRPr="00D6292D" w:rsidRDefault="002A4F8B" w:rsidP="00302454">
            <w:pPr>
              <w:pStyle w:val="TableDataCell"/>
              <w:rPr>
                <w:lang w:eastAsia="en-AU"/>
              </w:rPr>
            </w:pPr>
            <w:r w:rsidRPr="00D6292D">
              <w:rPr>
                <w:lang w:eastAsia="en-AU"/>
              </w:rPr>
              <w:t>6.9</w:t>
            </w:r>
          </w:p>
        </w:tc>
      </w:tr>
    </w:tbl>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411" w:name="_Toc414878958"/>
      <w:bookmarkStart w:id="412" w:name="_Toc414879530"/>
      <w:r>
        <w:lastRenderedPageBreak/>
        <w:t>Table S-</w:t>
      </w:r>
      <w:r>
        <w:rPr>
          <w:noProof/>
        </w:rPr>
        <w:t>52</w:t>
      </w:r>
      <w:r>
        <w:t xml:space="preserve">: </w:t>
      </w:r>
      <w:r w:rsidRPr="00EF62B8">
        <w:t xml:space="preserve">Self-harm among 12-17 year-olds by </w:t>
      </w:r>
      <w:r>
        <w:t>adolescent</w:t>
      </w:r>
      <w:r w:rsidRPr="00EF62B8">
        <w:t xml:space="preserve"> reported major depressive disorder status and family type</w:t>
      </w:r>
      <w:bookmarkEnd w:id="411"/>
      <w:bookmarkEnd w:id="412"/>
    </w:p>
    <w:tbl>
      <w:tblPr>
        <w:tblW w:w="9135" w:type="dxa"/>
        <w:jc w:val="center"/>
        <w:tblLayout w:type="fixed"/>
        <w:tblCellMar>
          <w:left w:w="0" w:type="dxa"/>
          <w:right w:w="0" w:type="dxa"/>
        </w:tblCellMar>
        <w:tblLook w:val="0020" w:firstRow="1" w:lastRow="0" w:firstColumn="0" w:lastColumn="0" w:noHBand="0" w:noVBand="0"/>
        <w:tblDescription w:val="In Table S-52 the first column defines major depressive disorder status and the second column defines family type. Read across the rows for prevalence of self-harm ever, self-harm 4 or more times, and finally self-harm in previous 12 months."/>
      </w:tblPr>
      <w:tblGrid>
        <w:gridCol w:w="1903"/>
        <w:gridCol w:w="3049"/>
        <w:gridCol w:w="1241"/>
        <w:gridCol w:w="1431"/>
        <w:gridCol w:w="1511"/>
      </w:tblGrid>
      <w:tr w:rsidR="002A4F8B" w:rsidRPr="00B85DB0" w:rsidTr="00302454">
        <w:trPr>
          <w:cantSplit/>
          <w:tblHeader/>
          <w:jc w:val="center"/>
        </w:trPr>
        <w:tc>
          <w:tcPr>
            <w:tcW w:w="190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049"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Family type</w:t>
            </w:r>
          </w:p>
        </w:tc>
        <w:tc>
          <w:tcPr>
            <w:tcW w:w="124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43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51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r>
      <w:tr w:rsidR="002A4F8B" w:rsidRPr="00B85DB0" w:rsidTr="00302454">
        <w:trPr>
          <w:cantSplit/>
          <w:jc w:val="center"/>
        </w:trPr>
        <w:tc>
          <w:tcPr>
            <w:tcW w:w="1903"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lang w:eastAsia="en-AU"/>
              </w:rPr>
            </w:pPr>
            <w:r w:rsidRPr="00B85DB0">
              <w:rPr>
                <w:lang w:eastAsia="en-AU"/>
              </w:rPr>
              <w:t xml:space="preserve">Major depressive </w:t>
            </w:r>
            <w:r>
              <w:rPr>
                <w:lang w:eastAsia="en-AU"/>
              </w:rPr>
              <w:t>disorder based on adolescent report</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two parents or carers</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50.1</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37.3</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44.7</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t>Original</w:t>
            </w:r>
            <w:r w:rsidRPr="007B266A">
              <w:rPr>
                <w:lang w:eastAsia="en-AU"/>
              </w:rPr>
              <w:t xml:space="preserve">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46.3</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36.5</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40.4</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Step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55.5</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33.1</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50.3</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Blended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66.5</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49.8</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63.0</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54.5</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Pr>
                <w:lang w:eastAsia="en-AU"/>
              </w:rPr>
              <w:t>np</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54.5</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one parent or carer</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62.3</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42.9</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50.3</w:t>
            </w:r>
          </w:p>
        </w:tc>
      </w:tr>
      <w:tr w:rsidR="002A4F8B" w:rsidRPr="00B85DB0" w:rsidTr="00302454">
        <w:trPr>
          <w:cantSplit/>
          <w:jc w:val="center"/>
        </w:trPr>
        <w:tc>
          <w:tcPr>
            <w:tcW w:w="1903"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lang w:eastAsia="en-AU"/>
              </w:rPr>
            </w:pPr>
            <w:r w:rsidRPr="00B85DB0">
              <w:rPr>
                <w:lang w:eastAsia="en-AU"/>
              </w:rPr>
              <w:t xml:space="preserve">No major depressive </w:t>
            </w:r>
            <w:r>
              <w:rPr>
                <w:lang w:eastAsia="en-AU"/>
              </w:rPr>
              <w:t>disorder based on adolescent report</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two parents or carers</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6.4</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2.5</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4.2</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t>Original</w:t>
            </w:r>
            <w:r w:rsidRPr="007B266A">
              <w:rPr>
                <w:lang w:eastAsia="en-AU"/>
              </w:rPr>
              <w:t xml:space="preserve">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5.4</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1.8</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3.6</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Step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14.7</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7.8</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8.0</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Blended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9.2</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4.8</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6.3</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Pr>
                <w:lang w:eastAsia="en-AU"/>
              </w:rPr>
              <w:t>np</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Pr>
                <w:lang w:eastAsia="en-AU"/>
              </w:rPr>
              <w:t>np</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Pr>
                <w:lang w:eastAsia="en-AU"/>
              </w:rPr>
              <w:t>np</w:t>
            </w:r>
          </w:p>
        </w:tc>
      </w:tr>
      <w:tr w:rsidR="002A4F8B" w:rsidRPr="00B85DB0"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one parent or carer</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8.4</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3.6</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5.1</w:t>
            </w:r>
          </w:p>
        </w:tc>
      </w:tr>
      <w:tr w:rsidR="002A4F8B" w:rsidRPr="00B85DB0" w:rsidTr="00302454">
        <w:trPr>
          <w:cantSplit/>
          <w:jc w:val="center"/>
        </w:trPr>
        <w:tc>
          <w:tcPr>
            <w:tcW w:w="1903"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lang w:eastAsia="en-AU"/>
              </w:rPr>
            </w:pPr>
            <w:r w:rsidRPr="00B85DB0">
              <w:rPr>
                <w:lang w:eastAsia="en-AU"/>
              </w:rPr>
              <w:t>All persons</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two parents or carers</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9.7</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5.1</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7.3</w:t>
            </w:r>
          </w:p>
        </w:tc>
      </w:tr>
      <w:tr w:rsidR="002A4F8B" w:rsidRPr="00B85DB0"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t>Original</w:t>
            </w:r>
            <w:r w:rsidRPr="007B266A">
              <w:rPr>
                <w:lang w:eastAsia="en-AU"/>
              </w:rPr>
              <w:t xml:space="preserve">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8.0</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4.0</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5.9</w:t>
            </w:r>
          </w:p>
        </w:tc>
      </w:tr>
      <w:tr w:rsidR="002A4F8B" w:rsidRPr="00B85DB0"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Step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21.8</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12.2</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15.4</w:t>
            </w:r>
          </w:p>
        </w:tc>
      </w:tr>
      <w:tr w:rsidR="002A4F8B" w:rsidRPr="00B85DB0"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Blended family</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13.9</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8.4</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11.0</w:t>
            </w:r>
          </w:p>
        </w:tc>
      </w:tr>
      <w:tr w:rsidR="002A4F8B" w:rsidRPr="00B85DB0"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24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21.4</w:t>
            </w:r>
          </w:p>
        </w:tc>
        <w:tc>
          <w:tcPr>
            <w:tcW w:w="143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15.1</w:t>
            </w:r>
          </w:p>
        </w:tc>
        <w:tc>
          <w:tcPr>
            <w:tcW w:w="1511" w:type="dxa"/>
            <w:tcBorders>
              <w:top w:val="nil"/>
              <w:left w:val="nil"/>
              <w:bottom w:val="nil"/>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21.4</w:t>
            </w:r>
          </w:p>
        </w:tc>
      </w:tr>
      <w:tr w:rsidR="002A4F8B" w:rsidRPr="00B85DB0"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B85DB0" w:rsidRDefault="002A4F8B" w:rsidP="00302454">
            <w:pPr>
              <w:pStyle w:val="TableRowHeadings"/>
              <w:spacing w:before="30" w:after="30"/>
              <w:rPr>
                <w:rFonts w:ascii="Times New Roman" w:hAnsi="Times New Roman" w:cs="Times New Roman"/>
                <w:sz w:val="24"/>
                <w:szCs w:val="24"/>
                <w:lang w:eastAsia="en-AU"/>
              </w:rPr>
            </w:pPr>
          </w:p>
        </w:tc>
        <w:tc>
          <w:tcPr>
            <w:tcW w:w="3049" w:type="dxa"/>
            <w:tcBorders>
              <w:top w:val="nil"/>
              <w:left w:val="single" w:sz="4" w:space="0" w:color="FFFFFF"/>
              <w:bottom w:val="single" w:sz="6" w:space="0" w:color="000000"/>
              <w:right w:val="nil"/>
            </w:tcBorders>
            <w:shd w:val="clear" w:color="auto" w:fill="EFF3FF"/>
            <w:tcMar>
              <w:left w:w="40" w:type="dxa"/>
              <w:right w:w="40" w:type="dxa"/>
            </w:tcMar>
          </w:tcPr>
          <w:p w:rsidR="002A4F8B" w:rsidRPr="00D10DF4" w:rsidRDefault="002A4F8B" w:rsidP="00302454">
            <w:pPr>
              <w:pStyle w:val="TableRowHeadings"/>
              <w:tabs>
                <w:tab w:val="left" w:pos="352"/>
              </w:tabs>
              <w:spacing w:before="30" w:after="30"/>
              <w:rPr>
                <w:lang w:eastAsia="en-AU"/>
              </w:rPr>
            </w:pPr>
            <w:r>
              <w:rPr>
                <w:lang w:eastAsia="en-AU"/>
              </w:rPr>
              <w:t>Families with one parent or carer</w:t>
            </w:r>
          </w:p>
        </w:tc>
        <w:tc>
          <w:tcPr>
            <w:tcW w:w="1241" w:type="dxa"/>
            <w:tcBorders>
              <w:top w:val="nil"/>
              <w:left w:val="nil"/>
              <w:bottom w:val="single" w:sz="6" w:space="0" w:color="000000"/>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14.9</w:t>
            </w:r>
          </w:p>
        </w:tc>
        <w:tc>
          <w:tcPr>
            <w:tcW w:w="1431" w:type="dxa"/>
            <w:tcBorders>
              <w:top w:val="nil"/>
              <w:left w:val="nil"/>
              <w:bottom w:val="single" w:sz="6" w:space="0" w:color="000000"/>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8.3</w:t>
            </w:r>
          </w:p>
        </w:tc>
        <w:tc>
          <w:tcPr>
            <w:tcW w:w="1511" w:type="dxa"/>
            <w:tcBorders>
              <w:top w:val="nil"/>
              <w:left w:val="nil"/>
              <w:bottom w:val="single" w:sz="6" w:space="0" w:color="000000"/>
              <w:right w:val="nil"/>
            </w:tcBorders>
            <w:shd w:val="clear" w:color="auto" w:fill="FFFFFF"/>
            <w:tcMar>
              <w:left w:w="40" w:type="dxa"/>
              <w:right w:w="40" w:type="dxa"/>
            </w:tcMar>
            <w:vAlign w:val="bottom"/>
          </w:tcPr>
          <w:p w:rsidR="002A4F8B" w:rsidRPr="00B85DB0" w:rsidRDefault="002A4F8B" w:rsidP="00302454">
            <w:pPr>
              <w:pStyle w:val="TableDataCell"/>
              <w:spacing w:before="30" w:after="30"/>
              <w:rPr>
                <w:lang w:eastAsia="en-AU"/>
              </w:rPr>
            </w:pPr>
            <w:r w:rsidRPr="00B85DB0">
              <w:rPr>
                <w:lang w:eastAsia="en-AU"/>
              </w:rPr>
              <w:t>10.5</w:t>
            </w:r>
          </w:p>
        </w:tc>
      </w:tr>
    </w:tbl>
    <w:p w:rsidR="002A4F8B" w:rsidRDefault="002A4F8B" w:rsidP="002A4F8B">
      <w:pPr>
        <w:pStyle w:val="TableFootnote"/>
        <w:spacing w:after="60"/>
      </w:pPr>
      <w:r>
        <w:t>‘Original family’ has at least one child living with their natural, adoptive or foster parents, and no step children.</w:t>
      </w:r>
    </w:p>
    <w:p w:rsidR="002A4F8B" w:rsidRDefault="002A4F8B" w:rsidP="002A4F8B">
      <w:pPr>
        <w:pStyle w:val="TableFootnote"/>
        <w:spacing w:after="60"/>
      </w:pPr>
      <w:r>
        <w:t xml:space="preserve">‘Other family’ is where all children are not the natural, adopted, foster or step child of one or both carers. </w:t>
      </w:r>
    </w:p>
    <w:p w:rsidR="002A4F8B" w:rsidRDefault="00661A11" w:rsidP="002A4F8B">
      <w:pPr>
        <w:pStyle w:val="TableFootnote"/>
        <w:spacing w:after="60"/>
      </w:pPr>
      <w:r>
        <w:t>(a)</w:t>
      </w:r>
      <w:r w:rsidR="002A4F8B">
        <w:t xml:space="preserve"> Data to be treated with caution due to low respondent numbers in this category.</w:t>
      </w:r>
    </w:p>
    <w:p w:rsidR="002A4F8B" w:rsidRPr="006A2910" w:rsidRDefault="002A4F8B" w:rsidP="002A4F8B">
      <w:pPr>
        <w:pStyle w:val="TableFootnote"/>
      </w:pPr>
      <w:proofErr w:type="gramStart"/>
      <w:r w:rsidRPr="006A2910">
        <w:t>np</w:t>
      </w:r>
      <w:proofErr w:type="gramEnd"/>
      <w:r w:rsidRPr="006A2910">
        <w:tab/>
        <w:t>Not available for publication because of small cell size, but included in totals where applicable.</w:t>
      </w:r>
    </w:p>
    <w:p w:rsidR="002A4F8B" w:rsidRDefault="002A4F8B" w:rsidP="002A4F8B">
      <w:pPr>
        <w:pStyle w:val="Caption"/>
        <w:keepNext/>
        <w:pageBreakBefore/>
      </w:pPr>
      <w:bookmarkStart w:id="413" w:name="_Toc414878959"/>
      <w:bookmarkStart w:id="414" w:name="_Toc414879531"/>
      <w:r>
        <w:lastRenderedPageBreak/>
        <w:t>Table S-</w:t>
      </w:r>
      <w:r>
        <w:rPr>
          <w:noProof/>
        </w:rPr>
        <w:t>53</w:t>
      </w:r>
      <w:r>
        <w:t xml:space="preserve">: </w:t>
      </w:r>
      <w:r w:rsidRPr="008C4D78">
        <w:t xml:space="preserve">Self-harm among 12-17 year-olds by </w:t>
      </w:r>
      <w:r>
        <w:t>adolescent</w:t>
      </w:r>
      <w:r w:rsidRPr="008C4D78">
        <w:t xml:space="preserve"> reported major depressive disorder status and household income</w:t>
      </w:r>
      <w:bookmarkEnd w:id="413"/>
      <w:bookmarkEnd w:id="414"/>
    </w:p>
    <w:tbl>
      <w:tblPr>
        <w:tblW w:w="9135" w:type="dxa"/>
        <w:jc w:val="center"/>
        <w:tblLayout w:type="fixed"/>
        <w:tblCellMar>
          <w:left w:w="0" w:type="dxa"/>
          <w:right w:w="0" w:type="dxa"/>
        </w:tblCellMar>
        <w:tblLook w:val="0020" w:firstRow="1" w:lastRow="0" w:firstColumn="0" w:lastColumn="0" w:noHBand="0" w:noVBand="0"/>
        <w:tblDescription w:val="In Table S-53 the first column defines major depressive disorder status and the second column defines household income before tax. Read across the rows for prevalence of self-harm ever, self-harm 4 or more times, and finally self-harm in previous 12 months."/>
      </w:tblPr>
      <w:tblGrid>
        <w:gridCol w:w="1889"/>
        <w:gridCol w:w="10"/>
        <w:gridCol w:w="3050"/>
        <w:gridCol w:w="1242"/>
        <w:gridCol w:w="1432"/>
        <w:gridCol w:w="1512"/>
      </w:tblGrid>
      <w:tr w:rsidR="002A4F8B" w:rsidRPr="00521193" w:rsidTr="00302454">
        <w:trPr>
          <w:cantSplit/>
          <w:tblHeader/>
          <w:jc w:val="center"/>
        </w:trPr>
        <w:tc>
          <w:tcPr>
            <w:tcW w:w="1889"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060" w:type="dxa"/>
            <w:gridSpan w:val="2"/>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Household income before tax</w:t>
            </w:r>
          </w:p>
        </w:tc>
        <w:tc>
          <w:tcPr>
            <w:tcW w:w="12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4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5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r>
      <w:tr w:rsidR="002A4F8B" w:rsidRPr="00521193" w:rsidTr="00302454">
        <w:trPr>
          <w:cantSplit/>
          <w:jc w:val="center"/>
        </w:trPr>
        <w:tc>
          <w:tcPr>
            <w:tcW w:w="1899" w:type="dxa"/>
            <w:gridSpan w:val="2"/>
            <w:vMerge w:val="restart"/>
            <w:tcBorders>
              <w:top w:val="nil"/>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 xml:space="preserve">Major depressive </w:t>
            </w:r>
            <w:r>
              <w:rPr>
                <w:lang w:eastAsia="en-AU"/>
              </w:rPr>
              <w:t>disorder based on adolescent report</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$130,000 or more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47.5</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38.9</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41.9</w:t>
            </w:r>
          </w:p>
        </w:tc>
      </w:tr>
      <w:tr w:rsidR="002A4F8B" w:rsidRPr="00521193"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$52,000-$129,999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51.4</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36.1</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46.2</w:t>
            </w:r>
          </w:p>
        </w:tc>
      </w:tr>
      <w:tr w:rsidR="002A4F8B" w:rsidRPr="00521193"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Less than $52,000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63.7</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44.5</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52.1</w:t>
            </w:r>
          </w:p>
        </w:tc>
      </w:tr>
      <w:tr w:rsidR="002A4F8B" w:rsidRPr="00521193" w:rsidTr="00302454">
        <w:trPr>
          <w:cantSplit/>
          <w:jc w:val="center"/>
        </w:trPr>
        <w:tc>
          <w:tcPr>
            <w:tcW w:w="1899" w:type="dxa"/>
            <w:gridSpan w:val="2"/>
            <w:vMerge w:val="restart"/>
            <w:tcBorders>
              <w:top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 xml:space="preserve">No major depressive </w:t>
            </w:r>
            <w:r>
              <w:rPr>
                <w:lang w:eastAsia="en-AU"/>
              </w:rPr>
              <w:t>disorder based on adolescent report</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$130,000 or more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6.1</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2.8</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4.3</w:t>
            </w:r>
          </w:p>
        </w:tc>
      </w:tr>
      <w:tr w:rsidR="002A4F8B" w:rsidRPr="00521193"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$52,000-$129,999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7.3</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2.6</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4.5</w:t>
            </w:r>
          </w:p>
        </w:tc>
      </w:tr>
      <w:tr w:rsidR="002A4F8B" w:rsidRPr="00521193"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Less than $52,000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7.0</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2.6</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4.4</w:t>
            </w:r>
          </w:p>
        </w:tc>
      </w:tr>
      <w:tr w:rsidR="002A4F8B" w:rsidRPr="00521193" w:rsidTr="00302454">
        <w:trPr>
          <w:cantSplit/>
          <w:jc w:val="center"/>
        </w:trPr>
        <w:tc>
          <w:tcPr>
            <w:tcW w:w="1899" w:type="dxa"/>
            <w:gridSpan w:val="2"/>
            <w:vMerge w:val="restart"/>
            <w:tcBorders>
              <w:top w:val="single" w:sz="4" w:space="0" w:color="FFFFFF"/>
              <w:bottom w:val="single" w:sz="6" w:space="0" w:color="000000"/>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All persons</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$130,000 or more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8.8</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5.2</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6.7</w:t>
            </w:r>
          </w:p>
        </w:tc>
      </w:tr>
      <w:tr w:rsidR="002A4F8B" w:rsidRPr="00521193" w:rsidTr="00302454">
        <w:trPr>
          <w:cantSplit/>
          <w:jc w:val="center"/>
        </w:trPr>
        <w:tc>
          <w:tcPr>
            <w:tcW w:w="1899" w:type="dxa"/>
            <w:gridSpan w:val="2"/>
            <w:vMerge/>
            <w:tcBorders>
              <w:top w:val="single" w:sz="6" w:space="0" w:color="000000"/>
              <w:bottom w:val="single" w:sz="6" w:space="0" w:color="000000"/>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$52,000-$129,999 per year</w:t>
            </w:r>
          </w:p>
        </w:tc>
        <w:tc>
          <w:tcPr>
            <w:tcW w:w="124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11.0</w:t>
            </w:r>
          </w:p>
        </w:tc>
        <w:tc>
          <w:tcPr>
            <w:tcW w:w="143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5.5</w:t>
            </w:r>
          </w:p>
        </w:tc>
        <w:tc>
          <w:tcPr>
            <w:tcW w:w="1512" w:type="dxa"/>
            <w:tcBorders>
              <w:top w:val="nil"/>
              <w:left w:val="nil"/>
              <w:bottom w:val="nil"/>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8.0</w:t>
            </w:r>
          </w:p>
        </w:tc>
      </w:tr>
      <w:tr w:rsidR="002A4F8B" w:rsidRPr="00521193" w:rsidTr="00302454">
        <w:trPr>
          <w:cantSplit/>
          <w:jc w:val="center"/>
        </w:trPr>
        <w:tc>
          <w:tcPr>
            <w:tcW w:w="1899" w:type="dxa"/>
            <w:gridSpan w:val="2"/>
            <w:vMerge/>
            <w:tcBorders>
              <w:top w:val="single" w:sz="6" w:space="0" w:color="000000"/>
              <w:bottom w:val="single" w:sz="6" w:space="0" w:color="000000"/>
              <w:right w:val="nil"/>
            </w:tcBorders>
            <w:shd w:val="clear" w:color="auto" w:fill="EFF3FF"/>
            <w:tcMar>
              <w:left w:w="40" w:type="dxa"/>
              <w:right w:w="40" w:type="dxa"/>
            </w:tcMar>
          </w:tcPr>
          <w:p w:rsidR="002A4F8B" w:rsidRPr="00521193" w:rsidRDefault="002A4F8B" w:rsidP="00302454">
            <w:pPr>
              <w:pStyle w:val="TableRowHeadings"/>
              <w:rPr>
                <w:rFonts w:ascii="Times New Roman" w:hAnsi="Times New Roman" w:cs="Times New Roman"/>
                <w:sz w:val="24"/>
                <w:szCs w:val="24"/>
                <w:lang w:eastAsia="en-AU"/>
              </w:rPr>
            </w:pPr>
          </w:p>
        </w:tc>
        <w:tc>
          <w:tcPr>
            <w:tcW w:w="3050" w:type="dxa"/>
            <w:tcBorders>
              <w:top w:val="nil"/>
              <w:left w:val="single" w:sz="4" w:space="0" w:color="FFFFFF"/>
              <w:bottom w:val="single" w:sz="6" w:space="0" w:color="000000"/>
              <w:right w:val="nil"/>
            </w:tcBorders>
            <w:shd w:val="clear" w:color="auto" w:fill="EFF3FF"/>
            <w:tcMar>
              <w:left w:w="40" w:type="dxa"/>
              <w:right w:w="40" w:type="dxa"/>
            </w:tcMar>
          </w:tcPr>
          <w:p w:rsidR="002A4F8B" w:rsidRPr="00521193" w:rsidRDefault="002A4F8B" w:rsidP="00302454">
            <w:pPr>
              <w:pStyle w:val="TableRowHeadings"/>
              <w:rPr>
                <w:lang w:eastAsia="en-AU"/>
              </w:rPr>
            </w:pPr>
            <w:r w:rsidRPr="00521193">
              <w:rPr>
                <w:lang w:eastAsia="en-AU"/>
              </w:rPr>
              <w:t>Less than $52,000 per year</w:t>
            </w:r>
          </w:p>
        </w:tc>
        <w:tc>
          <w:tcPr>
            <w:tcW w:w="1242" w:type="dxa"/>
            <w:tcBorders>
              <w:top w:val="nil"/>
              <w:left w:val="nil"/>
              <w:bottom w:val="single" w:sz="6" w:space="0" w:color="000000"/>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13.3</w:t>
            </w:r>
          </w:p>
        </w:tc>
        <w:tc>
          <w:tcPr>
            <w:tcW w:w="1432" w:type="dxa"/>
            <w:tcBorders>
              <w:top w:val="nil"/>
              <w:left w:val="nil"/>
              <w:bottom w:val="single" w:sz="6" w:space="0" w:color="000000"/>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7.2</w:t>
            </w:r>
          </w:p>
        </w:tc>
        <w:tc>
          <w:tcPr>
            <w:tcW w:w="1512" w:type="dxa"/>
            <w:tcBorders>
              <w:top w:val="nil"/>
              <w:left w:val="nil"/>
              <w:bottom w:val="single" w:sz="6" w:space="0" w:color="000000"/>
              <w:right w:val="nil"/>
            </w:tcBorders>
            <w:shd w:val="clear" w:color="auto" w:fill="FFFFFF"/>
            <w:tcMar>
              <w:left w:w="40" w:type="dxa"/>
              <w:right w:w="40" w:type="dxa"/>
            </w:tcMar>
            <w:vAlign w:val="bottom"/>
          </w:tcPr>
          <w:p w:rsidR="002A4F8B" w:rsidRPr="00521193" w:rsidRDefault="002A4F8B" w:rsidP="00302454">
            <w:pPr>
              <w:pStyle w:val="TableDataCell"/>
              <w:rPr>
                <w:lang w:eastAsia="en-AU"/>
              </w:rPr>
            </w:pPr>
            <w:r w:rsidRPr="00521193">
              <w:rPr>
                <w:lang w:eastAsia="en-AU"/>
              </w:rPr>
              <w:t>9.7</w:t>
            </w:r>
          </w:p>
        </w:tc>
      </w:tr>
    </w:tbl>
    <w:p w:rsidR="002A4F8B" w:rsidRPr="00521193" w:rsidRDefault="002A4F8B" w:rsidP="002A4F8B">
      <w:pPr>
        <w:pStyle w:val="TableFootnote"/>
        <w:ind w:left="0" w:firstLine="0"/>
        <w:rPr>
          <w:rFonts w:cs="Source Sans Pro Light"/>
          <w:sz w:val="20"/>
          <w:szCs w:val="20"/>
        </w:rPr>
      </w:pPr>
      <w:r>
        <w:t>Household income includes the c</w:t>
      </w:r>
      <w:r w:rsidRPr="008127E8">
        <w:t>ombined income for the 2011-12 financial year of everyone living in the household before tax and other deductions are taken out.</w:t>
      </w:r>
    </w:p>
    <w:p w:rsidR="002A4F8B" w:rsidRDefault="002A4F8B" w:rsidP="002A4F8B">
      <w:pPr>
        <w:pStyle w:val="Caption"/>
        <w:keepNext/>
      </w:pPr>
      <w:bookmarkStart w:id="415" w:name="_Toc414878960"/>
      <w:bookmarkStart w:id="416" w:name="_Toc414879532"/>
      <w:r>
        <w:t>Table S-</w:t>
      </w:r>
      <w:r>
        <w:rPr>
          <w:noProof/>
        </w:rPr>
        <w:t>54</w:t>
      </w:r>
      <w:r>
        <w:t xml:space="preserve">: </w:t>
      </w:r>
      <w:r w:rsidRPr="002252EC">
        <w:t xml:space="preserve">Self-harm among 12-17 year-olds by </w:t>
      </w:r>
      <w:r>
        <w:t>adolescent</w:t>
      </w:r>
      <w:r w:rsidRPr="002252EC">
        <w:t xml:space="preserve"> reported major depressive disorder status and parent or carer education</w:t>
      </w:r>
      <w:bookmarkEnd w:id="415"/>
      <w:bookmarkEnd w:id="416"/>
    </w:p>
    <w:tbl>
      <w:tblPr>
        <w:tblW w:w="9135" w:type="dxa"/>
        <w:jc w:val="center"/>
        <w:tblLayout w:type="fixed"/>
        <w:tblCellMar>
          <w:left w:w="0" w:type="dxa"/>
          <w:right w:w="0" w:type="dxa"/>
        </w:tblCellMar>
        <w:tblLook w:val="0020" w:firstRow="1" w:lastRow="0" w:firstColumn="0" w:lastColumn="0" w:noHBand="0" w:noVBand="0"/>
        <w:tblDescription w:val="In Table S-54 the first column defines major depressive disorder status and the second column defines parent or carer education. Read across the rows for prevalence of self-harm ever, self-harm 4 or more times, and finally self-harm in previous 12 months."/>
      </w:tblPr>
      <w:tblGrid>
        <w:gridCol w:w="1889"/>
        <w:gridCol w:w="10"/>
        <w:gridCol w:w="3050"/>
        <w:gridCol w:w="1242"/>
        <w:gridCol w:w="1432"/>
        <w:gridCol w:w="1512"/>
      </w:tblGrid>
      <w:tr w:rsidR="002A4F8B" w:rsidTr="00302454">
        <w:trPr>
          <w:cantSplit/>
          <w:tblHeader/>
          <w:jc w:val="center"/>
        </w:trPr>
        <w:tc>
          <w:tcPr>
            <w:tcW w:w="1889"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060" w:type="dxa"/>
            <w:gridSpan w:val="2"/>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Highest level of education of either primary or secondary parent or carer</w:t>
            </w:r>
          </w:p>
        </w:tc>
        <w:tc>
          <w:tcPr>
            <w:tcW w:w="12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4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5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r>
      <w:tr w:rsidR="002A4F8B" w:rsidTr="00302454">
        <w:trPr>
          <w:cantSplit/>
          <w:jc w:val="center"/>
        </w:trPr>
        <w:tc>
          <w:tcPr>
            <w:tcW w:w="1899" w:type="dxa"/>
            <w:gridSpan w:val="2"/>
            <w:vMerge w:val="restart"/>
            <w:tcBorders>
              <w:top w:val="nil"/>
              <w:bottom w:val="single" w:sz="4" w:space="0" w:color="FFFFFF"/>
              <w:right w:val="nil"/>
            </w:tcBorders>
            <w:shd w:val="clear" w:color="auto" w:fill="EFF3FF"/>
            <w:tcMar>
              <w:left w:w="40" w:type="dxa"/>
              <w:right w:w="40" w:type="dxa"/>
            </w:tcMar>
          </w:tcPr>
          <w:p w:rsidR="002A4F8B" w:rsidRDefault="002A4F8B" w:rsidP="00302454">
            <w:pPr>
              <w:pStyle w:val="TableRowHeadings"/>
            </w:pPr>
            <w:r>
              <w:t>Major depressive disorder based on adolescent report</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Bachelor degree or higher</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48.5</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35.7</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43.1</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Diploma or certificate III/IV</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63.1</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46.8</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53.9</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Year 11 or 12</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59.2</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41.9</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47.6</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Year 10 or below</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36.1</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21.8</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31.5</w:t>
            </w:r>
          </w:p>
        </w:tc>
      </w:tr>
      <w:tr w:rsidR="002A4F8B" w:rsidTr="00302454">
        <w:trPr>
          <w:cantSplit/>
          <w:jc w:val="center"/>
        </w:trPr>
        <w:tc>
          <w:tcPr>
            <w:tcW w:w="1899" w:type="dxa"/>
            <w:gridSpan w:val="2"/>
            <w:vMerge w:val="restart"/>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No major depressive disorder based on adolescent report</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Bachelor degree or higher</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6.3</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2.4</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3.9</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Diploma or certificate III/IV</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7.4</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2.9</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4.5</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Year 11 or 12</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5.5</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4.3</w:t>
            </w:r>
          </w:p>
        </w:tc>
      </w:tr>
      <w:tr w:rsidR="002A4F8B" w:rsidTr="00302454">
        <w:trPr>
          <w:cantSplit/>
          <w:jc w:val="center"/>
        </w:trPr>
        <w:tc>
          <w:tcPr>
            <w:tcW w:w="1899" w:type="dxa"/>
            <w:gridSpan w:val="2"/>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Year 10 or below</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8.9</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4.8</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6.0</w:t>
            </w:r>
          </w:p>
        </w:tc>
      </w:tr>
      <w:tr w:rsidR="002A4F8B" w:rsidTr="00302454">
        <w:trPr>
          <w:cantSplit/>
          <w:jc w:val="center"/>
        </w:trPr>
        <w:tc>
          <w:tcPr>
            <w:tcW w:w="1899" w:type="dxa"/>
            <w:gridSpan w:val="2"/>
            <w:vMerge w:val="restart"/>
            <w:tcBorders>
              <w:top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All persons</w:t>
            </w: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Bachelor degree or higher</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9.8</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5.1</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7.1</w:t>
            </w:r>
          </w:p>
        </w:tc>
      </w:tr>
      <w:tr w:rsidR="002A4F8B" w:rsidTr="00302454">
        <w:trPr>
          <w:cantSplit/>
          <w:jc w:val="center"/>
        </w:trPr>
        <w:tc>
          <w:tcPr>
            <w:tcW w:w="1899" w:type="dxa"/>
            <w:gridSpan w:val="2"/>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Diploma or certificate III/IV</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12.2</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6.7</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8.8</w:t>
            </w:r>
          </w:p>
        </w:tc>
      </w:tr>
      <w:tr w:rsidR="002A4F8B" w:rsidTr="00302454">
        <w:trPr>
          <w:cantSplit/>
          <w:jc w:val="center"/>
        </w:trPr>
        <w:tc>
          <w:tcPr>
            <w:tcW w:w="1899" w:type="dxa"/>
            <w:gridSpan w:val="2"/>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Year 11 or 12</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9.3</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4.7</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7.3</w:t>
            </w:r>
          </w:p>
        </w:tc>
      </w:tr>
      <w:tr w:rsidR="002A4F8B" w:rsidTr="00302454">
        <w:trPr>
          <w:cantSplit/>
          <w:jc w:val="center"/>
        </w:trPr>
        <w:tc>
          <w:tcPr>
            <w:tcW w:w="1899" w:type="dxa"/>
            <w:gridSpan w:val="2"/>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3050" w:type="dxa"/>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Year 10 or below</w:t>
            </w:r>
          </w:p>
        </w:tc>
        <w:tc>
          <w:tcPr>
            <w:tcW w:w="124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12.2</w:t>
            </w:r>
          </w:p>
        </w:tc>
        <w:tc>
          <w:tcPr>
            <w:tcW w:w="143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6.9</w:t>
            </w:r>
          </w:p>
        </w:tc>
        <w:tc>
          <w:tcPr>
            <w:tcW w:w="151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9.2</w:t>
            </w:r>
          </w:p>
        </w:tc>
      </w:tr>
    </w:tbl>
    <w:p w:rsidR="002A4F8B" w:rsidRDefault="002A4F8B" w:rsidP="002A4F8B">
      <w:pPr>
        <w:pStyle w:val="Caption"/>
        <w:keepNext/>
        <w:pageBreakBefore/>
        <w:spacing w:before="0"/>
      </w:pPr>
      <w:bookmarkStart w:id="417" w:name="_Toc414878961"/>
      <w:bookmarkStart w:id="418" w:name="_Toc414879533"/>
      <w:r>
        <w:lastRenderedPageBreak/>
        <w:t>Table S-</w:t>
      </w:r>
      <w:r>
        <w:rPr>
          <w:noProof/>
        </w:rPr>
        <w:t>55</w:t>
      </w:r>
      <w:r w:rsidRPr="00521CC8">
        <w:t>:</w:t>
      </w:r>
      <w:r>
        <w:t xml:space="preserve"> </w:t>
      </w:r>
      <w:r w:rsidRPr="00EB3530">
        <w:t xml:space="preserve">Self-harm among 12-17 year-olds by </w:t>
      </w:r>
      <w:r>
        <w:t>adolescent</w:t>
      </w:r>
      <w:r w:rsidRPr="00EB3530">
        <w:t xml:space="preserve"> reported major depressive disorder status and parent or carer labour force status</w:t>
      </w:r>
      <w:bookmarkEnd w:id="417"/>
      <w:bookmarkEnd w:id="418"/>
    </w:p>
    <w:tbl>
      <w:tblPr>
        <w:tblW w:w="9135" w:type="dxa"/>
        <w:jc w:val="center"/>
        <w:tblLayout w:type="fixed"/>
        <w:tblCellMar>
          <w:left w:w="0" w:type="dxa"/>
          <w:right w:w="0" w:type="dxa"/>
        </w:tblCellMar>
        <w:tblLook w:val="0020" w:firstRow="1" w:lastRow="0" w:firstColumn="0" w:lastColumn="0" w:noHBand="0" w:noVBand="0"/>
        <w:tblDescription w:val="In Table S-55 the first column defines major depressive disorder status and the second column defines parent or carer labour force status. Read across the rows for prevalence of self-harm ever, self-harm 4 or more times, and finally self-harm in previous 12 months."/>
      </w:tblPr>
      <w:tblGrid>
        <w:gridCol w:w="1903"/>
        <w:gridCol w:w="3049"/>
        <w:gridCol w:w="1241"/>
        <w:gridCol w:w="1431"/>
        <w:gridCol w:w="1511"/>
      </w:tblGrid>
      <w:tr w:rsidR="002A4F8B" w:rsidRPr="004161AF" w:rsidTr="00302454">
        <w:trPr>
          <w:cantSplit/>
          <w:tblHeader/>
          <w:jc w:val="center"/>
        </w:trPr>
        <w:tc>
          <w:tcPr>
            <w:tcW w:w="190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049"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Parent or carer labour force status</w:t>
            </w:r>
          </w:p>
        </w:tc>
        <w:tc>
          <w:tcPr>
            <w:tcW w:w="124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431"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511"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r>
      <w:tr w:rsidR="002A4F8B" w:rsidRPr="004161AF" w:rsidTr="00302454">
        <w:trPr>
          <w:cantSplit/>
          <w:jc w:val="center"/>
        </w:trPr>
        <w:tc>
          <w:tcPr>
            <w:tcW w:w="1903"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lang w:eastAsia="en-AU"/>
              </w:rPr>
            </w:pPr>
            <w:r w:rsidRPr="004161AF">
              <w:rPr>
                <w:lang w:eastAsia="en-AU"/>
              </w:rPr>
              <w:t xml:space="preserve">Major depressive </w:t>
            </w:r>
            <w:r>
              <w:rPr>
                <w:lang w:eastAsia="en-AU"/>
              </w:rPr>
              <w:t>disorder based on adolescent report</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51.7</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40.0</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45.8</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44.7</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33.0</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37.4</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60.7</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Pr>
                <w:lang w:eastAsia="en-AU"/>
              </w:rPr>
              <w:t>np</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60.7</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59.9</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36.4</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48.7</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61.2</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50.4</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51.5</w:t>
            </w:r>
          </w:p>
        </w:tc>
      </w:tr>
      <w:tr w:rsidR="002A4F8B" w:rsidRPr="004161AF" w:rsidTr="00302454">
        <w:trPr>
          <w:cantSplit/>
          <w:jc w:val="center"/>
        </w:trPr>
        <w:tc>
          <w:tcPr>
            <w:tcW w:w="1903"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lang w:eastAsia="en-AU"/>
              </w:rPr>
            </w:pPr>
            <w:r w:rsidRPr="004161AF">
              <w:rPr>
                <w:lang w:eastAsia="en-AU"/>
              </w:rPr>
              <w:t xml:space="preserve">No major depressive </w:t>
            </w:r>
            <w:r>
              <w:rPr>
                <w:lang w:eastAsia="en-AU"/>
              </w:rPr>
              <w:t>disorder based on adolescent report</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6.5</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2.6</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4.4</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6.4</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2.0</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4.0</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6.1</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Pr>
                <w:lang w:eastAsia="en-AU"/>
              </w:rPr>
              <w:t>np</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Pr>
                <w:lang w:eastAsia="en-AU"/>
              </w:rPr>
              <w:t>np</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8.2</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3.5</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4.9</w:t>
            </w:r>
          </w:p>
        </w:tc>
      </w:tr>
      <w:tr w:rsidR="002A4F8B" w:rsidRPr="004161AF" w:rsidTr="00302454">
        <w:trPr>
          <w:cantSplit/>
          <w:jc w:val="center"/>
        </w:trPr>
        <w:tc>
          <w:tcPr>
            <w:tcW w:w="1903" w:type="dxa"/>
            <w:vMerge/>
            <w:tcBorders>
              <w:top w:val="single" w:sz="4" w:space="0" w:color="FFFFFF"/>
              <w:bottom w:val="single" w:sz="4" w:space="0" w:color="FFFFFF"/>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7.8</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4.0</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4.3</w:t>
            </w:r>
          </w:p>
        </w:tc>
      </w:tr>
      <w:tr w:rsidR="002A4F8B" w:rsidRPr="004161AF" w:rsidTr="00302454">
        <w:trPr>
          <w:cantSplit/>
          <w:jc w:val="center"/>
        </w:trPr>
        <w:tc>
          <w:tcPr>
            <w:tcW w:w="1903"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4161AF" w:rsidRDefault="002A4F8B" w:rsidP="00302454">
            <w:pPr>
              <w:pStyle w:val="TableRowHeadings"/>
              <w:rPr>
                <w:lang w:eastAsia="en-AU"/>
              </w:rPr>
            </w:pPr>
            <w:r w:rsidRPr="004161AF">
              <w:rPr>
                <w:lang w:eastAsia="en-AU"/>
              </w:rPr>
              <w:t>All persons</w:t>
            </w: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9.5</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5.2</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7.2</w:t>
            </w:r>
          </w:p>
        </w:tc>
      </w:tr>
      <w:tr w:rsidR="002A4F8B" w:rsidRPr="004161AF"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9.3</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4.3</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6.4</w:t>
            </w:r>
          </w:p>
        </w:tc>
      </w:tr>
      <w:tr w:rsidR="002A4F8B" w:rsidRPr="004161AF"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14.0</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6.7</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11.3</w:t>
            </w:r>
          </w:p>
        </w:tc>
      </w:tr>
      <w:tr w:rsidR="002A4F8B" w:rsidRPr="004161AF"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24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14.6</w:t>
            </w:r>
          </w:p>
        </w:tc>
        <w:tc>
          <w:tcPr>
            <w:tcW w:w="143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7.6</w:t>
            </w:r>
          </w:p>
        </w:tc>
        <w:tc>
          <w:tcPr>
            <w:tcW w:w="1511" w:type="dxa"/>
            <w:tcBorders>
              <w:top w:val="nil"/>
              <w:left w:val="nil"/>
              <w:bottom w:val="nil"/>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10.4</w:t>
            </w:r>
          </w:p>
        </w:tc>
      </w:tr>
      <w:tr w:rsidR="002A4F8B" w:rsidRPr="004161AF" w:rsidTr="00302454">
        <w:trPr>
          <w:cantSplit/>
          <w:jc w:val="center"/>
        </w:trPr>
        <w:tc>
          <w:tcPr>
            <w:tcW w:w="1903" w:type="dxa"/>
            <w:vMerge/>
            <w:tcBorders>
              <w:top w:val="single" w:sz="6" w:space="0" w:color="000000"/>
              <w:bottom w:val="single" w:sz="6" w:space="0" w:color="000000"/>
              <w:right w:val="nil"/>
            </w:tcBorders>
            <w:shd w:val="clear" w:color="auto" w:fill="EFF3FF"/>
            <w:tcMar>
              <w:left w:w="40" w:type="dxa"/>
              <w:right w:w="40" w:type="dxa"/>
            </w:tcMar>
          </w:tcPr>
          <w:p w:rsidR="002A4F8B" w:rsidRPr="004161AF" w:rsidRDefault="002A4F8B" w:rsidP="00302454">
            <w:pPr>
              <w:pStyle w:val="TableRowHeadings"/>
              <w:rPr>
                <w:rFonts w:ascii="Times New Roman" w:hAnsi="Times New Roman" w:cs="Times New Roman"/>
                <w:sz w:val="24"/>
                <w:szCs w:val="24"/>
                <w:lang w:eastAsia="en-AU"/>
              </w:rPr>
            </w:pPr>
          </w:p>
        </w:tc>
        <w:tc>
          <w:tcPr>
            <w:tcW w:w="3049" w:type="dxa"/>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241" w:type="dxa"/>
            <w:tcBorders>
              <w:top w:val="nil"/>
              <w:left w:val="nil"/>
              <w:bottom w:val="single" w:sz="6" w:space="0" w:color="000000"/>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15.8</w:t>
            </w:r>
          </w:p>
        </w:tc>
        <w:tc>
          <w:tcPr>
            <w:tcW w:w="1431" w:type="dxa"/>
            <w:tcBorders>
              <w:top w:val="nil"/>
              <w:left w:val="nil"/>
              <w:bottom w:val="single" w:sz="6" w:space="0" w:color="000000"/>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11.0</w:t>
            </w:r>
          </w:p>
        </w:tc>
        <w:tc>
          <w:tcPr>
            <w:tcW w:w="1511" w:type="dxa"/>
            <w:tcBorders>
              <w:top w:val="nil"/>
              <w:left w:val="nil"/>
              <w:bottom w:val="single" w:sz="6" w:space="0" w:color="000000"/>
              <w:right w:val="nil"/>
            </w:tcBorders>
            <w:shd w:val="clear" w:color="auto" w:fill="FFFFFF"/>
            <w:tcMar>
              <w:left w:w="40" w:type="dxa"/>
              <w:right w:w="40" w:type="dxa"/>
            </w:tcMar>
            <w:vAlign w:val="bottom"/>
          </w:tcPr>
          <w:p w:rsidR="002A4F8B" w:rsidRPr="004161AF" w:rsidRDefault="002A4F8B" w:rsidP="00302454">
            <w:pPr>
              <w:pStyle w:val="TableDataCell"/>
              <w:rPr>
                <w:lang w:eastAsia="en-AU"/>
              </w:rPr>
            </w:pPr>
            <w:r w:rsidRPr="004161AF">
              <w:rPr>
                <w:lang w:eastAsia="en-AU"/>
              </w:rPr>
              <w:t>11.4</w:t>
            </w:r>
          </w:p>
        </w:tc>
      </w:tr>
    </w:tbl>
    <w:p w:rsidR="002A4F8B" w:rsidRDefault="002A4F8B" w:rsidP="002A4F8B">
      <w:pPr>
        <w:pStyle w:val="TableFootnote"/>
        <w:spacing w:after="60"/>
      </w:pPr>
      <w:r>
        <w:t>‘</w:t>
      </w:r>
      <w:r w:rsidRPr="007B2657">
        <w:t>Not in employment</w:t>
      </w:r>
      <w:r>
        <w:t>’</w:t>
      </w:r>
      <w:r w:rsidRPr="007B2657">
        <w:t xml:space="preserve"> combines unemployed and not in the labour force</w:t>
      </w:r>
      <w:r>
        <w:t>.</w:t>
      </w:r>
    </w:p>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419" w:name="_Toc414878962"/>
      <w:bookmarkStart w:id="420" w:name="_Toc414879534"/>
      <w:r>
        <w:lastRenderedPageBreak/>
        <w:t>Table S-</w:t>
      </w:r>
      <w:r>
        <w:rPr>
          <w:noProof/>
        </w:rPr>
        <w:t>56</w:t>
      </w:r>
      <w:r>
        <w:t xml:space="preserve">: </w:t>
      </w:r>
      <w:r w:rsidRPr="0025031D">
        <w:t xml:space="preserve">Self-harm among 12-17 year-olds by </w:t>
      </w:r>
      <w:r>
        <w:t>adolescent</w:t>
      </w:r>
      <w:r w:rsidRPr="0025031D">
        <w:t xml:space="preserve"> reported major depressive disorder status and area of residence</w:t>
      </w:r>
      <w:bookmarkEnd w:id="419"/>
      <w:bookmarkEnd w:id="420"/>
    </w:p>
    <w:tbl>
      <w:tblPr>
        <w:tblW w:w="9135" w:type="dxa"/>
        <w:jc w:val="center"/>
        <w:tblLayout w:type="fixed"/>
        <w:tblCellMar>
          <w:left w:w="0" w:type="dxa"/>
          <w:right w:w="0" w:type="dxa"/>
        </w:tblCellMar>
        <w:tblLook w:val="0020" w:firstRow="1" w:lastRow="0" w:firstColumn="0" w:lastColumn="0" w:noHBand="0" w:noVBand="0"/>
        <w:tblDescription w:val="In Table S-56 the first column defines major depressive disorder status and the second column defines area of residence. Read across the rows for prevalence of self-harm ever, self-harm 4 or more times, and finally self-harm in previous 12 months."/>
      </w:tblPr>
      <w:tblGrid>
        <w:gridCol w:w="2421"/>
        <w:gridCol w:w="2528"/>
        <w:gridCol w:w="1242"/>
        <w:gridCol w:w="1432"/>
        <w:gridCol w:w="1512"/>
      </w:tblGrid>
      <w:tr w:rsidR="002A4F8B" w:rsidTr="00302454">
        <w:trPr>
          <w:cantSplit/>
          <w:tblHeader/>
          <w:jc w:val="center"/>
        </w:trPr>
        <w:tc>
          <w:tcPr>
            <w:tcW w:w="2421"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2528"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Area of residence</w:t>
            </w:r>
          </w:p>
        </w:tc>
        <w:tc>
          <w:tcPr>
            <w:tcW w:w="124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ever (%)</w:t>
            </w:r>
          </w:p>
        </w:tc>
        <w:tc>
          <w:tcPr>
            <w:tcW w:w="143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4 or more times (%)</w:t>
            </w:r>
          </w:p>
        </w:tc>
        <w:tc>
          <w:tcPr>
            <w:tcW w:w="151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Self-harm in previous 12 months (%)</w:t>
            </w:r>
          </w:p>
        </w:tc>
      </w:tr>
      <w:tr w:rsidR="002A4F8B" w:rsidTr="00302454">
        <w:trPr>
          <w:cantSplit/>
          <w:jc w:val="center"/>
        </w:trPr>
        <w:tc>
          <w:tcPr>
            <w:tcW w:w="2421" w:type="dxa"/>
            <w:vMerge w:val="restart"/>
            <w:tcBorders>
              <w:top w:val="single" w:sz="4" w:space="0" w:color="000000"/>
              <w:bottom w:val="single" w:sz="4" w:space="0" w:color="FFFFFF"/>
              <w:right w:val="nil"/>
            </w:tcBorders>
            <w:shd w:val="clear" w:color="auto" w:fill="EFF3FF"/>
            <w:tcMar>
              <w:left w:w="40" w:type="dxa"/>
              <w:right w:w="40" w:type="dxa"/>
            </w:tcMar>
          </w:tcPr>
          <w:p w:rsidR="002A4F8B" w:rsidRDefault="002A4F8B" w:rsidP="00302454">
            <w:pPr>
              <w:pStyle w:val="TableRowHeadings"/>
            </w:pPr>
            <w:r>
              <w:t>Major depressive disorder based on adolescent report</w:t>
            </w:r>
          </w:p>
        </w:tc>
        <w:tc>
          <w:tcPr>
            <w:tcW w:w="252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51.5</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37.7</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45.4</w:t>
            </w:r>
          </w:p>
        </w:tc>
      </w:tr>
      <w:tr w:rsidR="002A4F8B" w:rsidTr="00302454">
        <w:trPr>
          <w:cantSplit/>
          <w:jc w:val="center"/>
        </w:trPr>
        <w:tc>
          <w:tcPr>
            <w:tcW w:w="2421"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52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Rest of state</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58.7</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41.8</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48.6</w:t>
            </w:r>
          </w:p>
        </w:tc>
      </w:tr>
      <w:tr w:rsidR="002A4F8B" w:rsidTr="00302454">
        <w:trPr>
          <w:cantSplit/>
          <w:jc w:val="center"/>
        </w:trPr>
        <w:tc>
          <w:tcPr>
            <w:tcW w:w="2421" w:type="dxa"/>
            <w:vMerge w:val="restart"/>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No major depressive disorder based on adolescent report</w:t>
            </w:r>
          </w:p>
        </w:tc>
        <w:tc>
          <w:tcPr>
            <w:tcW w:w="252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6.7</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2.5</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4.3</w:t>
            </w:r>
          </w:p>
        </w:tc>
      </w:tr>
      <w:tr w:rsidR="002A4F8B" w:rsidTr="00302454">
        <w:trPr>
          <w:cantSplit/>
          <w:jc w:val="center"/>
        </w:trPr>
        <w:tc>
          <w:tcPr>
            <w:tcW w:w="2421"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52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Rest of state</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7.0</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3.2</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4.4</w:t>
            </w:r>
          </w:p>
        </w:tc>
      </w:tr>
      <w:tr w:rsidR="002A4F8B" w:rsidTr="00302454">
        <w:trPr>
          <w:cantSplit/>
          <w:jc w:val="center"/>
        </w:trPr>
        <w:tc>
          <w:tcPr>
            <w:tcW w:w="2421" w:type="dxa"/>
            <w:vMerge w:val="restart"/>
            <w:tcBorders>
              <w:top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All persons</w:t>
            </w:r>
          </w:p>
        </w:tc>
        <w:tc>
          <w:tcPr>
            <w:tcW w:w="252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24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10.7</w:t>
            </w:r>
          </w:p>
        </w:tc>
        <w:tc>
          <w:tcPr>
            <w:tcW w:w="143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5.6</w:t>
            </w:r>
          </w:p>
        </w:tc>
        <w:tc>
          <w:tcPr>
            <w:tcW w:w="1512"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8.0</w:t>
            </w:r>
          </w:p>
        </w:tc>
      </w:tr>
      <w:tr w:rsidR="002A4F8B" w:rsidTr="00302454">
        <w:trPr>
          <w:cantSplit/>
          <w:jc w:val="center"/>
        </w:trPr>
        <w:tc>
          <w:tcPr>
            <w:tcW w:w="2421"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528" w:type="dxa"/>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Rest of state</w:t>
            </w:r>
          </w:p>
        </w:tc>
        <w:tc>
          <w:tcPr>
            <w:tcW w:w="124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11.2</w:t>
            </w:r>
          </w:p>
        </w:tc>
        <w:tc>
          <w:tcPr>
            <w:tcW w:w="143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6.3</w:t>
            </w:r>
          </w:p>
        </w:tc>
        <w:tc>
          <w:tcPr>
            <w:tcW w:w="1512"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8.1</w:t>
            </w:r>
          </w:p>
        </w:tc>
      </w:tr>
    </w:tbl>
    <w:p w:rsidR="002A4F8B" w:rsidRDefault="002A4F8B" w:rsidP="002A4F8B">
      <w:pPr>
        <w:pStyle w:val="TableFootnote"/>
        <w:rPr>
          <w:rFonts w:cs="Source Sans Pro Light"/>
        </w:rPr>
      </w:pPr>
      <w:proofErr w:type="gramStart"/>
      <w:r w:rsidRPr="00B736D6">
        <w:t>Based on the ABS classification Greater Capital City Statistical Area (GCCSA)</w:t>
      </w:r>
      <w:r>
        <w:t>.</w:t>
      </w:r>
      <w:proofErr w:type="gramEnd"/>
    </w:p>
    <w:p w:rsidR="002A4F8B" w:rsidRDefault="002A4F8B" w:rsidP="002A4F8B">
      <w:pPr>
        <w:pStyle w:val="Heading2"/>
      </w:pPr>
      <w:bookmarkStart w:id="421" w:name="_Toc414878963"/>
      <w:bookmarkStart w:id="422" w:name="_Toc414879535"/>
      <w:r>
        <w:t>Suicidal behaviours</w:t>
      </w:r>
      <w:bookmarkEnd w:id="421"/>
      <w:bookmarkEnd w:id="422"/>
    </w:p>
    <w:p w:rsidR="002A4F8B" w:rsidRDefault="002A4F8B" w:rsidP="002A4F8B">
      <w:pPr>
        <w:pStyle w:val="Caption"/>
        <w:keepNext/>
      </w:pPr>
      <w:bookmarkStart w:id="423" w:name="_Toc414878964"/>
      <w:bookmarkStart w:id="424" w:name="_Toc414879536"/>
      <w:r>
        <w:t>Table S-</w:t>
      </w:r>
      <w:r>
        <w:rPr>
          <w:noProof/>
        </w:rPr>
        <w:t>57</w:t>
      </w:r>
      <w:r>
        <w:t>: Suicide ideation, suicide plans and suicide attempts among 12-17 year-olds by sex and adolescent self-reported SDQ rating</w:t>
      </w:r>
      <w:bookmarkEnd w:id="423"/>
      <w:bookmarkEnd w:id="424"/>
    </w:p>
    <w:tbl>
      <w:tblPr>
        <w:tblW w:w="9116" w:type="dxa"/>
        <w:jc w:val="center"/>
        <w:tblLayout w:type="fixed"/>
        <w:tblCellMar>
          <w:left w:w="0" w:type="dxa"/>
          <w:right w:w="0" w:type="dxa"/>
        </w:tblCellMar>
        <w:tblLook w:val="0020" w:firstRow="1" w:lastRow="0" w:firstColumn="0" w:lastColumn="0" w:noHBand="0" w:noVBand="0"/>
        <w:tblDescription w:val="In Table S-57 the first column defines sex and the second column defines SDQ scale rating and subscales. Read across the rows for the prevalence of suicidal ideation in the past 12 months, suicide plan in the past 12 months, and finally suicide attempt in the past 12 months."/>
      </w:tblPr>
      <w:tblGrid>
        <w:gridCol w:w="1067"/>
        <w:gridCol w:w="2898"/>
        <w:gridCol w:w="1717"/>
        <w:gridCol w:w="1717"/>
        <w:gridCol w:w="1717"/>
      </w:tblGrid>
      <w:tr w:rsidR="002A4F8B" w:rsidTr="00302454">
        <w:trPr>
          <w:cantSplit/>
          <w:tblHeader/>
          <w:jc w:val="center"/>
        </w:trPr>
        <w:tc>
          <w:tcPr>
            <w:tcW w:w="106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Sex</w:t>
            </w:r>
          </w:p>
        </w:tc>
        <w:tc>
          <w:tcPr>
            <w:tcW w:w="2898"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SDQ scale rating and subscales</w:t>
            </w:r>
          </w:p>
        </w:tc>
        <w:tc>
          <w:tcPr>
            <w:tcW w:w="171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past 12 months (%)</w:t>
            </w:r>
          </w:p>
        </w:tc>
        <w:tc>
          <w:tcPr>
            <w:tcW w:w="171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past 12 months (%)</w:t>
            </w:r>
          </w:p>
        </w:tc>
        <w:tc>
          <w:tcPr>
            <w:tcW w:w="171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in past 12 months (%)</w:t>
            </w:r>
          </w:p>
        </w:tc>
      </w:tr>
      <w:tr w:rsidR="002A4F8B" w:rsidTr="00302454">
        <w:trPr>
          <w:cantSplit/>
          <w:jc w:val="center"/>
        </w:trPr>
        <w:tc>
          <w:tcPr>
            <w:tcW w:w="1067"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Male</w:t>
            </w:r>
            <w:r>
              <w:rPr>
                <w:lang w:eastAsia="en-AU"/>
              </w:rPr>
              <w:t>s</w:t>
            </w: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08"/>
              </w:tabs>
              <w:rPr>
                <w:lang w:eastAsia="en-AU"/>
              </w:rPr>
            </w:pPr>
            <w:r w:rsidRPr="00E56A00">
              <w:rPr>
                <w:lang w:eastAsia="en-AU"/>
              </w:rPr>
              <w:tab/>
              <w:t>Normal</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2.6</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1.4</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0.6</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Borderline</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8.9</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6.0</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3.6</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Abnormal</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15.5</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12.6</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6.4</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Default="002A4F8B" w:rsidP="00302454">
            <w:pPr>
              <w:pStyle w:val="TableRowHeadings"/>
              <w:tabs>
                <w:tab w:val="left" w:pos="308"/>
              </w:tabs>
            </w:pPr>
            <w:r w:rsidRPr="00E56A00">
              <w:rPr>
                <w:lang w:eastAsia="en-AU"/>
              </w:rPr>
              <w:tab/>
              <w:t>Emotional symptoms</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17.0</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16.3</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9.7</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Conduct problems</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15.3</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11.1</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5.1</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Hyperactivity</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9.7</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7.4</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3.1</w:t>
            </w:r>
          </w:p>
        </w:tc>
      </w:tr>
      <w:tr w:rsidR="002A4F8B" w:rsidTr="00302454">
        <w:trPr>
          <w:cantSplit/>
          <w:jc w:val="center"/>
        </w:trPr>
        <w:tc>
          <w:tcPr>
            <w:tcW w:w="1067" w:type="dxa"/>
            <w:vMerge/>
            <w:tcBorders>
              <w:top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Peer problems</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16.5</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14.0</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7.8</w:t>
            </w:r>
          </w:p>
        </w:tc>
      </w:tr>
      <w:tr w:rsidR="002A4F8B" w:rsidTr="00302454">
        <w:trPr>
          <w:cantSplit/>
          <w:jc w:val="center"/>
        </w:trPr>
        <w:tc>
          <w:tcPr>
            <w:tcW w:w="1067"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Female</w:t>
            </w:r>
            <w:r>
              <w:rPr>
                <w:lang w:eastAsia="en-AU"/>
              </w:rPr>
              <w:t>s</w:t>
            </w: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08"/>
              </w:tabs>
              <w:rPr>
                <w:lang w:eastAsia="en-AU"/>
              </w:rPr>
            </w:pPr>
            <w:r w:rsidRPr="00E56A00">
              <w:rPr>
                <w:lang w:eastAsia="en-AU"/>
              </w:rPr>
              <w:tab/>
              <w:t>Normal</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4.5</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2.8</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0.8</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Borderline</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18.8</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13.4</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3.1</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Abnormal</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36.3</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28.1</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18.3</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Default="002A4F8B" w:rsidP="00302454">
            <w:pPr>
              <w:pStyle w:val="TableRowHeadings"/>
              <w:tabs>
                <w:tab w:val="left" w:pos="308"/>
              </w:tabs>
            </w:pPr>
            <w:r w:rsidRPr="00E56A00">
              <w:rPr>
                <w:lang w:eastAsia="en-AU"/>
              </w:rPr>
              <w:tab/>
              <w:t>Emotional symptoms</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33.4</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25.9</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13.7</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Conduct problems</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33.2</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28.4</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19.2</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Hyperactivity</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19.5</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15.6</w:t>
            </w:r>
          </w:p>
        </w:tc>
        <w:tc>
          <w:tcPr>
            <w:tcW w:w="1717"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8.0</w:t>
            </w:r>
          </w:p>
        </w:tc>
      </w:tr>
      <w:tr w:rsidR="002A4F8B" w:rsidTr="00302454">
        <w:trPr>
          <w:cantSplit/>
          <w:jc w:val="center"/>
        </w:trPr>
        <w:tc>
          <w:tcPr>
            <w:tcW w:w="1067" w:type="dxa"/>
            <w:vMerge/>
            <w:tcBorders>
              <w:top w:val="single" w:sz="6" w:space="0" w:color="000000"/>
              <w:bottom w:val="single" w:sz="6" w:space="0" w:color="000000"/>
              <w:right w:val="nil"/>
            </w:tcBorders>
            <w:shd w:val="clear" w:color="auto" w:fill="EFF3FF"/>
            <w:tcMar>
              <w:left w:w="40" w:type="dxa"/>
              <w:right w:w="40" w:type="dxa"/>
            </w:tcMar>
          </w:tcPr>
          <w:p w:rsidR="002A4F8B" w:rsidRDefault="002A4F8B" w:rsidP="00302454">
            <w:pPr>
              <w:pStyle w:val="TableRowHeadings"/>
              <w:rPr>
                <w:sz w:val="24"/>
                <w:szCs w:val="24"/>
              </w:rPr>
            </w:pPr>
          </w:p>
        </w:tc>
        <w:tc>
          <w:tcPr>
            <w:tcW w:w="2898" w:type="dxa"/>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tabs>
                <w:tab w:val="left" w:pos="308"/>
              </w:tabs>
            </w:pPr>
            <w:r w:rsidRPr="00E56A00">
              <w:rPr>
                <w:lang w:eastAsia="en-AU"/>
              </w:rPr>
              <w:tab/>
              <w:t>Peer problems</w:t>
            </w:r>
          </w:p>
        </w:tc>
        <w:tc>
          <w:tcPr>
            <w:tcW w:w="1717"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39.8</w:t>
            </w:r>
          </w:p>
        </w:tc>
        <w:tc>
          <w:tcPr>
            <w:tcW w:w="1717"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34.4</w:t>
            </w:r>
          </w:p>
        </w:tc>
        <w:tc>
          <w:tcPr>
            <w:tcW w:w="1717" w:type="dxa"/>
            <w:tcBorders>
              <w:top w:val="nil"/>
              <w:left w:val="nil"/>
              <w:bottom w:val="single" w:sz="6" w:space="0" w:color="000000"/>
              <w:right w:val="nil"/>
            </w:tcBorders>
            <w:shd w:val="clear" w:color="auto" w:fill="FFFFFF"/>
            <w:tcMar>
              <w:left w:w="40" w:type="dxa"/>
              <w:right w:w="40" w:type="dxa"/>
            </w:tcMar>
            <w:vAlign w:val="bottom"/>
          </w:tcPr>
          <w:p w:rsidR="002A4F8B" w:rsidRDefault="002A4F8B" w:rsidP="00302454">
            <w:pPr>
              <w:pStyle w:val="TableDataCell"/>
            </w:pPr>
            <w:r>
              <w:t>19.4</w:t>
            </w:r>
          </w:p>
        </w:tc>
      </w:tr>
    </w:tbl>
    <w:p w:rsidR="002A4F8B" w:rsidRDefault="002A4F8B" w:rsidP="00FA5A2F">
      <w:pPr>
        <w:pStyle w:val="Caption"/>
        <w:keepNext/>
        <w:pageBreakBefore/>
      </w:pPr>
      <w:bookmarkStart w:id="425" w:name="_Toc414878965"/>
      <w:bookmarkStart w:id="426" w:name="_Toc414879537"/>
      <w:r>
        <w:lastRenderedPageBreak/>
        <w:t>Table S-</w:t>
      </w:r>
      <w:r>
        <w:rPr>
          <w:noProof/>
        </w:rPr>
        <w:t>58</w:t>
      </w:r>
      <w:r>
        <w:t xml:space="preserve">: </w:t>
      </w:r>
      <w:r w:rsidRPr="009A5914">
        <w:t xml:space="preserve">Suicidal ideation, suicide plans and suicide attempts among 12-17 year-olds by </w:t>
      </w:r>
      <w:r>
        <w:t>adolescent</w:t>
      </w:r>
      <w:r w:rsidRPr="009A5914">
        <w:t xml:space="preserve"> reported major depressive disorder status and family type</w:t>
      </w:r>
      <w:bookmarkEnd w:id="425"/>
      <w:bookmarkEnd w:id="426"/>
    </w:p>
    <w:tbl>
      <w:tblPr>
        <w:tblW w:w="9130" w:type="dxa"/>
        <w:jc w:val="center"/>
        <w:tblLayout w:type="fixed"/>
        <w:tblCellMar>
          <w:left w:w="0" w:type="dxa"/>
          <w:right w:w="0" w:type="dxa"/>
        </w:tblCellMar>
        <w:tblLook w:val="0020" w:firstRow="1" w:lastRow="0" w:firstColumn="0" w:lastColumn="0" w:noHBand="0" w:noVBand="0"/>
        <w:tblDescription w:val="In Table S-58 the first column defines major depressive disorder status and the second column defines family type. Read across the rows for the prevalence of suicidal ideation in the past 12 months, suicide plan in the past 12 months, and finally suicide attempt in the past 12 months."/>
      </w:tblPr>
      <w:tblGrid>
        <w:gridCol w:w="2019"/>
        <w:gridCol w:w="7"/>
        <w:gridCol w:w="3235"/>
        <w:gridCol w:w="1134"/>
        <w:gridCol w:w="1619"/>
        <w:gridCol w:w="1116"/>
      </w:tblGrid>
      <w:tr w:rsidR="002A4F8B" w:rsidRPr="00EB2236" w:rsidTr="00302454">
        <w:trPr>
          <w:cantSplit/>
          <w:tblHeader/>
          <w:jc w:val="center"/>
        </w:trPr>
        <w:tc>
          <w:tcPr>
            <w:tcW w:w="2026" w:type="dxa"/>
            <w:gridSpan w:val="2"/>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235"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Family type</w:t>
            </w:r>
          </w:p>
        </w:tc>
        <w:tc>
          <w:tcPr>
            <w:tcW w:w="113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w:t>
            </w:r>
          </w:p>
        </w:tc>
        <w:tc>
          <w:tcPr>
            <w:tcW w:w="16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w:t>
            </w:r>
          </w:p>
        </w:tc>
        <w:tc>
          <w:tcPr>
            <w:tcW w:w="111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w:t>
            </w:r>
          </w:p>
        </w:tc>
      </w:tr>
      <w:tr w:rsidR="002A4F8B" w:rsidRPr="00EB2236" w:rsidTr="00302454">
        <w:trPr>
          <w:cantSplit/>
          <w:jc w:val="center"/>
        </w:trPr>
        <w:tc>
          <w:tcPr>
            <w:tcW w:w="2019" w:type="dxa"/>
            <w:vMerge w:val="restart"/>
            <w:tcBorders>
              <w:top w:val="nil"/>
              <w:bottom w:val="single" w:sz="4" w:space="0" w:color="FFFFFF"/>
              <w:right w:val="nil"/>
            </w:tcBorders>
            <w:shd w:val="clear" w:color="auto" w:fill="EFF3FF"/>
            <w:tcMar>
              <w:left w:w="40" w:type="dxa"/>
              <w:right w:w="40" w:type="dxa"/>
            </w:tcMar>
          </w:tcPr>
          <w:p w:rsidR="002A4F8B" w:rsidRPr="00B85DB0" w:rsidRDefault="002A4F8B" w:rsidP="00302454">
            <w:pPr>
              <w:pStyle w:val="TableRowHeadings"/>
              <w:rPr>
                <w:lang w:eastAsia="en-AU"/>
              </w:rPr>
            </w:pPr>
            <w:r w:rsidRPr="00B85DB0">
              <w:rPr>
                <w:lang w:eastAsia="en-AU"/>
              </w:rPr>
              <w:t xml:space="preserve">Major depressive </w:t>
            </w:r>
            <w:r>
              <w:rPr>
                <w:lang w:eastAsia="en-AU"/>
              </w:rPr>
              <w:t>disorder based on adolescent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293"/>
              </w:tabs>
              <w:rPr>
                <w:lang w:eastAsia="en-AU"/>
              </w:rPr>
            </w:pPr>
            <w:r>
              <w:rPr>
                <w:lang w:eastAsia="en-AU"/>
              </w:rPr>
              <w:t>Families with two parents or carers</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47.0</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37.4</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17.4</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t>Original</w:t>
            </w:r>
            <w:r w:rsidRPr="007B266A">
              <w:rPr>
                <w:lang w:eastAsia="en-AU"/>
              </w:rPr>
              <w:t xml:space="preserve">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46.9</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36.5</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16.1</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Step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36.8</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34.1</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Blended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68.5</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54.9</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Families with one parent or carer</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52.0</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44.5</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24.6</w:t>
            </w:r>
          </w:p>
        </w:tc>
      </w:tr>
      <w:tr w:rsidR="002A4F8B" w:rsidRPr="00EB2236" w:rsidTr="00302454">
        <w:trPr>
          <w:cantSplit/>
          <w:jc w:val="center"/>
        </w:trPr>
        <w:tc>
          <w:tcPr>
            <w:tcW w:w="2019"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85DB0" w:rsidRDefault="002A4F8B" w:rsidP="00302454">
            <w:pPr>
              <w:pStyle w:val="TableRowHeadings"/>
              <w:rPr>
                <w:lang w:eastAsia="en-AU"/>
              </w:rPr>
            </w:pPr>
            <w:r w:rsidRPr="00B85DB0">
              <w:rPr>
                <w:lang w:eastAsia="en-AU"/>
              </w:rPr>
              <w:t xml:space="preserve">No major depressive </w:t>
            </w:r>
            <w:r>
              <w:rPr>
                <w:lang w:eastAsia="en-AU"/>
              </w:rPr>
              <w:t>disorder based on adolescent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293"/>
              </w:tabs>
              <w:rPr>
                <w:lang w:eastAsia="en-AU"/>
              </w:rPr>
            </w:pPr>
            <w:r>
              <w:rPr>
                <w:lang w:eastAsia="en-AU"/>
              </w:rPr>
              <w:t>Families with two parents or carers</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3.6</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2.0</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0.7</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t>Original</w:t>
            </w:r>
            <w:r w:rsidRPr="007B266A">
              <w:rPr>
                <w:lang w:eastAsia="en-AU"/>
              </w:rPr>
              <w:t xml:space="preserve">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3.5</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1.9</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0.7</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Step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5.1</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Blended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3.9</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Families with one parent or carer</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3.6</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1.7</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1.0</w:t>
            </w:r>
          </w:p>
        </w:tc>
      </w:tr>
      <w:tr w:rsidR="002A4F8B" w:rsidRPr="00EB2236" w:rsidTr="00302454">
        <w:trPr>
          <w:cantSplit/>
          <w:jc w:val="center"/>
        </w:trPr>
        <w:tc>
          <w:tcPr>
            <w:tcW w:w="2019"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85DB0" w:rsidRDefault="002A4F8B" w:rsidP="00302454">
            <w:pPr>
              <w:pStyle w:val="TableRowHeadings"/>
              <w:rPr>
                <w:lang w:eastAsia="en-AU"/>
              </w:rPr>
            </w:pPr>
            <w:r w:rsidRPr="00B85DB0">
              <w:rPr>
                <w:lang w:eastAsia="en-AU"/>
              </w:rPr>
              <w:t>All persons</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D10DF4" w:rsidRDefault="002A4F8B" w:rsidP="00302454">
            <w:pPr>
              <w:pStyle w:val="TableRowHeadings"/>
              <w:tabs>
                <w:tab w:val="left" w:pos="293"/>
              </w:tabs>
              <w:rPr>
                <w:lang w:eastAsia="en-AU"/>
              </w:rPr>
            </w:pPr>
            <w:r>
              <w:rPr>
                <w:lang w:eastAsia="en-AU"/>
              </w:rPr>
              <w:t>Families with two parents or carers</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6.9</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4.7</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2.0</w:t>
            </w:r>
          </w:p>
        </w:tc>
      </w:tr>
      <w:tr w:rsidR="002A4F8B" w:rsidRPr="00EB2236"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t>Original</w:t>
            </w:r>
            <w:r w:rsidRPr="007B266A">
              <w:rPr>
                <w:lang w:eastAsia="en-AU"/>
              </w:rPr>
              <w:t xml:space="preserve">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6.3</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4.1</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1.7</w:t>
            </w:r>
          </w:p>
        </w:tc>
      </w:tr>
      <w:tr w:rsidR="002A4F8B" w:rsidRPr="00EB2236"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Step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10.7</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8.0</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3.4</w:t>
            </w:r>
          </w:p>
        </w:tc>
      </w:tr>
      <w:tr w:rsidR="002A4F8B" w:rsidRPr="00EB2236"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Blended family</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9.2</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6.6</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3.4</w:t>
            </w:r>
          </w:p>
        </w:tc>
      </w:tr>
      <w:tr w:rsidR="002A4F8B" w:rsidRPr="00EB2236"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ab/>
            </w:r>
            <w:r w:rsidRPr="007B266A">
              <w:rPr>
                <w:lang w:eastAsia="en-AU"/>
              </w:rPr>
              <w:t>Other family</w:t>
            </w:r>
            <w:r>
              <w:rPr>
                <w:lang w:eastAsia="en-AU"/>
              </w:rPr>
              <w:t xml:space="preserve"> </w:t>
            </w:r>
            <w:r w:rsidR="00661A11">
              <w:rPr>
                <w:lang w:eastAsia="en-AU"/>
              </w:rPr>
              <w:t>(a)</w:t>
            </w:r>
          </w:p>
        </w:tc>
        <w:tc>
          <w:tcPr>
            <w:tcW w:w="1134"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12.7</w:t>
            </w:r>
          </w:p>
        </w:tc>
        <w:tc>
          <w:tcPr>
            <w:tcW w:w="1619"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Pr>
                <w:lang w:eastAsia="en-AU"/>
              </w:rPr>
              <w:t>np</w:t>
            </w:r>
          </w:p>
        </w:tc>
      </w:tr>
      <w:tr w:rsidR="002A4F8B" w:rsidRPr="00EB2236"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EB2236"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6" w:space="0" w:color="000000"/>
              <w:right w:val="nil"/>
            </w:tcBorders>
            <w:shd w:val="clear" w:color="auto" w:fill="EFF3FF"/>
            <w:tcMar>
              <w:left w:w="40" w:type="dxa"/>
              <w:right w:w="40" w:type="dxa"/>
            </w:tcMar>
          </w:tcPr>
          <w:p w:rsidR="002A4F8B" w:rsidRPr="00EB2236" w:rsidRDefault="002A4F8B" w:rsidP="00302454">
            <w:pPr>
              <w:pStyle w:val="TableRowHeadings"/>
              <w:tabs>
                <w:tab w:val="left" w:pos="293"/>
              </w:tabs>
              <w:rPr>
                <w:lang w:eastAsia="en-AU"/>
              </w:rPr>
            </w:pPr>
            <w:r>
              <w:rPr>
                <w:lang w:eastAsia="en-AU"/>
              </w:rPr>
              <w:t>Families with one parent or carer</w:t>
            </w:r>
          </w:p>
        </w:tc>
        <w:tc>
          <w:tcPr>
            <w:tcW w:w="1134" w:type="dxa"/>
            <w:tcBorders>
              <w:top w:val="nil"/>
              <w:left w:val="nil"/>
              <w:bottom w:val="single" w:sz="6" w:space="0" w:color="000000"/>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9.5</w:t>
            </w:r>
          </w:p>
        </w:tc>
        <w:tc>
          <w:tcPr>
            <w:tcW w:w="1619" w:type="dxa"/>
            <w:tcBorders>
              <w:top w:val="nil"/>
              <w:left w:val="nil"/>
              <w:bottom w:val="single" w:sz="6" w:space="0" w:color="000000"/>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6.8</w:t>
            </w:r>
          </w:p>
        </w:tc>
        <w:tc>
          <w:tcPr>
            <w:tcW w:w="1116" w:type="dxa"/>
            <w:tcBorders>
              <w:top w:val="nil"/>
              <w:left w:val="nil"/>
              <w:bottom w:val="single" w:sz="6" w:space="0" w:color="000000"/>
              <w:right w:val="nil"/>
            </w:tcBorders>
            <w:shd w:val="clear" w:color="auto" w:fill="FFFFFF"/>
            <w:tcMar>
              <w:left w:w="40" w:type="dxa"/>
              <w:right w:w="40" w:type="dxa"/>
            </w:tcMar>
            <w:vAlign w:val="bottom"/>
          </w:tcPr>
          <w:p w:rsidR="002A4F8B" w:rsidRPr="00EB2236" w:rsidRDefault="002A4F8B" w:rsidP="00302454">
            <w:pPr>
              <w:pStyle w:val="TableDataCell"/>
              <w:rPr>
                <w:lang w:eastAsia="en-AU"/>
              </w:rPr>
            </w:pPr>
            <w:r w:rsidRPr="00EB2236">
              <w:rPr>
                <w:lang w:eastAsia="en-AU"/>
              </w:rPr>
              <w:t>3.8</w:t>
            </w:r>
          </w:p>
        </w:tc>
      </w:tr>
    </w:tbl>
    <w:p w:rsidR="002A4F8B" w:rsidRDefault="002A4F8B" w:rsidP="002A4F8B">
      <w:pPr>
        <w:pStyle w:val="TableFootnote"/>
        <w:spacing w:after="60"/>
      </w:pPr>
      <w:r>
        <w:t>‘Original family’ has at least one child living with their natural, adoptive or foster parents, and no step children.</w:t>
      </w:r>
    </w:p>
    <w:p w:rsidR="002A4F8B" w:rsidRDefault="002A4F8B" w:rsidP="002A4F8B">
      <w:pPr>
        <w:pStyle w:val="TableFootnote"/>
        <w:spacing w:after="60"/>
      </w:pPr>
      <w:r>
        <w:t xml:space="preserve">‘Other family’ is where all children are not the natural, adopted, foster or step child of one or both carers. </w:t>
      </w:r>
    </w:p>
    <w:p w:rsidR="002A4F8B" w:rsidRDefault="00661A11" w:rsidP="002A4F8B">
      <w:pPr>
        <w:pStyle w:val="TableFootnote"/>
        <w:spacing w:after="60"/>
      </w:pPr>
      <w:r>
        <w:t>(a)</w:t>
      </w:r>
      <w:r w:rsidR="002A4F8B">
        <w:t xml:space="preserve"> Data to be treated with caution due to low respondent numbers in this category.</w:t>
      </w:r>
    </w:p>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427" w:name="_Toc414878966"/>
      <w:bookmarkStart w:id="428" w:name="_Toc414879538"/>
      <w:r>
        <w:lastRenderedPageBreak/>
        <w:t>Table S-</w:t>
      </w:r>
      <w:r>
        <w:rPr>
          <w:noProof/>
        </w:rPr>
        <w:t>59</w:t>
      </w:r>
      <w:r>
        <w:t xml:space="preserve">: </w:t>
      </w:r>
      <w:r w:rsidRPr="00C415BB">
        <w:t xml:space="preserve">Suicidal ideation, suicide plans and suicide attempts among 12-17 year-olds by </w:t>
      </w:r>
      <w:r>
        <w:t>adolescent</w:t>
      </w:r>
      <w:r w:rsidRPr="00C415BB">
        <w:t xml:space="preserve"> reported major depressive disorder status and </w:t>
      </w:r>
      <w:r>
        <w:t>household income</w:t>
      </w:r>
      <w:bookmarkEnd w:id="427"/>
      <w:bookmarkEnd w:id="428"/>
    </w:p>
    <w:tbl>
      <w:tblPr>
        <w:tblW w:w="9130" w:type="dxa"/>
        <w:jc w:val="center"/>
        <w:tblLayout w:type="fixed"/>
        <w:tblCellMar>
          <w:left w:w="0" w:type="dxa"/>
          <w:right w:w="0" w:type="dxa"/>
        </w:tblCellMar>
        <w:tblLook w:val="0020" w:firstRow="1" w:lastRow="0" w:firstColumn="0" w:lastColumn="0" w:noHBand="0" w:noVBand="0"/>
        <w:tblDescription w:val="In Table S-59 the first column defines major depressive disorder status and the second column defines household income before tax. Read across the rows for the prevalence of suicidal ideation in the past 12 months, suicide plan in the past 12 months, and finally suicide attempt in the past 12 months."/>
      </w:tblPr>
      <w:tblGrid>
        <w:gridCol w:w="2019"/>
        <w:gridCol w:w="7"/>
        <w:gridCol w:w="3235"/>
        <w:gridCol w:w="1134"/>
        <w:gridCol w:w="1619"/>
        <w:gridCol w:w="1116"/>
      </w:tblGrid>
      <w:tr w:rsidR="002A4F8B" w:rsidRPr="00B67FB0" w:rsidTr="00302454">
        <w:trPr>
          <w:cantSplit/>
          <w:tblHeader/>
          <w:jc w:val="center"/>
        </w:trPr>
        <w:tc>
          <w:tcPr>
            <w:tcW w:w="2026" w:type="dxa"/>
            <w:gridSpan w:val="2"/>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235"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Household income before tax</w:t>
            </w:r>
          </w:p>
        </w:tc>
        <w:tc>
          <w:tcPr>
            <w:tcW w:w="113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w:t>
            </w:r>
          </w:p>
        </w:tc>
        <w:tc>
          <w:tcPr>
            <w:tcW w:w="16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w:t>
            </w:r>
          </w:p>
        </w:tc>
        <w:tc>
          <w:tcPr>
            <w:tcW w:w="111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w:t>
            </w:r>
          </w:p>
        </w:tc>
      </w:tr>
      <w:tr w:rsidR="002A4F8B" w:rsidRPr="00B67FB0" w:rsidTr="00302454">
        <w:trPr>
          <w:cantSplit/>
          <w:jc w:val="center"/>
        </w:trPr>
        <w:tc>
          <w:tcPr>
            <w:tcW w:w="2019" w:type="dxa"/>
            <w:vMerge w:val="restart"/>
            <w:tcBorders>
              <w:top w:val="nil"/>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 xml:space="preserve">Major depressive disorder based on </w:t>
            </w:r>
            <w:r>
              <w:rPr>
                <w:lang w:eastAsia="en-AU"/>
              </w:rPr>
              <w:t>adolescent</w:t>
            </w:r>
            <w:r w:rsidRPr="00B67FB0">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$130,000 or more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47.1</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37.3</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8.7</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$52,000-$129,999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46.7</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37.5</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19.1</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Less than $52,000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56.8</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47.8</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28.6</w:t>
            </w:r>
          </w:p>
        </w:tc>
      </w:tr>
      <w:tr w:rsidR="002A4F8B" w:rsidRPr="00B67FB0" w:rsidTr="00302454">
        <w:trPr>
          <w:cantSplit/>
          <w:jc w:val="center"/>
        </w:trPr>
        <w:tc>
          <w:tcPr>
            <w:tcW w:w="2019"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 xml:space="preserve">No major depressive disorder based on </w:t>
            </w:r>
            <w:r>
              <w:rPr>
                <w:lang w:eastAsia="en-AU"/>
              </w:rPr>
              <w:t>adolescent</w:t>
            </w:r>
            <w:r w:rsidRPr="00B67FB0">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$130,000 or more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3.0</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1.8</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0.4</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$52,000-$129,999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3.9</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1.9</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0.7</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Less than $52,000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4.2</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2.3</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1.4</w:t>
            </w:r>
          </w:p>
        </w:tc>
      </w:tr>
      <w:tr w:rsidR="002A4F8B" w:rsidRPr="00B67FB0" w:rsidTr="00302454">
        <w:trPr>
          <w:cantSplit/>
          <w:jc w:val="center"/>
        </w:trPr>
        <w:tc>
          <w:tcPr>
            <w:tcW w:w="2019"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All persons</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$130,000 or more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5.9</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4.1</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1.0</w:t>
            </w:r>
          </w:p>
        </w:tc>
      </w:tr>
      <w:tr w:rsidR="002A4F8B" w:rsidRPr="00B67FB0"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$52,000-$129,999 per year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7.5</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4.9</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2.3</w:t>
            </w:r>
          </w:p>
        </w:tc>
      </w:tr>
      <w:tr w:rsidR="002A4F8B" w:rsidRPr="00B67FB0"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Less than $52,000 per year</w:t>
            </w:r>
          </w:p>
        </w:tc>
        <w:tc>
          <w:tcPr>
            <w:tcW w:w="1134"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10.0</w:t>
            </w:r>
          </w:p>
        </w:tc>
        <w:tc>
          <w:tcPr>
            <w:tcW w:w="1619"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7.3</w:t>
            </w:r>
          </w:p>
        </w:tc>
        <w:tc>
          <w:tcPr>
            <w:tcW w:w="1116"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4.4</w:t>
            </w:r>
          </w:p>
        </w:tc>
      </w:tr>
    </w:tbl>
    <w:p w:rsidR="002A4F8B" w:rsidRDefault="002A4F8B" w:rsidP="002A4F8B">
      <w:pPr>
        <w:pStyle w:val="TableFootnote"/>
        <w:ind w:left="0" w:firstLine="0"/>
      </w:pPr>
      <w:r>
        <w:t>Household income includes the c</w:t>
      </w:r>
      <w:r w:rsidRPr="008127E8">
        <w:t>ombined income for the 2011-12 financial year of everyone living in the household before tax and other deductions are taken out.</w:t>
      </w:r>
    </w:p>
    <w:p w:rsidR="002A4F8B" w:rsidRDefault="002A4F8B" w:rsidP="002A4F8B">
      <w:pPr>
        <w:pStyle w:val="Caption"/>
        <w:keepNext/>
      </w:pPr>
      <w:bookmarkStart w:id="429" w:name="_Toc414878967"/>
      <w:bookmarkStart w:id="430" w:name="_Toc414879539"/>
      <w:r>
        <w:t>Table S-</w:t>
      </w:r>
      <w:r>
        <w:rPr>
          <w:noProof/>
        </w:rPr>
        <w:t>60</w:t>
      </w:r>
      <w:r>
        <w:t xml:space="preserve">: </w:t>
      </w:r>
      <w:r w:rsidRPr="00CD5D19">
        <w:t xml:space="preserve">Suicidal ideation, suicide plans and suicide attempts among 12-17 year-olds by </w:t>
      </w:r>
      <w:r>
        <w:t>adolescent</w:t>
      </w:r>
      <w:r w:rsidRPr="00CD5D19">
        <w:t xml:space="preserve"> reported major depressive disorder status and parent or carer education</w:t>
      </w:r>
      <w:bookmarkEnd w:id="429"/>
      <w:bookmarkEnd w:id="430"/>
    </w:p>
    <w:tbl>
      <w:tblPr>
        <w:tblW w:w="9130" w:type="dxa"/>
        <w:jc w:val="center"/>
        <w:tblLayout w:type="fixed"/>
        <w:tblCellMar>
          <w:left w:w="0" w:type="dxa"/>
          <w:right w:w="0" w:type="dxa"/>
        </w:tblCellMar>
        <w:tblLook w:val="0020" w:firstRow="1" w:lastRow="0" w:firstColumn="0" w:lastColumn="0" w:noHBand="0" w:noVBand="0"/>
        <w:tblDescription w:val="In Table S-60 the first column defines major depressive disorder status and the second column definparent or carer education. Read across the rows for the prevalence of suicidal ideation in the past 12 months, suicide plan in the past 12 months, and finally suicide attempt in the past 12 months."/>
      </w:tblPr>
      <w:tblGrid>
        <w:gridCol w:w="2019"/>
        <w:gridCol w:w="7"/>
        <w:gridCol w:w="3235"/>
        <w:gridCol w:w="1134"/>
        <w:gridCol w:w="1619"/>
        <w:gridCol w:w="1116"/>
      </w:tblGrid>
      <w:tr w:rsidR="002A4F8B" w:rsidRPr="00B67FB0" w:rsidTr="00302454">
        <w:trPr>
          <w:cantSplit/>
          <w:tblHeader/>
          <w:jc w:val="center"/>
        </w:trPr>
        <w:tc>
          <w:tcPr>
            <w:tcW w:w="2026" w:type="dxa"/>
            <w:gridSpan w:val="2"/>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235"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Highest level of education of either primary or secondary parent or carer</w:t>
            </w:r>
          </w:p>
        </w:tc>
        <w:tc>
          <w:tcPr>
            <w:tcW w:w="113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w:t>
            </w:r>
          </w:p>
        </w:tc>
        <w:tc>
          <w:tcPr>
            <w:tcW w:w="16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w:t>
            </w:r>
          </w:p>
        </w:tc>
        <w:tc>
          <w:tcPr>
            <w:tcW w:w="111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w:t>
            </w:r>
          </w:p>
        </w:tc>
      </w:tr>
      <w:tr w:rsidR="002A4F8B" w:rsidRPr="00B67FB0" w:rsidTr="00302454">
        <w:trPr>
          <w:cantSplit/>
          <w:jc w:val="center"/>
        </w:trPr>
        <w:tc>
          <w:tcPr>
            <w:tcW w:w="2019" w:type="dxa"/>
            <w:vMerge w:val="restart"/>
            <w:tcBorders>
              <w:top w:val="nil"/>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 xml:space="preserve">Major depressive disorder based on </w:t>
            </w:r>
            <w:r>
              <w:rPr>
                <w:lang w:eastAsia="en-AU"/>
              </w:rPr>
              <w:t>adolescent</w:t>
            </w:r>
            <w:r w:rsidRPr="00B67FB0">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Bachelor degree or higher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43.6</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31.8</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14.3</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Diploma or certificate III/IV</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54.7</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47.0</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20.6</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11 or 12</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44.0</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41.5</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25.8</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10 or below</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47.3</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37.6</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27.3</w:t>
            </w:r>
          </w:p>
        </w:tc>
      </w:tr>
      <w:tr w:rsidR="002A4F8B" w:rsidRPr="00B67FB0" w:rsidTr="00302454">
        <w:trPr>
          <w:cantSplit/>
          <w:jc w:val="center"/>
        </w:trPr>
        <w:tc>
          <w:tcPr>
            <w:tcW w:w="2019"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 xml:space="preserve">No major depressive disorder based on </w:t>
            </w:r>
            <w:r>
              <w:rPr>
                <w:lang w:eastAsia="en-AU"/>
              </w:rPr>
              <w:t>adolescent</w:t>
            </w:r>
            <w:r w:rsidRPr="00B67FB0">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Bachelor degree or higher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3.3</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1.9</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0.7</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Diploma or certificate III/IV</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3.4</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1.2</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0.7</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11 or 12</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3.8</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2.9</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Pr>
                <w:lang w:eastAsia="en-AU"/>
              </w:rPr>
              <w:t>np</w:t>
            </w:r>
          </w:p>
        </w:tc>
      </w:tr>
      <w:tr w:rsidR="002A4F8B" w:rsidRPr="00B67FB0"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10 or below</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6.1</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3.8</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Pr>
                <w:lang w:eastAsia="en-AU"/>
              </w:rPr>
              <w:t>np</w:t>
            </w:r>
          </w:p>
        </w:tc>
      </w:tr>
      <w:tr w:rsidR="002A4F8B" w:rsidRPr="00B67FB0" w:rsidTr="00302454">
        <w:trPr>
          <w:cantSplit/>
          <w:jc w:val="center"/>
        </w:trPr>
        <w:tc>
          <w:tcPr>
            <w:tcW w:w="2019"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All persons</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Bachelor degree or higher</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6.6</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4.4</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1.8</w:t>
            </w:r>
          </w:p>
        </w:tc>
      </w:tr>
      <w:tr w:rsidR="002A4F8B" w:rsidRPr="00B67FB0"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Diploma or certificate III/IV</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7.9</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5.2</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2.4</w:t>
            </w:r>
          </w:p>
        </w:tc>
      </w:tr>
      <w:tr w:rsidR="002A4F8B" w:rsidRPr="00B67FB0"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11 or 12</w:t>
            </w:r>
          </w:p>
        </w:tc>
        <w:tc>
          <w:tcPr>
            <w:tcW w:w="1134"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6.6</w:t>
            </w:r>
          </w:p>
        </w:tc>
        <w:tc>
          <w:tcPr>
            <w:tcW w:w="1619"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5.7</w:t>
            </w:r>
          </w:p>
        </w:tc>
        <w:tc>
          <w:tcPr>
            <w:tcW w:w="1116" w:type="dxa"/>
            <w:tcBorders>
              <w:top w:val="nil"/>
              <w:left w:val="nil"/>
              <w:bottom w:val="nil"/>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2.3</w:t>
            </w:r>
          </w:p>
        </w:tc>
      </w:tr>
      <w:tr w:rsidR="002A4F8B" w:rsidRPr="00B67FB0"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6" w:space="0" w:color="000000"/>
              <w:right w:val="nil"/>
            </w:tcBorders>
            <w:shd w:val="clear" w:color="auto" w:fill="EFF3FF"/>
            <w:tcMar>
              <w:left w:w="40" w:type="dxa"/>
              <w:right w:w="40" w:type="dxa"/>
            </w:tcMar>
          </w:tcPr>
          <w:p w:rsidR="002A4F8B" w:rsidRPr="00B67FB0" w:rsidRDefault="002A4F8B" w:rsidP="00302454">
            <w:pPr>
              <w:pStyle w:val="TableRowHeadings"/>
              <w:rPr>
                <w:lang w:eastAsia="en-AU"/>
              </w:rPr>
            </w:pPr>
            <w:r w:rsidRPr="00B67FB0">
              <w:rPr>
                <w:lang w:eastAsia="en-AU"/>
              </w:rPr>
              <w:t>Year 10 or below</w:t>
            </w:r>
          </w:p>
        </w:tc>
        <w:tc>
          <w:tcPr>
            <w:tcW w:w="1134"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11.2</w:t>
            </w:r>
          </w:p>
        </w:tc>
        <w:tc>
          <w:tcPr>
            <w:tcW w:w="1619"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8.0</w:t>
            </w:r>
          </w:p>
        </w:tc>
        <w:tc>
          <w:tcPr>
            <w:tcW w:w="1116" w:type="dxa"/>
            <w:tcBorders>
              <w:top w:val="nil"/>
              <w:left w:val="nil"/>
              <w:bottom w:val="single" w:sz="6" w:space="0" w:color="000000"/>
              <w:right w:val="nil"/>
            </w:tcBorders>
            <w:shd w:val="clear" w:color="auto" w:fill="FFFFFF"/>
            <w:tcMar>
              <w:left w:w="40" w:type="dxa"/>
              <w:right w:w="40" w:type="dxa"/>
            </w:tcMar>
            <w:vAlign w:val="bottom"/>
          </w:tcPr>
          <w:p w:rsidR="002A4F8B" w:rsidRPr="00B67FB0" w:rsidRDefault="002A4F8B" w:rsidP="00302454">
            <w:pPr>
              <w:pStyle w:val="TableDataCell"/>
              <w:rPr>
                <w:lang w:eastAsia="en-AU"/>
              </w:rPr>
            </w:pPr>
            <w:r w:rsidRPr="00B67FB0">
              <w:rPr>
                <w:lang w:eastAsia="en-AU"/>
              </w:rPr>
              <w:t>5.3</w:t>
            </w:r>
          </w:p>
        </w:tc>
      </w:tr>
    </w:tbl>
    <w:p w:rsidR="002A4F8B" w:rsidRPr="00B67FB0" w:rsidRDefault="002A4F8B" w:rsidP="002A4F8B">
      <w:pPr>
        <w:pStyle w:val="TableFootnote"/>
        <w:rPr>
          <w:rFonts w:cs="Source Sans Pro Light"/>
          <w:sz w:val="20"/>
          <w:szCs w:val="20"/>
        </w:rPr>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431" w:name="_Toc414878968"/>
      <w:bookmarkStart w:id="432" w:name="_Toc414879540"/>
      <w:r>
        <w:lastRenderedPageBreak/>
        <w:t>Table S-</w:t>
      </w:r>
      <w:r>
        <w:rPr>
          <w:noProof/>
        </w:rPr>
        <w:t>61</w:t>
      </w:r>
      <w:r>
        <w:t xml:space="preserve">: </w:t>
      </w:r>
      <w:r w:rsidRPr="00E63B0E">
        <w:t xml:space="preserve">Suicidal ideation, suicide plans and suicide attempts among 12-17 year-olds by </w:t>
      </w:r>
      <w:r>
        <w:t>adolescent</w:t>
      </w:r>
      <w:r w:rsidRPr="00E63B0E">
        <w:t xml:space="preserve"> reported major depressive disorder status and parent or carer labour force status</w:t>
      </w:r>
      <w:bookmarkEnd w:id="431"/>
      <w:bookmarkEnd w:id="432"/>
    </w:p>
    <w:tbl>
      <w:tblPr>
        <w:tblW w:w="9130" w:type="dxa"/>
        <w:jc w:val="center"/>
        <w:tblLayout w:type="fixed"/>
        <w:tblCellMar>
          <w:left w:w="0" w:type="dxa"/>
          <w:right w:w="0" w:type="dxa"/>
        </w:tblCellMar>
        <w:tblLook w:val="0020" w:firstRow="1" w:lastRow="0" w:firstColumn="0" w:lastColumn="0" w:noHBand="0" w:noVBand="0"/>
        <w:tblDescription w:val="In Table S-61 the first column defines major depressive disorder status and the second column defines parent or carer labour force status. Read across the rows for the prevalence of suicidal ideation in the past 12 months, suicide plan in the past 12 months, and finally suicide attempt in the past 12 months."/>
      </w:tblPr>
      <w:tblGrid>
        <w:gridCol w:w="2019"/>
        <w:gridCol w:w="7"/>
        <w:gridCol w:w="3235"/>
        <w:gridCol w:w="1134"/>
        <w:gridCol w:w="1619"/>
        <w:gridCol w:w="1116"/>
      </w:tblGrid>
      <w:tr w:rsidR="002A4F8B" w:rsidRPr="00B028B1" w:rsidTr="00302454">
        <w:trPr>
          <w:cantSplit/>
          <w:tblHeader/>
          <w:jc w:val="center"/>
        </w:trPr>
        <w:tc>
          <w:tcPr>
            <w:tcW w:w="2026" w:type="dxa"/>
            <w:gridSpan w:val="2"/>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3235"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Parent or carer labour force status</w:t>
            </w:r>
          </w:p>
        </w:tc>
        <w:tc>
          <w:tcPr>
            <w:tcW w:w="113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w:t>
            </w:r>
          </w:p>
        </w:tc>
        <w:tc>
          <w:tcPr>
            <w:tcW w:w="16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w:t>
            </w:r>
          </w:p>
        </w:tc>
        <w:tc>
          <w:tcPr>
            <w:tcW w:w="111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w:t>
            </w:r>
          </w:p>
        </w:tc>
      </w:tr>
      <w:tr w:rsidR="002A4F8B" w:rsidRPr="00B028B1" w:rsidTr="00302454">
        <w:trPr>
          <w:cantSplit/>
          <w:jc w:val="center"/>
        </w:trPr>
        <w:tc>
          <w:tcPr>
            <w:tcW w:w="2019" w:type="dxa"/>
            <w:vMerge w:val="restart"/>
            <w:tcBorders>
              <w:top w:val="nil"/>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 xml:space="preserve">Major depressive disorder based on </w:t>
            </w:r>
            <w:r>
              <w:rPr>
                <w:lang w:eastAsia="en-AU"/>
              </w:rPr>
              <w:t>adolescent</w:t>
            </w:r>
            <w:r w:rsidRPr="00B028B1">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49.6</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39.3</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17.1</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35.8</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29.9</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12.4</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75.1</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68.2</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55.2</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51.7</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38.8</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21.8</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46.8</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44.5</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20.6</w:t>
            </w:r>
          </w:p>
        </w:tc>
      </w:tr>
      <w:tr w:rsidR="002A4F8B" w:rsidRPr="00B028B1" w:rsidTr="00302454">
        <w:trPr>
          <w:cantSplit/>
          <w:jc w:val="center"/>
        </w:trPr>
        <w:tc>
          <w:tcPr>
            <w:tcW w:w="2019"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 xml:space="preserve">No major depressive disorder based on </w:t>
            </w:r>
            <w:r>
              <w:rPr>
                <w:lang w:eastAsia="en-AU"/>
              </w:rPr>
              <w:t>adolescent</w:t>
            </w:r>
            <w:r w:rsidRPr="00B028B1">
              <w:rPr>
                <w:lang w:eastAsia="en-AU"/>
              </w:rPr>
              <w:t xml:space="preserve"> report</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3.2</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1.9</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0.6</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5.2</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2.1</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1.3</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5.3</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Pr>
                <w:lang w:eastAsia="en-AU"/>
              </w:rPr>
              <w:t>np</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1.9</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1.2</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Pr>
                <w:lang w:eastAsia="en-AU"/>
              </w:rPr>
              <w:t>np</w:t>
            </w:r>
          </w:p>
        </w:tc>
      </w:tr>
      <w:tr w:rsidR="002A4F8B" w:rsidRPr="00B028B1" w:rsidTr="00302454">
        <w:trPr>
          <w:cantSplit/>
          <w:jc w:val="center"/>
        </w:trPr>
        <w:tc>
          <w:tcPr>
            <w:tcW w:w="2019"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5.7</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Pr>
                <w:lang w:eastAsia="en-AU"/>
              </w:rPr>
              <w:t>np</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Pr>
                <w:lang w:eastAsia="en-AU"/>
              </w:rPr>
              <w:t>np</w:t>
            </w:r>
          </w:p>
        </w:tc>
      </w:tr>
      <w:tr w:rsidR="002A4F8B" w:rsidRPr="00B028B1" w:rsidTr="00302454">
        <w:trPr>
          <w:cantSplit/>
          <w:jc w:val="center"/>
        </w:trPr>
        <w:tc>
          <w:tcPr>
            <w:tcW w:w="2019"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All persons</w:t>
            </w: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6.3</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4.4</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1.7</w:t>
            </w:r>
          </w:p>
        </w:tc>
      </w:tr>
      <w:tr w:rsidR="002A4F8B" w:rsidRPr="00B028B1"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One parent or carer employed, one parent or carer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7.5</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4.1</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2.1</w:t>
            </w:r>
          </w:p>
        </w:tc>
      </w:tr>
      <w:tr w:rsidR="002A4F8B" w:rsidRPr="00B028B1"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Both parents or carers not in employment</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15.3</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12.6</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7.9</w:t>
            </w:r>
          </w:p>
        </w:tc>
      </w:tr>
      <w:tr w:rsidR="002A4F8B" w:rsidRPr="00B028B1"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Sole parent or carer employed</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8.1</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5.9</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3.1</w:t>
            </w:r>
          </w:p>
        </w:tc>
      </w:tr>
      <w:tr w:rsidR="002A4F8B" w:rsidRPr="00B028B1" w:rsidTr="00302454">
        <w:trPr>
          <w:cantSplit/>
          <w:jc w:val="center"/>
        </w:trPr>
        <w:tc>
          <w:tcPr>
            <w:tcW w:w="2019" w:type="dxa"/>
            <w:vMerge/>
            <w:tcBorders>
              <w:top w:val="single" w:sz="6" w:space="0" w:color="000000"/>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3242" w:type="dxa"/>
            <w:gridSpan w:val="2"/>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Sole parent or carer not in employment</w:t>
            </w:r>
          </w:p>
        </w:tc>
        <w:tc>
          <w:tcPr>
            <w:tcW w:w="1134"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11.9</w:t>
            </w:r>
          </w:p>
        </w:tc>
        <w:tc>
          <w:tcPr>
            <w:tcW w:w="1619"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9.0</w:t>
            </w:r>
          </w:p>
        </w:tc>
        <w:tc>
          <w:tcPr>
            <w:tcW w:w="1116"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5.0</w:t>
            </w:r>
          </w:p>
        </w:tc>
      </w:tr>
    </w:tbl>
    <w:p w:rsidR="002A4F8B" w:rsidRDefault="002A4F8B" w:rsidP="002A4F8B">
      <w:pPr>
        <w:pStyle w:val="TableFootnote"/>
        <w:spacing w:after="60"/>
      </w:pPr>
      <w:r>
        <w:t>‘</w:t>
      </w:r>
      <w:r w:rsidRPr="007B2657">
        <w:t>Not in employment</w:t>
      </w:r>
      <w:r>
        <w:t>’</w:t>
      </w:r>
      <w:r w:rsidRPr="007B2657">
        <w:t xml:space="preserve"> combines unemployed and not in the labour force</w:t>
      </w:r>
      <w:r>
        <w:t>.</w:t>
      </w:r>
    </w:p>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Pr>
      <w:bookmarkStart w:id="433" w:name="_Toc414878969"/>
      <w:bookmarkStart w:id="434" w:name="_Toc414879541"/>
      <w:r>
        <w:t>Table S-</w:t>
      </w:r>
      <w:r>
        <w:rPr>
          <w:noProof/>
        </w:rPr>
        <w:t>62</w:t>
      </w:r>
      <w:r>
        <w:t xml:space="preserve">: </w:t>
      </w:r>
      <w:r w:rsidRPr="006F3817">
        <w:t xml:space="preserve">Suicidal ideation, suicide plans and suicide attempts among 12-17 year-olds by </w:t>
      </w:r>
      <w:r>
        <w:t>adolescent</w:t>
      </w:r>
      <w:r w:rsidRPr="006F3817">
        <w:t xml:space="preserve"> reported major </w:t>
      </w:r>
      <w:r>
        <w:t xml:space="preserve">depressive disorder status and </w:t>
      </w:r>
      <w:r w:rsidRPr="006F3817">
        <w:t>area of residence</w:t>
      </w:r>
      <w:bookmarkEnd w:id="433"/>
      <w:bookmarkEnd w:id="434"/>
    </w:p>
    <w:tbl>
      <w:tblPr>
        <w:tblW w:w="9130" w:type="dxa"/>
        <w:jc w:val="center"/>
        <w:tblLayout w:type="fixed"/>
        <w:tblCellMar>
          <w:left w:w="0" w:type="dxa"/>
          <w:right w:w="0" w:type="dxa"/>
        </w:tblCellMar>
        <w:tblLook w:val="0020" w:firstRow="1" w:lastRow="0" w:firstColumn="0" w:lastColumn="0" w:noHBand="0" w:noVBand="0"/>
        <w:tblDescription w:val="In Table S-62 the first column defines major depressive disorder status and the second column defines area of residence. Read across the rows for the prevalence of suicidal ideation in the past 12 months, suicide plan in the past 12 months, and finally suicide attempt in the past 12 months."/>
      </w:tblPr>
      <w:tblGrid>
        <w:gridCol w:w="2887"/>
        <w:gridCol w:w="2374"/>
        <w:gridCol w:w="1134"/>
        <w:gridCol w:w="1619"/>
        <w:gridCol w:w="1116"/>
      </w:tblGrid>
      <w:tr w:rsidR="002A4F8B" w:rsidRPr="00B028B1" w:rsidTr="00302454">
        <w:trPr>
          <w:cantSplit/>
          <w:tblHeader/>
          <w:jc w:val="center"/>
        </w:trPr>
        <w:tc>
          <w:tcPr>
            <w:tcW w:w="288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jc w:val="left"/>
              <w:rPr>
                <w:rStyle w:val="Strong"/>
              </w:rPr>
            </w:pPr>
            <w:r w:rsidRPr="00AF6B65">
              <w:rPr>
                <w:rStyle w:val="Strong"/>
              </w:rPr>
              <w:t>Major depressive disorder status</w:t>
            </w:r>
          </w:p>
        </w:tc>
        <w:tc>
          <w:tcPr>
            <w:tcW w:w="2374" w:type="dxa"/>
            <w:tcBorders>
              <w:top w:val="single" w:sz="6" w:space="0" w:color="000000"/>
              <w:left w:val="single" w:sz="4" w:space="0" w:color="FFFFFF"/>
              <w:bottom w:val="single" w:sz="4" w:space="0" w:color="000000"/>
              <w:right w:val="nil"/>
            </w:tcBorders>
            <w:shd w:val="clear" w:color="auto" w:fill="EFF3FF"/>
            <w:vAlign w:val="bottom"/>
          </w:tcPr>
          <w:p w:rsidR="002A4F8B" w:rsidRPr="00AF6B65" w:rsidRDefault="002A4F8B" w:rsidP="00302454">
            <w:pPr>
              <w:pStyle w:val="TableColumnHeadings"/>
              <w:jc w:val="left"/>
              <w:rPr>
                <w:rStyle w:val="Strong"/>
              </w:rPr>
            </w:pPr>
            <w:r w:rsidRPr="00AF6B65">
              <w:rPr>
                <w:rStyle w:val="Strong"/>
              </w:rPr>
              <w:t>Area of residence</w:t>
            </w:r>
          </w:p>
        </w:tc>
        <w:tc>
          <w:tcPr>
            <w:tcW w:w="113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Suicidal ideation (%)</w:t>
            </w:r>
          </w:p>
        </w:tc>
        <w:tc>
          <w:tcPr>
            <w:tcW w:w="161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plan (%)</w:t>
            </w:r>
          </w:p>
        </w:tc>
        <w:tc>
          <w:tcPr>
            <w:tcW w:w="1116"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AF6B65" w:rsidRDefault="002A4F8B" w:rsidP="00302454">
            <w:pPr>
              <w:pStyle w:val="TableColumnHeadings"/>
              <w:rPr>
                <w:rStyle w:val="Strong"/>
              </w:rPr>
            </w:pPr>
            <w:r w:rsidRPr="00AF6B65">
              <w:rPr>
                <w:rStyle w:val="Strong"/>
              </w:rPr>
              <w:t>Suicide attempt (%)</w:t>
            </w:r>
          </w:p>
        </w:tc>
      </w:tr>
      <w:tr w:rsidR="002A4F8B" w:rsidRPr="00B028B1" w:rsidTr="00302454">
        <w:trPr>
          <w:cantSplit/>
          <w:jc w:val="center"/>
        </w:trPr>
        <w:tc>
          <w:tcPr>
            <w:tcW w:w="2887"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 xml:space="preserve">Major depressive disorder based on </w:t>
            </w:r>
            <w:r>
              <w:rPr>
                <w:lang w:eastAsia="en-AU"/>
              </w:rPr>
              <w:t>adolescent</w:t>
            </w:r>
            <w:r w:rsidRPr="00B028B1">
              <w:rPr>
                <w:lang w:eastAsia="en-AU"/>
              </w:rPr>
              <w:t xml:space="preserve"> report</w:t>
            </w:r>
          </w:p>
        </w:tc>
        <w:tc>
          <w:tcPr>
            <w:tcW w:w="2374"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46.3</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34.9</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16.3</w:t>
            </w:r>
          </w:p>
        </w:tc>
      </w:tr>
      <w:tr w:rsidR="002A4F8B" w:rsidRPr="00B028B1" w:rsidTr="00302454">
        <w:trPr>
          <w:cantSplit/>
          <w:jc w:val="center"/>
        </w:trPr>
        <w:tc>
          <w:tcPr>
            <w:tcW w:w="2887"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2374"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Rest of state</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52.8</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48.5</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25.9</w:t>
            </w:r>
          </w:p>
        </w:tc>
      </w:tr>
      <w:tr w:rsidR="002A4F8B" w:rsidRPr="00B028B1" w:rsidTr="00302454">
        <w:trPr>
          <w:cantSplit/>
          <w:jc w:val="center"/>
        </w:trPr>
        <w:tc>
          <w:tcPr>
            <w:tcW w:w="2887"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 xml:space="preserve">No major depressive disorder based on </w:t>
            </w:r>
            <w:r>
              <w:rPr>
                <w:lang w:eastAsia="en-AU"/>
              </w:rPr>
              <w:t>adolescent</w:t>
            </w:r>
            <w:r w:rsidRPr="00B028B1">
              <w:rPr>
                <w:lang w:eastAsia="en-AU"/>
              </w:rPr>
              <w:t xml:space="preserve"> report</w:t>
            </w:r>
          </w:p>
        </w:tc>
        <w:tc>
          <w:tcPr>
            <w:tcW w:w="2374"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3.3</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1.7</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0.8</w:t>
            </w:r>
          </w:p>
        </w:tc>
      </w:tr>
      <w:tr w:rsidR="002A4F8B" w:rsidRPr="00B028B1" w:rsidTr="00302454">
        <w:trPr>
          <w:cantSplit/>
          <w:jc w:val="center"/>
        </w:trPr>
        <w:tc>
          <w:tcPr>
            <w:tcW w:w="2887" w:type="dxa"/>
            <w:vMerge/>
            <w:tcBorders>
              <w:top w:val="single" w:sz="4" w:space="0" w:color="FFFFFF"/>
              <w:bottom w:val="single" w:sz="4" w:space="0" w:color="FFFFFF"/>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2374"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Rest of state</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4.2</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2.3</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0.8</w:t>
            </w:r>
          </w:p>
        </w:tc>
      </w:tr>
      <w:tr w:rsidR="002A4F8B" w:rsidRPr="00B028B1" w:rsidTr="00302454">
        <w:trPr>
          <w:cantSplit/>
          <w:jc w:val="center"/>
        </w:trPr>
        <w:tc>
          <w:tcPr>
            <w:tcW w:w="2887"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lang w:eastAsia="en-AU"/>
              </w:rPr>
            </w:pPr>
            <w:r w:rsidRPr="00B028B1">
              <w:rPr>
                <w:lang w:eastAsia="en-AU"/>
              </w:rPr>
              <w:t>All persons</w:t>
            </w:r>
          </w:p>
        </w:tc>
        <w:tc>
          <w:tcPr>
            <w:tcW w:w="2374" w:type="dxa"/>
            <w:tcBorders>
              <w:top w:val="nil"/>
              <w:left w:val="single" w:sz="4" w:space="0" w:color="FFFFFF"/>
              <w:bottom w:val="single" w:sz="4" w:space="0" w:color="FFFFFF"/>
              <w:right w:val="nil"/>
            </w:tcBorders>
            <w:shd w:val="clear" w:color="auto" w:fill="EFF3FF"/>
            <w:tcMar>
              <w:left w:w="40" w:type="dxa"/>
              <w:right w:w="40" w:type="dxa"/>
            </w:tcMar>
          </w:tcPr>
          <w:p w:rsidR="002A4F8B" w:rsidRDefault="002A4F8B" w:rsidP="00302454">
            <w:pPr>
              <w:pStyle w:val="TableRowHeadings"/>
            </w:pPr>
            <w:r>
              <w:t>Greater capital cities</w:t>
            </w:r>
          </w:p>
        </w:tc>
        <w:tc>
          <w:tcPr>
            <w:tcW w:w="1134"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7.1</w:t>
            </w:r>
          </w:p>
        </w:tc>
        <w:tc>
          <w:tcPr>
            <w:tcW w:w="1619"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4.7</w:t>
            </w:r>
          </w:p>
        </w:tc>
        <w:tc>
          <w:tcPr>
            <w:tcW w:w="1116" w:type="dxa"/>
            <w:tcBorders>
              <w:top w:val="nil"/>
              <w:left w:val="nil"/>
              <w:bottom w:val="nil"/>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2.2</w:t>
            </w:r>
          </w:p>
        </w:tc>
      </w:tr>
      <w:tr w:rsidR="002A4F8B" w:rsidRPr="00B028B1" w:rsidTr="00302454">
        <w:trPr>
          <w:cantSplit/>
          <w:jc w:val="center"/>
        </w:trPr>
        <w:tc>
          <w:tcPr>
            <w:tcW w:w="2887" w:type="dxa"/>
            <w:vMerge/>
            <w:tcBorders>
              <w:top w:val="single" w:sz="6" w:space="0" w:color="000000"/>
              <w:bottom w:val="single" w:sz="6" w:space="0" w:color="000000"/>
              <w:right w:val="nil"/>
            </w:tcBorders>
            <w:shd w:val="clear" w:color="auto" w:fill="EFF3FF"/>
            <w:tcMar>
              <w:left w:w="40" w:type="dxa"/>
              <w:right w:w="40" w:type="dxa"/>
            </w:tcMar>
          </w:tcPr>
          <w:p w:rsidR="002A4F8B" w:rsidRPr="00B028B1" w:rsidRDefault="002A4F8B" w:rsidP="00302454">
            <w:pPr>
              <w:pStyle w:val="TableRowHeadings"/>
              <w:rPr>
                <w:rFonts w:ascii="Times New Roman" w:hAnsi="Times New Roman" w:cs="Times New Roman"/>
                <w:sz w:val="24"/>
                <w:szCs w:val="24"/>
                <w:lang w:eastAsia="en-AU"/>
              </w:rPr>
            </w:pPr>
          </w:p>
        </w:tc>
        <w:tc>
          <w:tcPr>
            <w:tcW w:w="2374" w:type="dxa"/>
            <w:tcBorders>
              <w:top w:val="nil"/>
              <w:left w:val="single" w:sz="4" w:space="0" w:color="FFFFFF"/>
              <w:bottom w:val="single" w:sz="6" w:space="0" w:color="000000"/>
              <w:right w:val="nil"/>
            </w:tcBorders>
            <w:shd w:val="clear" w:color="auto" w:fill="EFF3FF"/>
            <w:tcMar>
              <w:left w:w="40" w:type="dxa"/>
              <w:right w:w="40" w:type="dxa"/>
            </w:tcMar>
          </w:tcPr>
          <w:p w:rsidR="002A4F8B" w:rsidRDefault="002A4F8B" w:rsidP="00302454">
            <w:pPr>
              <w:pStyle w:val="TableRowHeadings"/>
            </w:pPr>
            <w:r>
              <w:t>Rest of state</w:t>
            </w:r>
          </w:p>
        </w:tc>
        <w:tc>
          <w:tcPr>
            <w:tcW w:w="1134"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8.2</w:t>
            </w:r>
          </w:p>
        </w:tc>
        <w:tc>
          <w:tcPr>
            <w:tcW w:w="1619"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6.0</w:t>
            </w:r>
          </w:p>
        </w:tc>
        <w:tc>
          <w:tcPr>
            <w:tcW w:w="1116" w:type="dxa"/>
            <w:tcBorders>
              <w:top w:val="nil"/>
              <w:left w:val="nil"/>
              <w:bottom w:val="single" w:sz="6" w:space="0" w:color="000000"/>
              <w:right w:val="nil"/>
            </w:tcBorders>
            <w:shd w:val="clear" w:color="auto" w:fill="FFFFFF"/>
            <w:tcMar>
              <w:left w:w="40" w:type="dxa"/>
              <w:right w:w="40" w:type="dxa"/>
            </w:tcMar>
            <w:vAlign w:val="bottom"/>
          </w:tcPr>
          <w:p w:rsidR="002A4F8B" w:rsidRPr="00B028B1" w:rsidRDefault="002A4F8B" w:rsidP="00302454">
            <w:pPr>
              <w:pStyle w:val="TableDataCell"/>
              <w:rPr>
                <w:lang w:eastAsia="en-AU"/>
              </w:rPr>
            </w:pPr>
            <w:r w:rsidRPr="00B028B1">
              <w:rPr>
                <w:lang w:eastAsia="en-AU"/>
              </w:rPr>
              <w:t>2.8</w:t>
            </w:r>
          </w:p>
        </w:tc>
      </w:tr>
    </w:tbl>
    <w:p w:rsidR="002A4F8B" w:rsidRPr="000A0A41" w:rsidRDefault="002A4F8B" w:rsidP="002A4F8B">
      <w:pPr>
        <w:pStyle w:val="TableFootnote"/>
      </w:pPr>
      <w:proofErr w:type="gramStart"/>
      <w:r w:rsidRPr="000A0A41">
        <w:t>Based on the ABS classification Greater Capital City Statistical Area (GCCSA).</w:t>
      </w:r>
      <w:proofErr w:type="gramEnd"/>
    </w:p>
    <w:p w:rsidR="002A4F8B" w:rsidRDefault="002A4F8B" w:rsidP="002A4F8B">
      <w:pPr>
        <w:pStyle w:val="Heading2"/>
        <w:pageBreakBefore/>
      </w:pPr>
      <w:bookmarkStart w:id="435" w:name="_Toc414878970"/>
      <w:bookmarkStart w:id="436" w:name="_Toc414879542"/>
      <w:r>
        <w:lastRenderedPageBreak/>
        <w:t>Smoking, alcohol, and cannabis use and sexual behaviours by Strengths and Difficulties Questionnaire scales</w:t>
      </w:r>
      <w:bookmarkEnd w:id="435"/>
      <w:bookmarkEnd w:id="436"/>
    </w:p>
    <w:p w:rsidR="002A4F8B" w:rsidRDefault="002A4F8B" w:rsidP="002A4F8B">
      <w:pPr>
        <w:pStyle w:val="Caption"/>
        <w:keepNext/>
      </w:pPr>
      <w:bookmarkStart w:id="437" w:name="_Toc414878971"/>
      <w:bookmarkStart w:id="438" w:name="_Toc414879543"/>
      <w:r>
        <w:t>Table S-</w:t>
      </w:r>
      <w:r>
        <w:rPr>
          <w:noProof/>
        </w:rPr>
        <w:t>63</w:t>
      </w:r>
      <w:r>
        <w:t>: Smoking among 13-17 year-olds by sex and adolescent self-reported SDQ rating</w:t>
      </w:r>
      <w:bookmarkEnd w:id="437"/>
      <w:bookmarkEnd w:id="438"/>
    </w:p>
    <w:tbl>
      <w:tblPr>
        <w:tblW w:w="0" w:type="auto"/>
        <w:jc w:val="center"/>
        <w:tblLayout w:type="fixed"/>
        <w:tblCellMar>
          <w:left w:w="0" w:type="dxa"/>
          <w:right w:w="0" w:type="dxa"/>
        </w:tblCellMar>
        <w:tblLook w:val="0020" w:firstRow="1" w:lastRow="0" w:firstColumn="0" w:lastColumn="0" w:noHBand="0" w:noVBand="0"/>
        <w:tblDescription w:val="In Table S-63 the first column defines sex and the second column defines SDQ scale rating and subscales. Read across the rows for the prevalence of ever smoked at least once a week, and then the prevalence of smoked in the last 30 days in each group."/>
      </w:tblPr>
      <w:tblGrid>
        <w:gridCol w:w="1081"/>
        <w:gridCol w:w="3332"/>
        <w:gridCol w:w="2337"/>
        <w:gridCol w:w="2337"/>
      </w:tblGrid>
      <w:tr w:rsidR="002A4F8B" w:rsidRPr="00AE32E5" w:rsidTr="00302454">
        <w:trPr>
          <w:cantSplit/>
          <w:tblHeader/>
          <w:jc w:val="center"/>
        </w:trPr>
        <w:tc>
          <w:tcPr>
            <w:tcW w:w="1081"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Sex</w:t>
            </w:r>
          </w:p>
        </w:tc>
        <w:tc>
          <w:tcPr>
            <w:tcW w:w="3332"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SDQ scale rating and subscales</w:t>
            </w:r>
          </w:p>
        </w:tc>
        <w:tc>
          <w:tcPr>
            <w:tcW w:w="233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Ever smoked at least once a week (%)</w:t>
            </w:r>
          </w:p>
        </w:tc>
        <w:tc>
          <w:tcPr>
            <w:tcW w:w="2337"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Smoked in last 30 days (%)</w:t>
            </w:r>
          </w:p>
        </w:tc>
      </w:tr>
      <w:tr w:rsidR="002A4F8B" w:rsidRPr="00AE32E5" w:rsidTr="00302454">
        <w:trPr>
          <w:cantSplit/>
          <w:jc w:val="center"/>
        </w:trPr>
        <w:tc>
          <w:tcPr>
            <w:tcW w:w="1081"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Male</w:t>
            </w:r>
            <w:r>
              <w:rPr>
                <w:lang w:eastAsia="en-AU"/>
              </w:rPr>
              <w:t>s</w:t>
            </w: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00"/>
              </w:tabs>
              <w:rPr>
                <w:lang w:eastAsia="en-AU"/>
              </w:rPr>
            </w:pPr>
            <w:r w:rsidRPr="00E56A00">
              <w:rPr>
                <w:lang w:eastAsia="en-AU"/>
              </w:rPr>
              <w:tab/>
              <w:t>Normal</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7.2</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5.2</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Borderline</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14.2</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9.6</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Abnormal</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13.5</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10.4</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300"/>
              </w:tabs>
              <w:rPr>
                <w:lang w:eastAsia="en-AU"/>
              </w:rPr>
            </w:pPr>
            <w:r w:rsidRPr="00E56A00">
              <w:rPr>
                <w:lang w:eastAsia="en-AU"/>
              </w:rPr>
              <w:tab/>
              <w:t>Emotional symptoms</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8.9</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8.9</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Conduct problems</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23.5</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15.4</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Hyperactivity</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15.5</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11.3</w:t>
            </w:r>
          </w:p>
        </w:tc>
      </w:tr>
      <w:tr w:rsidR="002A4F8B" w:rsidRPr="00AE32E5" w:rsidTr="00302454">
        <w:trPr>
          <w:cantSplit/>
          <w:jc w:val="center"/>
        </w:trPr>
        <w:tc>
          <w:tcPr>
            <w:tcW w:w="1081"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Peer problems</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r>
      <w:tr w:rsidR="002A4F8B" w:rsidRPr="00AE32E5" w:rsidTr="00302454">
        <w:trPr>
          <w:cantSplit/>
          <w:jc w:val="center"/>
        </w:trPr>
        <w:tc>
          <w:tcPr>
            <w:tcW w:w="1081"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Female</w:t>
            </w:r>
            <w:r>
              <w:rPr>
                <w:lang w:eastAsia="en-AU"/>
              </w:rPr>
              <w:t>s</w:t>
            </w: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00"/>
              </w:tabs>
              <w:rPr>
                <w:lang w:eastAsia="en-AU"/>
              </w:rPr>
            </w:pPr>
            <w:r w:rsidRPr="00E56A00">
              <w:rPr>
                <w:lang w:eastAsia="en-AU"/>
              </w:rPr>
              <w:tab/>
              <w:t>Normal</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6.0</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3.5</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Borderline</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12.5</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10.6</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Abnormal</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35.6</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28.9</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300"/>
              </w:tabs>
              <w:rPr>
                <w:lang w:eastAsia="en-AU"/>
              </w:rPr>
            </w:pPr>
            <w:r w:rsidRPr="00E56A00">
              <w:rPr>
                <w:lang w:eastAsia="en-AU"/>
              </w:rPr>
              <w:tab/>
              <w:t>Emotional symptoms</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23.3</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18.9</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Conduct problems</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37.1</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30.1</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Hyperactivity</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24.1</w:t>
            </w:r>
          </w:p>
        </w:tc>
        <w:tc>
          <w:tcPr>
            <w:tcW w:w="2337"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18.2</w:t>
            </w:r>
          </w:p>
        </w:tc>
      </w:tr>
      <w:tr w:rsidR="002A4F8B" w:rsidRPr="00AE32E5" w:rsidTr="00302454">
        <w:trPr>
          <w:cantSplit/>
          <w:jc w:val="center"/>
        </w:trPr>
        <w:tc>
          <w:tcPr>
            <w:tcW w:w="1081"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32" w:type="dxa"/>
            <w:tcBorders>
              <w:top w:val="nil"/>
              <w:left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300"/>
              </w:tabs>
              <w:rPr>
                <w:lang w:eastAsia="en-AU"/>
              </w:rPr>
            </w:pPr>
            <w:r w:rsidRPr="00E56A00">
              <w:rPr>
                <w:lang w:eastAsia="en-AU"/>
              </w:rPr>
              <w:tab/>
              <w:t>Peer problems</w:t>
            </w:r>
          </w:p>
        </w:tc>
        <w:tc>
          <w:tcPr>
            <w:tcW w:w="2337"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30.0</w:t>
            </w:r>
          </w:p>
        </w:tc>
        <w:tc>
          <w:tcPr>
            <w:tcW w:w="2337"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25.9</w:t>
            </w:r>
          </w:p>
        </w:tc>
      </w:tr>
    </w:tbl>
    <w:p w:rsidR="002A4F8B"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spacing w:before="0"/>
      </w:pPr>
      <w:bookmarkStart w:id="439" w:name="_Toc414878972"/>
      <w:bookmarkStart w:id="440" w:name="_Toc414879544"/>
      <w:r>
        <w:lastRenderedPageBreak/>
        <w:t>Table S-</w:t>
      </w:r>
      <w:r>
        <w:rPr>
          <w:noProof/>
        </w:rPr>
        <w:t>64</w:t>
      </w:r>
      <w:r>
        <w:t>: Alcohol consumption among 13-17 year-olds by sex and adolescent self-reported SDQ rating</w:t>
      </w:r>
      <w:bookmarkEnd w:id="439"/>
      <w:bookmarkEnd w:id="440"/>
    </w:p>
    <w:tbl>
      <w:tblPr>
        <w:tblW w:w="0" w:type="auto"/>
        <w:jc w:val="center"/>
        <w:tblLayout w:type="fixed"/>
        <w:tblCellMar>
          <w:left w:w="0" w:type="dxa"/>
          <w:right w:w="0" w:type="dxa"/>
        </w:tblCellMar>
        <w:tblLook w:val="0020" w:firstRow="1" w:lastRow="0" w:firstColumn="0" w:lastColumn="0" w:noHBand="0" w:noVBand="0"/>
        <w:tblDescription w:val="In Table S-64 the first column defines sex and the second column defines SDQ scale rating and subscales. Read across the rows for the prevalence of ever drunk alcohol, drunk alcohol in the last 30 days and finally more than 4 drinks in a row in the last 30 days in each group."/>
      </w:tblPr>
      <w:tblGrid>
        <w:gridCol w:w="1066"/>
        <w:gridCol w:w="3360"/>
        <w:gridCol w:w="1553"/>
        <w:gridCol w:w="1553"/>
        <w:gridCol w:w="1554"/>
      </w:tblGrid>
      <w:tr w:rsidR="002A4F8B" w:rsidRPr="00AE32E5" w:rsidTr="00302454">
        <w:trPr>
          <w:cantSplit/>
          <w:tblHeader/>
          <w:jc w:val="center"/>
        </w:trPr>
        <w:tc>
          <w:tcPr>
            <w:tcW w:w="1066"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Sex</w:t>
            </w:r>
          </w:p>
        </w:tc>
        <w:tc>
          <w:tcPr>
            <w:tcW w:w="3360"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SDQ scale rating and subscales</w:t>
            </w:r>
          </w:p>
        </w:tc>
        <w:tc>
          <w:tcPr>
            <w:tcW w:w="155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Ever drunk alcohol (%)</w:t>
            </w:r>
          </w:p>
        </w:tc>
        <w:tc>
          <w:tcPr>
            <w:tcW w:w="155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proofErr w:type="gramStart"/>
            <w:r w:rsidRPr="002C7D4D">
              <w:rPr>
                <w:rStyle w:val="Strong"/>
              </w:rPr>
              <w:t>Drunk</w:t>
            </w:r>
            <w:proofErr w:type="gramEnd"/>
            <w:r w:rsidRPr="002C7D4D">
              <w:rPr>
                <w:rStyle w:val="Strong"/>
              </w:rPr>
              <w:t xml:space="preserve"> alcohol in last 30 days (%)</w:t>
            </w:r>
          </w:p>
        </w:tc>
        <w:tc>
          <w:tcPr>
            <w:tcW w:w="1554"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 xml:space="preserve">More than 4 </w:t>
            </w:r>
            <w:proofErr w:type="gramStart"/>
            <w:r w:rsidRPr="002C7D4D">
              <w:rPr>
                <w:rStyle w:val="Strong"/>
              </w:rPr>
              <w:t>drinks</w:t>
            </w:r>
            <w:proofErr w:type="gramEnd"/>
            <w:r w:rsidRPr="002C7D4D">
              <w:rPr>
                <w:rStyle w:val="Strong"/>
              </w:rPr>
              <w:t xml:space="preserve"> in a row in last 30 days (%)</w:t>
            </w:r>
          </w:p>
        </w:tc>
      </w:tr>
      <w:tr w:rsidR="002A4F8B" w:rsidRPr="00AE32E5" w:rsidTr="00302454">
        <w:trPr>
          <w:cantSplit/>
          <w:jc w:val="center"/>
        </w:trPr>
        <w:tc>
          <w:tcPr>
            <w:tcW w:w="1066"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Male</w:t>
            </w:r>
            <w:r>
              <w:rPr>
                <w:lang w:eastAsia="en-AU"/>
              </w:rPr>
              <w:t>s</w:t>
            </w: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54"/>
              </w:tabs>
              <w:rPr>
                <w:lang w:eastAsia="en-AU"/>
              </w:rPr>
            </w:pPr>
            <w:r w:rsidRPr="00E56A00">
              <w:rPr>
                <w:lang w:eastAsia="en-AU"/>
              </w:rPr>
              <w:tab/>
              <w:t>Normal</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35.7</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17.1</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11.9</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Borderline</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42.7</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20.0</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13.9</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Abnormal</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41.4</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21.9</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17.6</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254"/>
              </w:tabs>
              <w:rPr>
                <w:lang w:eastAsia="en-AU"/>
              </w:rPr>
            </w:pPr>
            <w:r w:rsidRPr="00E56A00">
              <w:rPr>
                <w:lang w:eastAsia="en-AU"/>
              </w:rPr>
              <w:tab/>
              <w:t>Emotional symptoms</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34.7</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14.8</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9.6</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Conduct problems</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50.7</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28.2</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22.8</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Hyperactivity</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45.9</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24.2</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16.0</w:t>
            </w:r>
          </w:p>
        </w:tc>
      </w:tr>
      <w:tr w:rsidR="002A4F8B" w:rsidRPr="00AE32E5" w:rsidTr="00302454">
        <w:trPr>
          <w:cantSplit/>
          <w:jc w:val="center"/>
        </w:trPr>
        <w:tc>
          <w:tcPr>
            <w:tcW w:w="1066"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Peer problems</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31.6</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13.4</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7.8</w:t>
            </w:r>
          </w:p>
        </w:tc>
      </w:tr>
      <w:tr w:rsidR="002A4F8B" w:rsidRPr="00AE32E5" w:rsidTr="00302454">
        <w:trPr>
          <w:cantSplit/>
          <w:jc w:val="center"/>
        </w:trPr>
        <w:tc>
          <w:tcPr>
            <w:tcW w:w="1066"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Female</w:t>
            </w:r>
            <w:r>
              <w:rPr>
                <w:lang w:eastAsia="en-AU"/>
              </w:rPr>
              <w:t>s</w:t>
            </w: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54"/>
              </w:tabs>
              <w:rPr>
                <w:lang w:eastAsia="en-AU"/>
              </w:rPr>
            </w:pPr>
            <w:r w:rsidRPr="00E56A00">
              <w:rPr>
                <w:lang w:eastAsia="en-AU"/>
              </w:rPr>
              <w:tab/>
              <w:t>Normal</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33.5</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14.5</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9.4</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Borderline</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42.5</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23.7</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17.6</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Abnormal</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60.3</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31.2</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22.3</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254"/>
              </w:tabs>
              <w:rPr>
                <w:lang w:eastAsia="en-AU"/>
              </w:rPr>
            </w:pPr>
            <w:r w:rsidRPr="00E56A00">
              <w:rPr>
                <w:lang w:eastAsia="en-AU"/>
              </w:rPr>
              <w:tab/>
              <w:t>Emotional symptoms</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53.9</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27.2</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20.5</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Conduct problems</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63.4</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34.9</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25.7</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Hyperactivity</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52.0</w:t>
            </w:r>
          </w:p>
        </w:tc>
        <w:tc>
          <w:tcPr>
            <w:tcW w:w="155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26.8</w:t>
            </w:r>
          </w:p>
        </w:tc>
        <w:tc>
          <w:tcPr>
            <w:tcW w:w="1554"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18.8</w:t>
            </w:r>
          </w:p>
        </w:tc>
      </w:tr>
      <w:tr w:rsidR="002A4F8B" w:rsidRPr="00AE32E5" w:rsidTr="00302454">
        <w:trPr>
          <w:cantSplit/>
          <w:jc w:val="center"/>
        </w:trPr>
        <w:tc>
          <w:tcPr>
            <w:tcW w:w="1066"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3360" w:type="dxa"/>
            <w:tcBorders>
              <w:top w:val="nil"/>
              <w:left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54"/>
              </w:tabs>
              <w:rPr>
                <w:lang w:eastAsia="en-AU"/>
              </w:rPr>
            </w:pPr>
            <w:r w:rsidRPr="00E56A00">
              <w:rPr>
                <w:lang w:eastAsia="en-AU"/>
              </w:rPr>
              <w:tab/>
              <w:t>Peer problems</w:t>
            </w:r>
          </w:p>
        </w:tc>
        <w:tc>
          <w:tcPr>
            <w:tcW w:w="155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51.6</w:t>
            </w:r>
          </w:p>
        </w:tc>
        <w:tc>
          <w:tcPr>
            <w:tcW w:w="155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23.0</w:t>
            </w:r>
          </w:p>
        </w:tc>
        <w:tc>
          <w:tcPr>
            <w:tcW w:w="1554"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14.2</w:t>
            </w:r>
          </w:p>
        </w:tc>
      </w:tr>
    </w:tbl>
    <w:p w:rsidR="002A4F8B" w:rsidRDefault="002A4F8B" w:rsidP="002A4F8B">
      <w:pPr>
        <w:pStyle w:val="Caption"/>
        <w:keepNext/>
        <w:pageBreakBefore/>
        <w:spacing w:before="0"/>
      </w:pPr>
      <w:bookmarkStart w:id="441" w:name="_Toc414878973"/>
      <w:bookmarkStart w:id="442" w:name="_Toc414879545"/>
      <w:r>
        <w:lastRenderedPageBreak/>
        <w:t>Table S-</w:t>
      </w:r>
      <w:r>
        <w:rPr>
          <w:noProof/>
        </w:rPr>
        <w:t>65</w:t>
      </w:r>
      <w:r>
        <w:t>: Cannabis and other drug use among 13-17 year-olds by sex and adolescent self-reported SDQ rating</w:t>
      </w:r>
      <w:bookmarkEnd w:id="441"/>
      <w:bookmarkEnd w:id="442"/>
    </w:p>
    <w:tbl>
      <w:tblPr>
        <w:tblW w:w="0" w:type="auto"/>
        <w:jc w:val="center"/>
        <w:tblLayout w:type="fixed"/>
        <w:tblCellMar>
          <w:left w:w="0" w:type="dxa"/>
          <w:right w:w="0" w:type="dxa"/>
        </w:tblCellMar>
        <w:tblLook w:val="0020" w:firstRow="1" w:lastRow="0" w:firstColumn="0" w:lastColumn="0" w:noHBand="0" w:noVBand="0"/>
        <w:tblDescription w:val="In Table S-65 the first column defines sex and the second column defines SDQ scale rating and subscales. Read across the rows for the prevalence of cannabis ever, cannabis in the last 30 days, other drugs ever, and finally other drugs in the last 30 days in each group."/>
      </w:tblPr>
      <w:tblGrid>
        <w:gridCol w:w="1058"/>
        <w:gridCol w:w="2828"/>
        <w:gridCol w:w="1303"/>
        <w:gridCol w:w="1303"/>
        <w:gridCol w:w="1303"/>
        <w:gridCol w:w="1303"/>
      </w:tblGrid>
      <w:tr w:rsidR="002A4F8B" w:rsidRPr="00AE32E5" w:rsidTr="00302454">
        <w:trPr>
          <w:cantSplit/>
          <w:tblHeader/>
          <w:jc w:val="center"/>
        </w:trPr>
        <w:tc>
          <w:tcPr>
            <w:tcW w:w="1058"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Sex</w:t>
            </w:r>
          </w:p>
        </w:tc>
        <w:tc>
          <w:tcPr>
            <w:tcW w:w="2828"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SDQ scale rating and subscales</w:t>
            </w:r>
          </w:p>
        </w:tc>
        <w:tc>
          <w:tcPr>
            <w:tcW w:w="130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Ever used cannabis (%)</w:t>
            </w:r>
          </w:p>
        </w:tc>
        <w:tc>
          <w:tcPr>
            <w:tcW w:w="130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Used cannabis in last 30 days (%)</w:t>
            </w:r>
          </w:p>
        </w:tc>
        <w:tc>
          <w:tcPr>
            <w:tcW w:w="130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Ever used other drugs (%)</w:t>
            </w:r>
          </w:p>
        </w:tc>
        <w:tc>
          <w:tcPr>
            <w:tcW w:w="1303"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Used other drugs in last 30 days (%)</w:t>
            </w:r>
          </w:p>
        </w:tc>
      </w:tr>
      <w:tr w:rsidR="002A4F8B" w:rsidRPr="00AE32E5" w:rsidTr="00302454">
        <w:trPr>
          <w:cantSplit/>
          <w:jc w:val="center"/>
        </w:trPr>
        <w:tc>
          <w:tcPr>
            <w:tcW w:w="1058"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Male</w:t>
            </w:r>
            <w:r>
              <w:rPr>
                <w:lang w:eastAsia="en-AU"/>
              </w:rPr>
              <w:t>s</w:t>
            </w: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18"/>
              </w:tabs>
              <w:rPr>
                <w:lang w:eastAsia="en-AU"/>
              </w:rPr>
            </w:pPr>
            <w:r w:rsidRPr="00E56A00">
              <w:rPr>
                <w:lang w:eastAsia="en-AU"/>
              </w:rPr>
              <w:tab/>
              <w:t>Normal</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10.1</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4.0</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2.7</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0.5</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Borderline</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15.7</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8.9</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7.4</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Abnormal</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25.2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4.3</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318"/>
              </w:tabs>
              <w:rPr>
                <w:lang w:eastAsia="en-AU"/>
              </w:rPr>
            </w:pPr>
            <w:r w:rsidRPr="00E56A00">
              <w:rPr>
                <w:lang w:eastAsia="en-AU"/>
              </w:rPr>
              <w:tab/>
              <w:t>Emotional symptoms</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18.3</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7.8</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Conduct problems</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28.1</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13.6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5.0</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Hyperactivity</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21.8</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12.4</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8.2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3.4</w:t>
            </w:r>
          </w:p>
        </w:tc>
      </w:tr>
      <w:tr w:rsidR="002A4F8B" w:rsidRPr="00AE32E5" w:rsidTr="00302454">
        <w:trPr>
          <w:cantSplit/>
          <w:jc w:val="center"/>
        </w:trPr>
        <w:tc>
          <w:tcPr>
            <w:tcW w:w="1058" w:type="dxa"/>
            <w:vMerge/>
            <w:tcBorders>
              <w:top w:val="single" w:sz="4" w:space="0" w:color="FFFFFF"/>
              <w:bottom w:val="single" w:sz="4" w:space="0" w:color="FFFFFF"/>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Peer problems</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12.5</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r>
      <w:tr w:rsidR="002A4F8B" w:rsidRPr="00AE32E5" w:rsidTr="00302454">
        <w:trPr>
          <w:cantSplit/>
          <w:jc w:val="center"/>
        </w:trPr>
        <w:tc>
          <w:tcPr>
            <w:tcW w:w="1058"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lang w:eastAsia="en-AU"/>
              </w:rPr>
            </w:pPr>
            <w:r w:rsidRPr="00AE32E5">
              <w:rPr>
                <w:lang w:eastAsia="en-AU"/>
              </w:rPr>
              <w:t>Female</w:t>
            </w:r>
            <w:r>
              <w:rPr>
                <w:lang w:eastAsia="en-AU"/>
              </w:rPr>
              <w:t>s</w:t>
            </w: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318"/>
              </w:tabs>
              <w:rPr>
                <w:lang w:eastAsia="en-AU"/>
              </w:rPr>
            </w:pPr>
            <w:r w:rsidRPr="00E56A00">
              <w:rPr>
                <w:lang w:eastAsia="en-AU"/>
              </w:rPr>
              <w:tab/>
              <w:t>Normal</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2.3</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0.7</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Borderline</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11.0</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6.4</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5.5</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Abnormal</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28.3</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13.6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17.3</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5.7</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318"/>
              </w:tabs>
              <w:rPr>
                <w:lang w:eastAsia="en-AU"/>
              </w:rPr>
            </w:pPr>
            <w:r w:rsidRPr="00E56A00">
              <w:rPr>
                <w:lang w:eastAsia="en-AU"/>
              </w:rPr>
              <w:tab/>
              <w:t>Emotional symptoms</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21.6</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9.0</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11.1</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4.0</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Conduct problems</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30.9</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12.0</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20.3</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6.2</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Hyperactivity</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20.2</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9.9</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14.8</w:t>
            </w:r>
          </w:p>
        </w:tc>
        <w:tc>
          <w:tcPr>
            <w:tcW w:w="1303" w:type="dxa"/>
            <w:tcBorders>
              <w:top w:val="nil"/>
              <w:left w:val="nil"/>
              <w:bottom w:val="nil"/>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7.4</w:t>
            </w:r>
          </w:p>
        </w:tc>
      </w:tr>
      <w:tr w:rsidR="002A4F8B" w:rsidRPr="00AE32E5" w:rsidTr="00302454">
        <w:trPr>
          <w:cantSplit/>
          <w:jc w:val="center"/>
        </w:trPr>
        <w:tc>
          <w:tcPr>
            <w:tcW w:w="1058" w:type="dxa"/>
            <w:vMerge/>
            <w:tcBorders>
              <w:top w:val="single" w:sz="6" w:space="0" w:color="000000"/>
              <w:bottom w:val="single" w:sz="6" w:space="0" w:color="000000"/>
              <w:right w:val="nil"/>
            </w:tcBorders>
            <w:shd w:val="clear" w:color="auto" w:fill="EFF3FF"/>
            <w:tcMar>
              <w:left w:w="40" w:type="dxa"/>
              <w:right w:w="40" w:type="dxa"/>
            </w:tcMar>
          </w:tcPr>
          <w:p w:rsidR="002A4F8B" w:rsidRPr="00AE32E5" w:rsidRDefault="002A4F8B" w:rsidP="00302454">
            <w:pPr>
              <w:pStyle w:val="TableRowHeadings"/>
              <w:rPr>
                <w:rFonts w:ascii="Times New Roman" w:hAnsi="Times New Roman" w:cs="Times New Roman"/>
                <w:sz w:val="24"/>
                <w:szCs w:val="24"/>
                <w:lang w:eastAsia="en-AU"/>
              </w:rPr>
            </w:pPr>
          </w:p>
        </w:tc>
        <w:tc>
          <w:tcPr>
            <w:tcW w:w="2828" w:type="dxa"/>
            <w:tcBorders>
              <w:top w:val="nil"/>
              <w:left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318"/>
              </w:tabs>
              <w:rPr>
                <w:lang w:eastAsia="en-AU"/>
              </w:rPr>
            </w:pPr>
            <w:r w:rsidRPr="00E56A00">
              <w:rPr>
                <w:lang w:eastAsia="en-AU"/>
              </w:rPr>
              <w:tab/>
              <w:t>Peer problems</w:t>
            </w:r>
          </w:p>
        </w:tc>
        <w:tc>
          <w:tcPr>
            <w:tcW w:w="130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21.4</w:t>
            </w:r>
          </w:p>
        </w:tc>
        <w:tc>
          <w:tcPr>
            <w:tcW w:w="130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9.9</w:t>
            </w:r>
          </w:p>
        </w:tc>
        <w:tc>
          <w:tcPr>
            <w:tcW w:w="130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sidRPr="00AE32E5">
              <w:rPr>
                <w:lang w:eastAsia="en-AU"/>
              </w:rPr>
              <w:t>11.1</w:t>
            </w:r>
          </w:p>
        </w:tc>
        <w:tc>
          <w:tcPr>
            <w:tcW w:w="1303" w:type="dxa"/>
            <w:tcBorders>
              <w:top w:val="nil"/>
              <w:left w:val="nil"/>
              <w:bottom w:val="single" w:sz="6" w:space="0" w:color="000000"/>
              <w:right w:val="nil"/>
            </w:tcBorders>
            <w:shd w:val="clear" w:color="auto" w:fill="FFFFFF"/>
            <w:tcMar>
              <w:left w:w="40" w:type="dxa"/>
              <w:right w:w="40" w:type="dxa"/>
            </w:tcMar>
            <w:vAlign w:val="bottom"/>
          </w:tcPr>
          <w:p w:rsidR="002A4F8B" w:rsidRPr="00AE32E5" w:rsidRDefault="002A4F8B" w:rsidP="00302454">
            <w:pPr>
              <w:pStyle w:val="TableDataCell"/>
              <w:rPr>
                <w:lang w:eastAsia="en-AU"/>
              </w:rPr>
            </w:pPr>
            <w:r>
              <w:rPr>
                <w:lang w:eastAsia="en-AU"/>
              </w:rPr>
              <w:t>np</w:t>
            </w:r>
          </w:p>
        </w:tc>
      </w:tr>
    </w:tbl>
    <w:p w:rsidR="002A4F8B" w:rsidRPr="00AE32E5" w:rsidRDefault="002A4F8B" w:rsidP="002A4F8B">
      <w:pPr>
        <w:pStyle w:val="TableFootnote"/>
      </w:pPr>
      <w:proofErr w:type="gramStart"/>
      <w:r>
        <w:t>np</w:t>
      </w:r>
      <w:proofErr w:type="gramEnd"/>
      <w:r>
        <w:tab/>
        <w:t>Not available for publication because of small cell size, but included in totals where applicable.</w:t>
      </w:r>
    </w:p>
    <w:p w:rsidR="002A4F8B" w:rsidRDefault="002A4F8B" w:rsidP="002A4F8B">
      <w:pPr>
        <w:pStyle w:val="Caption"/>
        <w:keepNext/>
        <w:pageBreakBefore/>
      </w:pPr>
      <w:bookmarkStart w:id="443" w:name="_Toc414878974"/>
      <w:bookmarkStart w:id="444" w:name="_Toc414879546"/>
      <w:r>
        <w:lastRenderedPageBreak/>
        <w:t>Table S-</w:t>
      </w:r>
      <w:r>
        <w:rPr>
          <w:noProof/>
        </w:rPr>
        <w:t>66</w:t>
      </w:r>
      <w:r>
        <w:t xml:space="preserve">: </w:t>
      </w:r>
      <w:r w:rsidRPr="007C2340">
        <w:t xml:space="preserve">Sexual behaviours among 13-17 year-olds by sex and </w:t>
      </w:r>
      <w:r>
        <w:t xml:space="preserve">adolescent self-reported </w:t>
      </w:r>
      <w:r w:rsidRPr="007C2340">
        <w:t>SDQ rating</w:t>
      </w:r>
      <w:bookmarkEnd w:id="443"/>
      <w:bookmarkEnd w:id="444"/>
    </w:p>
    <w:tbl>
      <w:tblPr>
        <w:tblW w:w="0" w:type="auto"/>
        <w:jc w:val="center"/>
        <w:tblLayout w:type="fixed"/>
        <w:tblCellMar>
          <w:left w:w="0" w:type="dxa"/>
          <w:right w:w="0" w:type="dxa"/>
        </w:tblCellMar>
        <w:tblLook w:val="0020" w:firstRow="1" w:lastRow="0" w:firstColumn="0" w:lastColumn="0" w:noHBand="0" w:noVBand="0"/>
        <w:tblDescription w:val="In Table S-66 the first column defines sex and the second column defines SDQ scale rating and subscales. Read across the rows for the prevalence of everhad sexual intercourse, and then had sexual intercourse with 4 or more persons in each group."/>
      </w:tblPr>
      <w:tblGrid>
        <w:gridCol w:w="1455"/>
        <w:gridCol w:w="2955"/>
        <w:gridCol w:w="2345"/>
        <w:gridCol w:w="2345"/>
      </w:tblGrid>
      <w:tr w:rsidR="002A4F8B" w:rsidRPr="00E56A00" w:rsidTr="00302454">
        <w:trPr>
          <w:cantSplit/>
          <w:tblHeader/>
          <w:jc w:val="center"/>
        </w:trPr>
        <w:tc>
          <w:tcPr>
            <w:tcW w:w="145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Sex</w:t>
            </w:r>
          </w:p>
        </w:tc>
        <w:tc>
          <w:tcPr>
            <w:tcW w:w="2955"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SDQ scale rating and subscales</w:t>
            </w:r>
          </w:p>
        </w:tc>
        <w:tc>
          <w:tcPr>
            <w:tcW w:w="234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Ever had sexual intercourse (%)</w:t>
            </w:r>
          </w:p>
        </w:tc>
        <w:tc>
          <w:tcPr>
            <w:tcW w:w="234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Had sexual intercourse with 4 or more persons (%)</w:t>
            </w:r>
          </w:p>
        </w:tc>
      </w:tr>
      <w:tr w:rsidR="002A4F8B" w:rsidRPr="00E56A00" w:rsidTr="00302454">
        <w:trPr>
          <w:cantSplit/>
          <w:jc w:val="center"/>
        </w:trPr>
        <w:tc>
          <w:tcPr>
            <w:tcW w:w="1455"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lang w:eastAsia="en-AU"/>
              </w:rPr>
            </w:pPr>
            <w:r w:rsidRPr="00E56A00">
              <w:rPr>
                <w:lang w:eastAsia="en-AU"/>
              </w:rPr>
              <w:t>Males</w:t>
            </w: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92"/>
              </w:tabs>
              <w:rPr>
                <w:lang w:eastAsia="en-AU"/>
              </w:rPr>
            </w:pPr>
            <w:r w:rsidRPr="00E56A00">
              <w:rPr>
                <w:lang w:eastAsia="en-AU"/>
              </w:rPr>
              <w:tab/>
              <w:t>Normal</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12.6</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3.2</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Borderline</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14.1</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8.2</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Abnormal</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17.5</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8.3</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Pr>
                <w:lang w:eastAsia="en-AU"/>
              </w:rPr>
              <w:t>S</w:t>
            </w:r>
            <w:r w:rsidRPr="00E56A00">
              <w:rPr>
                <w:lang w:eastAsia="en-AU"/>
              </w:rPr>
              <w:t>ubscale</w:t>
            </w:r>
            <w:r>
              <w:rPr>
                <w:lang w:eastAsia="en-AU"/>
              </w:rPr>
              <w:t>s in abnormal range</w:t>
            </w:r>
            <w:r w:rsidRPr="00E56A00">
              <w:rPr>
                <w:lang w:eastAsia="en-AU"/>
              </w:rPr>
              <w:t>—</w:t>
            </w:r>
          </w:p>
          <w:p w:rsidR="002A4F8B" w:rsidRPr="00E56A00" w:rsidRDefault="002A4F8B" w:rsidP="00302454">
            <w:pPr>
              <w:pStyle w:val="TableRowHeadings"/>
              <w:tabs>
                <w:tab w:val="left" w:pos="292"/>
              </w:tabs>
              <w:rPr>
                <w:lang w:eastAsia="en-AU"/>
              </w:rPr>
            </w:pPr>
            <w:r w:rsidRPr="00E56A00">
              <w:rPr>
                <w:lang w:eastAsia="en-AU"/>
              </w:rPr>
              <w:tab/>
              <w:t>Emotional symptoms</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18.2</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5.7</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Conduct problems</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17.5</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11.0</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Hyperactivity</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14.6</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7.5</w:t>
            </w:r>
          </w:p>
        </w:tc>
      </w:tr>
      <w:tr w:rsidR="002A4F8B" w:rsidRPr="00E56A00" w:rsidTr="00302454">
        <w:trPr>
          <w:cantSplit/>
          <w:jc w:val="center"/>
        </w:trPr>
        <w:tc>
          <w:tcPr>
            <w:tcW w:w="1455"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rPr>
                <w:rFonts w:ascii="Times New Roman"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Peer problems</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13.4</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r>
      <w:tr w:rsidR="002A4F8B" w:rsidRPr="00E56A00" w:rsidTr="00302454">
        <w:trPr>
          <w:cantSplit/>
          <w:jc w:val="center"/>
        </w:trPr>
        <w:tc>
          <w:tcPr>
            <w:tcW w:w="1455"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rPr>
                <w:lang w:eastAsia="en-AU"/>
              </w:rPr>
            </w:pPr>
            <w:r w:rsidRPr="00E56A00">
              <w:rPr>
                <w:lang w:eastAsia="en-AU"/>
              </w:rPr>
              <w:t>Females</w:t>
            </w: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92"/>
              </w:tabs>
              <w:rPr>
                <w:lang w:eastAsia="en-AU"/>
              </w:rPr>
            </w:pPr>
            <w:r w:rsidRPr="00E56A00">
              <w:rPr>
                <w:lang w:eastAsia="en-AU"/>
              </w:rPr>
              <w:tab/>
              <w:t>Normal</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12.5</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2.1</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tabs>
                <w:tab w:val="left" w:pos="284"/>
              </w:tabs>
              <w:adjustRightInd w:val="0"/>
              <w:spacing w:before="40" w:after="40" w:line="240" w:lineRule="auto"/>
              <w:rPr>
                <w:rFonts w:ascii="Times New Roman" w:hAnsi="Times New Roman" w:cs="Times New Roman"/>
                <w:color w:val="000000"/>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Borderline</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18.2</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3.8</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autoSpaceDE w:val="0"/>
              <w:autoSpaceDN w:val="0"/>
              <w:adjustRightInd w:val="0"/>
              <w:spacing w:after="0" w:line="240" w:lineRule="auto"/>
              <w:rPr>
                <w:rFonts w:ascii="Times New Roman" w:eastAsiaTheme="minorEastAsia"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Abnormal</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35.6</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14.3</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autoSpaceDE w:val="0"/>
              <w:autoSpaceDN w:val="0"/>
              <w:adjustRightInd w:val="0"/>
              <w:spacing w:after="0" w:line="240" w:lineRule="auto"/>
              <w:rPr>
                <w:rFonts w:ascii="Times New Roman" w:eastAsiaTheme="minorEastAsia"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Subscales</w:t>
            </w:r>
            <w:r>
              <w:rPr>
                <w:lang w:eastAsia="en-AU"/>
              </w:rPr>
              <w:t xml:space="preserve"> in abnormal range</w:t>
            </w:r>
            <w:r w:rsidRPr="00E56A00">
              <w:rPr>
                <w:lang w:eastAsia="en-AU"/>
              </w:rPr>
              <w:t>—</w:t>
            </w:r>
          </w:p>
          <w:p w:rsidR="002A4F8B" w:rsidRPr="00E56A00" w:rsidRDefault="002A4F8B" w:rsidP="00302454">
            <w:pPr>
              <w:pStyle w:val="TableRowHeadings"/>
              <w:tabs>
                <w:tab w:val="left" w:pos="292"/>
              </w:tabs>
              <w:rPr>
                <w:lang w:eastAsia="en-AU"/>
              </w:rPr>
            </w:pPr>
            <w:r w:rsidRPr="00E56A00">
              <w:rPr>
                <w:lang w:eastAsia="en-AU"/>
              </w:rPr>
              <w:tab/>
              <w:t>Emotional symptoms</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29.8</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8.9</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autoSpaceDE w:val="0"/>
              <w:autoSpaceDN w:val="0"/>
              <w:adjustRightInd w:val="0"/>
              <w:spacing w:after="0" w:line="240" w:lineRule="auto"/>
              <w:rPr>
                <w:rFonts w:ascii="Times New Roman" w:eastAsiaTheme="minorEastAsia"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Conduct problems</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31.9</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16.0</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autoSpaceDE w:val="0"/>
              <w:autoSpaceDN w:val="0"/>
              <w:adjustRightInd w:val="0"/>
              <w:spacing w:after="0" w:line="240" w:lineRule="auto"/>
              <w:rPr>
                <w:rFonts w:ascii="Times New Roman" w:eastAsiaTheme="minorEastAsia" w:hAnsi="Times New Roman" w:cs="Times New Roman"/>
                <w:sz w:val="24"/>
                <w:szCs w:val="24"/>
                <w:lang w:eastAsia="en-AU"/>
              </w:rPr>
            </w:pPr>
          </w:p>
        </w:tc>
        <w:tc>
          <w:tcPr>
            <w:tcW w:w="2955"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Hyperactivity</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24.4</w:t>
            </w:r>
          </w:p>
        </w:tc>
        <w:tc>
          <w:tcPr>
            <w:tcW w:w="2345"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10.1</w:t>
            </w:r>
          </w:p>
        </w:tc>
      </w:tr>
      <w:tr w:rsidR="002A4F8B" w:rsidRPr="00E56A00" w:rsidTr="00302454">
        <w:trPr>
          <w:cantSplit/>
          <w:jc w:val="center"/>
        </w:trPr>
        <w:tc>
          <w:tcPr>
            <w:tcW w:w="1455"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autoSpaceDE w:val="0"/>
              <w:autoSpaceDN w:val="0"/>
              <w:adjustRightInd w:val="0"/>
              <w:spacing w:after="0" w:line="240" w:lineRule="auto"/>
              <w:rPr>
                <w:rFonts w:ascii="Times New Roman" w:eastAsiaTheme="minorEastAsia" w:hAnsi="Times New Roman" w:cs="Times New Roman"/>
                <w:sz w:val="24"/>
                <w:szCs w:val="24"/>
                <w:lang w:eastAsia="en-AU"/>
              </w:rPr>
            </w:pPr>
          </w:p>
        </w:tc>
        <w:tc>
          <w:tcPr>
            <w:tcW w:w="2955" w:type="dxa"/>
            <w:tcBorders>
              <w:top w:val="nil"/>
              <w:left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92"/>
              </w:tabs>
              <w:rPr>
                <w:lang w:eastAsia="en-AU"/>
              </w:rPr>
            </w:pPr>
            <w:r w:rsidRPr="00E56A00">
              <w:rPr>
                <w:lang w:eastAsia="en-AU"/>
              </w:rPr>
              <w:tab/>
              <w:t>Peer problems</w:t>
            </w:r>
          </w:p>
        </w:tc>
        <w:tc>
          <w:tcPr>
            <w:tcW w:w="2345"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33.0</w:t>
            </w:r>
          </w:p>
        </w:tc>
        <w:tc>
          <w:tcPr>
            <w:tcW w:w="2345"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15.5</w:t>
            </w:r>
          </w:p>
        </w:tc>
      </w:tr>
    </w:tbl>
    <w:p w:rsidR="002A4F8B" w:rsidRDefault="002A4F8B" w:rsidP="002A4F8B">
      <w:pPr>
        <w:pStyle w:val="TableFootnote"/>
      </w:pPr>
      <w:proofErr w:type="gramStart"/>
      <w:r>
        <w:t>np</w:t>
      </w:r>
      <w:proofErr w:type="gramEnd"/>
      <w:r>
        <w:t xml:space="preserve"> </w:t>
      </w:r>
      <w:r>
        <w:tab/>
        <w:t>Not available for publication because of small cell size, but included in totals where applicable.</w:t>
      </w:r>
    </w:p>
    <w:p w:rsidR="002A4F8B" w:rsidRDefault="002A4F8B" w:rsidP="002A4F8B">
      <w:pPr>
        <w:pStyle w:val="Caption"/>
        <w:keepNext/>
        <w:pageBreakBefore/>
      </w:pPr>
      <w:bookmarkStart w:id="445" w:name="_Toc414878975"/>
      <w:bookmarkStart w:id="446" w:name="_Toc414879547"/>
      <w:r>
        <w:lastRenderedPageBreak/>
        <w:t>Table S-</w:t>
      </w:r>
      <w:r>
        <w:rPr>
          <w:noProof/>
        </w:rPr>
        <w:t>67</w:t>
      </w:r>
      <w:r>
        <w:t>: Use of protection during last sexual intercourse</w:t>
      </w:r>
      <w:r w:rsidRPr="00D62CA7">
        <w:t xml:space="preserve"> </w:t>
      </w:r>
      <w:r>
        <w:t xml:space="preserve">or consumption of alcohol or drugs prior to last sexual intercourse </w:t>
      </w:r>
      <w:r w:rsidRPr="00D62CA7">
        <w:t>among 13-17 year</w:t>
      </w:r>
      <w:r>
        <w:t>-old</w:t>
      </w:r>
      <w:r w:rsidRPr="00D62CA7">
        <w:t>s who have ever had sex</w:t>
      </w:r>
      <w:r>
        <w:t>ual intercourse</w:t>
      </w:r>
      <w:r w:rsidRPr="00D62CA7">
        <w:t xml:space="preserve"> </w:t>
      </w:r>
      <w:r w:rsidRPr="007C2340">
        <w:t xml:space="preserve">by sex and </w:t>
      </w:r>
      <w:r>
        <w:t xml:space="preserve">adolescent self-reported </w:t>
      </w:r>
      <w:r w:rsidRPr="007C2340">
        <w:t>SDQ rating</w:t>
      </w:r>
      <w:bookmarkEnd w:id="445"/>
      <w:bookmarkEnd w:id="446"/>
    </w:p>
    <w:tbl>
      <w:tblPr>
        <w:tblW w:w="9124" w:type="dxa"/>
        <w:jc w:val="center"/>
        <w:tblLayout w:type="fixed"/>
        <w:tblCellMar>
          <w:left w:w="0" w:type="dxa"/>
          <w:right w:w="0" w:type="dxa"/>
        </w:tblCellMar>
        <w:tblLook w:val="0020" w:firstRow="1" w:lastRow="0" w:firstColumn="0" w:lastColumn="0" w:noHBand="0" w:noVBand="0"/>
        <w:tblDescription w:val="In Table S-67 the first column defines sex and the second column defines SDQ scale rating and subscales. Read across the rows for the prevalence of used a condom, used birth control pills, did not use any method to prevent pregnancy or sexually transmitted diseases, and finally drank alcohol or used drugs in each group."/>
      </w:tblPr>
      <w:tblGrid>
        <w:gridCol w:w="917"/>
        <w:gridCol w:w="2800"/>
        <w:gridCol w:w="1358"/>
        <w:gridCol w:w="1357"/>
        <w:gridCol w:w="1372"/>
        <w:gridCol w:w="1320"/>
      </w:tblGrid>
      <w:tr w:rsidR="002A4F8B" w:rsidRPr="00E56A00" w:rsidTr="00302454">
        <w:trPr>
          <w:cantSplit/>
          <w:tblHeader/>
          <w:jc w:val="center"/>
        </w:trPr>
        <w:tc>
          <w:tcPr>
            <w:tcW w:w="917"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Sex</w:t>
            </w:r>
          </w:p>
        </w:tc>
        <w:tc>
          <w:tcPr>
            <w:tcW w:w="2800"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SDQ scale rating and subscales</w:t>
            </w:r>
          </w:p>
        </w:tc>
        <w:tc>
          <w:tcPr>
            <w:tcW w:w="135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Used a condom (%)</w:t>
            </w:r>
          </w:p>
        </w:tc>
        <w:tc>
          <w:tcPr>
            <w:tcW w:w="1357"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Used birth control pills (%)</w:t>
            </w:r>
          </w:p>
        </w:tc>
        <w:tc>
          <w:tcPr>
            <w:tcW w:w="137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Did not use any method to prevent pregnancy or sexually transmitted infections (%)</w:t>
            </w:r>
          </w:p>
        </w:tc>
        <w:tc>
          <w:tcPr>
            <w:tcW w:w="1320"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Drank alcohol or used drugs (%)</w:t>
            </w:r>
          </w:p>
        </w:tc>
      </w:tr>
      <w:tr w:rsidR="002A4F8B" w:rsidRPr="00E56A00" w:rsidTr="00302454">
        <w:trPr>
          <w:cantSplit/>
          <w:jc w:val="center"/>
        </w:trPr>
        <w:tc>
          <w:tcPr>
            <w:tcW w:w="917"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Males</w:t>
            </w: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79"/>
              </w:tabs>
              <w:rPr>
                <w:lang w:eastAsia="en-AU"/>
              </w:rPr>
            </w:pPr>
            <w:r w:rsidRPr="00E56A00">
              <w:rPr>
                <w:lang w:eastAsia="en-AU"/>
              </w:rPr>
              <w:tab/>
              <w:t>Normal</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76.8</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31.9</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7.5</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21.1</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Borderline</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47.1</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26.5</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24.7</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37.8</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Abnormal</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49.9</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44.9</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49.2</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Subscales</w:t>
            </w:r>
            <w:r>
              <w:rPr>
                <w:lang w:eastAsia="en-AU"/>
              </w:rPr>
              <w:t xml:space="preserve"> in abnormal range</w:t>
            </w:r>
            <w:r w:rsidRPr="00E56A00">
              <w:rPr>
                <w:lang w:eastAsia="en-AU"/>
              </w:rPr>
              <w:t>—</w:t>
            </w:r>
          </w:p>
          <w:p w:rsidR="002A4F8B" w:rsidRPr="00E56A00" w:rsidRDefault="002A4F8B" w:rsidP="00302454">
            <w:pPr>
              <w:pStyle w:val="TableRowHeadings"/>
              <w:tabs>
                <w:tab w:val="left" w:pos="279"/>
              </w:tabs>
              <w:rPr>
                <w:lang w:eastAsia="en-AU"/>
              </w:rPr>
            </w:pPr>
            <w:r w:rsidRPr="00E56A00">
              <w:rPr>
                <w:lang w:eastAsia="en-AU"/>
              </w:rPr>
              <w:tab/>
              <w:t>Emotional symptoms</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53.8</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41.0</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42.6</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Conduct problems</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45.9</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26.4</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24.3</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45.9</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Hyperactivity</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51.4</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30.0</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16.6</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43.6</w:t>
            </w:r>
          </w:p>
        </w:tc>
      </w:tr>
      <w:tr w:rsidR="002A4F8B" w:rsidRPr="00E56A00" w:rsidTr="00302454">
        <w:trPr>
          <w:cantSplit/>
          <w:jc w:val="center"/>
        </w:trPr>
        <w:tc>
          <w:tcPr>
            <w:tcW w:w="917" w:type="dxa"/>
            <w:vMerge/>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Peer problems</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57.6</w:t>
            </w:r>
          </w:p>
        </w:tc>
      </w:tr>
      <w:tr w:rsidR="002A4F8B" w:rsidRPr="00E56A00" w:rsidTr="00302454">
        <w:trPr>
          <w:cantSplit/>
          <w:jc w:val="center"/>
        </w:trPr>
        <w:tc>
          <w:tcPr>
            <w:tcW w:w="917"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Females</w:t>
            </w: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79"/>
              </w:tabs>
              <w:rPr>
                <w:lang w:eastAsia="en-AU"/>
              </w:rPr>
            </w:pPr>
            <w:r w:rsidRPr="00E56A00">
              <w:rPr>
                <w:lang w:eastAsia="en-AU"/>
              </w:rPr>
              <w:tab/>
              <w:t>Normal</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69.3</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41.9</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11.1</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15.4</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Borderline</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64.4</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54.6</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Pr>
                <w:lang w:eastAsia="en-AU"/>
              </w:rPr>
              <w:t>np</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25.4</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Abnormal</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51.0</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47.5</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13.8</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30.8</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Subscales</w:t>
            </w:r>
            <w:r>
              <w:rPr>
                <w:lang w:eastAsia="en-AU"/>
              </w:rPr>
              <w:t xml:space="preserve"> in abnormal range</w:t>
            </w:r>
            <w:r w:rsidRPr="00E56A00">
              <w:rPr>
                <w:lang w:eastAsia="en-AU"/>
              </w:rPr>
              <w:t>—</w:t>
            </w:r>
          </w:p>
          <w:p w:rsidR="002A4F8B" w:rsidRPr="00E56A00" w:rsidRDefault="002A4F8B" w:rsidP="00302454">
            <w:pPr>
              <w:pStyle w:val="TableRowHeadings"/>
              <w:tabs>
                <w:tab w:val="left" w:pos="279"/>
              </w:tabs>
              <w:rPr>
                <w:lang w:eastAsia="en-AU"/>
              </w:rPr>
            </w:pPr>
            <w:r w:rsidRPr="00E56A00">
              <w:rPr>
                <w:lang w:eastAsia="en-AU"/>
              </w:rPr>
              <w:tab/>
              <w:t>Emotional symptoms</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50.1</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47.9</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15.3</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25.7</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Conduct problems</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47.1</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34.2</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23.9</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32.7</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Hyperactivity</w:t>
            </w:r>
          </w:p>
        </w:tc>
        <w:tc>
          <w:tcPr>
            <w:tcW w:w="1358"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61.1</w:t>
            </w:r>
          </w:p>
        </w:tc>
        <w:tc>
          <w:tcPr>
            <w:tcW w:w="1357"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43.1</w:t>
            </w:r>
          </w:p>
        </w:tc>
        <w:tc>
          <w:tcPr>
            <w:tcW w:w="1372"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22.3</w:t>
            </w:r>
          </w:p>
        </w:tc>
        <w:tc>
          <w:tcPr>
            <w:tcW w:w="1320" w:type="dxa"/>
            <w:tcBorders>
              <w:top w:val="nil"/>
              <w:left w:val="nil"/>
              <w:bottom w:val="nil"/>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37.4</w:t>
            </w:r>
          </w:p>
        </w:tc>
      </w:tr>
      <w:tr w:rsidR="002A4F8B" w:rsidRPr="00E56A00" w:rsidTr="00302454">
        <w:trPr>
          <w:cantSplit/>
          <w:jc w:val="center"/>
        </w:trPr>
        <w:tc>
          <w:tcPr>
            <w:tcW w:w="917" w:type="dxa"/>
            <w:vMerge/>
            <w:tcBorders>
              <w:top w:val="single" w:sz="6" w:space="0" w:color="000000"/>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rFonts w:ascii="Times New Roman" w:hAnsi="Times New Roman" w:cs="Times New Roman"/>
                <w:sz w:val="24"/>
                <w:szCs w:val="24"/>
                <w:lang w:eastAsia="en-AU"/>
              </w:rPr>
            </w:pPr>
          </w:p>
        </w:tc>
        <w:tc>
          <w:tcPr>
            <w:tcW w:w="2800" w:type="dxa"/>
            <w:tcBorders>
              <w:top w:val="nil"/>
              <w:left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79"/>
              </w:tabs>
              <w:rPr>
                <w:lang w:eastAsia="en-AU"/>
              </w:rPr>
            </w:pPr>
            <w:r w:rsidRPr="00E56A00">
              <w:rPr>
                <w:lang w:eastAsia="en-AU"/>
              </w:rPr>
              <w:tab/>
              <w:t>Peer problems</w:t>
            </w:r>
          </w:p>
        </w:tc>
        <w:tc>
          <w:tcPr>
            <w:tcW w:w="1358"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35.7</w:t>
            </w:r>
          </w:p>
        </w:tc>
        <w:tc>
          <w:tcPr>
            <w:tcW w:w="1357"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38.6</w:t>
            </w:r>
          </w:p>
        </w:tc>
        <w:tc>
          <w:tcPr>
            <w:tcW w:w="1372"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19.1</w:t>
            </w:r>
          </w:p>
        </w:tc>
        <w:tc>
          <w:tcPr>
            <w:tcW w:w="1320" w:type="dxa"/>
            <w:tcBorders>
              <w:top w:val="nil"/>
              <w:left w:val="nil"/>
              <w:bottom w:val="single" w:sz="6" w:space="0" w:color="000000"/>
              <w:right w:val="nil"/>
            </w:tcBorders>
            <w:shd w:val="clear" w:color="auto" w:fill="FFFFFF"/>
            <w:tcMar>
              <w:left w:w="40" w:type="dxa"/>
              <w:right w:w="40" w:type="dxa"/>
            </w:tcMar>
            <w:vAlign w:val="bottom"/>
          </w:tcPr>
          <w:p w:rsidR="002A4F8B" w:rsidRPr="00E56A00" w:rsidRDefault="002A4F8B" w:rsidP="00302454">
            <w:pPr>
              <w:pStyle w:val="TableDataCell"/>
              <w:rPr>
                <w:lang w:eastAsia="en-AU"/>
              </w:rPr>
            </w:pPr>
            <w:r w:rsidRPr="00E56A00">
              <w:rPr>
                <w:lang w:eastAsia="en-AU"/>
              </w:rPr>
              <w:t>20.7</w:t>
            </w:r>
          </w:p>
        </w:tc>
      </w:tr>
    </w:tbl>
    <w:p w:rsidR="002A4F8B" w:rsidRPr="00E56A00" w:rsidRDefault="002A4F8B" w:rsidP="00653114">
      <w:pPr>
        <w:pStyle w:val="TableFootnote"/>
      </w:pPr>
      <w:proofErr w:type="gramStart"/>
      <w:r>
        <w:t>np</w:t>
      </w:r>
      <w:proofErr w:type="gramEnd"/>
      <w:r>
        <w:t xml:space="preserve"> </w:t>
      </w:r>
      <w:r>
        <w:tab/>
        <w:t>Not available for publication because of small cell size, but included in totals where applicable.</w:t>
      </w:r>
    </w:p>
    <w:p w:rsidR="002A4F8B" w:rsidRDefault="002A4F8B" w:rsidP="002A4F8B">
      <w:pPr>
        <w:pStyle w:val="Heading2"/>
        <w:pageBreakBefore/>
        <w:spacing w:before="0"/>
      </w:pPr>
      <w:bookmarkStart w:id="447" w:name="_Toc414878976"/>
      <w:bookmarkStart w:id="448" w:name="_Toc414879548"/>
      <w:r>
        <w:lastRenderedPageBreak/>
        <w:t>Problem eating behaviours</w:t>
      </w:r>
      <w:bookmarkEnd w:id="447"/>
      <w:bookmarkEnd w:id="448"/>
    </w:p>
    <w:p w:rsidR="002A4F8B" w:rsidRDefault="002A4F8B" w:rsidP="002A4F8B">
      <w:pPr>
        <w:pStyle w:val="Caption"/>
        <w:keepNext/>
      </w:pPr>
      <w:bookmarkStart w:id="449" w:name="_Toc414878977"/>
      <w:bookmarkStart w:id="450" w:name="_Toc414879549"/>
      <w:r>
        <w:t>Table S-</w:t>
      </w:r>
      <w:r>
        <w:rPr>
          <w:noProof/>
        </w:rPr>
        <w:t>68</w:t>
      </w:r>
      <w:r>
        <w:t>: Problem</w:t>
      </w:r>
      <w:r w:rsidRPr="007541CE">
        <w:t xml:space="preserve"> eating behaviours </w:t>
      </w:r>
      <w:r>
        <w:t xml:space="preserve">and weight control behaviours </w:t>
      </w:r>
      <w:r w:rsidRPr="007541CE">
        <w:t>in the past 12 months among 11-17 year-olds by sex and age group</w:t>
      </w:r>
      <w:bookmarkEnd w:id="449"/>
      <w:bookmarkEnd w:id="450"/>
    </w:p>
    <w:tbl>
      <w:tblPr>
        <w:tblW w:w="9122" w:type="dxa"/>
        <w:jc w:val="center"/>
        <w:tblLayout w:type="fixed"/>
        <w:tblCellMar>
          <w:left w:w="0" w:type="dxa"/>
          <w:right w:w="0" w:type="dxa"/>
        </w:tblCellMar>
        <w:tblLook w:val="0020" w:firstRow="1" w:lastRow="0" w:firstColumn="0" w:lastColumn="0" w:noHBand="0" w:noVBand="0"/>
        <w:tblDescription w:val="In Table S-68 the first column defines age group, and the second column defines eating behaviour. Read across the rows for the prevalence of each behaviour in males, females and finally persons."/>
      </w:tblPr>
      <w:tblGrid>
        <w:gridCol w:w="1363"/>
        <w:gridCol w:w="3643"/>
        <w:gridCol w:w="1372"/>
        <w:gridCol w:w="1372"/>
        <w:gridCol w:w="1372"/>
      </w:tblGrid>
      <w:tr w:rsidR="002A4F8B" w:rsidRPr="007C329B" w:rsidTr="00302454">
        <w:trPr>
          <w:cantSplit/>
          <w:tblHeader/>
          <w:jc w:val="center"/>
        </w:trPr>
        <w:tc>
          <w:tcPr>
            <w:tcW w:w="1363"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Age group</w:t>
            </w:r>
          </w:p>
        </w:tc>
        <w:tc>
          <w:tcPr>
            <w:tcW w:w="3643"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Eating behaviour</w:t>
            </w:r>
          </w:p>
        </w:tc>
        <w:tc>
          <w:tcPr>
            <w:tcW w:w="137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Males (%)</w:t>
            </w:r>
          </w:p>
        </w:tc>
        <w:tc>
          <w:tcPr>
            <w:tcW w:w="1372"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Females (%)</w:t>
            </w:r>
          </w:p>
        </w:tc>
        <w:tc>
          <w:tcPr>
            <w:tcW w:w="1372"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Persons (%)</w:t>
            </w:r>
          </w:p>
        </w:tc>
      </w:tr>
      <w:tr w:rsidR="002A4F8B" w:rsidRPr="007C329B" w:rsidTr="00302454">
        <w:trPr>
          <w:cantSplit/>
          <w:jc w:val="center"/>
        </w:trPr>
        <w:tc>
          <w:tcPr>
            <w:tcW w:w="1363" w:type="dxa"/>
            <w:vMerge w:val="restart"/>
            <w:tcBorders>
              <w:top w:val="single" w:sz="4" w:space="0" w:color="000000"/>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11-15 years</w:t>
            </w: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 diet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20.7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31.7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25.9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23.2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25.7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24.4</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Regularly exercised when supposed to be doing other things, or while injured, in order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39.1</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37.3</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12.4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15.4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13.8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4.1</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5.3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4.7</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2.9</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5.5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6.1</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5.8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1.5</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Low weight problem eating behaviours</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0.8</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1.3</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1.1</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Binge eating and purging problem eating behaviours</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1.0</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1.1</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1.0</w:t>
            </w:r>
          </w:p>
        </w:tc>
      </w:tr>
      <w:tr w:rsidR="002A4F8B" w:rsidRPr="007C329B" w:rsidTr="00302454">
        <w:trPr>
          <w:cantSplit/>
          <w:jc w:val="center"/>
        </w:trPr>
        <w:tc>
          <w:tcPr>
            <w:tcW w:w="1363"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Pr>
                <w:lang w:eastAsia="en-AU"/>
              </w:rPr>
              <w:t>16-17 years</w:t>
            </w: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 diet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15.2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45.1</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30.6</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35.1</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37.8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36.5</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10.0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8.4</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Regularly exercised when supposed to be doing other things, or while injured, in order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28.4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38.9</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33.8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9.9</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24.5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17.4</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7.6</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4.8</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10.8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6.4</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Pr>
                <w:lang w:eastAsia="en-AU"/>
              </w:rPr>
              <w:t>np</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1.6</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5.3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Pr>
                <w:lang w:eastAsia="en-AU"/>
              </w:rPr>
              <w:t>np</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1.9</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1.3</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13.5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8.1</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2.9</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Low weight problem eating behaviours</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np</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2.0</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1.1</w:t>
            </w:r>
          </w:p>
        </w:tc>
      </w:tr>
      <w:tr w:rsidR="002A4F8B" w:rsidRPr="007C329B" w:rsidTr="00302454">
        <w:trPr>
          <w:cantSplit/>
          <w:jc w:val="center"/>
        </w:trPr>
        <w:tc>
          <w:tcPr>
            <w:tcW w:w="1363" w:type="dxa"/>
            <w:vMerge/>
            <w:tcBorders>
              <w:top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Binge eating and purging problem eating behaviours</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np</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3.0</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1.8</w:t>
            </w:r>
          </w:p>
        </w:tc>
      </w:tr>
      <w:tr w:rsidR="002A4F8B" w:rsidRPr="007C329B" w:rsidTr="00302454">
        <w:trPr>
          <w:cantSplit/>
          <w:jc w:val="center"/>
        </w:trPr>
        <w:tc>
          <w:tcPr>
            <w:tcW w:w="1363"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11-17 years</w:t>
            </w: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 diet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19.2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27.2</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26.5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29.4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27.9</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Went on an eating binge,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5.1</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Regularly exercised when supposed to be doing other things, or while injured, in order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33.7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39.0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36.3</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11.7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18.2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14.9</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Fasted for at least a day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4.7</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3.0</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4.6</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1.8</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1.2</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3.5</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3.0</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0.7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1.3</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1.0</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4.6</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8.4</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6.5</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7C329B" w:rsidRDefault="002A4F8B" w:rsidP="00302454">
            <w:pPr>
              <w:pStyle w:val="TableRowHeadings"/>
              <w:rPr>
                <w:lang w:eastAsia="en-AU"/>
              </w:rPr>
            </w:pPr>
            <w:r w:rsidRPr="007C329B">
              <w:rPr>
                <w:lang w:eastAsia="en-AU"/>
              </w:rPr>
              <w:t>Vomited or took laxatives to control weight, at least once a week</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1.2</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2.7</w:t>
            </w:r>
          </w:p>
        </w:tc>
        <w:tc>
          <w:tcPr>
            <w:tcW w:w="1372" w:type="dxa"/>
            <w:tcBorders>
              <w:top w:val="nil"/>
              <w:left w:val="nil"/>
              <w:bottom w:val="nil"/>
              <w:right w:val="nil"/>
            </w:tcBorders>
            <w:shd w:val="clear" w:color="auto" w:fill="FFFFFF"/>
            <w:tcMar>
              <w:left w:w="40" w:type="dxa"/>
              <w:right w:w="40" w:type="dxa"/>
            </w:tcMar>
            <w:vAlign w:val="bottom"/>
          </w:tcPr>
          <w:p w:rsidR="002A4F8B" w:rsidRPr="007C329B" w:rsidRDefault="002A4F8B" w:rsidP="00302454">
            <w:pPr>
              <w:pStyle w:val="TableDataCell"/>
              <w:rPr>
                <w:lang w:eastAsia="en-AU"/>
              </w:rPr>
            </w:pPr>
            <w:r w:rsidRPr="007C329B">
              <w:rPr>
                <w:lang w:eastAsia="en-AU"/>
              </w:rPr>
              <w:t>1.9</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4" w:space="0" w:color="FFFFFF"/>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Low weight problem eating behaviours</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0.7</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1.5</w:t>
            </w:r>
          </w:p>
        </w:tc>
        <w:tc>
          <w:tcPr>
            <w:tcW w:w="1372" w:type="dxa"/>
            <w:tcBorders>
              <w:top w:val="nil"/>
              <w:left w:val="nil"/>
              <w:bottom w:val="nil"/>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1.1</w:t>
            </w:r>
          </w:p>
        </w:tc>
      </w:tr>
      <w:tr w:rsidR="002A4F8B" w:rsidRPr="007C329B" w:rsidTr="00302454">
        <w:trPr>
          <w:cantSplit/>
          <w:jc w:val="center"/>
        </w:trPr>
        <w:tc>
          <w:tcPr>
            <w:tcW w:w="1363" w:type="dxa"/>
            <w:vMerge/>
            <w:tcBorders>
              <w:top w:val="single" w:sz="6" w:space="0" w:color="000000"/>
              <w:bottom w:val="single" w:sz="6" w:space="0" w:color="000000"/>
              <w:right w:val="nil"/>
            </w:tcBorders>
            <w:shd w:val="clear" w:color="auto" w:fill="EFF3FF"/>
            <w:tcMar>
              <w:left w:w="40" w:type="dxa"/>
              <w:right w:w="40" w:type="dxa"/>
            </w:tcMar>
          </w:tcPr>
          <w:p w:rsidR="002A4F8B" w:rsidRPr="007C329B" w:rsidRDefault="002A4F8B" w:rsidP="00302454">
            <w:pPr>
              <w:pStyle w:val="TableRowHeadings"/>
              <w:rPr>
                <w:rFonts w:ascii="Times New Roman" w:hAnsi="Times New Roman" w:cs="Times New Roman"/>
                <w:sz w:val="24"/>
                <w:szCs w:val="24"/>
                <w:lang w:eastAsia="en-AU"/>
              </w:rPr>
            </w:pPr>
          </w:p>
        </w:tc>
        <w:tc>
          <w:tcPr>
            <w:tcW w:w="3643" w:type="dxa"/>
            <w:tcBorders>
              <w:top w:val="nil"/>
              <w:left w:val="single" w:sz="4" w:space="0" w:color="FFFFFF"/>
              <w:bottom w:val="single" w:sz="6" w:space="0" w:color="000000"/>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Binge eating and purging problem eating behaviours</w:t>
            </w:r>
          </w:p>
        </w:tc>
        <w:tc>
          <w:tcPr>
            <w:tcW w:w="1372" w:type="dxa"/>
            <w:tcBorders>
              <w:top w:val="nil"/>
              <w:left w:val="nil"/>
              <w:bottom w:val="single" w:sz="6" w:space="0" w:color="000000"/>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0.9</w:t>
            </w:r>
          </w:p>
        </w:tc>
        <w:tc>
          <w:tcPr>
            <w:tcW w:w="1372" w:type="dxa"/>
            <w:tcBorders>
              <w:top w:val="nil"/>
              <w:left w:val="nil"/>
              <w:bottom w:val="single" w:sz="6" w:space="0" w:color="000000"/>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1.7</w:t>
            </w:r>
          </w:p>
        </w:tc>
        <w:tc>
          <w:tcPr>
            <w:tcW w:w="1372" w:type="dxa"/>
            <w:tcBorders>
              <w:top w:val="nil"/>
              <w:left w:val="nil"/>
              <w:bottom w:val="single" w:sz="6" w:space="0" w:color="000000"/>
              <w:right w:val="nil"/>
            </w:tcBorders>
            <w:shd w:val="clear" w:color="auto" w:fill="FFFFFF"/>
            <w:tcMar>
              <w:left w:w="40" w:type="dxa"/>
              <w:right w:w="40" w:type="dxa"/>
            </w:tcMar>
            <w:vAlign w:val="bottom"/>
          </w:tcPr>
          <w:p w:rsidR="002A4F8B" w:rsidRPr="002C7D4D" w:rsidRDefault="002A4F8B" w:rsidP="00302454">
            <w:pPr>
              <w:pStyle w:val="TableDataCell"/>
              <w:rPr>
                <w:rStyle w:val="Strong"/>
              </w:rPr>
            </w:pPr>
            <w:r w:rsidRPr="002C7D4D">
              <w:rPr>
                <w:rStyle w:val="Strong"/>
              </w:rPr>
              <w:t>1.3</w:t>
            </w:r>
          </w:p>
        </w:tc>
      </w:tr>
    </w:tbl>
    <w:p w:rsidR="002A4F8B" w:rsidRDefault="002A4F8B" w:rsidP="002A4F8B">
      <w:pPr>
        <w:pStyle w:val="TableFootnote"/>
        <w:rPr>
          <w:rFonts w:cs="Myriad Pro"/>
        </w:rPr>
      </w:pPr>
      <w:proofErr w:type="gramStart"/>
      <w:r>
        <w:t>np</w:t>
      </w:r>
      <w:proofErr w:type="gramEnd"/>
      <w:r>
        <w:t xml:space="preserve"> </w:t>
      </w:r>
      <w:r>
        <w:tab/>
        <w:t>Not available for publication because of small cell size, but included in totals where applicable.</w:t>
      </w:r>
    </w:p>
    <w:p w:rsidR="002A4F8B" w:rsidRDefault="002A4F8B" w:rsidP="002A4F8B">
      <w:pPr>
        <w:pStyle w:val="Heading2"/>
        <w:pageBreakBefore/>
      </w:pPr>
      <w:bookmarkStart w:id="451" w:name="_Toc414878978"/>
      <w:bookmarkStart w:id="452" w:name="_Toc414879550"/>
      <w:r>
        <w:lastRenderedPageBreak/>
        <w:t>Bullying</w:t>
      </w:r>
      <w:bookmarkEnd w:id="451"/>
      <w:bookmarkEnd w:id="452"/>
    </w:p>
    <w:p w:rsidR="002A4F8B" w:rsidRDefault="002A4F8B" w:rsidP="002A4F8B">
      <w:pPr>
        <w:pStyle w:val="Caption"/>
        <w:keepNext/>
      </w:pPr>
      <w:bookmarkStart w:id="453" w:name="_Toc414878979"/>
      <w:bookmarkStart w:id="454" w:name="_Toc414879551"/>
      <w:r>
        <w:t>Table S-</w:t>
      </w:r>
      <w:r>
        <w:rPr>
          <w:noProof/>
        </w:rPr>
        <w:t>69</w:t>
      </w:r>
      <w:r>
        <w:t xml:space="preserve">: </w:t>
      </w:r>
      <w:r w:rsidRPr="00C36177">
        <w:t>Frequency of bullying in previous 12 months in 11-17 year-olds by sex and age group</w:t>
      </w:r>
      <w:bookmarkEnd w:id="453"/>
      <w:bookmarkEnd w:id="454"/>
    </w:p>
    <w:tbl>
      <w:tblPr>
        <w:tblW w:w="9155" w:type="dxa"/>
        <w:jc w:val="center"/>
        <w:tblLayout w:type="fixed"/>
        <w:tblCellMar>
          <w:left w:w="0" w:type="dxa"/>
          <w:right w:w="0" w:type="dxa"/>
        </w:tblCellMar>
        <w:tblLook w:val="0020" w:firstRow="1" w:lastRow="0" w:firstColumn="0" w:lastColumn="0" w:noHBand="0" w:noVBand="0"/>
        <w:tblDescription w:val="In Table S-69 the first column defines age group, and the second column defines frequency of bullying. Read across each row for the prevalence of each frequency of bullying in males, females and finally persons."/>
      </w:tblPr>
      <w:tblGrid>
        <w:gridCol w:w="975"/>
        <w:gridCol w:w="3416"/>
        <w:gridCol w:w="1588"/>
        <w:gridCol w:w="1588"/>
        <w:gridCol w:w="1588"/>
      </w:tblGrid>
      <w:tr w:rsidR="002A4F8B" w:rsidRPr="008409E8" w:rsidTr="00302454">
        <w:trPr>
          <w:cantSplit/>
          <w:tblHeader/>
          <w:jc w:val="center"/>
        </w:trPr>
        <w:tc>
          <w:tcPr>
            <w:tcW w:w="975"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jc w:val="left"/>
              <w:rPr>
                <w:rStyle w:val="Strong"/>
              </w:rPr>
            </w:pPr>
            <w:r w:rsidRPr="002C7D4D">
              <w:rPr>
                <w:rStyle w:val="Strong"/>
              </w:rPr>
              <w:t>Age group</w:t>
            </w:r>
          </w:p>
        </w:tc>
        <w:tc>
          <w:tcPr>
            <w:tcW w:w="3416" w:type="dxa"/>
            <w:tcBorders>
              <w:top w:val="single" w:sz="6" w:space="0" w:color="000000"/>
              <w:left w:val="single" w:sz="4" w:space="0" w:color="FFFFFF"/>
              <w:bottom w:val="single" w:sz="4" w:space="0" w:color="000000"/>
              <w:right w:val="nil"/>
            </w:tcBorders>
            <w:shd w:val="clear" w:color="auto" w:fill="EFF3FF"/>
            <w:vAlign w:val="bottom"/>
          </w:tcPr>
          <w:p w:rsidR="002A4F8B" w:rsidRPr="002C7D4D" w:rsidRDefault="002A4F8B" w:rsidP="00302454">
            <w:pPr>
              <w:pStyle w:val="TableColumnHeadings"/>
              <w:jc w:val="left"/>
              <w:rPr>
                <w:rStyle w:val="Strong"/>
              </w:rPr>
            </w:pPr>
            <w:r w:rsidRPr="002C7D4D">
              <w:rPr>
                <w:rStyle w:val="Strong"/>
              </w:rPr>
              <w:t>Frequency of bullying</w:t>
            </w:r>
          </w:p>
        </w:tc>
        <w:tc>
          <w:tcPr>
            <w:tcW w:w="15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Males (%)</w:t>
            </w:r>
          </w:p>
        </w:tc>
        <w:tc>
          <w:tcPr>
            <w:tcW w:w="1588"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Females (%)</w:t>
            </w:r>
          </w:p>
        </w:tc>
        <w:tc>
          <w:tcPr>
            <w:tcW w:w="1588"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2C7D4D" w:rsidRDefault="002A4F8B" w:rsidP="00302454">
            <w:pPr>
              <w:pStyle w:val="TableColumnHeadings"/>
              <w:rPr>
                <w:rStyle w:val="Strong"/>
              </w:rPr>
            </w:pPr>
            <w:r w:rsidRPr="002C7D4D">
              <w:rPr>
                <w:rStyle w:val="Strong"/>
              </w:rPr>
              <w:t>Persons (%)</w:t>
            </w:r>
          </w:p>
        </w:tc>
      </w:tr>
      <w:tr w:rsidR="002A4F8B" w:rsidRPr="008409E8" w:rsidTr="00302454">
        <w:trPr>
          <w:cantSplit/>
          <w:jc w:val="center"/>
        </w:trPr>
        <w:tc>
          <w:tcPr>
            <w:tcW w:w="975" w:type="dxa"/>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Pr>
                <w:lang w:eastAsia="en-AU"/>
              </w:rPr>
              <w:t>11-15 years</w:t>
            </w: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not bullied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65.8</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60.2</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63.2</w:t>
            </w:r>
          </w:p>
        </w:tc>
      </w:tr>
      <w:tr w:rsidR="002A4F8B" w:rsidRPr="008409E8" w:rsidTr="00302454">
        <w:trPr>
          <w:cantSplit/>
          <w:jc w:val="center"/>
        </w:trPr>
        <w:tc>
          <w:tcPr>
            <w:tcW w:w="975" w:type="dxa"/>
            <w:vMerge/>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Once or twice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19.9</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20.3</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20.1</w:t>
            </w:r>
          </w:p>
        </w:tc>
      </w:tr>
      <w:tr w:rsidR="002A4F8B" w:rsidRPr="008409E8" w:rsidTr="00302454">
        <w:trPr>
          <w:cantSplit/>
          <w:jc w:val="center"/>
        </w:trPr>
        <w:tc>
          <w:tcPr>
            <w:tcW w:w="975" w:type="dxa"/>
            <w:vMerge/>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4.6</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6.7</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5.6</w:t>
            </w:r>
          </w:p>
        </w:tc>
      </w:tr>
      <w:tr w:rsidR="002A4F8B" w:rsidRPr="008409E8" w:rsidTr="00302454">
        <w:trPr>
          <w:cantSplit/>
          <w:jc w:val="center"/>
        </w:trPr>
        <w:tc>
          <w:tcPr>
            <w:tcW w:w="975" w:type="dxa"/>
            <w:vMerge/>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weeks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3.0</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4.7</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3.8</w:t>
            </w:r>
          </w:p>
        </w:tc>
      </w:tr>
      <w:tr w:rsidR="002A4F8B" w:rsidRPr="008409E8" w:rsidTr="00302454">
        <w:trPr>
          <w:cantSplit/>
          <w:jc w:val="center"/>
        </w:trPr>
        <w:tc>
          <w:tcPr>
            <w:tcW w:w="975" w:type="dxa"/>
            <w:vMerge/>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about once a week</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2.9</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2.6</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2.8</w:t>
            </w:r>
          </w:p>
        </w:tc>
      </w:tr>
      <w:tr w:rsidR="002A4F8B" w:rsidRPr="008409E8" w:rsidTr="00302454">
        <w:trPr>
          <w:cantSplit/>
          <w:jc w:val="center"/>
        </w:trPr>
        <w:tc>
          <w:tcPr>
            <w:tcW w:w="975" w:type="dxa"/>
            <w:vMerge/>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most days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3.8</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5.4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4.6</w:t>
            </w:r>
          </w:p>
        </w:tc>
      </w:tr>
      <w:tr w:rsidR="002A4F8B" w:rsidRPr="008409E8" w:rsidTr="00302454">
        <w:trPr>
          <w:cantSplit/>
          <w:jc w:val="center"/>
        </w:trPr>
        <w:tc>
          <w:tcPr>
            <w:tcW w:w="975"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Pr>
                <w:lang w:eastAsia="en-AU"/>
              </w:rPr>
              <w:t>16-17 years</w:t>
            </w: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not bullied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75.3</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68.9</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72.0</w:t>
            </w:r>
          </w:p>
        </w:tc>
      </w:tr>
      <w:tr w:rsidR="002A4F8B" w:rsidRPr="008409E8" w:rsidTr="00302454">
        <w:trPr>
          <w:cantSplit/>
          <w:jc w:val="center"/>
        </w:trPr>
        <w:tc>
          <w:tcPr>
            <w:tcW w:w="975" w:type="dxa"/>
            <w:vMerge/>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Once or twice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14.4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18.7</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16.6</w:t>
            </w:r>
          </w:p>
        </w:tc>
      </w:tr>
      <w:tr w:rsidR="002A4F8B" w:rsidRPr="008409E8" w:rsidTr="00302454">
        <w:trPr>
          <w:cantSplit/>
          <w:jc w:val="center"/>
        </w:trPr>
        <w:tc>
          <w:tcPr>
            <w:tcW w:w="975" w:type="dxa"/>
            <w:vMerge/>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3.8</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4.6</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4.2</w:t>
            </w:r>
          </w:p>
        </w:tc>
      </w:tr>
      <w:tr w:rsidR="002A4F8B" w:rsidRPr="008409E8" w:rsidTr="00302454">
        <w:trPr>
          <w:cantSplit/>
          <w:jc w:val="center"/>
        </w:trPr>
        <w:tc>
          <w:tcPr>
            <w:tcW w:w="975" w:type="dxa"/>
            <w:vMerge/>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weeks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2.9</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2.6</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2.7</w:t>
            </w:r>
          </w:p>
        </w:tc>
      </w:tr>
      <w:tr w:rsidR="002A4F8B" w:rsidRPr="008409E8" w:rsidTr="00302454">
        <w:trPr>
          <w:cantSplit/>
          <w:jc w:val="center"/>
        </w:trPr>
        <w:tc>
          <w:tcPr>
            <w:tcW w:w="975" w:type="dxa"/>
            <w:vMerge/>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about once a week</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1.1</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1.8</w:t>
            </w:r>
          </w:p>
        </w:tc>
      </w:tr>
      <w:tr w:rsidR="002A4F8B" w:rsidRPr="008409E8" w:rsidTr="00302454">
        <w:trPr>
          <w:cantSplit/>
          <w:jc w:val="center"/>
        </w:trPr>
        <w:tc>
          <w:tcPr>
            <w:tcW w:w="975" w:type="dxa"/>
            <w:vMerge/>
            <w:tcBorders>
              <w:top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most days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2.5</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2.7</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2.6</w:t>
            </w:r>
          </w:p>
        </w:tc>
      </w:tr>
      <w:tr w:rsidR="002A4F8B" w:rsidRPr="008409E8" w:rsidTr="00302454">
        <w:trPr>
          <w:cantSplit/>
          <w:jc w:val="center"/>
        </w:trPr>
        <w:tc>
          <w:tcPr>
            <w:tcW w:w="975"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2C7D4D" w:rsidRDefault="002A4F8B" w:rsidP="00302454">
            <w:pPr>
              <w:pStyle w:val="TableRowHeadings"/>
              <w:rPr>
                <w:rStyle w:val="Strong"/>
              </w:rPr>
            </w:pPr>
            <w:r w:rsidRPr="002C7D4D">
              <w:rPr>
                <w:rStyle w:val="Strong"/>
              </w:rPr>
              <w:t>11-17 years</w:t>
            </w: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not bullied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68.4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62.9</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65.7</w:t>
            </w:r>
          </w:p>
        </w:tc>
      </w:tr>
      <w:tr w:rsidR="002A4F8B" w:rsidRPr="008409E8" w:rsidTr="00302454">
        <w:trPr>
          <w:cantSplit/>
          <w:jc w:val="center"/>
        </w:trPr>
        <w:tc>
          <w:tcPr>
            <w:tcW w:w="975" w:type="dxa"/>
            <w:vMerge/>
            <w:tcBorders>
              <w:top w:val="single" w:sz="6" w:space="0" w:color="000000"/>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Once or twice in the last 12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18.4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19.8</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19.1</w:t>
            </w:r>
          </w:p>
        </w:tc>
      </w:tr>
      <w:tr w:rsidR="002A4F8B" w:rsidRPr="008409E8" w:rsidTr="00302454">
        <w:trPr>
          <w:cantSplit/>
          <w:jc w:val="center"/>
        </w:trPr>
        <w:tc>
          <w:tcPr>
            <w:tcW w:w="975" w:type="dxa"/>
            <w:vMerge/>
            <w:tcBorders>
              <w:top w:val="single" w:sz="6" w:space="0" w:color="000000"/>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months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6.0</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5.2</w:t>
            </w:r>
          </w:p>
        </w:tc>
      </w:tr>
      <w:tr w:rsidR="002A4F8B" w:rsidRPr="008409E8" w:rsidTr="00302454">
        <w:trPr>
          <w:cantSplit/>
          <w:jc w:val="center"/>
        </w:trPr>
        <w:tc>
          <w:tcPr>
            <w:tcW w:w="975" w:type="dxa"/>
            <w:vMerge/>
            <w:tcBorders>
              <w:top w:val="single" w:sz="6" w:space="0" w:color="000000"/>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every few weeks</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3.0</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4.1</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3.5</w:t>
            </w:r>
          </w:p>
        </w:tc>
      </w:tr>
      <w:tr w:rsidR="002A4F8B" w:rsidRPr="008409E8" w:rsidTr="00302454">
        <w:trPr>
          <w:cantSplit/>
          <w:jc w:val="center"/>
        </w:trPr>
        <w:tc>
          <w:tcPr>
            <w:tcW w:w="975" w:type="dxa"/>
            <w:vMerge/>
            <w:tcBorders>
              <w:top w:val="single" w:sz="6" w:space="0" w:color="000000"/>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4" w:space="0" w:color="FFFFFF"/>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about once a week</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2.4</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2.6</w:t>
            </w:r>
          </w:p>
        </w:tc>
        <w:tc>
          <w:tcPr>
            <w:tcW w:w="1588" w:type="dxa"/>
            <w:tcBorders>
              <w:top w:val="nil"/>
              <w:left w:val="nil"/>
              <w:bottom w:val="nil"/>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2.5</w:t>
            </w:r>
          </w:p>
        </w:tc>
      </w:tr>
      <w:tr w:rsidR="002A4F8B" w:rsidRPr="008409E8" w:rsidTr="00302454">
        <w:trPr>
          <w:cantSplit/>
          <w:jc w:val="center"/>
        </w:trPr>
        <w:tc>
          <w:tcPr>
            <w:tcW w:w="975" w:type="dxa"/>
            <w:vMerge/>
            <w:tcBorders>
              <w:top w:val="single" w:sz="6" w:space="0" w:color="000000"/>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rFonts w:ascii="Times New Roman" w:hAnsi="Times New Roman" w:cs="Times New Roman"/>
                <w:sz w:val="24"/>
                <w:szCs w:val="24"/>
                <w:lang w:eastAsia="en-AU"/>
              </w:rPr>
            </w:pPr>
          </w:p>
        </w:tc>
        <w:tc>
          <w:tcPr>
            <w:tcW w:w="3416" w:type="dxa"/>
            <w:tcBorders>
              <w:top w:val="nil"/>
              <w:left w:val="single" w:sz="4" w:space="0" w:color="FFFFFF"/>
              <w:bottom w:val="single" w:sz="6" w:space="0" w:color="000000"/>
              <w:right w:val="nil"/>
            </w:tcBorders>
            <w:shd w:val="clear" w:color="auto" w:fill="EFF3FF"/>
            <w:tcMar>
              <w:left w:w="40" w:type="dxa"/>
              <w:right w:w="40" w:type="dxa"/>
            </w:tcMar>
          </w:tcPr>
          <w:p w:rsidR="002A4F8B" w:rsidRPr="008409E8" w:rsidRDefault="002A4F8B" w:rsidP="00302454">
            <w:pPr>
              <w:pStyle w:val="TableRowHeadings"/>
              <w:rPr>
                <w:lang w:eastAsia="en-AU"/>
              </w:rPr>
            </w:pPr>
            <w:r w:rsidRPr="008409E8">
              <w:rPr>
                <w:lang w:eastAsia="en-AU"/>
              </w:rPr>
              <w:t>I was bullied most days</w:t>
            </w:r>
          </w:p>
        </w:tc>
        <w:tc>
          <w:tcPr>
            <w:tcW w:w="1588" w:type="dxa"/>
            <w:tcBorders>
              <w:top w:val="nil"/>
              <w:left w:val="nil"/>
              <w:bottom w:val="single" w:sz="6" w:space="0" w:color="000000"/>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3.5</w:t>
            </w:r>
          </w:p>
        </w:tc>
        <w:tc>
          <w:tcPr>
            <w:tcW w:w="1588" w:type="dxa"/>
            <w:tcBorders>
              <w:top w:val="nil"/>
              <w:left w:val="nil"/>
              <w:bottom w:val="single" w:sz="6" w:space="0" w:color="000000"/>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4.6</w:t>
            </w:r>
          </w:p>
        </w:tc>
        <w:tc>
          <w:tcPr>
            <w:tcW w:w="1588" w:type="dxa"/>
            <w:tcBorders>
              <w:top w:val="nil"/>
              <w:left w:val="nil"/>
              <w:bottom w:val="single" w:sz="6" w:space="0" w:color="000000"/>
              <w:right w:val="nil"/>
            </w:tcBorders>
            <w:shd w:val="clear" w:color="auto" w:fill="FFFFFF"/>
            <w:tcMar>
              <w:left w:w="40" w:type="dxa"/>
              <w:right w:w="40" w:type="dxa"/>
            </w:tcMar>
            <w:vAlign w:val="bottom"/>
          </w:tcPr>
          <w:p w:rsidR="002A4F8B" w:rsidRPr="008409E8" w:rsidRDefault="002A4F8B" w:rsidP="00302454">
            <w:pPr>
              <w:pStyle w:val="TableDataCell"/>
              <w:rPr>
                <w:lang w:eastAsia="en-AU"/>
              </w:rPr>
            </w:pPr>
            <w:r w:rsidRPr="008409E8">
              <w:rPr>
                <w:lang w:eastAsia="en-AU"/>
              </w:rPr>
              <w:t>4.0</w:t>
            </w:r>
          </w:p>
        </w:tc>
      </w:tr>
    </w:tbl>
    <w:p w:rsidR="002A4F8B" w:rsidRDefault="002A4F8B" w:rsidP="002A4F8B">
      <w:pPr>
        <w:pStyle w:val="Heading2"/>
        <w:pageBreakBefore/>
        <w:spacing w:before="0"/>
      </w:pPr>
      <w:bookmarkStart w:id="455" w:name="_Toc414878980"/>
      <w:bookmarkStart w:id="456" w:name="_Toc414879552"/>
      <w:r>
        <w:lastRenderedPageBreak/>
        <w:t>Internet use and electronic games</w:t>
      </w:r>
      <w:bookmarkEnd w:id="455"/>
      <w:bookmarkEnd w:id="456"/>
    </w:p>
    <w:p w:rsidR="002A4F8B" w:rsidRDefault="002A4F8B" w:rsidP="002A4F8B">
      <w:pPr>
        <w:pStyle w:val="Caption"/>
        <w:keepNext/>
      </w:pPr>
      <w:bookmarkStart w:id="457" w:name="_Toc414878981"/>
      <w:bookmarkStart w:id="458" w:name="_Toc414879553"/>
      <w:r>
        <w:t>Table S-</w:t>
      </w:r>
      <w:r>
        <w:rPr>
          <w:noProof/>
        </w:rPr>
        <w:t>70</w:t>
      </w:r>
      <w:r>
        <w:t xml:space="preserve">: </w:t>
      </w:r>
      <w:r w:rsidRPr="0058691D">
        <w:t>Time spent using the internet or playing electronic games among 11-17 year-olds by sex and age group</w:t>
      </w:r>
      <w:bookmarkEnd w:id="457"/>
      <w:bookmarkEnd w:id="458"/>
    </w:p>
    <w:tbl>
      <w:tblPr>
        <w:tblW w:w="9136" w:type="dxa"/>
        <w:jc w:val="center"/>
        <w:tblLayout w:type="fixed"/>
        <w:tblCellMar>
          <w:left w:w="0" w:type="dxa"/>
          <w:right w:w="0" w:type="dxa"/>
        </w:tblCellMar>
        <w:tblLook w:val="0020" w:firstRow="1" w:lastRow="0" w:firstColumn="0" w:lastColumn="0" w:noHBand="0" w:noVBand="0"/>
        <w:tblDescription w:val="In Table S-70 the first column defines sex, the second column defines age group and the third column defines average time spent per day. Read across the row for the proportion spending time on internet use on weekdays, internet use on weekends, electronic games on weekdays and finally electronic games on weekends."/>
      </w:tblPr>
      <w:tblGrid>
        <w:gridCol w:w="1037"/>
        <w:gridCol w:w="10"/>
        <w:gridCol w:w="1386"/>
        <w:gridCol w:w="2088"/>
        <w:gridCol w:w="1143"/>
        <w:gridCol w:w="1159"/>
        <w:gridCol w:w="1154"/>
        <w:gridCol w:w="1159"/>
      </w:tblGrid>
      <w:tr w:rsidR="002A4F8B" w:rsidRPr="005E70E3" w:rsidTr="00302454">
        <w:trPr>
          <w:cantSplit/>
          <w:tblHeader/>
          <w:jc w:val="center"/>
        </w:trPr>
        <w:tc>
          <w:tcPr>
            <w:tcW w:w="1047" w:type="dxa"/>
            <w:gridSpan w:val="2"/>
            <w:tcBorders>
              <w:top w:val="single" w:sz="6" w:space="0" w:color="000000"/>
              <w:bottom w:val="single" w:sz="4" w:space="0" w:color="000000"/>
              <w:right w:val="nil"/>
            </w:tcBorders>
            <w:shd w:val="clear" w:color="auto" w:fill="EFF3FF"/>
            <w:tcMar>
              <w:left w:w="40" w:type="dxa"/>
              <w:right w:w="40" w:type="dxa"/>
            </w:tcMar>
            <w:vAlign w:val="bottom"/>
          </w:tcPr>
          <w:p w:rsidR="002A4F8B" w:rsidRPr="004665A8" w:rsidRDefault="002A4F8B" w:rsidP="00302454">
            <w:pPr>
              <w:pStyle w:val="TableColumnHeadings"/>
              <w:jc w:val="left"/>
              <w:rPr>
                <w:rStyle w:val="Strong"/>
              </w:rPr>
            </w:pPr>
            <w:r w:rsidRPr="004665A8">
              <w:rPr>
                <w:rStyle w:val="Strong"/>
              </w:rPr>
              <w:t>Sex</w:t>
            </w:r>
          </w:p>
        </w:tc>
        <w:tc>
          <w:tcPr>
            <w:tcW w:w="1386" w:type="dxa"/>
            <w:tcBorders>
              <w:top w:val="single" w:sz="6" w:space="0" w:color="000000"/>
              <w:left w:val="single" w:sz="4" w:space="0" w:color="FFFFFF"/>
              <w:bottom w:val="single" w:sz="4" w:space="0" w:color="000000"/>
              <w:right w:val="nil"/>
            </w:tcBorders>
            <w:shd w:val="clear" w:color="auto" w:fill="EFF3FF"/>
            <w:vAlign w:val="bottom"/>
          </w:tcPr>
          <w:p w:rsidR="002A4F8B" w:rsidRPr="004665A8" w:rsidRDefault="002A4F8B" w:rsidP="00302454">
            <w:pPr>
              <w:pStyle w:val="TableColumnHeadings"/>
              <w:jc w:val="left"/>
              <w:rPr>
                <w:rStyle w:val="Strong"/>
              </w:rPr>
            </w:pPr>
            <w:r w:rsidRPr="004665A8">
              <w:rPr>
                <w:rStyle w:val="Strong"/>
              </w:rPr>
              <w:t>Age group</w:t>
            </w:r>
          </w:p>
        </w:tc>
        <w:tc>
          <w:tcPr>
            <w:tcW w:w="2088" w:type="dxa"/>
            <w:tcBorders>
              <w:top w:val="single" w:sz="6" w:space="0" w:color="000000"/>
              <w:left w:val="single" w:sz="4" w:space="0" w:color="FFFFFF"/>
              <w:bottom w:val="single" w:sz="4" w:space="0" w:color="000000"/>
              <w:right w:val="nil"/>
            </w:tcBorders>
            <w:shd w:val="clear" w:color="auto" w:fill="EFF3FF"/>
            <w:vAlign w:val="bottom"/>
          </w:tcPr>
          <w:p w:rsidR="002A4F8B" w:rsidRPr="004665A8" w:rsidRDefault="002A4F8B" w:rsidP="00302454">
            <w:pPr>
              <w:pStyle w:val="TableColumnHeadings"/>
              <w:jc w:val="left"/>
              <w:rPr>
                <w:rStyle w:val="Strong"/>
              </w:rPr>
            </w:pPr>
            <w:r w:rsidRPr="004665A8">
              <w:rPr>
                <w:rStyle w:val="Strong"/>
              </w:rPr>
              <w:t>Average time spent per day</w:t>
            </w:r>
          </w:p>
        </w:tc>
        <w:tc>
          <w:tcPr>
            <w:tcW w:w="1143"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4665A8" w:rsidRDefault="002A4F8B" w:rsidP="00302454">
            <w:pPr>
              <w:pStyle w:val="TableColumnHeadings"/>
              <w:rPr>
                <w:rStyle w:val="Strong"/>
              </w:rPr>
            </w:pPr>
            <w:r w:rsidRPr="004665A8">
              <w:rPr>
                <w:rStyle w:val="Strong"/>
              </w:rPr>
              <w:t>Internet use on weekdays (%)</w:t>
            </w:r>
          </w:p>
        </w:tc>
        <w:tc>
          <w:tcPr>
            <w:tcW w:w="1159"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4665A8" w:rsidRDefault="002A4F8B" w:rsidP="00302454">
            <w:pPr>
              <w:pStyle w:val="TableColumnHeadings"/>
              <w:rPr>
                <w:rStyle w:val="Strong"/>
              </w:rPr>
            </w:pPr>
            <w:r w:rsidRPr="004665A8">
              <w:rPr>
                <w:rStyle w:val="Strong"/>
              </w:rPr>
              <w:t>Internet use on weekends (%)</w:t>
            </w:r>
          </w:p>
        </w:tc>
        <w:tc>
          <w:tcPr>
            <w:tcW w:w="1154"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4665A8" w:rsidRDefault="002A4F8B" w:rsidP="00302454">
            <w:pPr>
              <w:pStyle w:val="TableColumnHeadings"/>
              <w:rPr>
                <w:rStyle w:val="Strong"/>
              </w:rPr>
            </w:pPr>
            <w:r w:rsidRPr="004665A8">
              <w:rPr>
                <w:rStyle w:val="Strong"/>
              </w:rPr>
              <w:t>Electronic games on weekdays (%)</w:t>
            </w:r>
          </w:p>
        </w:tc>
        <w:tc>
          <w:tcPr>
            <w:tcW w:w="1159"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4665A8" w:rsidRDefault="002A4F8B" w:rsidP="00302454">
            <w:pPr>
              <w:pStyle w:val="TableColumnHeadings"/>
              <w:rPr>
                <w:rStyle w:val="Strong"/>
              </w:rPr>
            </w:pPr>
            <w:r w:rsidRPr="004665A8">
              <w:rPr>
                <w:rStyle w:val="Strong"/>
              </w:rPr>
              <w:t>Electronic games on weekends (%)</w:t>
            </w:r>
          </w:p>
        </w:tc>
      </w:tr>
      <w:tr w:rsidR="002A4F8B" w:rsidRPr="005E70E3" w:rsidTr="00302454">
        <w:trPr>
          <w:cantSplit/>
          <w:jc w:val="center"/>
        </w:trPr>
        <w:tc>
          <w:tcPr>
            <w:tcW w:w="1037" w:type="dxa"/>
            <w:vMerge w:val="restart"/>
            <w:tcBorders>
              <w:top w:val="nil"/>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Males</w:t>
            </w:r>
          </w:p>
        </w:tc>
        <w:tc>
          <w:tcPr>
            <w:tcW w:w="1396" w:type="dxa"/>
            <w:gridSpan w:val="2"/>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11-15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1.2</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3.7</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3.7</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52.8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41.2</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64.6</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40.8</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23.0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27.2</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16.1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27.6</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13.8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20.0</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11.0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19.7</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10.4</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4.5</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8.2</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16-17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Pr>
                <w:lang w:eastAsia="en-AU"/>
              </w:rPr>
              <w:t>np</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Pr>
                <w:lang w:eastAsia="en-AU"/>
              </w:rPr>
              <w:t>np</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9.4</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9.4</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33.4</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29.1</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62.6</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43.2</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21.6</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23.0</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22.0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31.8</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17.5</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16.1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16.9</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6.9</w:t>
            </w:r>
          </w:p>
        </w:tc>
      </w:tr>
      <w:tr w:rsidR="002A4F8B" w:rsidRPr="005E70E3" w:rsidTr="00302454">
        <w:trPr>
          <w:cantSplit/>
          <w:jc w:val="center"/>
        </w:trPr>
        <w:tc>
          <w:tcPr>
            <w:tcW w:w="1037" w:type="dxa"/>
            <w:vMerge w:val="restart"/>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Females</w:t>
            </w:r>
          </w:p>
        </w:tc>
        <w:tc>
          <w:tcPr>
            <w:tcW w:w="1396" w:type="dxa"/>
            <w:gridSpan w:val="2"/>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11-15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19.0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19.0</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52.5</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42.6</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67.1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59.7</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22.6</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25.5</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14.6</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16.5</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20.9</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5.4</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9.5</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1.3</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16-17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Pr>
                <w:lang w:eastAsia="en-AU"/>
              </w:rPr>
              <w:t>np</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Pr>
                <w:lang w:eastAsia="en-AU"/>
              </w:rPr>
              <w:t>np</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37.6</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37.6</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27.5</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22.8</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54.1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47.5</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32.1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27.8</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8.5</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25.2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31.5</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2.7</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4.6</w:t>
            </w:r>
          </w:p>
        </w:tc>
      </w:tr>
      <w:tr w:rsidR="002A4F8B" w:rsidRPr="005E70E3" w:rsidTr="00302454">
        <w:trPr>
          <w:cantSplit/>
          <w:jc w:val="center"/>
        </w:trPr>
        <w:tc>
          <w:tcPr>
            <w:tcW w:w="1037" w:type="dxa"/>
            <w:vMerge/>
            <w:tcBorders>
              <w:top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17.6</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Pr>
                <w:lang w:eastAsia="en-AU"/>
              </w:rPr>
              <w:t>np</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1.8</w:t>
            </w:r>
          </w:p>
        </w:tc>
      </w:tr>
      <w:tr w:rsidR="002A4F8B" w:rsidRPr="005E70E3" w:rsidTr="00302454">
        <w:trPr>
          <w:cantSplit/>
          <w:jc w:val="center"/>
        </w:trPr>
        <w:tc>
          <w:tcPr>
            <w:tcW w:w="1037" w:type="dxa"/>
            <w:vMerge w:val="restart"/>
            <w:tcBorders>
              <w:top w:val="single" w:sz="4" w:space="0" w:color="FFFFFF"/>
              <w:bottom w:val="single" w:sz="6" w:space="0" w:color="000000"/>
              <w:right w:val="nil"/>
            </w:tcBorders>
            <w:shd w:val="clear" w:color="auto" w:fill="EFF3FF"/>
            <w:tcMar>
              <w:left w:w="40" w:type="dxa"/>
              <w:right w:w="40" w:type="dxa"/>
            </w:tcMar>
          </w:tcPr>
          <w:p w:rsidR="002A4F8B" w:rsidRPr="00882D9E" w:rsidRDefault="002A4F8B" w:rsidP="00302454">
            <w:pPr>
              <w:pStyle w:val="TableRowHeadings"/>
              <w:rPr>
                <w:rStyle w:val="Strong"/>
              </w:rPr>
            </w:pPr>
            <w:r w:rsidRPr="00882D9E">
              <w:rPr>
                <w:rStyle w:val="Strong"/>
              </w:rPr>
              <w:t>Persons</w:t>
            </w:r>
          </w:p>
        </w:tc>
        <w:tc>
          <w:tcPr>
            <w:tcW w:w="1396" w:type="dxa"/>
            <w:gridSpan w:val="2"/>
            <w:vMerge w:val="restart"/>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11-15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1.3</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1.3</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11.0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11.0</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52.7</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41.9</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65.8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49.7</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22.8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26.4</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13.2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21.5</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20.4</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7.2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12.9</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8.1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10.0</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2.8</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4.9</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val="restart"/>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16-17 years</w:t>
            </w: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Doesn't use</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0.4</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0.4</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23.9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23.9</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1-2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30.3</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25.9</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58.2</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45.4</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3-4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30.0</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24.8</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9.9</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15.6</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4" w:space="0" w:color="FFFFFF"/>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5-8 hours</w:t>
            </w:r>
          </w:p>
        </w:tc>
        <w:tc>
          <w:tcPr>
            <w:tcW w:w="1143"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23.7</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31.7</w:t>
            </w:r>
          </w:p>
        </w:tc>
        <w:tc>
          <w:tcPr>
            <w:tcW w:w="1154"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6.1</w:t>
            </w:r>
          </w:p>
        </w:tc>
        <w:tc>
          <w:tcPr>
            <w:tcW w:w="1159" w:type="dxa"/>
            <w:tcBorders>
              <w:top w:val="nil"/>
              <w:left w:val="nil"/>
              <w:bottom w:val="nil"/>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10.8</w:t>
            </w:r>
          </w:p>
        </w:tc>
      </w:tr>
      <w:tr w:rsidR="002A4F8B" w:rsidRPr="005E70E3" w:rsidTr="00302454">
        <w:trPr>
          <w:cantSplit/>
          <w:jc w:val="center"/>
        </w:trPr>
        <w:tc>
          <w:tcPr>
            <w:tcW w:w="1037" w:type="dxa"/>
            <w:vMerge/>
            <w:tcBorders>
              <w:top w:val="single" w:sz="6" w:space="0" w:color="000000"/>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1396" w:type="dxa"/>
            <w:gridSpan w:val="2"/>
            <w:vMerge/>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rFonts w:ascii="Times New Roman" w:hAnsi="Times New Roman" w:cs="Times New Roman"/>
                <w:sz w:val="24"/>
                <w:szCs w:val="24"/>
                <w:lang w:eastAsia="en-AU"/>
              </w:rPr>
            </w:pPr>
          </w:p>
        </w:tc>
        <w:tc>
          <w:tcPr>
            <w:tcW w:w="2088" w:type="dxa"/>
            <w:tcBorders>
              <w:top w:val="nil"/>
              <w:left w:val="single" w:sz="4" w:space="0" w:color="FFFFFF"/>
              <w:bottom w:val="single" w:sz="6" w:space="0" w:color="000000"/>
              <w:right w:val="nil"/>
            </w:tcBorders>
            <w:shd w:val="clear" w:color="auto" w:fill="EFF3FF"/>
            <w:tcMar>
              <w:left w:w="40" w:type="dxa"/>
              <w:right w:w="40" w:type="dxa"/>
            </w:tcMar>
          </w:tcPr>
          <w:p w:rsidR="002A4F8B" w:rsidRPr="005E70E3" w:rsidRDefault="002A4F8B" w:rsidP="00302454">
            <w:pPr>
              <w:pStyle w:val="TableRowHeadings"/>
              <w:rPr>
                <w:lang w:eastAsia="en-AU"/>
              </w:rPr>
            </w:pPr>
            <w:r w:rsidRPr="005E70E3">
              <w:rPr>
                <w:lang w:eastAsia="en-AU"/>
              </w:rPr>
              <w:t>9 hours or more</w:t>
            </w:r>
          </w:p>
        </w:tc>
        <w:tc>
          <w:tcPr>
            <w:tcW w:w="1143" w:type="dxa"/>
            <w:tcBorders>
              <w:top w:val="nil"/>
              <w:left w:val="nil"/>
              <w:bottom w:val="single" w:sz="6" w:space="0" w:color="000000"/>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15.5</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17.3</w:t>
            </w:r>
          </w:p>
        </w:tc>
        <w:tc>
          <w:tcPr>
            <w:tcW w:w="1154" w:type="dxa"/>
            <w:tcBorders>
              <w:top w:val="nil"/>
              <w:left w:val="nil"/>
              <w:bottom w:val="single" w:sz="6" w:space="0" w:color="000000"/>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1.8</w:t>
            </w:r>
          </w:p>
        </w:tc>
        <w:tc>
          <w:tcPr>
            <w:tcW w:w="1159" w:type="dxa"/>
            <w:tcBorders>
              <w:top w:val="nil"/>
              <w:left w:val="nil"/>
              <w:bottom w:val="single" w:sz="6" w:space="0" w:color="000000"/>
              <w:right w:val="nil"/>
            </w:tcBorders>
            <w:shd w:val="clear" w:color="auto" w:fill="FFFFFF"/>
            <w:tcMar>
              <w:left w:w="40" w:type="dxa"/>
              <w:right w:w="40" w:type="dxa"/>
            </w:tcMar>
            <w:vAlign w:val="bottom"/>
          </w:tcPr>
          <w:p w:rsidR="002A4F8B" w:rsidRPr="005E70E3" w:rsidRDefault="002A4F8B" w:rsidP="00302454">
            <w:pPr>
              <w:pStyle w:val="TableDataCell"/>
              <w:rPr>
                <w:lang w:eastAsia="en-AU"/>
              </w:rPr>
            </w:pPr>
            <w:r w:rsidRPr="005E70E3">
              <w:rPr>
                <w:lang w:eastAsia="en-AU"/>
              </w:rPr>
              <w:t>4.2</w:t>
            </w:r>
          </w:p>
        </w:tc>
      </w:tr>
    </w:tbl>
    <w:p w:rsidR="002A4F8B" w:rsidRDefault="002A4F8B" w:rsidP="002A4F8B">
      <w:pPr>
        <w:pStyle w:val="TableFootnote"/>
      </w:pPr>
      <w:proofErr w:type="gramStart"/>
      <w:r>
        <w:t>np</w:t>
      </w:r>
      <w:proofErr w:type="gramEnd"/>
      <w:r>
        <w:t xml:space="preserve"> </w:t>
      </w:r>
      <w:r>
        <w:tab/>
        <w:t>Not available for publication because of small cell size, but included in totals where applicable.</w:t>
      </w:r>
    </w:p>
    <w:p w:rsidR="002A4F8B" w:rsidRDefault="002A4F8B" w:rsidP="002A4F8B">
      <w:pPr>
        <w:pStyle w:val="Caption"/>
        <w:keepNext/>
      </w:pPr>
      <w:bookmarkStart w:id="459" w:name="_Toc414878982"/>
      <w:bookmarkStart w:id="460" w:name="_Toc414879554"/>
      <w:r>
        <w:lastRenderedPageBreak/>
        <w:t>Table S-</w:t>
      </w:r>
      <w:r>
        <w:rPr>
          <w:noProof/>
        </w:rPr>
        <w:t>71</w:t>
      </w:r>
      <w:r>
        <w:t xml:space="preserve">: </w:t>
      </w:r>
      <w:r w:rsidRPr="00B96360">
        <w:t>Problem internet or electronic gaming behaviours among 11-17 year-olds by sex and age group</w:t>
      </w:r>
      <w:bookmarkEnd w:id="459"/>
      <w:bookmarkEnd w:id="460"/>
    </w:p>
    <w:tbl>
      <w:tblPr>
        <w:tblW w:w="9116" w:type="dxa"/>
        <w:jc w:val="center"/>
        <w:tblLayout w:type="fixed"/>
        <w:tblCellMar>
          <w:left w:w="0" w:type="dxa"/>
          <w:right w:w="0" w:type="dxa"/>
        </w:tblCellMar>
        <w:tblLook w:val="0020" w:firstRow="1" w:lastRow="0" w:firstColumn="0" w:lastColumn="0" w:noHBand="0" w:noVBand="0"/>
        <w:tblDescription w:val="In Table S-71 the first column defines age group and the second column defines problem behaviours associated with internet use or electronic gaming. Read across the row for the proportion of males, females and then persons in each age group who report this problem behaviour."/>
      </w:tblPr>
      <w:tblGrid>
        <w:gridCol w:w="1240"/>
        <w:gridCol w:w="9"/>
        <w:gridCol w:w="4132"/>
        <w:gridCol w:w="1245"/>
        <w:gridCol w:w="1245"/>
        <w:gridCol w:w="1245"/>
      </w:tblGrid>
      <w:tr w:rsidR="002A4F8B" w:rsidRPr="001C7259" w:rsidTr="00302454">
        <w:trPr>
          <w:cantSplit/>
          <w:tblHeader/>
          <w:jc w:val="center"/>
        </w:trPr>
        <w:tc>
          <w:tcPr>
            <w:tcW w:w="1249" w:type="dxa"/>
            <w:gridSpan w:val="2"/>
            <w:tcBorders>
              <w:top w:val="single" w:sz="6" w:space="0" w:color="auto"/>
              <w:bottom w:val="single" w:sz="2" w:space="0" w:color="000000"/>
              <w:right w:val="nil"/>
            </w:tcBorders>
            <w:shd w:val="clear" w:color="auto" w:fill="EFF3FF"/>
            <w:tcMar>
              <w:left w:w="40" w:type="dxa"/>
              <w:right w:w="40" w:type="dxa"/>
            </w:tcMar>
            <w:vAlign w:val="bottom"/>
          </w:tcPr>
          <w:p w:rsidR="002A4F8B" w:rsidRPr="00882D9E" w:rsidRDefault="002A4F8B" w:rsidP="00302454">
            <w:pPr>
              <w:pStyle w:val="TableColumnHeadings"/>
              <w:jc w:val="left"/>
              <w:rPr>
                <w:rStyle w:val="Strong"/>
              </w:rPr>
            </w:pPr>
            <w:r w:rsidRPr="00882D9E">
              <w:rPr>
                <w:rStyle w:val="Strong"/>
              </w:rPr>
              <w:t>Age group</w:t>
            </w:r>
          </w:p>
        </w:tc>
        <w:tc>
          <w:tcPr>
            <w:tcW w:w="4132" w:type="dxa"/>
            <w:tcBorders>
              <w:top w:val="single" w:sz="6" w:space="0" w:color="auto"/>
              <w:left w:val="single" w:sz="2" w:space="0" w:color="FFFFFF"/>
              <w:bottom w:val="single" w:sz="2" w:space="0" w:color="000000"/>
              <w:right w:val="nil"/>
            </w:tcBorders>
            <w:shd w:val="clear" w:color="auto" w:fill="EFF3FF"/>
            <w:vAlign w:val="bottom"/>
          </w:tcPr>
          <w:p w:rsidR="002A4F8B" w:rsidRPr="00882D9E" w:rsidRDefault="002A4F8B" w:rsidP="00302454">
            <w:pPr>
              <w:pStyle w:val="TableColumnHeadings"/>
              <w:jc w:val="left"/>
              <w:rPr>
                <w:rStyle w:val="Strong"/>
              </w:rPr>
            </w:pPr>
            <w:r w:rsidRPr="00882D9E">
              <w:rPr>
                <w:rStyle w:val="Strong"/>
              </w:rPr>
              <w:t>Indicators of problem behaviour related to internet use or electronic gaming</w:t>
            </w:r>
          </w:p>
        </w:tc>
        <w:tc>
          <w:tcPr>
            <w:tcW w:w="1245"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Males (%)</w:t>
            </w:r>
          </w:p>
        </w:tc>
        <w:tc>
          <w:tcPr>
            <w:tcW w:w="1245" w:type="dxa"/>
            <w:tcBorders>
              <w:top w:val="single" w:sz="6" w:space="0" w:color="auto"/>
              <w:left w:val="single" w:sz="2" w:space="0" w:color="FFFFFF"/>
              <w:bottom w:val="single" w:sz="2" w:space="0" w:color="000000"/>
              <w:right w:val="nil"/>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Females (%)</w:t>
            </w:r>
          </w:p>
        </w:tc>
        <w:tc>
          <w:tcPr>
            <w:tcW w:w="1245" w:type="dxa"/>
            <w:tcBorders>
              <w:top w:val="single" w:sz="6" w:space="0" w:color="auto"/>
              <w:left w:val="single" w:sz="2" w:space="0" w:color="FFFFFF"/>
              <w:bottom w:val="single" w:sz="2" w:space="0" w:color="000000"/>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Persons (%)</w:t>
            </w:r>
          </w:p>
        </w:tc>
      </w:tr>
      <w:tr w:rsidR="002A4F8B" w:rsidRPr="001C7259" w:rsidTr="00302454">
        <w:trPr>
          <w:cantSplit/>
          <w:jc w:val="center"/>
        </w:trPr>
        <w:tc>
          <w:tcPr>
            <w:tcW w:w="1240" w:type="dxa"/>
            <w:vMerge w:val="restart"/>
            <w:tcBorders>
              <w:top w:val="nil"/>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11-15 years</w:t>
            </w: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 xml:space="preserve">Went </w:t>
            </w:r>
            <w:r w:rsidRPr="001C7259">
              <w:rPr>
                <w:lang w:eastAsia="en-AU"/>
              </w:rPr>
              <w:t>without eating or sleeping</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5.2</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4.8</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5.0</w:t>
            </w:r>
          </w:p>
        </w:tc>
      </w:tr>
      <w:tr w:rsidR="002A4F8B" w:rsidRPr="001C7259" w:rsidTr="00302454">
        <w:trPr>
          <w:cantSplit/>
          <w:jc w:val="center"/>
        </w:trPr>
        <w:tc>
          <w:tcPr>
            <w:tcW w:w="1240" w:type="dxa"/>
            <w:vMerge/>
            <w:tcBorders>
              <w:top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 xml:space="preserve">Feel bothered when </w:t>
            </w:r>
            <w:r>
              <w:rPr>
                <w:lang w:eastAsia="en-AU"/>
              </w:rPr>
              <w:t>not doing</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22.0</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18.2</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20.2</w:t>
            </w:r>
          </w:p>
        </w:tc>
      </w:tr>
      <w:tr w:rsidR="002A4F8B" w:rsidRPr="001C7259" w:rsidTr="00302454">
        <w:trPr>
          <w:cantSplit/>
          <w:jc w:val="center"/>
        </w:trPr>
        <w:tc>
          <w:tcPr>
            <w:tcW w:w="1240" w:type="dxa"/>
            <w:vMerge/>
            <w:tcBorders>
              <w:top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Use when not really interested</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29.0</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26.3</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27.7</w:t>
            </w:r>
          </w:p>
        </w:tc>
      </w:tr>
      <w:tr w:rsidR="002A4F8B" w:rsidRPr="001C7259" w:rsidTr="00302454">
        <w:trPr>
          <w:cantSplit/>
          <w:jc w:val="center"/>
        </w:trPr>
        <w:tc>
          <w:tcPr>
            <w:tcW w:w="1240" w:type="dxa"/>
            <w:vMerge/>
            <w:tcBorders>
              <w:top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Spen</w:t>
            </w:r>
            <w:r>
              <w:rPr>
                <w:lang w:eastAsia="en-AU"/>
              </w:rPr>
              <w:t>t</w:t>
            </w:r>
            <w:r w:rsidRPr="001C7259">
              <w:rPr>
                <w:lang w:eastAsia="en-AU"/>
              </w:rPr>
              <w:t xml:space="preserve"> less time than should with family or friends</w:t>
            </w:r>
            <w:r>
              <w:rPr>
                <w:lang w:eastAsia="en-AU"/>
              </w:rPr>
              <w:t>,</w:t>
            </w:r>
            <w:r w:rsidRPr="001C7259">
              <w:rPr>
                <w:lang w:eastAsia="en-AU"/>
              </w:rPr>
              <w:t xml:space="preserve"> doing school work or work</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20.1</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16.9</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18.6</w:t>
            </w:r>
          </w:p>
        </w:tc>
      </w:tr>
      <w:tr w:rsidR="002A4F8B" w:rsidRPr="001C7259" w:rsidTr="00302454">
        <w:trPr>
          <w:cantSplit/>
          <w:jc w:val="center"/>
        </w:trPr>
        <w:tc>
          <w:tcPr>
            <w:tcW w:w="1240" w:type="dxa"/>
            <w:vMerge/>
            <w:tcBorders>
              <w:top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T</w:t>
            </w:r>
            <w:r w:rsidRPr="001C7259">
              <w:rPr>
                <w:lang w:eastAsia="en-AU"/>
              </w:rPr>
              <w:t>ried unsuccessfully to spend less time</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25.2</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24.3</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24.8</w:t>
            </w:r>
          </w:p>
        </w:tc>
      </w:tr>
      <w:tr w:rsidR="002A4F8B" w:rsidRPr="001C7259" w:rsidTr="00302454">
        <w:trPr>
          <w:cantSplit/>
          <w:jc w:val="center"/>
        </w:trPr>
        <w:tc>
          <w:tcPr>
            <w:tcW w:w="1240" w:type="dxa"/>
            <w:vMerge/>
            <w:tcBorders>
              <w:top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A81B71" w:rsidRDefault="002A4F8B" w:rsidP="00302454">
            <w:pPr>
              <w:pStyle w:val="TableRowHeadings"/>
              <w:rPr>
                <w:rFonts w:ascii="Source Sans Pro" w:hAnsi="Source Sans Pro"/>
                <w:lang w:eastAsia="en-AU"/>
              </w:rPr>
            </w:pPr>
            <w:r>
              <w:rPr>
                <w:rFonts w:ascii="Source Sans Pro" w:hAnsi="Source Sans Pro"/>
                <w:lang w:eastAsia="en-AU"/>
              </w:rPr>
              <w:t>Problem internet or electronic gaming behaviours</w:t>
            </w:r>
          </w:p>
        </w:tc>
        <w:tc>
          <w:tcPr>
            <w:tcW w:w="1245" w:type="dxa"/>
            <w:tcBorders>
              <w:top w:val="nil"/>
              <w:left w:val="nil"/>
              <w:bottom w:val="nil"/>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3.5</w:t>
            </w:r>
          </w:p>
        </w:tc>
        <w:tc>
          <w:tcPr>
            <w:tcW w:w="1245" w:type="dxa"/>
            <w:tcBorders>
              <w:top w:val="nil"/>
              <w:left w:val="nil"/>
              <w:bottom w:val="nil"/>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3.0</w:t>
            </w:r>
          </w:p>
        </w:tc>
        <w:tc>
          <w:tcPr>
            <w:tcW w:w="1245" w:type="dxa"/>
            <w:tcBorders>
              <w:top w:val="nil"/>
              <w:left w:val="nil"/>
              <w:bottom w:val="nil"/>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3.3</w:t>
            </w:r>
          </w:p>
        </w:tc>
      </w:tr>
      <w:tr w:rsidR="002A4F8B" w:rsidRPr="001C7259" w:rsidTr="00302454">
        <w:trPr>
          <w:cantSplit/>
          <w:jc w:val="center"/>
        </w:trPr>
        <w:tc>
          <w:tcPr>
            <w:tcW w:w="1240" w:type="dxa"/>
            <w:vMerge w:val="restart"/>
            <w:tcBorders>
              <w:top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16-17 years</w:t>
            </w: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 xml:space="preserve">Went </w:t>
            </w:r>
            <w:r w:rsidRPr="001C7259">
              <w:rPr>
                <w:lang w:eastAsia="en-AU"/>
              </w:rPr>
              <w:t>without eating or sleeping</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8.4</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7.7</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8.1</w:t>
            </w:r>
          </w:p>
        </w:tc>
      </w:tr>
      <w:tr w:rsidR="002A4F8B" w:rsidRPr="001C7259" w:rsidTr="00302454">
        <w:trPr>
          <w:cantSplit/>
          <w:jc w:val="center"/>
        </w:trPr>
        <w:tc>
          <w:tcPr>
            <w:tcW w:w="1240" w:type="dxa"/>
            <w:vMerge/>
            <w:tcBorders>
              <w:top w:val="single" w:sz="12" w:space="0" w:color="000000"/>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 xml:space="preserve">Feel bothered when </w:t>
            </w:r>
            <w:r>
              <w:rPr>
                <w:lang w:eastAsia="en-AU"/>
              </w:rPr>
              <w:t>not doing</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20.2</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23.4</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21.8</w:t>
            </w:r>
          </w:p>
        </w:tc>
      </w:tr>
      <w:tr w:rsidR="002A4F8B" w:rsidRPr="001C7259" w:rsidTr="00302454">
        <w:trPr>
          <w:cantSplit/>
          <w:jc w:val="center"/>
        </w:trPr>
        <w:tc>
          <w:tcPr>
            <w:tcW w:w="1240" w:type="dxa"/>
            <w:vMerge/>
            <w:tcBorders>
              <w:top w:val="single" w:sz="12" w:space="0" w:color="000000"/>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Use when not really interested</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39.6</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44.8</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42.3</w:t>
            </w:r>
          </w:p>
        </w:tc>
      </w:tr>
      <w:tr w:rsidR="002A4F8B" w:rsidRPr="001C7259" w:rsidTr="00302454">
        <w:trPr>
          <w:cantSplit/>
          <w:jc w:val="center"/>
        </w:trPr>
        <w:tc>
          <w:tcPr>
            <w:tcW w:w="1240" w:type="dxa"/>
            <w:vMerge/>
            <w:tcBorders>
              <w:top w:val="single" w:sz="12" w:space="0" w:color="000000"/>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Spen</w:t>
            </w:r>
            <w:r>
              <w:rPr>
                <w:lang w:eastAsia="en-AU"/>
              </w:rPr>
              <w:t>t</w:t>
            </w:r>
            <w:r w:rsidRPr="001C7259">
              <w:rPr>
                <w:lang w:eastAsia="en-AU"/>
              </w:rPr>
              <w:t xml:space="preserve"> less time than should with family or friends</w:t>
            </w:r>
            <w:r>
              <w:rPr>
                <w:lang w:eastAsia="en-AU"/>
              </w:rPr>
              <w:t>,</w:t>
            </w:r>
            <w:r w:rsidRPr="001C7259">
              <w:rPr>
                <w:lang w:eastAsia="en-AU"/>
              </w:rPr>
              <w:t xml:space="preserve"> doing school work or work</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24.5</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32.8</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28.8</w:t>
            </w:r>
          </w:p>
        </w:tc>
      </w:tr>
      <w:tr w:rsidR="002A4F8B" w:rsidRPr="001C7259" w:rsidTr="00302454">
        <w:trPr>
          <w:cantSplit/>
          <w:jc w:val="center"/>
        </w:trPr>
        <w:tc>
          <w:tcPr>
            <w:tcW w:w="1240" w:type="dxa"/>
            <w:vMerge/>
            <w:tcBorders>
              <w:top w:val="single" w:sz="12" w:space="0" w:color="000000"/>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2" w:space="0" w:color="FFFFFF"/>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T</w:t>
            </w:r>
            <w:r w:rsidRPr="001C7259">
              <w:rPr>
                <w:lang w:eastAsia="en-AU"/>
              </w:rPr>
              <w:t>ried unsuccessfully to spend less time</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17.6</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22.7</w:t>
            </w:r>
          </w:p>
        </w:tc>
        <w:tc>
          <w:tcPr>
            <w:tcW w:w="1245" w:type="dxa"/>
            <w:tcBorders>
              <w:top w:val="nil"/>
              <w:left w:val="nil"/>
              <w:bottom w:val="nil"/>
              <w:right w:val="nil"/>
            </w:tcBorders>
            <w:shd w:val="clear" w:color="auto" w:fill="FFFFFF"/>
            <w:tcMar>
              <w:left w:w="40" w:type="dxa"/>
              <w:right w:w="40" w:type="dxa"/>
            </w:tcMar>
            <w:vAlign w:val="bottom"/>
          </w:tcPr>
          <w:p w:rsidR="002A4F8B" w:rsidRPr="001C7259" w:rsidRDefault="002A4F8B" w:rsidP="00302454">
            <w:pPr>
              <w:pStyle w:val="TableDataCell"/>
              <w:rPr>
                <w:lang w:eastAsia="en-AU"/>
              </w:rPr>
            </w:pPr>
            <w:r w:rsidRPr="001C7259">
              <w:rPr>
                <w:lang w:eastAsia="en-AU"/>
              </w:rPr>
              <w:t>20.2</w:t>
            </w:r>
          </w:p>
        </w:tc>
      </w:tr>
      <w:tr w:rsidR="002A4F8B" w:rsidRPr="001C7259" w:rsidTr="00302454">
        <w:trPr>
          <w:cantSplit/>
          <w:jc w:val="center"/>
        </w:trPr>
        <w:tc>
          <w:tcPr>
            <w:tcW w:w="1240" w:type="dxa"/>
            <w:vMerge/>
            <w:tcBorders>
              <w:top w:val="single" w:sz="12" w:space="0" w:color="000000"/>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nil"/>
              <w:left w:val="single" w:sz="2" w:space="0" w:color="FFFFFF"/>
              <w:bottom w:val="single" w:sz="4" w:space="0" w:color="FFFFFF" w:themeColor="background1"/>
              <w:right w:val="nil"/>
            </w:tcBorders>
            <w:shd w:val="clear" w:color="auto" w:fill="EFF3FF"/>
            <w:tcMar>
              <w:left w:w="40" w:type="dxa"/>
              <w:right w:w="40" w:type="dxa"/>
            </w:tcMar>
          </w:tcPr>
          <w:p w:rsidR="002A4F8B" w:rsidRPr="00A81B71" w:rsidRDefault="002A4F8B" w:rsidP="00302454">
            <w:pPr>
              <w:pStyle w:val="TableRowHeadings"/>
              <w:rPr>
                <w:rFonts w:ascii="Source Sans Pro" w:hAnsi="Source Sans Pro"/>
                <w:lang w:eastAsia="en-AU"/>
              </w:rPr>
            </w:pPr>
            <w:r>
              <w:rPr>
                <w:rFonts w:ascii="Source Sans Pro" w:hAnsi="Source Sans Pro"/>
                <w:lang w:eastAsia="en-AU"/>
              </w:rPr>
              <w:t>Problem internet or electronic gaming behaviours</w:t>
            </w:r>
          </w:p>
        </w:tc>
        <w:tc>
          <w:tcPr>
            <w:tcW w:w="1245" w:type="dxa"/>
            <w:tcBorders>
              <w:top w:val="nil"/>
              <w:left w:val="nil"/>
              <w:bottom w:val="single" w:sz="4" w:space="0" w:color="FFFFFF" w:themeColor="background1"/>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4.4</w:t>
            </w:r>
          </w:p>
        </w:tc>
        <w:tc>
          <w:tcPr>
            <w:tcW w:w="1245" w:type="dxa"/>
            <w:tcBorders>
              <w:top w:val="nil"/>
              <w:left w:val="nil"/>
              <w:bottom w:val="single" w:sz="4" w:space="0" w:color="FFFFFF" w:themeColor="background1"/>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6.5</w:t>
            </w:r>
          </w:p>
        </w:tc>
        <w:tc>
          <w:tcPr>
            <w:tcW w:w="1245" w:type="dxa"/>
            <w:tcBorders>
              <w:top w:val="nil"/>
              <w:left w:val="nil"/>
              <w:bottom w:val="single" w:sz="4" w:space="0" w:color="FFFFFF" w:themeColor="background1"/>
              <w:right w:val="nil"/>
            </w:tcBorders>
            <w:shd w:val="clear" w:color="auto" w:fill="FFFFFF"/>
            <w:tcMar>
              <w:left w:w="40" w:type="dxa"/>
              <w:right w:w="40" w:type="dxa"/>
            </w:tcMar>
            <w:vAlign w:val="bottom"/>
          </w:tcPr>
          <w:p w:rsidR="002A4F8B" w:rsidRPr="00A81B71" w:rsidRDefault="002A4F8B" w:rsidP="00302454">
            <w:pPr>
              <w:pStyle w:val="TableDataCell"/>
              <w:rPr>
                <w:rFonts w:ascii="Source Sans Pro" w:hAnsi="Source Sans Pro"/>
                <w:lang w:eastAsia="en-AU"/>
              </w:rPr>
            </w:pPr>
            <w:r w:rsidRPr="00A81B71">
              <w:rPr>
                <w:rFonts w:ascii="Source Sans Pro" w:hAnsi="Source Sans Pro"/>
                <w:lang w:eastAsia="en-AU"/>
              </w:rPr>
              <w:t>5.5</w:t>
            </w:r>
          </w:p>
        </w:tc>
      </w:tr>
      <w:tr w:rsidR="002A4F8B" w:rsidRPr="001C7259" w:rsidTr="00302454">
        <w:trPr>
          <w:cantSplit/>
          <w:jc w:val="center"/>
        </w:trPr>
        <w:tc>
          <w:tcPr>
            <w:tcW w:w="1240" w:type="dxa"/>
            <w:vMerge w:val="restart"/>
            <w:tcBorders>
              <w:top w:val="single" w:sz="4" w:space="0" w:color="FFFFFF" w:themeColor="background1"/>
              <w:bottom w:val="single" w:sz="6" w:space="0" w:color="auto"/>
              <w:right w:val="nil"/>
            </w:tcBorders>
            <w:shd w:val="clear" w:color="auto" w:fill="EFF3FF"/>
            <w:tcMar>
              <w:left w:w="40" w:type="dxa"/>
              <w:right w:w="40" w:type="dxa"/>
            </w:tcMar>
          </w:tcPr>
          <w:p w:rsidR="002A4F8B" w:rsidRPr="00AD03EA" w:rsidRDefault="002A4F8B" w:rsidP="00302454">
            <w:pPr>
              <w:pStyle w:val="TableRowHeadings"/>
              <w:rPr>
                <w:rStyle w:val="Strong"/>
              </w:rPr>
            </w:pPr>
            <w:r w:rsidRPr="00AD03EA">
              <w:rPr>
                <w:rStyle w:val="Strong"/>
              </w:rPr>
              <w:t>11-17 years</w:t>
            </w:r>
          </w:p>
        </w:tc>
        <w:tc>
          <w:tcPr>
            <w:tcW w:w="4141" w:type="dxa"/>
            <w:gridSpan w:val="2"/>
            <w:tcBorders>
              <w:top w:val="single" w:sz="4" w:space="0" w:color="FFFFFF" w:themeColor="background1"/>
              <w:left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 xml:space="preserve">Went </w:t>
            </w:r>
            <w:r w:rsidRPr="001C7259">
              <w:rPr>
                <w:lang w:eastAsia="en-AU"/>
              </w:rPr>
              <w:t>without eating or sleeping</w:t>
            </w:r>
          </w:p>
        </w:tc>
        <w:tc>
          <w:tcPr>
            <w:tcW w:w="1245" w:type="dxa"/>
            <w:tcBorders>
              <w:top w:val="single" w:sz="4" w:space="0" w:color="FFFFFF" w:themeColor="background1"/>
              <w:left w:val="nil"/>
              <w:bottom w:val="nil"/>
              <w:right w:val="nil"/>
            </w:tcBorders>
            <w:shd w:val="clear" w:color="auto" w:fill="FFFFFF"/>
            <w:tcMar>
              <w:left w:w="40" w:type="dxa"/>
              <w:right w:w="40" w:type="dxa"/>
            </w:tcMar>
            <w:vAlign w:val="bottom"/>
          </w:tcPr>
          <w:p w:rsidR="002A4F8B" w:rsidRDefault="002A4F8B" w:rsidP="00302454">
            <w:pPr>
              <w:pStyle w:val="TableDataCell"/>
            </w:pPr>
            <w:r>
              <w:t>6.1</w:t>
            </w:r>
          </w:p>
        </w:tc>
        <w:tc>
          <w:tcPr>
            <w:tcW w:w="1245" w:type="dxa"/>
            <w:tcBorders>
              <w:top w:val="single" w:sz="4" w:space="0" w:color="FFFFFF" w:themeColor="background1"/>
              <w:left w:val="nil"/>
              <w:bottom w:val="nil"/>
              <w:right w:val="nil"/>
            </w:tcBorders>
            <w:shd w:val="clear" w:color="auto" w:fill="FFFFFF"/>
            <w:tcMar>
              <w:left w:w="40" w:type="dxa"/>
              <w:right w:w="40" w:type="dxa"/>
            </w:tcMar>
            <w:vAlign w:val="bottom"/>
          </w:tcPr>
          <w:p w:rsidR="002A4F8B" w:rsidRDefault="002A4F8B" w:rsidP="00302454">
            <w:pPr>
              <w:pStyle w:val="TableDataCell"/>
            </w:pPr>
            <w:r>
              <w:t>5.7</w:t>
            </w:r>
          </w:p>
        </w:tc>
        <w:tc>
          <w:tcPr>
            <w:tcW w:w="1245" w:type="dxa"/>
            <w:tcBorders>
              <w:top w:val="single" w:sz="4" w:space="0" w:color="FFFFFF" w:themeColor="background1"/>
              <w:left w:val="nil"/>
              <w:bottom w:val="nil"/>
              <w:right w:val="nil"/>
            </w:tcBorders>
            <w:shd w:val="clear" w:color="auto" w:fill="FFFFFF"/>
            <w:tcMar>
              <w:left w:w="40" w:type="dxa"/>
              <w:right w:w="40" w:type="dxa"/>
            </w:tcMar>
            <w:vAlign w:val="bottom"/>
          </w:tcPr>
          <w:p w:rsidR="002A4F8B" w:rsidRDefault="002A4F8B" w:rsidP="00302454">
            <w:pPr>
              <w:pStyle w:val="TableDataCell"/>
            </w:pPr>
            <w:r>
              <w:t>5.9</w:t>
            </w:r>
          </w:p>
        </w:tc>
      </w:tr>
      <w:tr w:rsidR="002A4F8B" w:rsidRPr="001C7259" w:rsidTr="00302454">
        <w:trPr>
          <w:cantSplit/>
          <w:jc w:val="center"/>
        </w:trPr>
        <w:tc>
          <w:tcPr>
            <w:tcW w:w="1240" w:type="dxa"/>
            <w:vMerge/>
            <w:tcBorders>
              <w:bottom w:val="single" w:sz="6" w:space="0" w:color="auto"/>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single" w:sz="4" w:space="0" w:color="FFFFFF" w:themeColor="background1"/>
              <w:left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 xml:space="preserve">Feel bothered when </w:t>
            </w:r>
            <w:r>
              <w:rPr>
                <w:lang w:eastAsia="en-AU"/>
              </w:rPr>
              <w:t>not doing</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21.5</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19.8</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20.7</w:t>
            </w:r>
          </w:p>
        </w:tc>
      </w:tr>
      <w:tr w:rsidR="002A4F8B" w:rsidRPr="001C7259" w:rsidTr="00302454">
        <w:trPr>
          <w:cantSplit/>
          <w:jc w:val="center"/>
        </w:trPr>
        <w:tc>
          <w:tcPr>
            <w:tcW w:w="1240" w:type="dxa"/>
            <w:vMerge/>
            <w:tcBorders>
              <w:bottom w:val="single" w:sz="6" w:space="0" w:color="auto"/>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single" w:sz="4" w:space="0" w:color="FFFFFF" w:themeColor="background1"/>
              <w:left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Use when not really interested</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31.9</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32.0</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32.0</w:t>
            </w:r>
          </w:p>
        </w:tc>
      </w:tr>
      <w:tr w:rsidR="002A4F8B" w:rsidRPr="001C7259" w:rsidTr="00302454">
        <w:trPr>
          <w:cantSplit/>
          <w:jc w:val="center"/>
        </w:trPr>
        <w:tc>
          <w:tcPr>
            <w:tcW w:w="1240" w:type="dxa"/>
            <w:vMerge/>
            <w:tcBorders>
              <w:bottom w:val="single" w:sz="6" w:space="0" w:color="auto"/>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single" w:sz="4" w:space="0" w:color="FFFFFF" w:themeColor="background1"/>
              <w:left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sidRPr="001C7259">
              <w:rPr>
                <w:lang w:eastAsia="en-AU"/>
              </w:rPr>
              <w:t>Spen</w:t>
            </w:r>
            <w:r>
              <w:rPr>
                <w:lang w:eastAsia="en-AU"/>
              </w:rPr>
              <w:t>t</w:t>
            </w:r>
            <w:r w:rsidRPr="001C7259">
              <w:rPr>
                <w:lang w:eastAsia="en-AU"/>
              </w:rPr>
              <w:t xml:space="preserve"> less time than should with family or friends</w:t>
            </w:r>
            <w:r>
              <w:rPr>
                <w:lang w:eastAsia="en-AU"/>
              </w:rPr>
              <w:t>,</w:t>
            </w:r>
            <w:r w:rsidRPr="001C7259">
              <w:rPr>
                <w:lang w:eastAsia="en-AU"/>
              </w:rPr>
              <w:t xml:space="preserve"> doing school work or work</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21.3</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21.8</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21.6</w:t>
            </w:r>
          </w:p>
        </w:tc>
      </w:tr>
      <w:tr w:rsidR="002A4F8B" w:rsidRPr="001C7259" w:rsidTr="00302454">
        <w:trPr>
          <w:cantSplit/>
          <w:jc w:val="center"/>
        </w:trPr>
        <w:tc>
          <w:tcPr>
            <w:tcW w:w="1240" w:type="dxa"/>
            <w:vMerge/>
            <w:tcBorders>
              <w:bottom w:val="single" w:sz="6" w:space="0" w:color="auto"/>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single" w:sz="4" w:space="0" w:color="FFFFFF" w:themeColor="background1"/>
              <w:left w:val="single" w:sz="2" w:space="0" w:color="FFFFFF"/>
              <w:bottom w:val="single" w:sz="4" w:space="0" w:color="FFFFFF" w:themeColor="background1"/>
              <w:right w:val="nil"/>
            </w:tcBorders>
            <w:shd w:val="clear" w:color="auto" w:fill="EFF3FF"/>
            <w:tcMar>
              <w:left w:w="40" w:type="dxa"/>
              <w:right w:w="40" w:type="dxa"/>
            </w:tcMar>
          </w:tcPr>
          <w:p w:rsidR="002A4F8B" w:rsidRPr="001C7259" w:rsidRDefault="002A4F8B" w:rsidP="00302454">
            <w:pPr>
              <w:pStyle w:val="TableRowHeadings"/>
              <w:rPr>
                <w:lang w:eastAsia="en-AU"/>
              </w:rPr>
            </w:pPr>
            <w:r>
              <w:rPr>
                <w:lang w:eastAsia="en-AU"/>
              </w:rPr>
              <w:t>T</w:t>
            </w:r>
            <w:r w:rsidRPr="001C7259">
              <w:rPr>
                <w:lang w:eastAsia="en-AU"/>
              </w:rPr>
              <w:t>ried unsuccessfully to spend less time</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23.1</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23.8</w:t>
            </w:r>
          </w:p>
        </w:tc>
        <w:tc>
          <w:tcPr>
            <w:tcW w:w="12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23.5</w:t>
            </w:r>
          </w:p>
        </w:tc>
      </w:tr>
      <w:tr w:rsidR="002A4F8B" w:rsidRPr="001C7259" w:rsidTr="00302454">
        <w:trPr>
          <w:cantSplit/>
          <w:jc w:val="center"/>
        </w:trPr>
        <w:tc>
          <w:tcPr>
            <w:tcW w:w="1240" w:type="dxa"/>
            <w:vMerge/>
            <w:tcBorders>
              <w:bottom w:val="single" w:sz="6" w:space="0" w:color="auto"/>
              <w:right w:val="nil"/>
            </w:tcBorders>
            <w:shd w:val="clear" w:color="auto" w:fill="EFF3FF"/>
            <w:tcMar>
              <w:left w:w="40" w:type="dxa"/>
              <w:right w:w="40" w:type="dxa"/>
            </w:tcMar>
          </w:tcPr>
          <w:p w:rsidR="002A4F8B" w:rsidRPr="001C7259" w:rsidRDefault="002A4F8B" w:rsidP="00302454">
            <w:pPr>
              <w:pStyle w:val="TableRowHeadings"/>
              <w:rPr>
                <w:rFonts w:ascii="Times New Roman" w:hAnsi="Times New Roman" w:cs="Times New Roman"/>
                <w:sz w:val="24"/>
                <w:szCs w:val="24"/>
                <w:lang w:eastAsia="en-AU"/>
              </w:rPr>
            </w:pPr>
          </w:p>
        </w:tc>
        <w:tc>
          <w:tcPr>
            <w:tcW w:w="4141" w:type="dxa"/>
            <w:gridSpan w:val="2"/>
            <w:tcBorders>
              <w:top w:val="single" w:sz="4" w:space="0" w:color="FFFFFF" w:themeColor="background1"/>
              <w:left w:val="single" w:sz="2" w:space="0" w:color="FFFFFF"/>
              <w:bottom w:val="single" w:sz="6" w:space="0" w:color="auto"/>
              <w:right w:val="nil"/>
            </w:tcBorders>
            <w:shd w:val="clear" w:color="auto" w:fill="EFF3FF"/>
            <w:tcMar>
              <w:left w:w="40" w:type="dxa"/>
              <w:right w:w="40" w:type="dxa"/>
            </w:tcMar>
          </w:tcPr>
          <w:p w:rsidR="002A4F8B" w:rsidRPr="00AD03EA" w:rsidRDefault="002A4F8B" w:rsidP="00302454">
            <w:pPr>
              <w:pStyle w:val="TableRowHeadings"/>
              <w:rPr>
                <w:rStyle w:val="Strong"/>
              </w:rPr>
            </w:pPr>
            <w:r w:rsidRPr="00AD03EA">
              <w:rPr>
                <w:rStyle w:val="Strong"/>
              </w:rPr>
              <w:t>Problem internet or electronic gaming behaviours</w:t>
            </w:r>
          </w:p>
        </w:tc>
        <w:tc>
          <w:tcPr>
            <w:tcW w:w="1245" w:type="dxa"/>
            <w:tcBorders>
              <w:top w:val="nil"/>
              <w:left w:val="nil"/>
              <w:bottom w:val="single" w:sz="6" w:space="0" w:color="auto"/>
              <w:right w:val="nil"/>
            </w:tcBorders>
            <w:shd w:val="clear" w:color="auto" w:fill="FFFFFF"/>
            <w:tcMar>
              <w:left w:w="40" w:type="dxa"/>
              <w:right w:w="40" w:type="dxa"/>
            </w:tcMar>
            <w:vAlign w:val="bottom"/>
          </w:tcPr>
          <w:p w:rsidR="002A4F8B" w:rsidRPr="00AD03EA" w:rsidRDefault="002A4F8B" w:rsidP="00302454">
            <w:pPr>
              <w:pStyle w:val="TableDataCell"/>
              <w:rPr>
                <w:rStyle w:val="Strong"/>
              </w:rPr>
            </w:pPr>
            <w:r w:rsidRPr="00AD03EA">
              <w:rPr>
                <w:rStyle w:val="Strong"/>
              </w:rPr>
              <w:t>3.8</w:t>
            </w:r>
          </w:p>
        </w:tc>
        <w:tc>
          <w:tcPr>
            <w:tcW w:w="1245" w:type="dxa"/>
            <w:tcBorders>
              <w:top w:val="nil"/>
              <w:left w:val="nil"/>
              <w:bottom w:val="single" w:sz="6" w:space="0" w:color="auto"/>
              <w:right w:val="nil"/>
            </w:tcBorders>
            <w:shd w:val="clear" w:color="auto" w:fill="FFFFFF"/>
            <w:tcMar>
              <w:left w:w="40" w:type="dxa"/>
              <w:right w:w="40" w:type="dxa"/>
            </w:tcMar>
            <w:vAlign w:val="bottom"/>
          </w:tcPr>
          <w:p w:rsidR="002A4F8B" w:rsidRPr="00AD03EA" w:rsidRDefault="002A4F8B" w:rsidP="00302454">
            <w:pPr>
              <w:pStyle w:val="TableDataCell"/>
              <w:rPr>
                <w:rStyle w:val="Strong"/>
              </w:rPr>
            </w:pPr>
            <w:r w:rsidRPr="00AD03EA">
              <w:rPr>
                <w:rStyle w:val="Strong"/>
              </w:rPr>
              <w:t>4.1</w:t>
            </w:r>
          </w:p>
        </w:tc>
        <w:tc>
          <w:tcPr>
            <w:tcW w:w="1245" w:type="dxa"/>
            <w:tcBorders>
              <w:top w:val="nil"/>
              <w:left w:val="nil"/>
              <w:bottom w:val="single" w:sz="6" w:space="0" w:color="auto"/>
              <w:right w:val="nil"/>
            </w:tcBorders>
            <w:shd w:val="clear" w:color="auto" w:fill="FFFFFF"/>
            <w:tcMar>
              <w:left w:w="40" w:type="dxa"/>
              <w:right w:w="40" w:type="dxa"/>
            </w:tcMar>
            <w:vAlign w:val="bottom"/>
          </w:tcPr>
          <w:p w:rsidR="002A4F8B" w:rsidRPr="00AD03EA" w:rsidRDefault="002A4F8B" w:rsidP="00302454">
            <w:pPr>
              <w:pStyle w:val="TableDataCell"/>
              <w:rPr>
                <w:rStyle w:val="Strong"/>
              </w:rPr>
            </w:pPr>
            <w:r w:rsidRPr="00AD03EA">
              <w:rPr>
                <w:rStyle w:val="Strong"/>
              </w:rPr>
              <w:t>3.9</w:t>
            </w:r>
          </w:p>
        </w:tc>
      </w:tr>
    </w:tbl>
    <w:p w:rsidR="002A4F8B" w:rsidRDefault="002A4F8B" w:rsidP="002A4F8B">
      <w:pPr>
        <w:pStyle w:val="Caption"/>
        <w:keepNext/>
      </w:pPr>
      <w:bookmarkStart w:id="461" w:name="_Toc414878983"/>
      <w:bookmarkStart w:id="462" w:name="_Toc414879555"/>
      <w:r>
        <w:t>Table S-</w:t>
      </w:r>
      <w:r>
        <w:rPr>
          <w:noProof/>
        </w:rPr>
        <w:t>72</w:t>
      </w:r>
      <w:r>
        <w:t xml:space="preserve">: </w:t>
      </w:r>
      <w:r w:rsidRPr="00C84E01">
        <w:t>Problem internet use or electronic gaming behaviours among 11-17 year-olds</w:t>
      </w:r>
      <w:r>
        <w:t xml:space="preserve"> </w:t>
      </w:r>
      <w:r w:rsidRPr="00C84E01">
        <w:t xml:space="preserve">by sex and </w:t>
      </w:r>
      <w:r>
        <w:t xml:space="preserve">adolescent self-reported </w:t>
      </w:r>
      <w:r w:rsidRPr="00C84E01">
        <w:t xml:space="preserve">SDQ </w:t>
      </w:r>
      <w:r>
        <w:t>rating</w:t>
      </w:r>
      <w:bookmarkEnd w:id="461"/>
      <w:bookmarkEnd w:id="462"/>
    </w:p>
    <w:tbl>
      <w:tblPr>
        <w:tblW w:w="9123" w:type="dxa"/>
        <w:jc w:val="center"/>
        <w:tblLayout w:type="fixed"/>
        <w:tblCellMar>
          <w:left w:w="0" w:type="dxa"/>
          <w:right w:w="0" w:type="dxa"/>
        </w:tblCellMar>
        <w:tblLook w:val="0020" w:firstRow="1" w:lastRow="0" w:firstColumn="0" w:lastColumn="0" w:noHBand="0" w:noVBand="0"/>
        <w:tblDescription w:val="In Table S-72 the first column defines SDQ sub-scale. Read across the rows for the prevalence of problem internet use or electronic gaming behaviours in males, females and finally persons."/>
      </w:tblPr>
      <w:tblGrid>
        <w:gridCol w:w="4788"/>
        <w:gridCol w:w="1445"/>
        <w:gridCol w:w="1445"/>
        <w:gridCol w:w="1445"/>
      </w:tblGrid>
      <w:tr w:rsidR="002A4F8B" w:rsidRPr="00DD542A" w:rsidTr="00302454">
        <w:trPr>
          <w:cantSplit/>
          <w:tblHeader/>
          <w:jc w:val="center"/>
        </w:trPr>
        <w:tc>
          <w:tcPr>
            <w:tcW w:w="4788" w:type="dxa"/>
            <w:tcBorders>
              <w:top w:val="single" w:sz="6" w:space="0" w:color="000000"/>
              <w:bottom w:val="single" w:sz="4" w:space="0" w:color="000000"/>
              <w:right w:val="nil"/>
            </w:tcBorders>
            <w:shd w:val="clear" w:color="auto" w:fill="EFF3FF"/>
            <w:tcMar>
              <w:left w:w="40" w:type="dxa"/>
              <w:right w:w="40" w:type="dxa"/>
            </w:tcMar>
            <w:vAlign w:val="bottom"/>
          </w:tcPr>
          <w:p w:rsidR="002A4F8B" w:rsidRPr="00882D9E" w:rsidRDefault="002A4F8B" w:rsidP="00302454">
            <w:pPr>
              <w:pStyle w:val="TableColumnHeadings"/>
              <w:jc w:val="left"/>
              <w:rPr>
                <w:rStyle w:val="Strong"/>
              </w:rPr>
            </w:pPr>
            <w:r w:rsidRPr="00882D9E">
              <w:rPr>
                <w:rStyle w:val="Strong"/>
              </w:rPr>
              <w:t>SDQ scale rating and subscales</w:t>
            </w:r>
          </w:p>
        </w:tc>
        <w:tc>
          <w:tcPr>
            <w:tcW w:w="144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Males (%)</w:t>
            </w:r>
          </w:p>
        </w:tc>
        <w:tc>
          <w:tcPr>
            <w:tcW w:w="1445" w:type="dxa"/>
            <w:tcBorders>
              <w:top w:val="single" w:sz="6" w:space="0" w:color="000000"/>
              <w:left w:val="single" w:sz="4" w:space="0" w:color="FFFFFF"/>
              <w:bottom w:val="single" w:sz="4" w:space="0" w:color="000000"/>
              <w:right w:val="nil"/>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Females (%)</w:t>
            </w:r>
          </w:p>
        </w:tc>
        <w:tc>
          <w:tcPr>
            <w:tcW w:w="1445" w:type="dxa"/>
            <w:tcBorders>
              <w:top w:val="single" w:sz="6" w:space="0" w:color="000000"/>
              <w:left w:val="single" w:sz="4" w:space="0" w:color="FFFFFF"/>
              <w:bottom w:val="single" w:sz="4" w:space="0" w:color="000000"/>
            </w:tcBorders>
            <w:shd w:val="clear" w:color="auto" w:fill="EFF3FF"/>
            <w:tcMar>
              <w:left w:w="40" w:type="dxa"/>
              <w:right w:w="40" w:type="dxa"/>
            </w:tcMar>
            <w:vAlign w:val="bottom"/>
          </w:tcPr>
          <w:p w:rsidR="002A4F8B" w:rsidRPr="00882D9E" w:rsidRDefault="002A4F8B" w:rsidP="00302454">
            <w:pPr>
              <w:pStyle w:val="TableColumnHeadings"/>
              <w:rPr>
                <w:rStyle w:val="Strong"/>
              </w:rPr>
            </w:pPr>
            <w:r w:rsidRPr="00882D9E">
              <w:rPr>
                <w:rStyle w:val="Strong"/>
              </w:rPr>
              <w:t>Persons (%)</w:t>
            </w:r>
          </w:p>
        </w:tc>
      </w:tr>
      <w:tr w:rsidR="002A4F8B" w:rsidRPr="00DD542A" w:rsidTr="00302454">
        <w:trPr>
          <w:cantSplit/>
          <w:jc w:val="center"/>
        </w:trPr>
        <w:tc>
          <w:tcPr>
            <w:tcW w:w="4788" w:type="dxa"/>
            <w:tcBorders>
              <w:top w:val="single" w:sz="4" w:space="0" w:color="000000"/>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Total difficulties</w:t>
            </w:r>
            <w:r>
              <w:rPr>
                <w:lang w:eastAsia="en-AU"/>
              </w:rPr>
              <w:t xml:space="preserve"> rating</w:t>
            </w:r>
            <w:r w:rsidRPr="00E56A00">
              <w:rPr>
                <w:lang w:eastAsia="en-AU"/>
              </w:rPr>
              <w:t xml:space="preserve">— </w:t>
            </w:r>
          </w:p>
          <w:p w:rsidR="002A4F8B" w:rsidRPr="00E56A00" w:rsidRDefault="002A4F8B" w:rsidP="00302454">
            <w:pPr>
              <w:pStyle w:val="TableRowHeadings"/>
              <w:tabs>
                <w:tab w:val="left" w:pos="289"/>
              </w:tabs>
              <w:rPr>
                <w:lang w:eastAsia="en-AU"/>
              </w:rPr>
            </w:pPr>
            <w:r w:rsidRPr="00E56A00">
              <w:rPr>
                <w:lang w:eastAsia="en-AU"/>
              </w:rPr>
              <w:tab/>
              <w:t>Normal</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2.0</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2.2</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2.1</w:t>
            </w:r>
          </w:p>
        </w:tc>
      </w:tr>
      <w:tr w:rsidR="002A4F8B" w:rsidRPr="00DD542A" w:rsidTr="00302454">
        <w:trPr>
          <w:cantSplit/>
          <w:jc w:val="center"/>
        </w:trPr>
        <w:tc>
          <w:tcPr>
            <w:tcW w:w="4788" w:type="dxa"/>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ab/>
              <w:t>Borderline</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7.3</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6.6</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7.0</w:t>
            </w:r>
          </w:p>
        </w:tc>
      </w:tr>
      <w:tr w:rsidR="002A4F8B" w:rsidRPr="00DD542A" w:rsidTr="00302454">
        <w:trPr>
          <w:cantSplit/>
          <w:jc w:val="center"/>
        </w:trPr>
        <w:tc>
          <w:tcPr>
            <w:tcW w:w="4788" w:type="dxa"/>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ab/>
              <w:t>Abnormal</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14.3</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12.9</w:t>
            </w:r>
          </w:p>
        </w:tc>
        <w:tc>
          <w:tcPr>
            <w:tcW w:w="1445" w:type="dxa"/>
            <w:tcBorders>
              <w:top w:val="nil"/>
              <w:left w:val="nil"/>
              <w:bottom w:val="nil"/>
              <w:right w:val="nil"/>
            </w:tcBorders>
            <w:shd w:val="clear" w:color="auto" w:fill="FFFFFF"/>
            <w:tcMar>
              <w:left w:w="40" w:type="dxa"/>
              <w:right w:w="40" w:type="dxa"/>
            </w:tcMar>
            <w:vAlign w:val="bottom"/>
          </w:tcPr>
          <w:p w:rsidR="002A4F8B" w:rsidRDefault="002A4F8B" w:rsidP="00302454">
            <w:pPr>
              <w:pStyle w:val="TableDataCell"/>
            </w:pPr>
            <w:r>
              <w:t>13.5</w:t>
            </w:r>
          </w:p>
        </w:tc>
      </w:tr>
      <w:tr w:rsidR="002A4F8B" w:rsidRPr="00DD542A" w:rsidTr="00302454">
        <w:trPr>
          <w:cantSplit/>
          <w:jc w:val="center"/>
        </w:trPr>
        <w:tc>
          <w:tcPr>
            <w:tcW w:w="4788" w:type="dxa"/>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Subscales</w:t>
            </w:r>
            <w:r>
              <w:rPr>
                <w:lang w:eastAsia="en-AU"/>
              </w:rPr>
              <w:t xml:space="preserve"> in abnormal range</w:t>
            </w:r>
            <w:r w:rsidRPr="00E56A00">
              <w:rPr>
                <w:lang w:eastAsia="en-AU"/>
              </w:rPr>
              <w:t>—</w:t>
            </w:r>
          </w:p>
          <w:p w:rsidR="002A4F8B" w:rsidRPr="00DD542A" w:rsidRDefault="002A4F8B" w:rsidP="00302454">
            <w:pPr>
              <w:pStyle w:val="TableRowHeadings"/>
              <w:tabs>
                <w:tab w:val="left" w:pos="289"/>
              </w:tabs>
              <w:rPr>
                <w:lang w:eastAsia="en-AU"/>
              </w:rPr>
            </w:pPr>
            <w:r w:rsidRPr="00E56A00">
              <w:rPr>
                <w:lang w:eastAsia="en-AU"/>
              </w:rPr>
              <w:tab/>
              <w:t>Emotional symptoms</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16.8</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12.2</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13.4</w:t>
            </w:r>
          </w:p>
        </w:tc>
      </w:tr>
      <w:tr w:rsidR="002A4F8B" w:rsidRPr="00DD542A" w:rsidTr="00302454">
        <w:trPr>
          <w:cantSplit/>
          <w:jc w:val="center"/>
        </w:trPr>
        <w:tc>
          <w:tcPr>
            <w:tcW w:w="4788" w:type="dxa"/>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ab/>
              <w:t>Conduct problems</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11.3</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12.3</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11.8</w:t>
            </w:r>
          </w:p>
        </w:tc>
      </w:tr>
      <w:tr w:rsidR="002A4F8B" w:rsidRPr="00DD542A" w:rsidTr="00302454">
        <w:trPr>
          <w:cantSplit/>
          <w:jc w:val="center"/>
        </w:trPr>
        <w:tc>
          <w:tcPr>
            <w:tcW w:w="4788" w:type="dxa"/>
            <w:tcBorders>
              <w:top w:val="single" w:sz="4" w:space="0" w:color="FFFFFF"/>
              <w:bottom w:val="single" w:sz="4" w:space="0" w:color="FFFFFF"/>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ab/>
              <w:t>Hyperactivity</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11.6</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10.7</w:t>
            </w:r>
          </w:p>
        </w:tc>
        <w:tc>
          <w:tcPr>
            <w:tcW w:w="1445" w:type="dxa"/>
            <w:tcBorders>
              <w:top w:val="nil"/>
              <w:left w:val="nil"/>
              <w:bottom w:val="nil"/>
              <w:right w:val="nil"/>
            </w:tcBorders>
            <w:shd w:val="clear" w:color="auto" w:fill="FFFFFF"/>
            <w:tcMar>
              <w:left w:w="40" w:type="dxa"/>
              <w:right w:w="40" w:type="dxa"/>
            </w:tcMar>
            <w:vAlign w:val="bottom"/>
          </w:tcPr>
          <w:p w:rsidR="002A4F8B" w:rsidRPr="00DD542A" w:rsidRDefault="002A4F8B" w:rsidP="00302454">
            <w:pPr>
              <w:pStyle w:val="TableDataCell"/>
            </w:pPr>
            <w:r w:rsidRPr="00DD542A">
              <w:t>11.2</w:t>
            </w:r>
          </w:p>
        </w:tc>
      </w:tr>
      <w:tr w:rsidR="002A4F8B" w:rsidRPr="00DD542A" w:rsidTr="00302454">
        <w:trPr>
          <w:cantSplit/>
          <w:jc w:val="center"/>
        </w:trPr>
        <w:tc>
          <w:tcPr>
            <w:tcW w:w="4788" w:type="dxa"/>
            <w:tcBorders>
              <w:top w:val="single" w:sz="4" w:space="0" w:color="FFFFFF"/>
              <w:bottom w:val="single" w:sz="6" w:space="0" w:color="000000"/>
              <w:right w:val="nil"/>
            </w:tcBorders>
            <w:shd w:val="clear" w:color="auto" w:fill="EFF3FF"/>
            <w:tcMar>
              <w:left w:w="40" w:type="dxa"/>
              <w:right w:w="40" w:type="dxa"/>
            </w:tcMar>
          </w:tcPr>
          <w:p w:rsidR="002A4F8B" w:rsidRPr="00E56A00" w:rsidRDefault="002A4F8B" w:rsidP="00302454">
            <w:pPr>
              <w:pStyle w:val="TableRowHeadings"/>
              <w:tabs>
                <w:tab w:val="left" w:pos="289"/>
              </w:tabs>
              <w:rPr>
                <w:lang w:eastAsia="en-AU"/>
              </w:rPr>
            </w:pPr>
            <w:r w:rsidRPr="00E56A00">
              <w:rPr>
                <w:lang w:eastAsia="en-AU"/>
              </w:rPr>
              <w:tab/>
              <w:t>Peer problems</w:t>
            </w:r>
          </w:p>
        </w:tc>
        <w:tc>
          <w:tcPr>
            <w:tcW w:w="1445" w:type="dxa"/>
            <w:tcBorders>
              <w:top w:val="nil"/>
              <w:left w:val="nil"/>
              <w:bottom w:val="single" w:sz="6" w:space="0" w:color="000000"/>
              <w:right w:val="nil"/>
            </w:tcBorders>
            <w:shd w:val="clear" w:color="auto" w:fill="FFFFFF"/>
            <w:tcMar>
              <w:left w:w="40" w:type="dxa"/>
              <w:right w:w="40" w:type="dxa"/>
            </w:tcMar>
            <w:vAlign w:val="bottom"/>
          </w:tcPr>
          <w:p w:rsidR="002A4F8B" w:rsidRPr="00DD542A" w:rsidRDefault="002A4F8B" w:rsidP="00302454">
            <w:pPr>
              <w:pStyle w:val="TableDataCell"/>
            </w:pPr>
            <w:r w:rsidRPr="00DD542A">
              <w:t>6.7</w:t>
            </w:r>
          </w:p>
        </w:tc>
        <w:tc>
          <w:tcPr>
            <w:tcW w:w="1445" w:type="dxa"/>
            <w:tcBorders>
              <w:top w:val="nil"/>
              <w:left w:val="nil"/>
              <w:bottom w:val="single" w:sz="6" w:space="0" w:color="000000"/>
              <w:right w:val="nil"/>
            </w:tcBorders>
            <w:shd w:val="clear" w:color="auto" w:fill="FFFFFF"/>
            <w:tcMar>
              <w:left w:w="40" w:type="dxa"/>
              <w:right w:w="40" w:type="dxa"/>
            </w:tcMar>
            <w:vAlign w:val="bottom"/>
          </w:tcPr>
          <w:p w:rsidR="002A4F8B" w:rsidRPr="00DD542A" w:rsidRDefault="002A4F8B" w:rsidP="00302454">
            <w:pPr>
              <w:pStyle w:val="TableDataCell"/>
            </w:pPr>
            <w:r w:rsidRPr="00DD542A">
              <w:t>10.8</w:t>
            </w:r>
          </w:p>
        </w:tc>
        <w:tc>
          <w:tcPr>
            <w:tcW w:w="1445" w:type="dxa"/>
            <w:tcBorders>
              <w:top w:val="nil"/>
              <w:left w:val="nil"/>
              <w:bottom w:val="single" w:sz="6" w:space="0" w:color="000000"/>
              <w:right w:val="nil"/>
            </w:tcBorders>
            <w:shd w:val="clear" w:color="auto" w:fill="FFFFFF"/>
            <w:tcMar>
              <w:left w:w="40" w:type="dxa"/>
              <w:right w:w="40" w:type="dxa"/>
            </w:tcMar>
            <w:vAlign w:val="bottom"/>
          </w:tcPr>
          <w:p w:rsidR="002A4F8B" w:rsidRPr="00DD542A" w:rsidRDefault="002A4F8B" w:rsidP="00302454">
            <w:pPr>
              <w:pStyle w:val="TableDataCell"/>
            </w:pPr>
            <w:r w:rsidRPr="00DD542A">
              <w:t>9.1</w:t>
            </w:r>
          </w:p>
        </w:tc>
      </w:tr>
    </w:tbl>
    <w:p w:rsidR="0074764C" w:rsidRDefault="0074764C" w:rsidP="00653114">
      <w:pPr>
        <w:pStyle w:val="BodyText"/>
      </w:pPr>
    </w:p>
    <w:sectPr w:rsidR="0074764C" w:rsidSect="003330E0">
      <w:headerReference w:type="even" r:id="rId166"/>
      <w:headerReference w:type="default" r:id="rId167"/>
      <w:footerReference w:type="default" r:id="rId168"/>
      <w:pgSz w:w="11906" w:h="16838" w:code="9"/>
      <w:pgMar w:top="1440" w:right="1440" w:bottom="1440" w:left="1440" w:header="567" w:footer="567" w:gutter="0"/>
      <w:pgNumType w:start="19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229" w:rsidRDefault="00711229" w:rsidP="007B0552">
      <w:pPr>
        <w:spacing w:line="240" w:lineRule="auto"/>
      </w:pPr>
      <w:r>
        <w:separator/>
      </w:r>
    </w:p>
  </w:endnote>
  <w:endnote w:type="continuationSeparator" w:id="0">
    <w:p w:rsidR="00711229" w:rsidRDefault="00711229" w:rsidP="007B0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embedBoldItalic r:id="rId1" w:subsetted="1" w:fontKey="{DFD3EB76-20D4-4A0E-B12D-BC7DDF6A2C56}"/>
  </w:font>
  <w:font w:name="Calibri">
    <w:panose1 w:val="020F0502020204030204"/>
    <w:charset w:val="00"/>
    <w:family w:val="swiss"/>
    <w:pitch w:val="variable"/>
    <w:sig w:usb0="E00002FF" w:usb1="4000ACFF" w:usb2="00000001" w:usb3="00000000" w:csb0="0000019F" w:csb1="00000000"/>
    <w:embedRegular r:id="rId2" w:fontKey="{46C39BD6-B057-4A92-BE53-0D9C99B8A9B3}"/>
    <w:embedBold r:id="rId3" w:fontKey="{971C97C8-E830-4E5E-A037-70B5D942C205}"/>
    <w:embedItalic r:id="rId4" w:fontKey="{DF21E076-72C7-4574-ACF3-188CE3A6F0DF}"/>
    <w:embedBoldItalic r:id="rId5" w:fontKey="{08860276-EE7A-4C5E-94BA-0BE1250CB62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Light">
    <w:altName w:val="Cambria Math"/>
    <w:charset w:val="00"/>
    <w:family w:val="swiss"/>
    <w:pitch w:val="variable"/>
    <w:sig w:usb0="600002F7" w:usb1="02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orbel"/>
    <w:charset w:val="00"/>
    <w:family w:val="swiss"/>
    <w:pitch w:val="variable"/>
    <w:sig w:usb0="20000007" w:usb1="00000001" w:usb2="00000000" w:usb3="00000000" w:csb0="00000193" w:csb1="00000000"/>
    <w:embedRegular r:id="rId6" w:subsetted="1" w:fontKey="{03A65D1C-A349-4EFF-B7DD-8C015B39ADD6}"/>
  </w:font>
  <w:font w:name="Kozuka Gothic Pro B">
    <w:panose1 w:val="00000000000000000000"/>
    <w:charset w:val="80"/>
    <w:family w:val="swiss"/>
    <w:notTrueType/>
    <w:pitch w:val="variable"/>
    <w:sig w:usb0="00000283" w:usb1="2AC71C11" w:usb2="00000012" w:usb3="00000000" w:csb0="00020005" w:csb1="00000000"/>
  </w:font>
  <w:font w:name="Garamond Premr Pro Disp">
    <w:altName w:val="Times New Roman"/>
    <w:panose1 w:val="00000000000000000000"/>
    <w:charset w:val="00"/>
    <w:family w:val="roman"/>
    <w:notTrueType/>
    <w:pitch w:val="variable"/>
    <w:sig w:usb0="00000001" w:usb1="5000E07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Pr="00157DB6" w:rsidRDefault="00711229">
    <w:pPr>
      <w:pStyle w:val="Footer"/>
      <w:jc w:val="center"/>
    </w:pPr>
  </w:p>
  <w:p w:rsidR="00711229" w:rsidRPr="00157DB6" w:rsidRDefault="0071122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Pr="00B276B2" w:rsidRDefault="0071122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jc w:val="center"/>
    </w:pPr>
  </w:p>
  <w:p w:rsidR="00711229" w:rsidRDefault="007112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229" w:rsidRDefault="00711229" w:rsidP="007B0552">
      <w:pPr>
        <w:spacing w:line="240" w:lineRule="auto"/>
      </w:pPr>
      <w:r>
        <w:separator/>
      </w:r>
    </w:p>
  </w:footnote>
  <w:footnote w:type="continuationSeparator" w:id="0">
    <w:p w:rsidR="00711229" w:rsidRDefault="00711229" w:rsidP="007B0552">
      <w:pPr>
        <w:spacing w:line="240" w:lineRule="auto"/>
      </w:pPr>
      <w:r>
        <w:continuationSeparator/>
      </w:r>
    </w:p>
  </w:footnote>
  <w:footnote w:id="1">
    <w:p w:rsidR="00711229" w:rsidRPr="00A17174" w:rsidRDefault="00711229" w:rsidP="0074764C">
      <w:pPr>
        <w:pStyle w:val="FootnoteText"/>
      </w:pPr>
      <w:r w:rsidRPr="00A17174">
        <w:rPr>
          <w:rStyle w:val="FootnoteReference"/>
        </w:rPr>
        <w:footnoteRef/>
      </w:r>
      <w:r w:rsidRPr="00A17174">
        <w:t xml:space="preserve"> </w:t>
      </w:r>
      <w:proofErr w:type="gramStart"/>
      <w:r w:rsidRPr="00A17174">
        <w:t xml:space="preserve">Cole TJ, </w:t>
      </w:r>
      <w:proofErr w:type="spellStart"/>
      <w:r w:rsidRPr="00A17174">
        <w:t>Flegal</w:t>
      </w:r>
      <w:proofErr w:type="spellEnd"/>
      <w:r w:rsidRPr="00A17174">
        <w:t xml:space="preserve"> KM, Nicholls D, Jackson AA (2007</w:t>
      </w:r>
      <w:r w:rsidRPr="00A17174">
        <w:rPr>
          <w:i/>
        </w:rPr>
        <w:t>).</w:t>
      </w:r>
      <w:proofErr w:type="gramEnd"/>
      <w:r w:rsidRPr="00A17174">
        <w:rPr>
          <w:i/>
        </w:rPr>
        <w:t xml:space="preserve"> </w:t>
      </w:r>
      <w:r w:rsidRPr="00A17174">
        <w:t xml:space="preserve">Body mass index cut offs to define thinness in children and adolescents: international survey. </w:t>
      </w:r>
      <w:proofErr w:type="gramStart"/>
      <w:r w:rsidRPr="00A17174">
        <w:rPr>
          <w:i/>
        </w:rPr>
        <w:t>British Medical Journal</w:t>
      </w:r>
      <w:r w:rsidRPr="00A17174">
        <w:t>.</w:t>
      </w:r>
      <w:proofErr w:type="gramEnd"/>
      <w:r w:rsidRPr="00A17174">
        <w:t xml:space="preserve"> </w:t>
      </w:r>
      <w:r w:rsidRPr="00A17174">
        <w:rPr>
          <w:rStyle w:val="cit"/>
        </w:rPr>
        <w:t xml:space="preserve">335(7612): 194. </w:t>
      </w:r>
      <w:proofErr w:type="spellStart"/>
      <w:r w:rsidRPr="00A17174">
        <w:rPr>
          <w:rStyle w:val="cit"/>
        </w:rPr>
        <w:t>doi</w:t>
      </w:r>
      <w:proofErr w:type="spellEnd"/>
      <w:r w:rsidRPr="00A17174">
        <w:rPr>
          <w:rStyle w:val="cit"/>
        </w:rPr>
        <w:t xml:space="preserve">: </w:t>
      </w:r>
      <w:hyperlink r:id="rId1" w:tgtFrame="pmc_ext" w:history="1">
        <w:r w:rsidRPr="00A17174">
          <w:rPr>
            <w:rStyle w:val="Hyperlink"/>
          </w:rPr>
          <w:t>10.1136/bmj.39238.399444.55</w:t>
        </w:r>
      </w:hyperlink>
      <w:r w:rsidRPr="00A17174">
        <w:rPr>
          <w:rStyle w:val="doi"/>
        </w:rPr>
        <w:t xml:space="preserve"> </w:t>
      </w:r>
    </w:p>
  </w:footnote>
  <w:footnote w:id="2">
    <w:p w:rsidR="00711229" w:rsidRPr="003E3B28" w:rsidRDefault="00711229" w:rsidP="00590512">
      <w:pPr>
        <w:pStyle w:val="FootnoteText"/>
      </w:pPr>
      <w:r w:rsidRPr="003E3B28">
        <w:rPr>
          <w:rStyle w:val="FootnoteReference"/>
        </w:rPr>
        <w:footnoteRef/>
      </w:r>
      <w:r w:rsidRPr="00E62BF3">
        <w:t xml:space="preserve"> </w:t>
      </w:r>
      <w:r w:rsidRPr="003E3B28">
        <w:t>American Psychiatric Association: Diagnostic and Statistic</w:t>
      </w:r>
      <w:r>
        <w:t>al Manual of Mental Disorders, f</w:t>
      </w:r>
      <w:r w:rsidRPr="003E3B28">
        <w:t xml:space="preserve">ourth </w:t>
      </w:r>
      <w:r>
        <w:t>e</w:t>
      </w:r>
      <w:r w:rsidRPr="003E3B28">
        <w:t xml:space="preserve">dition, Text Revision. </w:t>
      </w:r>
      <w:proofErr w:type="gramStart"/>
      <w:r w:rsidRPr="003E3B28">
        <w:t>Washington, DC, American Psychiatric Association, 2000.</w:t>
      </w:r>
      <w:proofErr w:type="gramEnd"/>
    </w:p>
  </w:footnote>
  <w:footnote w:id="3">
    <w:p w:rsidR="00711229" w:rsidRPr="0069663A" w:rsidRDefault="00711229" w:rsidP="00590512">
      <w:pPr>
        <w:pStyle w:val="FootnoteText"/>
      </w:pPr>
      <w:r w:rsidRPr="0069663A">
        <w:rPr>
          <w:rStyle w:val="FootnoteReference"/>
        </w:rPr>
        <w:footnoteRef/>
      </w:r>
      <w:r w:rsidRPr="0069663A">
        <w:t xml:space="preserve"> Achenbach TM: Manual for the Child </w:t>
      </w:r>
      <w:proofErr w:type="spellStart"/>
      <w:r w:rsidRPr="0069663A">
        <w:t>Behavior</w:t>
      </w:r>
      <w:proofErr w:type="spellEnd"/>
      <w:r w:rsidRPr="0069663A">
        <w:t xml:space="preserve"> Checklist/4-18 and 1991 profile. Burlington, VT: University of Vermont Department of Psychiatry, University of Vermont, 1991.</w:t>
      </w:r>
    </w:p>
  </w:footnote>
  <w:footnote w:id="4">
    <w:p w:rsidR="00711229" w:rsidRPr="0069663A" w:rsidRDefault="00711229" w:rsidP="00590512">
      <w:pPr>
        <w:pStyle w:val="FootnoteText"/>
      </w:pPr>
      <w:r w:rsidRPr="0069663A">
        <w:rPr>
          <w:rStyle w:val="FootnoteReference"/>
        </w:rPr>
        <w:footnoteRef/>
      </w:r>
      <w:r w:rsidRPr="0069663A">
        <w:t xml:space="preserve"> </w:t>
      </w:r>
      <w:proofErr w:type="spellStart"/>
      <w:r w:rsidRPr="0069663A">
        <w:t>Radloff</w:t>
      </w:r>
      <w:proofErr w:type="spellEnd"/>
      <w:r w:rsidRPr="0069663A">
        <w:t xml:space="preserve"> LS: The CES-D scale: A self-report depression scale for research in the general population. </w:t>
      </w:r>
      <w:proofErr w:type="gramStart"/>
      <w:r w:rsidRPr="0069663A">
        <w:t>Applied Psychological Measurement.</w:t>
      </w:r>
      <w:proofErr w:type="gramEnd"/>
      <w:r w:rsidRPr="0069663A">
        <w:t xml:space="preserve"> 1: 385-401, 1977.</w:t>
      </w:r>
    </w:p>
  </w:footnote>
  <w:footnote w:id="5">
    <w:p w:rsidR="00711229" w:rsidRPr="0069663A" w:rsidRDefault="00711229" w:rsidP="00590512">
      <w:pPr>
        <w:pStyle w:val="FootnoteText"/>
      </w:pPr>
      <w:r w:rsidRPr="0069663A">
        <w:rPr>
          <w:rStyle w:val="FootnoteReference"/>
        </w:rPr>
        <w:footnoteRef/>
      </w:r>
      <w:r w:rsidRPr="0069663A">
        <w:t xml:space="preserve"> </w:t>
      </w:r>
      <w:proofErr w:type="gramStart"/>
      <w:r w:rsidRPr="0069663A">
        <w:t>AIHW.</w:t>
      </w:r>
      <w:proofErr w:type="gramEnd"/>
      <w:r w:rsidRPr="0069663A">
        <w:t xml:space="preserve"> Social and emotional wellbeing: development of a children's headline indicator. Cat. </w:t>
      </w:r>
      <w:proofErr w:type="gramStart"/>
      <w:r w:rsidRPr="0069663A">
        <w:t>no</w:t>
      </w:r>
      <w:proofErr w:type="gramEnd"/>
      <w:r w:rsidRPr="0069663A">
        <w:t xml:space="preserve">. </w:t>
      </w:r>
      <w:proofErr w:type="gramStart"/>
      <w:r w:rsidRPr="0069663A">
        <w:t>PHE 158.</w:t>
      </w:r>
      <w:proofErr w:type="gramEnd"/>
      <w:r w:rsidRPr="0069663A">
        <w:t xml:space="preserve"> Canberra: AIHW. 2012.</w:t>
      </w:r>
    </w:p>
  </w:footnote>
  <w:footnote w:id="6">
    <w:p w:rsidR="00711229" w:rsidRPr="000B506A" w:rsidRDefault="00711229" w:rsidP="00590512">
      <w:pPr>
        <w:pStyle w:val="FootnoteText"/>
      </w:pPr>
      <w:r w:rsidRPr="000B506A">
        <w:rPr>
          <w:rStyle w:val="FootnoteReference"/>
        </w:rPr>
        <w:footnoteRef/>
      </w:r>
      <w:r w:rsidRPr="000B506A">
        <w:t xml:space="preserve"> Position titles reflect the roles of the individuals at the commencement of the Survey Reference Group</w:t>
      </w:r>
    </w:p>
  </w:footnote>
  <w:footnote w:id="7">
    <w:p w:rsidR="00711229" w:rsidRPr="00253A35" w:rsidRDefault="00711229" w:rsidP="00590512">
      <w:pPr>
        <w:pStyle w:val="FootnoteText"/>
      </w:pPr>
      <w:r w:rsidRPr="00253A35">
        <w:rPr>
          <w:rStyle w:val="FootnoteReference"/>
        </w:rPr>
        <w:footnoteRef/>
      </w:r>
      <w:r w:rsidRPr="00253A35">
        <w:t xml:space="preserve"> </w:t>
      </w:r>
      <w:proofErr w:type="spellStart"/>
      <w:r w:rsidRPr="00253A35">
        <w:t>Boterhoven</w:t>
      </w:r>
      <w:proofErr w:type="spellEnd"/>
      <w:r w:rsidRPr="00253A35">
        <w:t xml:space="preserve"> de </w:t>
      </w:r>
      <w:proofErr w:type="spellStart"/>
      <w:r w:rsidRPr="00253A35">
        <w:t>Haan</w:t>
      </w:r>
      <w:proofErr w:type="spellEnd"/>
      <w:r w:rsidRPr="00253A35">
        <w:t xml:space="preserve"> KL, </w:t>
      </w:r>
      <w:proofErr w:type="spellStart"/>
      <w:r w:rsidRPr="00253A35">
        <w:t>Hafekost</w:t>
      </w:r>
      <w:proofErr w:type="spellEnd"/>
      <w:r w:rsidRPr="00253A35">
        <w:t xml:space="preserve"> J, Lawrence D, Sawyer MG, Zubrick SR (2014). Reliability and validity of a short version of the general functioning subscale of the McMaster Family Assessment Device. </w:t>
      </w:r>
      <w:proofErr w:type="gramStart"/>
      <w:r w:rsidRPr="00253A35">
        <w:rPr>
          <w:i/>
        </w:rPr>
        <w:t>Family Process</w:t>
      </w:r>
      <w:r w:rsidRPr="00253A35">
        <w:t>.</w:t>
      </w:r>
      <w:proofErr w:type="gramEnd"/>
      <w:r w:rsidRPr="00253A35">
        <w:t xml:space="preserve"> </w:t>
      </w:r>
      <w:proofErr w:type="spellStart"/>
      <w:r w:rsidRPr="00253A35">
        <w:t>doi</w:t>
      </w:r>
      <w:proofErr w:type="spellEnd"/>
      <w:r w:rsidRPr="00253A35">
        <w:t>: 10.1111/famp.12113</w:t>
      </w:r>
    </w:p>
  </w:footnote>
  <w:footnote w:id="8">
    <w:p w:rsidR="00711229" w:rsidRPr="00253A35" w:rsidRDefault="00711229" w:rsidP="00590512">
      <w:pPr>
        <w:pStyle w:val="FootnoteText"/>
      </w:pPr>
      <w:r w:rsidRPr="00253A35">
        <w:rPr>
          <w:rStyle w:val="FootnoteReference"/>
        </w:rPr>
        <w:footnoteRef/>
      </w:r>
      <w:r w:rsidRPr="00253A35">
        <w:t xml:space="preserve"> </w:t>
      </w:r>
      <w:proofErr w:type="gramStart"/>
      <w:r w:rsidRPr="00253A35">
        <w:t xml:space="preserve">Meadows G, Burgess P, </w:t>
      </w:r>
      <w:proofErr w:type="spellStart"/>
      <w:r w:rsidRPr="00253A35">
        <w:t>Fossey</w:t>
      </w:r>
      <w:proofErr w:type="spellEnd"/>
      <w:r w:rsidRPr="00253A35">
        <w:t xml:space="preserve"> E, Harvey C (2000).</w:t>
      </w:r>
      <w:proofErr w:type="gramEnd"/>
      <w:r w:rsidRPr="00253A35">
        <w:t xml:space="preserve"> Perceived </w:t>
      </w:r>
      <w:proofErr w:type="gramStart"/>
      <w:r w:rsidRPr="00253A35">
        <w:t>need for mental health care, findings form</w:t>
      </w:r>
      <w:proofErr w:type="gramEnd"/>
      <w:r w:rsidRPr="00253A35">
        <w:t xml:space="preserve"> the Australian National Survey of Mental Health and Well-being. </w:t>
      </w:r>
      <w:proofErr w:type="gramStart"/>
      <w:r w:rsidRPr="00253A35">
        <w:t>Psychological Medicine.</w:t>
      </w:r>
      <w:proofErr w:type="gramEnd"/>
      <w:r w:rsidRPr="00253A35">
        <w:t xml:space="preserve"> 30: 645-656. </w:t>
      </w:r>
    </w:p>
  </w:footnote>
  <w:footnote w:id="9">
    <w:p w:rsidR="00711229" w:rsidRPr="00280168" w:rsidRDefault="00711229" w:rsidP="00590512">
      <w:pPr>
        <w:pStyle w:val="BodyText"/>
        <w:rPr>
          <w:sz w:val="20"/>
          <w:szCs w:val="20"/>
        </w:rPr>
      </w:pPr>
      <w:r w:rsidRPr="00280168">
        <w:rPr>
          <w:rStyle w:val="FootnoteReference"/>
          <w:sz w:val="20"/>
          <w:szCs w:val="20"/>
        </w:rPr>
        <w:footnoteRef/>
      </w:r>
      <w:r w:rsidRPr="00280168">
        <w:rPr>
          <w:sz w:val="20"/>
          <w:szCs w:val="20"/>
        </w:rPr>
        <w:t xml:space="preserve"> </w:t>
      </w:r>
      <w:proofErr w:type="gramStart"/>
      <w:r w:rsidRPr="00280168">
        <w:rPr>
          <w:sz w:val="20"/>
          <w:szCs w:val="20"/>
        </w:rPr>
        <w:t xml:space="preserve">Cole TJ, </w:t>
      </w:r>
      <w:proofErr w:type="spellStart"/>
      <w:r w:rsidRPr="00280168">
        <w:rPr>
          <w:sz w:val="20"/>
          <w:szCs w:val="20"/>
        </w:rPr>
        <w:t>Flegal</w:t>
      </w:r>
      <w:proofErr w:type="spellEnd"/>
      <w:r w:rsidRPr="00280168">
        <w:rPr>
          <w:sz w:val="20"/>
          <w:szCs w:val="20"/>
        </w:rPr>
        <w:t xml:space="preserve"> KM, Nicholls D, Jackson AA (2007</w:t>
      </w:r>
      <w:r w:rsidRPr="00280168">
        <w:rPr>
          <w:i/>
          <w:sz w:val="20"/>
          <w:szCs w:val="20"/>
        </w:rPr>
        <w:t>).</w:t>
      </w:r>
      <w:proofErr w:type="gramEnd"/>
      <w:r w:rsidRPr="00280168">
        <w:rPr>
          <w:i/>
          <w:sz w:val="20"/>
          <w:szCs w:val="20"/>
        </w:rPr>
        <w:t xml:space="preserve"> </w:t>
      </w:r>
      <w:r w:rsidRPr="00280168">
        <w:rPr>
          <w:sz w:val="20"/>
          <w:szCs w:val="20"/>
        </w:rPr>
        <w:t xml:space="preserve">Body mass index cut offs to define thinness in children and adolescents: international survey. </w:t>
      </w:r>
      <w:proofErr w:type="gramStart"/>
      <w:r w:rsidRPr="00280168">
        <w:rPr>
          <w:i/>
          <w:sz w:val="20"/>
          <w:szCs w:val="20"/>
        </w:rPr>
        <w:t>British Medical Journal</w:t>
      </w:r>
      <w:r w:rsidRPr="00280168">
        <w:rPr>
          <w:sz w:val="20"/>
          <w:szCs w:val="20"/>
        </w:rPr>
        <w:t>.</w:t>
      </w:r>
      <w:proofErr w:type="gramEnd"/>
      <w:r w:rsidRPr="00280168">
        <w:rPr>
          <w:sz w:val="20"/>
          <w:szCs w:val="20"/>
        </w:rPr>
        <w:t xml:space="preserve"> </w:t>
      </w:r>
      <w:r w:rsidRPr="00280168">
        <w:rPr>
          <w:rStyle w:val="cit"/>
          <w:sz w:val="20"/>
          <w:szCs w:val="20"/>
        </w:rPr>
        <w:t xml:space="preserve">335(7612): 194. </w:t>
      </w:r>
      <w:proofErr w:type="spellStart"/>
      <w:r w:rsidRPr="00280168">
        <w:rPr>
          <w:rStyle w:val="cit"/>
          <w:sz w:val="20"/>
          <w:szCs w:val="20"/>
        </w:rPr>
        <w:t>doi</w:t>
      </w:r>
      <w:proofErr w:type="spellEnd"/>
      <w:r w:rsidRPr="00280168">
        <w:rPr>
          <w:rStyle w:val="cit"/>
          <w:sz w:val="20"/>
          <w:szCs w:val="20"/>
        </w:rPr>
        <w:t xml:space="preserve">: </w:t>
      </w:r>
      <w:hyperlink r:id="rId2" w:tgtFrame="pmc_ext" w:history="1">
        <w:r w:rsidRPr="00280168">
          <w:rPr>
            <w:rStyle w:val="Hyperlink"/>
            <w:sz w:val="20"/>
            <w:szCs w:val="20"/>
          </w:rPr>
          <w:t>10.1136/bmj.39238.399444.55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ii</w:t>
    </w:r>
    <w:r w:rsidRPr="00AC0ACE">
      <w:rPr>
        <w:rStyle w:val="PageNumbers"/>
      </w:rPr>
      <w:fldChar w:fldCharType="end"/>
    </w:r>
    <w:r>
      <w:rPr>
        <w:rStyle w:val="PageNumbers"/>
      </w:rPr>
      <w:tab/>
    </w:r>
    <w:r>
      <w:t>The Mental Health of Children and Adolescents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4</w:t>
    </w:r>
    <w:r w:rsidRPr="00AC0ACE">
      <w:rPr>
        <w:rStyle w:val="PageNumbers"/>
      </w:rPr>
      <w:fldChar w:fldCharType="end"/>
    </w:r>
    <w:r>
      <w:rPr>
        <w:rStyle w:val="PageNumbers"/>
      </w:rPr>
      <w:tab/>
    </w:r>
    <w:r>
      <w:t>The Mental Health of Children and Adolescents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tabs>
        <w:tab w:val="left" w:pos="3990"/>
        <w:tab w:val="right" w:pos="9593"/>
      </w:tabs>
      <w:jc w:val="right"/>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5</w:t>
    </w:r>
    <w:r w:rsidRPr="00AC0ACE">
      <w:rPr>
        <w:rStyle w:val="PageNumber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24</w:t>
    </w:r>
    <w:r w:rsidRPr="00AC0ACE">
      <w:rPr>
        <w:rStyle w:val="PageNumbers"/>
      </w:rPr>
      <w:fldChar w:fldCharType="end"/>
    </w:r>
    <w:r>
      <w:rPr>
        <w:rStyle w:val="PageNumbers"/>
      </w:rPr>
      <w:tab/>
    </w:r>
    <w:r>
      <w:t>The Mental Health of Children and Adolescents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23</w:t>
    </w:r>
    <w:r w:rsidRPr="00AC0ACE">
      <w:rPr>
        <w:rStyle w:val="PageNumber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16</w:t>
    </w:r>
    <w:r w:rsidRPr="00AC0ACE">
      <w:rPr>
        <w:rStyle w:val="PageNumbers"/>
      </w:rPr>
      <w:fldChar w:fldCharType="end"/>
    </w:r>
    <w:r>
      <w:rPr>
        <w:rStyle w:val="PageNumbers"/>
      </w:rPr>
      <w:tab/>
    </w:r>
    <w:r>
      <w:t>The Mental Health of Children and Adolescents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28</w:t>
    </w:r>
    <w:r w:rsidRPr="00AC0ACE">
      <w:rPr>
        <w:rStyle w:val="PageNumbers"/>
      </w:rPr>
      <w:fldChar w:fldCharType="end"/>
    </w:r>
    <w:r>
      <w:rPr>
        <w:rStyle w:val="PageNumbers"/>
      </w:rPr>
      <w:tab/>
    </w:r>
    <w:r>
      <w:t>The Mental Health of Children and Adolescents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32</w:t>
    </w:r>
    <w:r w:rsidRPr="00AC0ACE">
      <w:rPr>
        <w:rStyle w:val="PageNumbers"/>
      </w:rPr>
      <w:fldChar w:fldCharType="end"/>
    </w:r>
    <w:r>
      <w:rPr>
        <w:rStyle w:val="PageNumbers"/>
      </w:rPr>
      <w:tab/>
    </w:r>
    <w:r>
      <w:t>The Mental Health of Children and Adolescents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Pr="0086407E" w:rsidRDefault="00711229" w:rsidP="00F5463F">
    <w:pPr>
      <w:pStyle w:val="PageHeader"/>
      <w:pBdr>
        <w:bottom w:val="single" w:sz="4" w:space="0" w:color="2171B5"/>
      </w:pBdr>
      <w:tabs>
        <w:tab w:val="left" w:pos="4665"/>
      </w:tabs>
      <w:jc w:val="right"/>
    </w:pPr>
    <w:r>
      <w:t xml:space="preserve"> </w:t>
    </w:r>
    <w:r w:rsidRPr="0086407E">
      <w:t>The Mental Health of Children and Adolescents</w:t>
    </w:r>
    <w:r w:rsidRPr="0086407E">
      <w:tab/>
    </w:r>
    <w:r w:rsidRPr="0086407E">
      <w:rPr>
        <w:rStyle w:val="PageNumbers"/>
      </w:rPr>
      <w:fldChar w:fldCharType="begin"/>
    </w:r>
    <w:r w:rsidRPr="0086407E">
      <w:rPr>
        <w:rStyle w:val="PageNumbers"/>
      </w:rPr>
      <w:instrText xml:space="preserve"> PAGE   \* MERGEFORMAT </w:instrText>
    </w:r>
    <w:r w:rsidRPr="0086407E">
      <w:rPr>
        <w:rStyle w:val="PageNumbers"/>
      </w:rPr>
      <w:fldChar w:fldCharType="separate"/>
    </w:r>
    <w:r w:rsidR="0025452D">
      <w:rPr>
        <w:rStyle w:val="PageNumbers"/>
        <w:noProof/>
      </w:rPr>
      <w:t>33</w:t>
    </w:r>
    <w:r w:rsidRPr="0086407E">
      <w:rPr>
        <w:rStyle w:val="PageNumber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jc w:val="right"/>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v</w:t>
    </w:r>
    <w:r w:rsidRPr="00AC0ACE">
      <w:rPr>
        <w:rStyle w:val="PageNumbers"/>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24</w:t>
    </w:r>
    <w:r w:rsidRPr="00AC0ACE">
      <w:rPr>
        <w:rStyle w:val="PageNumbers"/>
      </w:rPr>
      <w:fldChar w:fldCharType="end"/>
    </w:r>
    <w:r>
      <w:rPr>
        <w:rStyle w:val="PageNumbers"/>
      </w:rPr>
      <w:tab/>
    </w:r>
    <w:r>
      <w:t>The Mental Health of Children and Adolescents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35</w:t>
    </w:r>
    <w:r w:rsidRPr="00AC0ACE">
      <w:rPr>
        <w:rStyle w:val="PageNumbers"/>
      </w:rPr>
      <w:fldChar w:fldCharType="end"/>
    </w:r>
    <w:r>
      <w:rPr>
        <w:rStyle w:val="PageNumbers"/>
      </w:rPr>
      <w:tab/>
    </w:r>
    <w:r>
      <w:t>The Mental Health of Children and Adolescents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42</w:t>
    </w:r>
    <w:r w:rsidRPr="00AC0ACE">
      <w:rPr>
        <w:rStyle w:val="PageNumbers"/>
      </w:rPr>
      <w:fldChar w:fldCharType="end"/>
    </w:r>
    <w:r>
      <w:rPr>
        <w:rStyle w:val="PageNumbers"/>
      </w:rPr>
      <w:tab/>
    </w:r>
    <w:r>
      <w:t>The Mental Health of Children and Adolescents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F5463F">
    <w:pPr>
      <w:pStyle w:val="PageHeader"/>
      <w:pBdr>
        <w:bottom w:val="single" w:sz="4" w:space="1" w:color="2171B5"/>
      </w:pBdr>
      <w:jc w:val="right"/>
    </w:pPr>
    <w:r>
      <w:t>The Mental Health of Children and Adolescents</w:t>
    </w:r>
    <w:r>
      <w:tab/>
    </w:r>
    <w:r>
      <w:rPr>
        <w:rStyle w:val="PageNumbers"/>
      </w:rPr>
      <w:fldChar w:fldCharType="begin"/>
    </w:r>
    <w:r>
      <w:rPr>
        <w:rStyle w:val="PageNumbers"/>
      </w:rPr>
      <w:instrText xml:space="preserve"> PAGE   \* MERGEFORMAT </w:instrText>
    </w:r>
    <w:r>
      <w:rPr>
        <w:rStyle w:val="PageNumbers"/>
      </w:rPr>
      <w:fldChar w:fldCharType="separate"/>
    </w:r>
    <w:r w:rsidR="0025452D">
      <w:rPr>
        <w:rStyle w:val="PageNumbers"/>
        <w:noProof/>
      </w:rPr>
      <w:t>45</w:t>
    </w:r>
    <w:r>
      <w:rPr>
        <w:rStyle w:val="PageNumber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48</w:t>
    </w:r>
    <w:r w:rsidRPr="00AC0ACE">
      <w:rPr>
        <w:rStyle w:val="PageNumbers"/>
      </w:rPr>
      <w:fldChar w:fldCharType="end"/>
    </w:r>
    <w:r>
      <w:rPr>
        <w:rStyle w:val="PageNumbers"/>
      </w:rPr>
      <w:tab/>
    </w:r>
    <w:r>
      <w:t>The Mental Health of Children and Adolescents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F5463F">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49</w:t>
    </w:r>
    <w:r w:rsidRPr="00AC0ACE">
      <w:rPr>
        <w:rStyle w:val="PageNumbers"/>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58</w:t>
    </w:r>
    <w:r w:rsidRPr="00AC0ACE">
      <w:rPr>
        <w:rStyle w:val="PageNumbers"/>
      </w:rPr>
      <w:fldChar w:fldCharType="end"/>
    </w:r>
    <w:r>
      <w:rPr>
        <w:rStyle w:val="PageNumbers"/>
      </w:rPr>
      <w:tab/>
    </w:r>
    <w:r>
      <w:t>The Mental Health of Children and Adolescents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914CA">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59</w:t>
    </w:r>
    <w:r w:rsidRPr="00AC0ACE">
      <w:rPr>
        <w:rStyle w:val="PageNumber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viii</w:t>
    </w:r>
    <w:r w:rsidRPr="00AC0ACE">
      <w:rPr>
        <w:rStyle w:val="PageNumbers"/>
      </w:rPr>
      <w:fldChar w:fldCharType="end"/>
    </w:r>
    <w:r>
      <w:rPr>
        <w:rStyle w:val="PageNumbers"/>
      </w:rPr>
      <w:tab/>
    </w:r>
    <w:r>
      <w:t>The Mental Health of Children and Adolescents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64</w:t>
    </w:r>
    <w:r w:rsidRPr="00AC0ACE">
      <w:rPr>
        <w:rStyle w:val="PageNumbers"/>
      </w:rPr>
      <w:fldChar w:fldCharType="end"/>
    </w:r>
    <w:r>
      <w:rPr>
        <w:rStyle w:val="PageNumbers"/>
      </w:rPr>
      <w:tab/>
    </w:r>
    <w:r>
      <w:t>The Mental Health of Children and Adolescents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1075FF">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63</w:t>
    </w:r>
    <w:r w:rsidRPr="00AC0ACE">
      <w:rPr>
        <w:rStyle w:val="PageNumbers"/>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72</w:t>
    </w:r>
    <w:r w:rsidRPr="00AC0ACE">
      <w:rPr>
        <w:rStyle w:val="PageNumbers"/>
      </w:rPr>
      <w:fldChar w:fldCharType="end"/>
    </w:r>
    <w:r>
      <w:rPr>
        <w:rStyle w:val="PageNumbers"/>
      </w:rPr>
      <w:tab/>
    </w:r>
    <w:r>
      <w:t>The Mental Health of Children and Adolescents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1075FF">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71</w:t>
    </w:r>
    <w:r w:rsidRPr="00AC0ACE">
      <w:rPr>
        <w:rStyle w:val="PageNumbers"/>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66</w:t>
    </w:r>
    <w:r w:rsidRPr="00AC0ACE">
      <w:rPr>
        <w:rStyle w:val="PageNumbers"/>
      </w:rPr>
      <w:fldChar w:fldCharType="end"/>
    </w:r>
    <w:r>
      <w:rPr>
        <w:rStyle w:val="PageNumbers"/>
      </w:rPr>
      <w:tab/>
    </w:r>
    <w:r>
      <w:t>The Mental Health of Children and Adolescents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74</w:t>
    </w:r>
    <w:r w:rsidRPr="00AC0ACE">
      <w:rPr>
        <w:rStyle w:val="PageNumbers"/>
      </w:rPr>
      <w:fldChar w:fldCharType="end"/>
    </w:r>
    <w:r>
      <w:rPr>
        <w:rStyle w:val="PageNumbers"/>
      </w:rPr>
      <w:tab/>
    </w:r>
    <w:r>
      <w:t>The Mental Health of Children and Adolescents</w:t>
    </w:r>
  </w:p>
  <w:p w:rsidR="00711229" w:rsidRPr="00271157" w:rsidRDefault="00711229" w:rsidP="00E3027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0C4CF6">
      <w:rPr>
        <w:rStyle w:val="PageNumbers"/>
      </w:rPr>
      <w:fldChar w:fldCharType="begin"/>
    </w:r>
    <w:r w:rsidRPr="000C4CF6">
      <w:rPr>
        <w:rStyle w:val="PageNumbers"/>
      </w:rPr>
      <w:instrText xml:space="preserve"> PAGE   \* MERGEFORMAT </w:instrText>
    </w:r>
    <w:r w:rsidRPr="000C4CF6">
      <w:rPr>
        <w:rStyle w:val="PageNumbers"/>
      </w:rPr>
      <w:fldChar w:fldCharType="separate"/>
    </w:r>
    <w:r w:rsidR="0025452D">
      <w:rPr>
        <w:rStyle w:val="PageNumbers"/>
        <w:noProof/>
      </w:rPr>
      <w:t>88</w:t>
    </w:r>
    <w:r w:rsidRPr="000C4CF6">
      <w:rPr>
        <w:rStyle w:val="PageNumbers"/>
      </w:rPr>
      <w:fldChar w:fldCharType="end"/>
    </w:r>
    <w:r>
      <w:rPr>
        <w:rStyle w:val="PageNumbers"/>
      </w:rPr>
      <w:tab/>
    </w:r>
    <w:r>
      <w:t>The Mental Health of Children and Adolescents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F5463F">
    <w:pPr>
      <w:pStyle w:val="PageHeader"/>
      <w:pBdr>
        <w:bottom w:val="single" w:sz="4" w:space="1" w:color="2171B5"/>
      </w:pBdr>
      <w:jc w:val="right"/>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vii</w:t>
    </w:r>
    <w:r w:rsidRPr="00AC0ACE">
      <w:rPr>
        <w:rStyle w:val="PageNumbers"/>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0C4CF6">
      <w:rPr>
        <w:rStyle w:val="PageNumbers"/>
      </w:rPr>
      <w:fldChar w:fldCharType="begin"/>
    </w:r>
    <w:r w:rsidRPr="000C4CF6">
      <w:rPr>
        <w:rStyle w:val="PageNumbers"/>
      </w:rPr>
      <w:instrText xml:space="preserve"> PAGE   \* MERGEFORMAT </w:instrText>
    </w:r>
    <w:r w:rsidRPr="000C4CF6">
      <w:rPr>
        <w:rStyle w:val="PageNumbers"/>
      </w:rPr>
      <w:fldChar w:fldCharType="separate"/>
    </w:r>
    <w:r w:rsidR="0025452D">
      <w:rPr>
        <w:rStyle w:val="PageNumbers"/>
        <w:noProof/>
      </w:rPr>
      <w:t>87</w:t>
    </w:r>
    <w:r w:rsidRPr="000C4CF6">
      <w:rPr>
        <w:rStyle w:val="PageNumbers"/>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0C4CF6">
      <w:rPr>
        <w:rStyle w:val="PageNumbers"/>
      </w:rPr>
      <w:fldChar w:fldCharType="begin"/>
    </w:r>
    <w:r w:rsidRPr="000C4CF6">
      <w:rPr>
        <w:rStyle w:val="PageNumbers"/>
      </w:rPr>
      <w:instrText xml:space="preserve"> PAGE   \* MERGEFORMAT </w:instrText>
    </w:r>
    <w:r w:rsidRPr="000C4CF6">
      <w:rPr>
        <w:rStyle w:val="PageNumbers"/>
      </w:rPr>
      <w:fldChar w:fldCharType="separate"/>
    </w:r>
    <w:r w:rsidR="0025452D">
      <w:rPr>
        <w:rStyle w:val="PageNumbers"/>
        <w:noProof/>
      </w:rPr>
      <w:t>96</w:t>
    </w:r>
    <w:r w:rsidRPr="000C4CF6">
      <w:rPr>
        <w:rStyle w:val="PageNumbers"/>
      </w:rPr>
      <w:fldChar w:fldCharType="end"/>
    </w:r>
    <w:r>
      <w:rPr>
        <w:rStyle w:val="PageNumbers"/>
      </w:rPr>
      <w:tab/>
    </w:r>
    <w:r>
      <w:t>The Mental Health of Children and Adolescents</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0C4CF6">
      <w:rPr>
        <w:rStyle w:val="PageNumbers"/>
      </w:rPr>
      <w:fldChar w:fldCharType="begin"/>
    </w:r>
    <w:r w:rsidRPr="000C4CF6">
      <w:rPr>
        <w:rStyle w:val="PageNumbers"/>
      </w:rPr>
      <w:instrText xml:space="preserve"> PAGE   \* MERGEFORMAT </w:instrText>
    </w:r>
    <w:r w:rsidRPr="000C4CF6">
      <w:rPr>
        <w:rStyle w:val="PageNumbers"/>
      </w:rPr>
      <w:fldChar w:fldCharType="separate"/>
    </w:r>
    <w:r w:rsidR="0025452D">
      <w:rPr>
        <w:rStyle w:val="PageNumbers"/>
        <w:noProof/>
      </w:rPr>
      <w:t>95</w:t>
    </w:r>
    <w:r w:rsidRPr="000C4CF6">
      <w:rPr>
        <w:rStyle w:val="PageNumbers"/>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102</w:t>
    </w:r>
    <w:r w:rsidRPr="00AC0ACE">
      <w:rPr>
        <w:rStyle w:val="PageNumbers"/>
      </w:rPr>
      <w:fldChar w:fldCharType="end"/>
    </w:r>
    <w:r>
      <w:rPr>
        <w:rStyle w:val="PageNumbers"/>
      </w:rPr>
      <w:tab/>
    </w:r>
    <w:r>
      <w:t>The Mental Health of Children and Adolescents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101</w:t>
    </w:r>
    <w:r w:rsidRPr="00AC0ACE">
      <w:rPr>
        <w:rStyle w:val="PageNumbers"/>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96</w:t>
    </w:r>
    <w:r w:rsidRPr="00AC0ACE">
      <w:rPr>
        <w:rStyle w:val="PageNumbers"/>
      </w:rPr>
      <w:fldChar w:fldCharType="end"/>
    </w:r>
    <w:r>
      <w:rPr>
        <w:rStyle w:val="PageNumbers"/>
      </w:rPr>
      <w:tab/>
    </w:r>
    <w:r>
      <w:t>The Mental Health of Children and Adolescents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proofErr w:type="gramStart"/>
    <w:r>
      <w:t>e</w:t>
    </w:r>
    <w:proofErr w:type="gramEnd"/>
    <w:r>
      <w:t xml:space="preserv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2</w:t>
    </w:r>
    <w:r w:rsidRPr="00AC0ACE">
      <w:rPr>
        <w:rStyle w:val="PageNumbers"/>
      </w:rPr>
      <w:fldChar w:fldCharType="end"/>
    </w:r>
    <w:r>
      <w:rPr>
        <w:rStyle w:val="PageNumbers"/>
      </w:rPr>
      <w:tab/>
    </w:r>
    <w:r>
      <w:t>The Mental Health of Children and Adolescents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104</w:t>
    </w:r>
    <w:r w:rsidRPr="00AC0ACE">
      <w:rPr>
        <w:rStyle w:val="PageNumbers"/>
      </w:rPr>
      <w:fldChar w:fldCharType="end"/>
    </w:r>
    <w:r>
      <w:rPr>
        <w:rStyle w:val="PageNumbers"/>
      </w:rPr>
      <w:tab/>
    </w:r>
    <w:r>
      <w:t>The Mental Health of Children and Adolescents</w:t>
    </w:r>
  </w:p>
  <w:p w:rsidR="00711229" w:rsidRDefault="0071122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110</w:t>
    </w:r>
    <w:r w:rsidRPr="00AC0ACE">
      <w:rPr>
        <w:rStyle w:val="PageNumbers"/>
      </w:rPr>
      <w:fldChar w:fldCharType="end"/>
    </w:r>
    <w:r>
      <w:rPr>
        <w:rStyle w:val="PageNumbers"/>
      </w:rPr>
      <w:tab/>
    </w:r>
    <w:r>
      <w:t>The Mental Health of Children and Adolescents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109</w:t>
    </w:r>
    <w:r w:rsidRPr="00AC0ACE">
      <w:rPr>
        <w:rStyle w:val="PageNumbers"/>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E30271">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116</w:t>
    </w:r>
    <w:r w:rsidRPr="00AC0ACE">
      <w:rPr>
        <w:rStyle w:val="PageNumbers"/>
      </w:rPr>
      <w:fldChar w:fldCharType="end"/>
    </w:r>
    <w:r>
      <w:rPr>
        <w:rStyle w:val="PageNumbers"/>
      </w:rPr>
      <w:tab/>
    </w:r>
    <w:r>
      <w:t>The Mental Health of Children and Adolescents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117</w:t>
    </w:r>
    <w:r w:rsidRPr="00AC0ACE">
      <w:rPr>
        <w:rStyle w:val="PageNumbers"/>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74764C">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126</w:t>
    </w:r>
    <w:r w:rsidRPr="00AC0ACE">
      <w:rPr>
        <w:rStyle w:val="PageNumbers"/>
      </w:rPr>
      <w:fldChar w:fldCharType="end"/>
    </w:r>
    <w:r>
      <w:rPr>
        <w:rStyle w:val="PageNumbers"/>
      </w:rPr>
      <w:tab/>
    </w:r>
    <w:r>
      <w:t>The Mental Health of Children and Adolescents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127</w:t>
    </w:r>
    <w:r w:rsidRPr="00AC0ACE">
      <w:rPr>
        <w:rStyle w:val="PageNumbers"/>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FD531A">
    <w:pPr>
      <w:pStyle w:val="PageHeader"/>
      <w:pBdr>
        <w:bottom w:val="single" w:sz="4" w:space="1" w:color="auto"/>
      </w:pBdr>
    </w:pPr>
    <w:r w:rsidRPr="000C4CF6">
      <w:rPr>
        <w:rStyle w:val="PageNumbers"/>
      </w:rPr>
      <w:fldChar w:fldCharType="begin"/>
    </w:r>
    <w:r w:rsidRPr="000C4CF6">
      <w:rPr>
        <w:rStyle w:val="PageNumbers"/>
      </w:rPr>
      <w:instrText xml:space="preserve"> PAGE   \* MERGEFORMAT </w:instrText>
    </w:r>
    <w:r w:rsidRPr="000C4CF6">
      <w:rPr>
        <w:rStyle w:val="PageNumbers"/>
      </w:rPr>
      <w:fldChar w:fldCharType="separate"/>
    </w:r>
    <w:r w:rsidR="0025452D">
      <w:rPr>
        <w:rStyle w:val="PageNumbers"/>
        <w:noProof/>
      </w:rPr>
      <w:t>140</w:t>
    </w:r>
    <w:r w:rsidRPr="000C4CF6">
      <w:rPr>
        <w:rStyle w:val="PageNumbers"/>
      </w:rPr>
      <w:fldChar w:fldCharType="end"/>
    </w:r>
    <w:r>
      <w:rPr>
        <w:rStyle w:val="PageNumbers"/>
      </w:rPr>
      <w:tab/>
    </w:r>
    <w:r>
      <w:t>The Mental Health of Children and Adolescents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Pr="00FA5A2F" w:rsidRDefault="00711229" w:rsidP="00FA5A2F">
    <w:pPr>
      <w:pStyle w:val="PageHeader"/>
      <w:pBdr>
        <w:bottom w:val="single" w:sz="8" w:space="1" w:color="2171B5"/>
      </w:pBdr>
      <w:jc w:val="right"/>
    </w:pPr>
    <w:r w:rsidRPr="00FA5A2F">
      <w:t xml:space="preserve"> The Mental Health of Children and Adolescents</w:t>
    </w:r>
    <w:r w:rsidRPr="00FA5A2F">
      <w:tab/>
    </w:r>
    <w:r w:rsidRPr="00FA5A2F">
      <w:rPr>
        <w:rStyle w:val="PageNumbers"/>
      </w:rPr>
      <w:fldChar w:fldCharType="begin"/>
    </w:r>
    <w:r w:rsidRPr="00FA5A2F">
      <w:rPr>
        <w:rStyle w:val="PageNumbers"/>
      </w:rPr>
      <w:instrText xml:space="preserve"> PAGE   \* MERGEFORMAT </w:instrText>
    </w:r>
    <w:r w:rsidRPr="00FA5A2F">
      <w:rPr>
        <w:rStyle w:val="PageNumbers"/>
      </w:rPr>
      <w:fldChar w:fldCharType="separate"/>
    </w:r>
    <w:r w:rsidR="0025452D">
      <w:rPr>
        <w:rStyle w:val="PageNumbers"/>
        <w:noProof/>
      </w:rPr>
      <w:t>129</w:t>
    </w:r>
    <w:r w:rsidRPr="00FA5A2F">
      <w:rPr>
        <w:rStyle w:val="PageNumbers"/>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136</w:t>
    </w:r>
    <w:r w:rsidRPr="00AC0ACE">
      <w:rPr>
        <w:rStyle w:val="PageNumbers"/>
      </w:rPr>
      <w:fldChar w:fldCharType="end"/>
    </w:r>
    <w:r>
      <w:rPr>
        <w:rStyle w:val="PageNumbers"/>
      </w:rPr>
      <w:tab/>
    </w:r>
    <w:r>
      <w:t>The Mental Health of Children and Adolescents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proofErr w:type="gramStart"/>
    <w:r>
      <w:t>he</w:t>
    </w:r>
    <w:proofErr w:type="gramEnd"/>
    <w:r>
      <w:t xml:space="preserv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74764C">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143</w:t>
    </w:r>
    <w:r w:rsidRPr="00AC0ACE">
      <w:rPr>
        <w:rStyle w:val="PageNumbers"/>
      </w:rPr>
      <w:fldChar w:fldCharType="end"/>
    </w:r>
    <w:r>
      <w:rPr>
        <w:rStyle w:val="PageNumbers"/>
      </w:rPr>
      <w:tab/>
    </w:r>
    <w:r>
      <w:t>The Mental Health of Children and Adolescents</w:t>
    </w:r>
  </w:p>
  <w:p w:rsidR="00711229" w:rsidRDefault="0071122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74764C">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146</w:t>
    </w:r>
    <w:r w:rsidRPr="00AC0ACE">
      <w:rPr>
        <w:rStyle w:val="PageNumbers"/>
      </w:rPr>
      <w:fldChar w:fldCharType="end"/>
    </w:r>
    <w:r>
      <w:rPr>
        <w:rStyle w:val="PageNumbers"/>
      </w:rPr>
      <w:tab/>
    </w:r>
    <w:r>
      <w:t>The Mental Health of Children and Adolescents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147</w:t>
    </w:r>
    <w:r w:rsidRPr="00AC0ACE">
      <w:rPr>
        <w:rStyle w:val="PageNumbers"/>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142</w:t>
    </w:r>
    <w:r w:rsidRPr="00AC0ACE">
      <w:rPr>
        <w:rStyle w:val="PageNumbers"/>
      </w:rPr>
      <w:fldChar w:fldCharType="end"/>
    </w:r>
    <w:r>
      <w:rPr>
        <w:rStyle w:val="PageNumbers"/>
      </w:rPr>
      <w:tab/>
    </w:r>
    <w:r>
      <w:t>The Mental Health of Children and Adolescents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3</w:t>
    </w:r>
    <w:r w:rsidRPr="00AC0ACE">
      <w:rPr>
        <w:rStyle w:val="PageNumbers"/>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C827EF">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2</w:t>
    </w:r>
    <w:r w:rsidRPr="00AC0ACE">
      <w:rPr>
        <w:rStyle w:val="PageNumbers"/>
      </w:rPr>
      <w:fldChar w:fldCharType="end"/>
    </w:r>
    <w:r>
      <w:rPr>
        <w:rStyle w:val="PageNumbers"/>
      </w:rPr>
      <w:tab/>
    </w:r>
    <w:r>
      <w:t>The Mental Health of Children and Adolescents</w:t>
    </w:r>
  </w:p>
  <w:p w:rsidR="00711229" w:rsidRDefault="00711229">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9E2950">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149</w:t>
    </w:r>
    <w:r w:rsidRPr="00AC0ACE">
      <w:rPr>
        <w:rStyle w:val="PageNumbers"/>
      </w:rPr>
      <w:fldChar w:fldCharType="end"/>
    </w:r>
    <w:r>
      <w:rPr>
        <w:rStyle w:val="PageNumbers"/>
      </w:rPr>
      <w:tab/>
    </w:r>
    <w:r>
      <w:t>The Mental Health of Children and Adolescents</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Pr="00EE1C7D" w:rsidRDefault="00711229" w:rsidP="009E2950">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166</w:t>
    </w:r>
    <w:r w:rsidRPr="00AC0ACE">
      <w:rPr>
        <w:rStyle w:val="PageNumbers"/>
      </w:rPr>
      <w:fldChar w:fldCharType="end"/>
    </w:r>
    <w:r>
      <w:rPr>
        <w:rStyle w:val="PageNumbers"/>
      </w:rPr>
      <w:tab/>
    </w:r>
    <w:r>
      <w:t>The Mental Health of Children and Adolescents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165</w:t>
    </w:r>
    <w:r w:rsidRPr="00AC0ACE">
      <w:rPr>
        <w:rStyle w:val="PageNumbers"/>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2454">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168</w:t>
    </w:r>
    <w:r w:rsidRPr="00AC0ACE">
      <w:rPr>
        <w:rStyle w:val="PageNumbers"/>
      </w:rPr>
      <w:fldChar w:fldCharType="end"/>
    </w:r>
    <w:r>
      <w:rPr>
        <w:rStyle w:val="PageNumbers"/>
      </w:rPr>
      <w:tab/>
    </w:r>
    <w:r>
      <w:t>The Mental Health of Children and Adolescents</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167</w:t>
    </w:r>
    <w:r w:rsidRPr="00AC0ACE">
      <w:rPr>
        <w:rStyle w:val="PageNumbers"/>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2454">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182</w:t>
    </w:r>
    <w:r w:rsidRPr="00AC0ACE">
      <w:rPr>
        <w:rStyle w:val="PageNumbers"/>
      </w:rPr>
      <w:fldChar w:fldCharType="end"/>
    </w:r>
    <w:r>
      <w:rPr>
        <w:rStyle w:val="PageNumbers"/>
      </w:rPr>
      <w:tab/>
    </w:r>
    <w:r>
      <w:t>The Mental Health of Children and Adolescents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433B8">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181</w:t>
    </w:r>
    <w:r w:rsidRPr="00AC0ACE">
      <w:rPr>
        <w:rStyle w:val="PageNumbers"/>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2454">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190</w:t>
    </w:r>
    <w:r w:rsidRPr="00AC0ACE">
      <w:rPr>
        <w:rStyle w:val="PageNumbers"/>
      </w:rPr>
      <w:fldChar w:fldCharType="end"/>
    </w:r>
    <w:r>
      <w:rPr>
        <w:rStyle w:val="PageNumbers"/>
      </w:rPr>
      <w:tab/>
    </w:r>
    <w:r>
      <w:t>The Mental Health of Children and Adolescents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B276B2">
    <w:pPr>
      <w:pStyle w:val="PageHeader"/>
      <w:pBdr>
        <w:bottom w:val="single" w:sz="4" w:space="1" w:color="2171B5"/>
      </w:pBdr>
      <w:jc w:val="right"/>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189</w:t>
    </w:r>
    <w:r w:rsidRPr="00AC0ACE">
      <w:rPr>
        <w:rStyle w:val="PageNumbers"/>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C0ACE">
    <w:pPr>
      <w:pStyle w:val="PageHeade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184</w:t>
    </w:r>
    <w:r w:rsidRPr="00AC0ACE">
      <w:rPr>
        <w:rStyle w:val="PageNumbers"/>
      </w:rPr>
      <w:fldChar w:fldCharType="end"/>
    </w:r>
    <w:r>
      <w:rPr>
        <w:rStyle w:val="PageNumbers"/>
      </w:rPr>
      <w:tab/>
    </w:r>
    <w:r>
      <w:t>The Mental Health of Children and Adolescents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6C13">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4</w:t>
    </w:r>
    <w:r w:rsidRPr="00AC0ACE">
      <w:rPr>
        <w:rStyle w:val="PageNumbers"/>
      </w:rPr>
      <w:fldChar w:fldCharType="end"/>
    </w:r>
    <w:r>
      <w:rPr>
        <w:rStyle w:val="PageNumbers"/>
      </w:rPr>
      <w:tab/>
    </w:r>
    <w:r>
      <w:t>The Mental Health of Children and Adolescents</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6F7ACE">
    <w:pPr>
      <w:pStyle w:val="PageHeader"/>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Pr>
        <w:rStyle w:val="PageNumbers"/>
        <w:noProof/>
      </w:rPr>
      <w:t>185</w:t>
    </w:r>
    <w:r w:rsidRPr="00AC0ACE">
      <w:rPr>
        <w:rStyle w:val="PageNumbers"/>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2454">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192</w:t>
    </w:r>
    <w:r w:rsidRPr="00AC0ACE">
      <w:rPr>
        <w:rStyle w:val="PageNumbers"/>
      </w:rPr>
      <w:fldChar w:fldCharType="end"/>
    </w:r>
    <w:r>
      <w:rPr>
        <w:rStyle w:val="PageNumbers"/>
      </w:rPr>
      <w:tab/>
    </w:r>
    <w:r>
      <w:t>The Mental Health of Children and Adolescents</w:t>
    </w:r>
  </w:p>
  <w:p w:rsidR="00711229" w:rsidRDefault="0071122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302454">
    <w:pPr>
      <w:pStyle w:val="PageHeader"/>
      <w:pBdr>
        <w:bottom w:val="single" w:sz="4" w:space="1" w:color="2171B5"/>
      </w:pBdr>
    </w:pP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200</w:t>
    </w:r>
    <w:r w:rsidRPr="00AC0ACE">
      <w:rPr>
        <w:rStyle w:val="PageNumbers"/>
      </w:rPr>
      <w:fldChar w:fldCharType="end"/>
    </w:r>
    <w:r>
      <w:rPr>
        <w:rStyle w:val="PageNumbers"/>
      </w:rPr>
      <w:tab/>
    </w:r>
    <w:r>
      <w:t>The Mental Health of Children and Adolescents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A74E9C">
    <w:pPr>
      <w:pStyle w:val="PageHeader"/>
      <w:pBdr>
        <w:bottom w:val="single" w:sz="4" w:space="1" w:color="2171B5"/>
      </w:pBdr>
      <w:jc w:val="right"/>
    </w:pPr>
    <w:r>
      <w:t xml:space="preserve"> 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199</w:t>
    </w:r>
    <w:r w:rsidRPr="00AC0ACE">
      <w:rPr>
        <w:rStyle w:val="PageNumber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229" w:rsidRDefault="00711229" w:rsidP="00F5463F">
    <w:pPr>
      <w:pStyle w:val="PageHeader"/>
      <w:pBdr>
        <w:bottom w:val="single" w:sz="4" w:space="1" w:color="2171B5"/>
      </w:pBdr>
      <w:jc w:val="right"/>
    </w:pPr>
    <w:r>
      <w:t>The Mental Health of Children and Adolescents</w:t>
    </w:r>
    <w:r>
      <w:tab/>
    </w:r>
    <w:r w:rsidRPr="00AC0ACE">
      <w:rPr>
        <w:rStyle w:val="PageNumbers"/>
      </w:rPr>
      <w:fldChar w:fldCharType="begin"/>
    </w:r>
    <w:r w:rsidRPr="00AC0ACE">
      <w:rPr>
        <w:rStyle w:val="PageNumbers"/>
      </w:rPr>
      <w:instrText xml:space="preserve"> PAGE   \* MERGEFORMAT </w:instrText>
    </w:r>
    <w:r w:rsidRPr="00AC0ACE">
      <w:rPr>
        <w:rStyle w:val="PageNumbers"/>
      </w:rPr>
      <w:fldChar w:fldCharType="separate"/>
    </w:r>
    <w:r w:rsidR="0025452D">
      <w:rPr>
        <w:rStyle w:val="PageNumbers"/>
        <w:noProof/>
      </w:rPr>
      <w:t>3</w:t>
    </w:r>
    <w:r w:rsidRPr="00AC0ACE">
      <w:rPr>
        <w:rStyle w:val="PageNumber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E0F"/>
    <w:multiLevelType w:val="hybridMultilevel"/>
    <w:tmpl w:val="317CF2B8"/>
    <w:lvl w:ilvl="0" w:tplc="362CBE54">
      <w:start w:val="3"/>
      <w:numFmt w:val="bullet"/>
      <w:pStyle w:val="ExecSummaryHyphenSubDotPoint"/>
      <w:lvlText w:val="-"/>
      <w:lvlJc w:val="left"/>
      <w:pPr>
        <w:ind w:left="946" w:hanging="226"/>
      </w:pPr>
      <w:rPr>
        <w:rFonts w:ascii="Cambria" w:eastAsiaTheme="minorHAnsi" w:hAnsi="Cambria" w:cstheme="minorBid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CF01817"/>
    <w:multiLevelType w:val="hybridMultilevel"/>
    <w:tmpl w:val="C33A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61D45"/>
    <w:multiLevelType w:val="hybridMultilevel"/>
    <w:tmpl w:val="AD84170C"/>
    <w:lvl w:ilvl="0" w:tplc="5C70B76E">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17AE23B8"/>
    <w:multiLevelType w:val="hybridMultilevel"/>
    <w:tmpl w:val="0150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1E465D"/>
    <w:multiLevelType w:val="hybridMultilevel"/>
    <w:tmpl w:val="26FAC346"/>
    <w:lvl w:ilvl="0" w:tplc="D5C455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065266"/>
    <w:multiLevelType w:val="hybridMultilevel"/>
    <w:tmpl w:val="7D661F00"/>
    <w:lvl w:ilvl="0" w:tplc="08142F72">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F901D49"/>
    <w:multiLevelType w:val="hybridMultilevel"/>
    <w:tmpl w:val="616CD2DA"/>
    <w:lvl w:ilvl="0" w:tplc="BDBA11AC">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66A684D"/>
    <w:multiLevelType w:val="hybridMultilevel"/>
    <w:tmpl w:val="F65E17B2"/>
    <w:lvl w:ilvl="0" w:tplc="6D1C4FFC">
      <w:start w:val="1"/>
      <w:numFmt w:val="bullet"/>
      <w:lvlText w:val=""/>
      <w:lvlJc w:val="left"/>
      <w:pPr>
        <w:ind w:left="794" w:hanging="284"/>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8270B63"/>
    <w:multiLevelType w:val="hybridMultilevel"/>
    <w:tmpl w:val="61F09CD2"/>
    <w:lvl w:ilvl="0" w:tplc="991427E8">
      <w:start w:val="14"/>
      <w:numFmt w:val="bullet"/>
      <w:lvlText w:val="-"/>
      <w:lvlJc w:val="left"/>
      <w:pPr>
        <w:ind w:left="720" w:hanging="360"/>
      </w:pPr>
      <w:rPr>
        <w:rFonts w:ascii="Source Sans Pro Light" w:eastAsiaTheme="minorHAnsi" w:hAnsi="Source Sans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ED73A5"/>
    <w:multiLevelType w:val="hybridMultilevel"/>
    <w:tmpl w:val="B83A203A"/>
    <w:lvl w:ilvl="0" w:tplc="22C6766A">
      <w:start w:val="1"/>
      <w:numFmt w:val="bullet"/>
      <w:pStyle w:val="BulletLi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2FCC70B1"/>
    <w:multiLevelType w:val="hybridMultilevel"/>
    <w:tmpl w:val="41E43D98"/>
    <w:lvl w:ilvl="0" w:tplc="5B42489E">
      <w:start w:val="1"/>
      <w:numFmt w:val="bullet"/>
      <w:lvlText w:val=""/>
      <w:lvlJc w:val="left"/>
      <w:pPr>
        <w:ind w:left="1004" w:hanging="35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227A5"/>
    <w:multiLevelType w:val="hybridMultilevel"/>
    <w:tmpl w:val="EB0240F4"/>
    <w:lvl w:ilvl="0" w:tplc="31CE1F52">
      <w:start w:val="1"/>
      <w:numFmt w:val="lowerRoman"/>
      <w:lvlText w:val="%1."/>
      <w:lvlJc w:val="right"/>
      <w:pPr>
        <w:ind w:left="794" w:hanging="284"/>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37C8300C"/>
    <w:multiLevelType w:val="hybridMultilevel"/>
    <w:tmpl w:val="98E4E0EA"/>
    <w:lvl w:ilvl="0" w:tplc="FE70ADD0">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3C0A0120"/>
    <w:multiLevelType w:val="hybridMultilevel"/>
    <w:tmpl w:val="16F61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FE7C73"/>
    <w:multiLevelType w:val="hybridMultilevel"/>
    <w:tmpl w:val="C2B077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BF377F7"/>
    <w:multiLevelType w:val="hybridMultilevel"/>
    <w:tmpl w:val="61E043EA"/>
    <w:lvl w:ilvl="0" w:tplc="92BE1F3A">
      <w:start w:val="1"/>
      <w:numFmt w:val="bullet"/>
      <w:lvlText w:val=""/>
      <w:lvlJc w:val="left"/>
      <w:pPr>
        <w:ind w:left="1004" w:hanging="35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6F7778"/>
    <w:multiLevelType w:val="hybridMultilevel"/>
    <w:tmpl w:val="0096CCA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C993E40"/>
    <w:multiLevelType w:val="hybridMultilevel"/>
    <w:tmpl w:val="B7E07A34"/>
    <w:lvl w:ilvl="0" w:tplc="27425888">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051BD0"/>
    <w:multiLevelType w:val="hybridMultilevel"/>
    <w:tmpl w:val="A7948AAA"/>
    <w:lvl w:ilvl="0" w:tplc="BD8E7FF6">
      <w:start w:val="1"/>
      <w:numFmt w:val="bullet"/>
      <w:pStyle w:val="ExecSummaryBulletPoin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0B531C"/>
    <w:multiLevelType w:val="hybridMultilevel"/>
    <w:tmpl w:val="179046D8"/>
    <w:lvl w:ilvl="0" w:tplc="9F0ADC7C">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57CE47D2"/>
    <w:multiLevelType w:val="hybridMultilevel"/>
    <w:tmpl w:val="1CC4D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841A95"/>
    <w:multiLevelType w:val="hybridMultilevel"/>
    <w:tmpl w:val="0F58226E"/>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9015343"/>
    <w:multiLevelType w:val="hybridMultilevel"/>
    <w:tmpl w:val="D67CEAA0"/>
    <w:lvl w:ilvl="0" w:tplc="1F602A80">
      <w:start w:val="3"/>
      <w:numFmt w:val="bullet"/>
      <w:lvlText w:val="-"/>
      <w:lvlJc w:val="left"/>
      <w:pPr>
        <w:ind w:left="794" w:hanging="284"/>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A3D18C2"/>
    <w:multiLevelType w:val="hybridMultilevel"/>
    <w:tmpl w:val="871A50EC"/>
    <w:lvl w:ilvl="0" w:tplc="8A78A4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1542F61"/>
    <w:multiLevelType w:val="hybridMultilevel"/>
    <w:tmpl w:val="87D6AF90"/>
    <w:lvl w:ilvl="0" w:tplc="862A925E">
      <w:start w:val="1"/>
      <w:numFmt w:val="bullet"/>
      <w:lvlText w:val=""/>
      <w:lvlJc w:val="left"/>
      <w:pPr>
        <w:ind w:left="284" w:hanging="284"/>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691C2BAE"/>
    <w:multiLevelType w:val="hybridMultilevel"/>
    <w:tmpl w:val="D418519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D3E2B5C"/>
    <w:multiLevelType w:val="hybridMultilevel"/>
    <w:tmpl w:val="F0AA50E2"/>
    <w:lvl w:ilvl="0" w:tplc="987EA51E">
      <w:start w:val="1"/>
      <w:numFmt w:val="bullet"/>
      <w:lvlText w:val=""/>
      <w:lvlJc w:val="left"/>
      <w:pPr>
        <w:ind w:left="1004"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3C5257"/>
    <w:multiLevelType w:val="hybridMultilevel"/>
    <w:tmpl w:val="D9448B20"/>
    <w:lvl w:ilvl="0" w:tplc="E092DAF8">
      <w:start w:val="1"/>
      <w:numFmt w:val="lowerRoman"/>
      <w:pStyle w:val="NumberedList2"/>
      <w:lvlText w:val="%1."/>
      <w:lvlJc w:val="right"/>
      <w:pPr>
        <w:ind w:left="794" w:hanging="284"/>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nsid w:val="6FE56592"/>
    <w:multiLevelType w:val="hybridMultilevel"/>
    <w:tmpl w:val="DA8473FA"/>
    <w:lvl w:ilvl="0" w:tplc="1F602A80">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E826B8"/>
    <w:multiLevelType w:val="multilevel"/>
    <w:tmpl w:val="224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8"/>
  </w:num>
  <w:num w:numId="3">
    <w:abstractNumId w:val="0"/>
  </w:num>
  <w:num w:numId="4">
    <w:abstractNumId w:val="24"/>
  </w:num>
  <w:num w:numId="5">
    <w:abstractNumId w:val="26"/>
  </w:num>
  <w:num w:numId="6">
    <w:abstractNumId w:val="2"/>
  </w:num>
  <w:num w:numId="7">
    <w:abstractNumId w:val="20"/>
  </w:num>
  <w:num w:numId="8">
    <w:abstractNumId w:val="25"/>
  </w:num>
  <w:num w:numId="9">
    <w:abstractNumId w:val="21"/>
  </w:num>
  <w:num w:numId="10">
    <w:abstractNumId w:val="3"/>
  </w:num>
  <w:num w:numId="11">
    <w:abstractNumId w:val="27"/>
  </w:num>
  <w:num w:numId="12">
    <w:abstractNumId w:val="11"/>
  </w:num>
  <w:num w:numId="13">
    <w:abstractNumId w:val="11"/>
    <w:lvlOverride w:ilvl="0">
      <w:startOverride w:val="1"/>
    </w:lvlOverride>
  </w:num>
  <w:num w:numId="14">
    <w:abstractNumId w:val="10"/>
  </w:num>
  <w:num w:numId="15">
    <w:abstractNumId w:val="15"/>
  </w:num>
  <w:num w:numId="16">
    <w:abstractNumId w:val="14"/>
  </w:num>
  <w:num w:numId="17">
    <w:abstractNumId w:val="7"/>
  </w:num>
  <w:num w:numId="18">
    <w:abstractNumId w:val="6"/>
  </w:num>
  <w:num w:numId="19">
    <w:abstractNumId w:val="5"/>
  </w:num>
  <w:num w:numId="20">
    <w:abstractNumId w:val="12"/>
  </w:num>
  <w:num w:numId="21">
    <w:abstractNumId w:val="17"/>
  </w:num>
  <w:num w:numId="22">
    <w:abstractNumId w:val="19"/>
  </w:num>
  <w:num w:numId="23">
    <w:abstractNumId w:val="22"/>
  </w:num>
  <w:num w:numId="24">
    <w:abstractNumId w:val="28"/>
  </w:num>
  <w:num w:numId="25">
    <w:abstractNumId w:val="16"/>
  </w:num>
  <w:num w:numId="26">
    <w:abstractNumId w:val="23"/>
  </w:num>
  <w:num w:numId="27">
    <w:abstractNumId w:val="1"/>
  </w:num>
  <w:num w:numId="28">
    <w:abstractNumId w:val="29"/>
  </w:num>
  <w:num w:numId="29">
    <w:abstractNumId w:val="4"/>
  </w:num>
  <w:num w:numId="30">
    <w:abstractNumId w:val="13"/>
  </w:num>
  <w:num w:numId="31">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saveSubsetFonts/>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86A"/>
    <w:rsid w:val="000204E4"/>
    <w:rsid w:val="00022129"/>
    <w:rsid w:val="000430C8"/>
    <w:rsid w:val="0005034F"/>
    <w:rsid w:val="00080B28"/>
    <w:rsid w:val="00094A16"/>
    <w:rsid w:val="0009685A"/>
    <w:rsid w:val="000A7F4C"/>
    <w:rsid w:val="000C3B47"/>
    <w:rsid w:val="000C5FBA"/>
    <w:rsid w:val="000E01E2"/>
    <w:rsid w:val="000E4913"/>
    <w:rsid w:val="000F4A46"/>
    <w:rsid w:val="00104FDB"/>
    <w:rsid w:val="00105148"/>
    <w:rsid w:val="001075FF"/>
    <w:rsid w:val="00134622"/>
    <w:rsid w:val="0013608F"/>
    <w:rsid w:val="00157DB6"/>
    <w:rsid w:val="001703C1"/>
    <w:rsid w:val="001719BE"/>
    <w:rsid w:val="001C2D08"/>
    <w:rsid w:val="001C56C5"/>
    <w:rsid w:val="001C7259"/>
    <w:rsid w:val="001D14B6"/>
    <w:rsid w:val="001D7939"/>
    <w:rsid w:val="001E6D28"/>
    <w:rsid w:val="002308E6"/>
    <w:rsid w:val="0025452D"/>
    <w:rsid w:val="002601A1"/>
    <w:rsid w:val="00261615"/>
    <w:rsid w:val="002A0780"/>
    <w:rsid w:val="002A4F8B"/>
    <w:rsid w:val="002B3D85"/>
    <w:rsid w:val="002C3A67"/>
    <w:rsid w:val="002E5C79"/>
    <w:rsid w:val="00302454"/>
    <w:rsid w:val="00306C13"/>
    <w:rsid w:val="00306C92"/>
    <w:rsid w:val="003330E0"/>
    <w:rsid w:val="00335A0E"/>
    <w:rsid w:val="003429CA"/>
    <w:rsid w:val="003514B1"/>
    <w:rsid w:val="00353A37"/>
    <w:rsid w:val="003654E7"/>
    <w:rsid w:val="003777F8"/>
    <w:rsid w:val="00395F64"/>
    <w:rsid w:val="003A6D36"/>
    <w:rsid w:val="003B53E2"/>
    <w:rsid w:val="003C5E81"/>
    <w:rsid w:val="003D0105"/>
    <w:rsid w:val="003E15FE"/>
    <w:rsid w:val="003F03F4"/>
    <w:rsid w:val="00402828"/>
    <w:rsid w:val="004032E6"/>
    <w:rsid w:val="00411E41"/>
    <w:rsid w:val="00427869"/>
    <w:rsid w:val="0043284E"/>
    <w:rsid w:val="004348D6"/>
    <w:rsid w:val="00454A3D"/>
    <w:rsid w:val="004713ED"/>
    <w:rsid w:val="00474A81"/>
    <w:rsid w:val="004963B8"/>
    <w:rsid w:val="004A219B"/>
    <w:rsid w:val="004C4DFC"/>
    <w:rsid w:val="004C7179"/>
    <w:rsid w:val="004F4650"/>
    <w:rsid w:val="0050464D"/>
    <w:rsid w:val="00505197"/>
    <w:rsid w:val="0051146C"/>
    <w:rsid w:val="005316C1"/>
    <w:rsid w:val="005350D3"/>
    <w:rsid w:val="0054079B"/>
    <w:rsid w:val="00541C9A"/>
    <w:rsid w:val="00546F67"/>
    <w:rsid w:val="0055004B"/>
    <w:rsid w:val="0055186A"/>
    <w:rsid w:val="00553D30"/>
    <w:rsid w:val="00555E74"/>
    <w:rsid w:val="00557035"/>
    <w:rsid w:val="00583EA1"/>
    <w:rsid w:val="00590512"/>
    <w:rsid w:val="005A28C1"/>
    <w:rsid w:val="005A436E"/>
    <w:rsid w:val="005A4634"/>
    <w:rsid w:val="005A61DA"/>
    <w:rsid w:val="005C3769"/>
    <w:rsid w:val="005C3F11"/>
    <w:rsid w:val="005C4F80"/>
    <w:rsid w:val="005C76F0"/>
    <w:rsid w:val="006034D5"/>
    <w:rsid w:val="006433B8"/>
    <w:rsid w:val="006439D7"/>
    <w:rsid w:val="00653114"/>
    <w:rsid w:val="00654D31"/>
    <w:rsid w:val="00661A11"/>
    <w:rsid w:val="00663E05"/>
    <w:rsid w:val="00666D35"/>
    <w:rsid w:val="006A602D"/>
    <w:rsid w:val="006B6AE6"/>
    <w:rsid w:val="006C51D5"/>
    <w:rsid w:val="006E14BC"/>
    <w:rsid w:val="006E1725"/>
    <w:rsid w:val="006E17E2"/>
    <w:rsid w:val="006E3821"/>
    <w:rsid w:val="006F45C1"/>
    <w:rsid w:val="006F7ACE"/>
    <w:rsid w:val="00710960"/>
    <w:rsid w:val="00711229"/>
    <w:rsid w:val="007167CA"/>
    <w:rsid w:val="00724479"/>
    <w:rsid w:val="0074040A"/>
    <w:rsid w:val="0074764C"/>
    <w:rsid w:val="0076363B"/>
    <w:rsid w:val="00764E4D"/>
    <w:rsid w:val="007764B2"/>
    <w:rsid w:val="00793414"/>
    <w:rsid w:val="007A2AFD"/>
    <w:rsid w:val="007B0552"/>
    <w:rsid w:val="007B272E"/>
    <w:rsid w:val="007B6DFB"/>
    <w:rsid w:val="007B79FE"/>
    <w:rsid w:val="007C6423"/>
    <w:rsid w:val="007D038B"/>
    <w:rsid w:val="00820947"/>
    <w:rsid w:val="00822B56"/>
    <w:rsid w:val="008279CB"/>
    <w:rsid w:val="00836D6D"/>
    <w:rsid w:val="008435FB"/>
    <w:rsid w:val="00853FD2"/>
    <w:rsid w:val="00870F39"/>
    <w:rsid w:val="00891CD4"/>
    <w:rsid w:val="008B3626"/>
    <w:rsid w:val="008C34BF"/>
    <w:rsid w:val="008C37A0"/>
    <w:rsid w:val="008C7CC6"/>
    <w:rsid w:val="008E3D98"/>
    <w:rsid w:val="009078AC"/>
    <w:rsid w:val="0091148A"/>
    <w:rsid w:val="00917548"/>
    <w:rsid w:val="00925FF4"/>
    <w:rsid w:val="0093447F"/>
    <w:rsid w:val="009714C8"/>
    <w:rsid w:val="00982311"/>
    <w:rsid w:val="009A0E67"/>
    <w:rsid w:val="009B151F"/>
    <w:rsid w:val="009C345D"/>
    <w:rsid w:val="009C57CA"/>
    <w:rsid w:val="009C6A38"/>
    <w:rsid w:val="009E2950"/>
    <w:rsid w:val="009E7D98"/>
    <w:rsid w:val="00A0381F"/>
    <w:rsid w:val="00A1640B"/>
    <w:rsid w:val="00A17A49"/>
    <w:rsid w:val="00A24251"/>
    <w:rsid w:val="00A57E37"/>
    <w:rsid w:val="00A631E3"/>
    <w:rsid w:val="00A70CB9"/>
    <w:rsid w:val="00A74E9C"/>
    <w:rsid w:val="00A92EB3"/>
    <w:rsid w:val="00AC0ACE"/>
    <w:rsid w:val="00AE3CCE"/>
    <w:rsid w:val="00AF58FA"/>
    <w:rsid w:val="00B276B2"/>
    <w:rsid w:val="00B46FD8"/>
    <w:rsid w:val="00B477A6"/>
    <w:rsid w:val="00B508D4"/>
    <w:rsid w:val="00B53FD7"/>
    <w:rsid w:val="00B77B74"/>
    <w:rsid w:val="00B80454"/>
    <w:rsid w:val="00BA26CA"/>
    <w:rsid w:val="00BA7CCC"/>
    <w:rsid w:val="00BB1762"/>
    <w:rsid w:val="00BC6E60"/>
    <w:rsid w:val="00C05613"/>
    <w:rsid w:val="00C129FA"/>
    <w:rsid w:val="00C3299A"/>
    <w:rsid w:val="00C72EA6"/>
    <w:rsid w:val="00C827EF"/>
    <w:rsid w:val="00CB22D0"/>
    <w:rsid w:val="00CE5AF9"/>
    <w:rsid w:val="00D1151D"/>
    <w:rsid w:val="00D259FA"/>
    <w:rsid w:val="00D55ED3"/>
    <w:rsid w:val="00D71EC0"/>
    <w:rsid w:val="00D71FD6"/>
    <w:rsid w:val="00D7340D"/>
    <w:rsid w:val="00D8647D"/>
    <w:rsid w:val="00D87492"/>
    <w:rsid w:val="00D93F4C"/>
    <w:rsid w:val="00DA31BA"/>
    <w:rsid w:val="00DB066C"/>
    <w:rsid w:val="00DB6AC2"/>
    <w:rsid w:val="00DB714E"/>
    <w:rsid w:val="00DC428A"/>
    <w:rsid w:val="00DD1D02"/>
    <w:rsid w:val="00DE2898"/>
    <w:rsid w:val="00DE592E"/>
    <w:rsid w:val="00E30271"/>
    <w:rsid w:val="00E37519"/>
    <w:rsid w:val="00E51BD9"/>
    <w:rsid w:val="00E914CA"/>
    <w:rsid w:val="00EB66F7"/>
    <w:rsid w:val="00EC32C3"/>
    <w:rsid w:val="00EE156B"/>
    <w:rsid w:val="00EE2F6B"/>
    <w:rsid w:val="00F06031"/>
    <w:rsid w:val="00F3644A"/>
    <w:rsid w:val="00F44702"/>
    <w:rsid w:val="00F542D3"/>
    <w:rsid w:val="00F5463F"/>
    <w:rsid w:val="00F56FF5"/>
    <w:rsid w:val="00F70CEC"/>
    <w:rsid w:val="00F76204"/>
    <w:rsid w:val="00F90583"/>
    <w:rsid w:val="00F90D3F"/>
    <w:rsid w:val="00FA5A2F"/>
    <w:rsid w:val="00FA623F"/>
    <w:rsid w:val="00FB181B"/>
    <w:rsid w:val="00FB1DD3"/>
    <w:rsid w:val="00FD531A"/>
    <w:rsid w:val="00FE7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heme="minorHAnsi" w:hAnsi="Minion Pro" w:cstheme="minorBidi"/>
        <w:sz w:val="24"/>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DB6"/>
    <w:pPr>
      <w:spacing w:after="227" w:line="300" w:lineRule="exact"/>
    </w:pPr>
    <w:rPr>
      <w:rFonts w:asciiTheme="minorHAnsi" w:hAnsiTheme="minorHAnsi"/>
      <w:sz w:val="22"/>
    </w:rPr>
  </w:style>
  <w:style w:type="paragraph" w:styleId="Heading1">
    <w:name w:val="heading 1"/>
    <w:basedOn w:val="BodyText"/>
    <w:next w:val="BodyText"/>
    <w:link w:val="Heading1Char"/>
    <w:uiPriority w:val="9"/>
    <w:qFormat/>
    <w:rsid w:val="00AE3CCE"/>
    <w:pPr>
      <w:keepNext/>
      <w:keepLines/>
      <w:spacing w:before="240" w:after="340" w:line="440" w:lineRule="exact"/>
      <w:outlineLvl w:val="0"/>
    </w:pPr>
    <w:rPr>
      <w:rFonts w:eastAsiaTheme="majorEastAsia" w:cstheme="majorBidi"/>
      <w:b/>
      <w:bCs/>
      <w:caps/>
      <w:color w:val="2171B5"/>
      <w:sz w:val="36"/>
      <w:szCs w:val="28"/>
    </w:rPr>
  </w:style>
  <w:style w:type="paragraph" w:styleId="Heading2">
    <w:name w:val="heading 2"/>
    <w:basedOn w:val="BodyText"/>
    <w:next w:val="BodyText"/>
    <w:link w:val="Heading2Char"/>
    <w:uiPriority w:val="9"/>
    <w:unhideWhenUsed/>
    <w:qFormat/>
    <w:rsid w:val="00AE3CCE"/>
    <w:pPr>
      <w:keepNext/>
      <w:keepLines/>
      <w:spacing w:before="340" w:line="240" w:lineRule="auto"/>
      <w:outlineLvl w:val="1"/>
    </w:pPr>
    <w:rPr>
      <w:rFonts w:eastAsiaTheme="majorEastAsia" w:cstheme="majorBidi"/>
      <w:b/>
      <w:bCs/>
      <w:color w:val="2171B5"/>
      <w:sz w:val="26"/>
      <w:szCs w:val="26"/>
    </w:rPr>
  </w:style>
  <w:style w:type="paragraph" w:styleId="Heading3">
    <w:name w:val="heading 3"/>
    <w:basedOn w:val="Normal"/>
    <w:next w:val="Normal"/>
    <w:link w:val="Heading3Char"/>
    <w:uiPriority w:val="9"/>
    <w:unhideWhenUsed/>
    <w:qFormat/>
    <w:rsid w:val="00AE3CCE"/>
    <w:pPr>
      <w:keepNext/>
      <w:keepLines/>
      <w:spacing w:before="200" w:after="170"/>
      <w:outlineLvl w:val="2"/>
    </w:pPr>
    <w:rPr>
      <w:rFonts w:eastAsiaTheme="majorEastAsia" w:cstheme="majorBidi"/>
      <w:b/>
      <w:bCs/>
      <w:color w:val="2171B5"/>
    </w:rPr>
  </w:style>
  <w:style w:type="paragraph" w:styleId="Heading4">
    <w:name w:val="heading 4"/>
    <w:basedOn w:val="Normal"/>
    <w:next w:val="Normal"/>
    <w:link w:val="Heading4Char"/>
    <w:uiPriority w:val="9"/>
    <w:unhideWhenUsed/>
    <w:qFormat/>
    <w:rsid w:val="00C827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552"/>
    <w:pPr>
      <w:tabs>
        <w:tab w:val="center" w:pos="4513"/>
        <w:tab w:val="right" w:pos="9026"/>
      </w:tabs>
      <w:spacing w:line="240" w:lineRule="auto"/>
    </w:pPr>
  </w:style>
  <w:style w:type="character" w:customStyle="1" w:styleId="HeaderChar">
    <w:name w:val="Header Char"/>
    <w:basedOn w:val="DefaultParagraphFont"/>
    <w:link w:val="Header"/>
    <w:uiPriority w:val="99"/>
    <w:rsid w:val="007B0552"/>
  </w:style>
  <w:style w:type="paragraph" w:styleId="Footer">
    <w:name w:val="footer"/>
    <w:basedOn w:val="Normal"/>
    <w:link w:val="FooterChar"/>
    <w:uiPriority w:val="99"/>
    <w:unhideWhenUsed/>
    <w:rsid w:val="007B0552"/>
    <w:pPr>
      <w:tabs>
        <w:tab w:val="center" w:pos="4513"/>
        <w:tab w:val="right" w:pos="9026"/>
      </w:tabs>
      <w:spacing w:line="240" w:lineRule="auto"/>
    </w:pPr>
  </w:style>
  <w:style w:type="character" w:customStyle="1" w:styleId="FooterChar">
    <w:name w:val="Footer Char"/>
    <w:basedOn w:val="DefaultParagraphFont"/>
    <w:link w:val="Footer"/>
    <w:uiPriority w:val="99"/>
    <w:rsid w:val="007B0552"/>
  </w:style>
  <w:style w:type="character" w:customStyle="1" w:styleId="Heading1Char">
    <w:name w:val="Heading 1 Char"/>
    <w:basedOn w:val="DefaultParagraphFont"/>
    <w:link w:val="Heading1"/>
    <w:uiPriority w:val="9"/>
    <w:rsid w:val="00AE3CCE"/>
    <w:rPr>
      <w:rFonts w:asciiTheme="minorHAnsi" w:eastAsiaTheme="majorEastAsia" w:hAnsiTheme="minorHAnsi" w:cstheme="majorBidi"/>
      <w:b/>
      <w:bCs/>
      <w:caps/>
      <w:color w:val="2171B5"/>
      <w:sz w:val="36"/>
      <w:szCs w:val="28"/>
    </w:rPr>
  </w:style>
  <w:style w:type="character" w:styleId="PlaceholderText">
    <w:name w:val="Placeholder Text"/>
    <w:basedOn w:val="DefaultParagraphFont"/>
    <w:uiPriority w:val="99"/>
    <w:semiHidden/>
    <w:rsid w:val="000C5FBA"/>
    <w:rPr>
      <w:color w:val="808080"/>
    </w:rPr>
  </w:style>
  <w:style w:type="paragraph" w:styleId="BalloonText">
    <w:name w:val="Balloon Text"/>
    <w:basedOn w:val="Normal"/>
    <w:link w:val="BalloonTextChar"/>
    <w:uiPriority w:val="99"/>
    <w:semiHidden/>
    <w:unhideWhenUsed/>
    <w:rsid w:val="000C5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FBA"/>
    <w:rPr>
      <w:rFonts w:ascii="Tahoma" w:hAnsi="Tahoma" w:cs="Tahoma"/>
      <w:sz w:val="16"/>
      <w:szCs w:val="16"/>
    </w:rPr>
  </w:style>
  <w:style w:type="paragraph" w:styleId="Title">
    <w:name w:val="Title"/>
    <w:basedOn w:val="Normal"/>
    <w:next w:val="Normal"/>
    <w:link w:val="TitleChar"/>
    <w:uiPriority w:val="10"/>
    <w:qFormat/>
    <w:rsid w:val="00917548"/>
    <w:pPr>
      <w:spacing w:after="284" w:line="240" w:lineRule="auto"/>
      <w:contextualSpacing/>
    </w:pPr>
    <w:rPr>
      <w:rFonts w:eastAsiaTheme="majorEastAsia" w:cstheme="majorBidi"/>
      <w:b/>
      <w:caps/>
      <w:color w:val="007565"/>
      <w:spacing w:val="5"/>
      <w:kern w:val="28"/>
      <w:sz w:val="36"/>
      <w:szCs w:val="52"/>
    </w:rPr>
  </w:style>
  <w:style w:type="character" w:customStyle="1" w:styleId="TitleChar">
    <w:name w:val="Title Char"/>
    <w:basedOn w:val="DefaultParagraphFont"/>
    <w:link w:val="Title"/>
    <w:uiPriority w:val="10"/>
    <w:rsid w:val="00917548"/>
    <w:rPr>
      <w:rFonts w:ascii="Source Sans Pro" w:eastAsiaTheme="majorEastAsia" w:hAnsi="Source Sans Pro" w:cstheme="majorBidi"/>
      <w:b/>
      <w:caps/>
      <w:color w:val="007565"/>
      <w:spacing w:val="5"/>
      <w:kern w:val="28"/>
      <w:sz w:val="36"/>
      <w:szCs w:val="52"/>
    </w:rPr>
  </w:style>
  <w:style w:type="paragraph" w:styleId="Caption">
    <w:name w:val="caption"/>
    <w:basedOn w:val="BodyText"/>
    <w:next w:val="Normal"/>
    <w:uiPriority w:val="35"/>
    <w:unhideWhenUsed/>
    <w:qFormat/>
    <w:rsid w:val="00AE3CCE"/>
    <w:pPr>
      <w:spacing w:before="340" w:after="200" w:line="240" w:lineRule="auto"/>
    </w:pPr>
    <w:rPr>
      <w:b/>
      <w:bCs/>
      <w:color w:val="2171B5"/>
      <w:sz w:val="20"/>
      <w:szCs w:val="18"/>
    </w:rPr>
  </w:style>
  <w:style w:type="paragraph" w:customStyle="1" w:styleId="PageHeader">
    <w:name w:val="PageHeader"/>
    <w:basedOn w:val="BodyText"/>
    <w:qFormat/>
    <w:rsid w:val="00AE3CCE"/>
    <w:pPr>
      <w:tabs>
        <w:tab w:val="left" w:pos="0"/>
        <w:tab w:val="left" w:pos="284"/>
        <w:tab w:val="right" w:pos="2438"/>
        <w:tab w:val="right" w:pos="4763"/>
        <w:tab w:val="right" w:pos="7088"/>
        <w:tab w:val="right" w:pos="9526"/>
      </w:tabs>
      <w:spacing w:after="0"/>
      <w:ind w:left="-567" w:right="-567"/>
    </w:pPr>
    <w:rPr>
      <w:color w:val="2171B5"/>
      <w:szCs w:val="24"/>
    </w:rPr>
  </w:style>
  <w:style w:type="character" w:customStyle="1" w:styleId="PageNumbers">
    <w:name w:val="PageNumbers"/>
    <w:basedOn w:val="DefaultParagraphFont"/>
    <w:uiPriority w:val="1"/>
    <w:qFormat/>
    <w:rsid w:val="00AE3CCE"/>
    <w:rPr>
      <w:rFonts w:asciiTheme="minorHAnsi" w:hAnsiTheme="minorHAnsi"/>
      <w:b/>
      <w:color w:val="2171B5"/>
      <w:sz w:val="28"/>
    </w:rPr>
  </w:style>
  <w:style w:type="character" w:customStyle="1" w:styleId="Heading2Char">
    <w:name w:val="Heading 2 Char"/>
    <w:basedOn w:val="DefaultParagraphFont"/>
    <w:link w:val="Heading2"/>
    <w:uiPriority w:val="9"/>
    <w:rsid w:val="00AE3CCE"/>
    <w:rPr>
      <w:rFonts w:asciiTheme="minorHAnsi" w:eastAsiaTheme="majorEastAsia" w:hAnsiTheme="minorHAnsi" w:cstheme="majorBidi"/>
      <w:b/>
      <w:bCs/>
      <w:color w:val="2171B5"/>
      <w:sz w:val="26"/>
      <w:szCs w:val="26"/>
    </w:rPr>
  </w:style>
  <w:style w:type="paragraph" w:customStyle="1" w:styleId="TableColumnHeadings">
    <w:name w:val="TableColumnHeadings"/>
    <w:basedOn w:val="BodyText"/>
    <w:qFormat/>
    <w:rsid w:val="00AE3CCE"/>
    <w:pPr>
      <w:adjustRightInd w:val="0"/>
      <w:spacing w:before="20" w:after="20" w:line="240" w:lineRule="auto"/>
      <w:jc w:val="center"/>
    </w:pPr>
    <w:rPr>
      <w:rFonts w:cs="Source Sans Pro"/>
      <w:color w:val="000000"/>
      <w:sz w:val="20"/>
    </w:rPr>
  </w:style>
  <w:style w:type="paragraph" w:customStyle="1" w:styleId="TableDataCell">
    <w:name w:val="TableDataCell"/>
    <w:basedOn w:val="BodyText"/>
    <w:qFormat/>
    <w:rsid w:val="00AE3CCE"/>
    <w:pPr>
      <w:adjustRightInd w:val="0"/>
      <w:spacing w:before="40" w:after="40" w:line="240" w:lineRule="auto"/>
      <w:jc w:val="right"/>
    </w:pPr>
    <w:rPr>
      <w:rFonts w:cs="Source Sans Pro"/>
      <w:color w:val="000000"/>
      <w:sz w:val="20"/>
    </w:rPr>
  </w:style>
  <w:style w:type="paragraph" w:customStyle="1" w:styleId="TableRowHeadings">
    <w:name w:val="TableRowHeadings"/>
    <w:basedOn w:val="Normal"/>
    <w:qFormat/>
    <w:rsid w:val="00AE3CCE"/>
    <w:pPr>
      <w:adjustRightInd w:val="0"/>
      <w:spacing w:before="40" w:after="40" w:line="240" w:lineRule="auto"/>
    </w:pPr>
    <w:rPr>
      <w:rFonts w:cs="Source Sans Pro"/>
      <w:color w:val="000000"/>
      <w:sz w:val="20"/>
    </w:rPr>
  </w:style>
  <w:style w:type="paragraph" w:customStyle="1" w:styleId="NumberedList">
    <w:name w:val="NumberedList"/>
    <w:basedOn w:val="BodyText"/>
    <w:qFormat/>
    <w:rsid w:val="00AE3CCE"/>
    <w:pPr>
      <w:ind w:left="851" w:hanging="567"/>
    </w:pPr>
  </w:style>
  <w:style w:type="paragraph" w:customStyle="1" w:styleId="TableFootnote">
    <w:name w:val="TableFootnote"/>
    <w:basedOn w:val="Normal"/>
    <w:qFormat/>
    <w:rsid w:val="00AE3CCE"/>
    <w:pPr>
      <w:tabs>
        <w:tab w:val="left" w:pos="284"/>
      </w:tabs>
      <w:autoSpaceDE w:val="0"/>
      <w:autoSpaceDN w:val="0"/>
      <w:adjustRightInd w:val="0"/>
      <w:spacing w:before="60" w:after="480" w:line="260" w:lineRule="exact"/>
      <w:ind w:left="284" w:hanging="284"/>
      <w:contextualSpacing/>
    </w:pPr>
    <w:rPr>
      <w:rFonts w:eastAsiaTheme="minorEastAsia" w:cs="Source Sans Pro"/>
      <w:bCs/>
      <w:color w:val="000000"/>
      <w:sz w:val="18"/>
      <w:szCs w:val="24"/>
      <w:lang w:eastAsia="en-AU"/>
    </w:rPr>
  </w:style>
  <w:style w:type="paragraph" w:customStyle="1" w:styleId="BulletList">
    <w:name w:val="BulletList"/>
    <w:basedOn w:val="NumberedList"/>
    <w:qFormat/>
    <w:rsid w:val="003A6D36"/>
    <w:pPr>
      <w:numPr>
        <w:numId w:val="1"/>
      </w:numPr>
    </w:pPr>
  </w:style>
  <w:style w:type="paragraph" w:customStyle="1" w:styleId="Heading1-notinToC">
    <w:name w:val="Heading 1 - not in ToC"/>
    <w:basedOn w:val="Heading1"/>
    <w:qFormat/>
    <w:rsid w:val="00AE3CCE"/>
    <w:pPr>
      <w:jc w:val="center"/>
    </w:pPr>
    <w:rPr>
      <w:caps w:val="0"/>
      <w:sz w:val="50"/>
      <w:szCs w:val="50"/>
    </w:rPr>
  </w:style>
  <w:style w:type="paragraph" w:customStyle="1" w:styleId="Heading2-notinToC">
    <w:name w:val="Heading 2 - not in ToC"/>
    <w:basedOn w:val="Heading2"/>
    <w:autoRedefine/>
    <w:qFormat/>
    <w:rsid w:val="00AE3CCE"/>
    <w:pPr>
      <w:jc w:val="center"/>
    </w:pPr>
    <w:rPr>
      <w:b w:val="0"/>
    </w:rPr>
  </w:style>
  <w:style w:type="paragraph" w:customStyle="1" w:styleId="BodyText">
    <w:name w:val="BodyText"/>
    <w:link w:val="BodyTextChar"/>
    <w:qFormat/>
    <w:rsid w:val="00AE3CCE"/>
    <w:pPr>
      <w:spacing w:after="227" w:line="300" w:lineRule="exact"/>
    </w:pPr>
    <w:rPr>
      <w:rFonts w:asciiTheme="minorHAnsi" w:hAnsiTheme="minorHAnsi"/>
      <w:sz w:val="22"/>
    </w:rPr>
  </w:style>
  <w:style w:type="character" w:styleId="FootnoteReference">
    <w:name w:val="footnote reference"/>
    <w:basedOn w:val="DefaultParagraphFont"/>
    <w:uiPriority w:val="99"/>
    <w:semiHidden/>
    <w:unhideWhenUsed/>
    <w:rsid w:val="00AE3CCE"/>
    <w:rPr>
      <w:vertAlign w:val="superscript"/>
    </w:rPr>
  </w:style>
  <w:style w:type="paragraph" w:styleId="FootnoteText">
    <w:name w:val="footnote text"/>
    <w:basedOn w:val="Normal"/>
    <w:link w:val="FootnoteTextChar"/>
    <w:uiPriority w:val="99"/>
    <w:semiHidden/>
    <w:unhideWhenUsed/>
    <w:rsid w:val="00AE3C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3CCE"/>
    <w:rPr>
      <w:rFonts w:ascii="Source Sans Pro Light" w:hAnsi="Source Sans Pro Light"/>
      <w:sz w:val="20"/>
      <w:szCs w:val="20"/>
    </w:rPr>
  </w:style>
  <w:style w:type="character" w:customStyle="1" w:styleId="Heading3Char">
    <w:name w:val="Heading 3 Char"/>
    <w:basedOn w:val="DefaultParagraphFont"/>
    <w:link w:val="Heading3"/>
    <w:uiPriority w:val="9"/>
    <w:rsid w:val="00AE3CCE"/>
    <w:rPr>
      <w:rFonts w:asciiTheme="minorHAnsi" w:eastAsiaTheme="majorEastAsia" w:hAnsiTheme="minorHAnsi" w:cstheme="majorBidi"/>
      <w:b/>
      <w:bCs/>
      <w:color w:val="2171B5"/>
      <w:sz w:val="22"/>
    </w:rPr>
  </w:style>
  <w:style w:type="paragraph" w:styleId="ListParagraph">
    <w:name w:val="List Paragraph"/>
    <w:basedOn w:val="BodyText"/>
    <w:link w:val="ListParagraphChar"/>
    <w:uiPriority w:val="34"/>
    <w:qFormat/>
    <w:rsid w:val="00AE3CCE"/>
    <w:pPr>
      <w:ind w:left="720"/>
      <w:contextualSpacing/>
    </w:pPr>
  </w:style>
  <w:style w:type="paragraph" w:styleId="TOC1">
    <w:name w:val="toc 1"/>
    <w:basedOn w:val="Normal"/>
    <w:next w:val="Normal"/>
    <w:autoRedefine/>
    <w:uiPriority w:val="39"/>
    <w:unhideWhenUsed/>
    <w:rsid w:val="005C4F80"/>
    <w:pPr>
      <w:tabs>
        <w:tab w:val="right" w:leader="dot" w:pos="9016"/>
      </w:tabs>
      <w:spacing w:after="100"/>
    </w:pPr>
    <w:rPr>
      <w:b/>
      <w:noProof/>
      <w:color w:val="2171B4"/>
      <w:sz w:val="24"/>
      <w:szCs w:val="24"/>
    </w:rPr>
  </w:style>
  <w:style w:type="paragraph" w:styleId="TOC2">
    <w:name w:val="toc 2"/>
    <w:basedOn w:val="Normal"/>
    <w:next w:val="Normal"/>
    <w:autoRedefine/>
    <w:uiPriority w:val="39"/>
    <w:unhideWhenUsed/>
    <w:rsid w:val="00353A37"/>
    <w:pPr>
      <w:tabs>
        <w:tab w:val="right" w:leader="dot" w:pos="9016"/>
      </w:tabs>
      <w:spacing w:after="100"/>
    </w:pPr>
    <w:rPr>
      <w:b/>
      <w:color w:val="2171B5"/>
      <w:sz w:val="24"/>
    </w:rPr>
  </w:style>
  <w:style w:type="paragraph" w:styleId="TOC3">
    <w:name w:val="toc 3"/>
    <w:basedOn w:val="Normal"/>
    <w:next w:val="Normal"/>
    <w:autoRedefine/>
    <w:uiPriority w:val="39"/>
    <w:unhideWhenUsed/>
    <w:rsid w:val="00353A37"/>
    <w:pPr>
      <w:tabs>
        <w:tab w:val="left" w:pos="880"/>
        <w:tab w:val="right" w:leader="dot" w:pos="9016"/>
      </w:tabs>
      <w:spacing w:after="100"/>
      <w:ind w:left="454"/>
    </w:pPr>
  </w:style>
  <w:style w:type="paragraph" w:customStyle="1" w:styleId="PartHeading">
    <w:name w:val="PartHeading"/>
    <w:basedOn w:val="Normal"/>
    <w:autoRedefine/>
    <w:qFormat/>
    <w:rsid w:val="009B151F"/>
    <w:pPr>
      <w:spacing w:before="240" w:after="0" w:line="276" w:lineRule="auto"/>
      <w:jc w:val="center"/>
    </w:pPr>
    <w:rPr>
      <w:rFonts w:eastAsia="Kozuka Gothic Pro B"/>
      <w:b/>
      <w:color w:val="2171B5"/>
      <w:sz w:val="66"/>
      <w:szCs w:val="66"/>
    </w:rPr>
  </w:style>
  <w:style w:type="paragraph" w:customStyle="1" w:styleId="ExecSummaryBulletPoint">
    <w:name w:val="ExecSummaryBulletPoint"/>
    <w:basedOn w:val="Normal"/>
    <w:link w:val="ExecSummaryBulletPointChar"/>
    <w:qFormat/>
    <w:rsid w:val="00353A37"/>
    <w:pPr>
      <w:numPr>
        <w:numId w:val="2"/>
      </w:numPr>
      <w:spacing w:before="120" w:after="0"/>
    </w:pPr>
  </w:style>
  <w:style w:type="paragraph" w:customStyle="1" w:styleId="ExecSummaryCaption">
    <w:name w:val="ExecSummaryCaption"/>
    <w:basedOn w:val="Caption"/>
    <w:qFormat/>
    <w:rsid w:val="00353A37"/>
    <w:pPr>
      <w:spacing w:after="60"/>
    </w:pPr>
  </w:style>
  <w:style w:type="paragraph" w:customStyle="1" w:styleId="FigurePilcrow">
    <w:name w:val="FigurePilcrow"/>
    <w:basedOn w:val="ExecSummaryCaption"/>
    <w:qFormat/>
    <w:rsid w:val="00982311"/>
    <w:pPr>
      <w:spacing w:before="100" w:beforeAutospacing="1" w:after="100" w:afterAutospacing="1"/>
    </w:pPr>
  </w:style>
  <w:style w:type="paragraph" w:customStyle="1" w:styleId="ExecSummaryHyphenSubDotPoint">
    <w:name w:val="ExecSummaryHyphenSubDotPoint"/>
    <w:basedOn w:val="ExecSummaryBulletPoint"/>
    <w:qFormat/>
    <w:rsid w:val="00353A37"/>
    <w:pPr>
      <w:numPr>
        <w:numId w:val="3"/>
      </w:numPr>
      <w:spacing w:before="40"/>
      <w:ind w:left="1078" w:hanging="284"/>
    </w:pPr>
    <w:rPr>
      <w:lang w:eastAsia="en-AU"/>
    </w:rPr>
  </w:style>
  <w:style w:type="character" w:styleId="Emphasis">
    <w:name w:val="Emphasis"/>
    <w:basedOn w:val="DefaultParagraphFont"/>
    <w:uiPriority w:val="20"/>
    <w:qFormat/>
    <w:rsid w:val="00353A37"/>
    <w:rPr>
      <w:i/>
      <w:iCs/>
    </w:rPr>
  </w:style>
  <w:style w:type="paragraph" w:customStyle="1" w:styleId="ListParagraph2">
    <w:name w:val="List Paragraph 2"/>
    <w:basedOn w:val="ExecSummaryHyphenSubDotPoint"/>
    <w:link w:val="ListParagraph2Char"/>
    <w:qFormat/>
    <w:rsid w:val="00353A37"/>
    <w:pPr>
      <w:spacing w:before="0" w:after="120"/>
    </w:pPr>
  </w:style>
  <w:style w:type="character" w:customStyle="1" w:styleId="ExecSummaryBulletPointChar">
    <w:name w:val="ExecSummaryBulletPoint Char"/>
    <w:basedOn w:val="DefaultParagraphFont"/>
    <w:link w:val="ExecSummaryBulletPoint"/>
    <w:rsid w:val="00353A37"/>
    <w:rPr>
      <w:rFonts w:asciiTheme="minorHAnsi" w:hAnsiTheme="minorHAnsi"/>
      <w:sz w:val="22"/>
    </w:rPr>
  </w:style>
  <w:style w:type="character" w:customStyle="1" w:styleId="ListParagraph2Char">
    <w:name w:val="List Paragraph 2 Char"/>
    <w:basedOn w:val="DefaultParagraphFont"/>
    <w:link w:val="ListParagraph2"/>
    <w:rsid w:val="00353A37"/>
    <w:rPr>
      <w:rFonts w:asciiTheme="minorHAnsi" w:hAnsiTheme="minorHAnsi"/>
      <w:sz w:val="22"/>
      <w:lang w:eastAsia="en-AU"/>
    </w:rPr>
  </w:style>
  <w:style w:type="paragraph" w:customStyle="1" w:styleId="IntroText">
    <w:name w:val="Intro Text"/>
    <w:basedOn w:val="BodyText"/>
    <w:qFormat/>
    <w:rsid w:val="00427869"/>
    <w:rPr>
      <w:sz w:val="24"/>
      <w:szCs w:val="24"/>
    </w:rPr>
  </w:style>
  <w:style w:type="character" w:customStyle="1" w:styleId="Heading4Char">
    <w:name w:val="Heading 4 Char"/>
    <w:basedOn w:val="DefaultParagraphFont"/>
    <w:link w:val="Heading4"/>
    <w:uiPriority w:val="9"/>
    <w:rsid w:val="00C827EF"/>
    <w:rPr>
      <w:rFonts w:asciiTheme="majorHAnsi" w:eastAsiaTheme="majorEastAsia" w:hAnsiTheme="majorHAnsi" w:cstheme="majorBidi"/>
      <w:b/>
      <w:bCs/>
      <w:i/>
      <w:iCs/>
      <w:color w:val="4F81BD" w:themeColor="accent1"/>
      <w:sz w:val="22"/>
    </w:rPr>
  </w:style>
  <w:style w:type="numbering" w:customStyle="1" w:styleId="NoList1">
    <w:name w:val="No List1"/>
    <w:next w:val="NoList"/>
    <w:uiPriority w:val="99"/>
    <w:semiHidden/>
    <w:unhideWhenUsed/>
    <w:rsid w:val="00C827EF"/>
  </w:style>
  <w:style w:type="character" w:styleId="Hyperlink">
    <w:name w:val="Hyperlink"/>
    <w:basedOn w:val="DefaultParagraphFont"/>
    <w:uiPriority w:val="99"/>
    <w:unhideWhenUsed/>
    <w:rsid w:val="00C827EF"/>
    <w:rPr>
      <w:color w:val="0000FF" w:themeColor="hyperlink"/>
      <w:u w:val="single"/>
    </w:r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pPr>
      <w:spacing w:line="240" w:lineRule="auto"/>
    </w:pPr>
    <w:rPr>
      <w:sz w:val="20"/>
      <w:szCs w:val="20"/>
    </w:rPr>
  </w:style>
  <w:style w:type="character" w:customStyle="1" w:styleId="CommentTextChar">
    <w:name w:val="Comment Text Char"/>
    <w:basedOn w:val="DefaultParagraphFont"/>
    <w:link w:val="CommentText"/>
    <w:uiPriority w:val="99"/>
    <w:rsid w:val="00C827EF"/>
    <w:rPr>
      <w:rFonts w:ascii="Source Sans Pro Light" w:hAnsi="Source Sans Pro Light"/>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Source Sans Pro Light" w:hAnsi="Source Sans Pro Light"/>
      <w:b/>
      <w:bCs/>
      <w:sz w:val="20"/>
      <w:szCs w:val="20"/>
    </w:rPr>
  </w:style>
  <w:style w:type="paragraph" w:styleId="Revision">
    <w:name w:val="Revision"/>
    <w:hidden/>
    <w:uiPriority w:val="99"/>
    <w:semiHidden/>
    <w:rsid w:val="00C827EF"/>
    <w:pPr>
      <w:spacing w:line="240" w:lineRule="auto"/>
    </w:pPr>
    <w:rPr>
      <w:rFonts w:ascii="Source Sans Pro Light" w:hAnsi="Source Sans Pro Light"/>
      <w:sz w:val="22"/>
    </w:rPr>
  </w:style>
  <w:style w:type="character" w:styleId="Strong">
    <w:name w:val="Strong"/>
    <w:basedOn w:val="DefaultParagraphFont"/>
    <w:uiPriority w:val="22"/>
    <w:qFormat/>
    <w:rsid w:val="00C827EF"/>
    <w:rPr>
      <w:b/>
      <w:bCs/>
    </w:rPr>
  </w:style>
  <w:style w:type="character" w:customStyle="1" w:styleId="TableFactorLabel">
    <w:name w:val="TableFactorLabel"/>
    <w:basedOn w:val="DefaultParagraphFont"/>
    <w:uiPriority w:val="1"/>
    <w:qFormat/>
    <w:rsid w:val="00C827EF"/>
    <w:rPr>
      <w:rFonts w:ascii="Source Sans Pro" w:hAnsi="Source Sans Pro" w:cs="Source Sans Pro Light"/>
      <w:sz w:val="20"/>
      <w:lang w:eastAsia="en-AU"/>
    </w:rPr>
  </w:style>
  <w:style w:type="paragraph" w:styleId="NormalWeb">
    <w:name w:val="Normal (Web)"/>
    <w:basedOn w:val="Normal"/>
    <w:uiPriority w:val="99"/>
    <w:semiHidden/>
    <w:unhideWhenUsed/>
    <w:rsid w:val="00C827EF"/>
    <w:pPr>
      <w:spacing w:before="150" w:after="150"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C827EF"/>
    <w:pPr>
      <w:spacing w:before="480" w:after="0" w:line="276" w:lineRule="auto"/>
      <w:outlineLvl w:val="9"/>
    </w:pPr>
    <w:rPr>
      <w:rFonts w:asciiTheme="majorHAnsi" w:hAnsiTheme="majorHAnsi"/>
      <w:caps w:val="0"/>
      <w:color w:val="365F91" w:themeColor="accent1" w:themeShade="BF"/>
      <w:sz w:val="28"/>
      <w:lang w:val="en-US" w:eastAsia="ja-JP"/>
    </w:rPr>
  </w:style>
  <w:style w:type="paragraph" w:styleId="TOC4">
    <w:name w:val="toc 4"/>
    <w:basedOn w:val="Normal"/>
    <w:next w:val="Normal"/>
    <w:autoRedefine/>
    <w:uiPriority w:val="39"/>
    <w:unhideWhenUsed/>
    <w:rsid w:val="00C827EF"/>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C827EF"/>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C827EF"/>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C827EF"/>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C827EF"/>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C827EF"/>
    <w:pPr>
      <w:spacing w:after="100" w:line="276" w:lineRule="auto"/>
      <w:ind w:left="1760"/>
    </w:pPr>
    <w:rPr>
      <w:rFonts w:eastAsiaTheme="minorEastAsia"/>
      <w:lang w:eastAsia="en-AU"/>
    </w:rPr>
  </w:style>
  <w:style w:type="paragraph" w:customStyle="1" w:styleId="Heading2-alsonotinToC">
    <w:name w:val="Heading 2 - also not in ToC"/>
    <w:basedOn w:val="Heading2"/>
    <w:qFormat/>
    <w:rsid w:val="00E30271"/>
    <w:pPr>
      <w:pBdr>
        <w:top w:val="single" w:sz="4" w:space="14" w:color="D9F1F0"/>
        <w:left w:val="single" w:sz="4" w:space="14" w:color="D9F1F0"/>
        <w:bottom w:val="single" w:sz="4" w:space="14" w:color="D9F1F0"/>
        <w:right w:val="single" w:sz="4" w:space="14" w:color="D9F1F0"/>
      </w:pBdr>
      <w:shd w:val="clear" w:color="auto" w:fill="D9F1F0"/>
      <w:ind w:left="280" w:right="280"/>
    </w:pPr>
  </w:style>
  <w:style w:type="paragraph" w:customStyle="1" w:styleId="ecxmsonormal">
    <w:name w:val="ecxmsonormal"/>
    <w:basedOn w:val="Normal"/>
    <w:rsid w:val="00E30271"/>
    <w:pPr>
      <w:spacing w:after="324" w:line="240" w:lineRule="auto"/>
    </w:pPr>
    <w:rPr>
      <w:rFonts w:ascii="Times New Roman" w:eastAsia="Times New Roman" w:hAnsi="Times New Roman" w:cs="Times New Roman"/>
      <w:sz w:val="24"/>
      <w:szCs w:val="24"/>
      <w:lang w:val="en-GB" w:eastAsia="en-GB"/>
    </w:rPr>
  </w:style>
  <w:style w:type="paragraph" w:customStyle="1" w:styleId="NumberedList2">
    <w:name w:val="NumberedList2"/>
    <w:basedOn w:val="ListParagraph"/>
    <w:link w:val="NumberedList2Char"/>
    <w:qFormat/>
    <w:rsid w:val="00E30271"/>
    <w:pPr>
      <w:numPr>
        <w:numId w:val="11"/>
      </w:numPr>
    </w:pPr>
  </w:style>
  <w:style w:type="character" w:customStyle="1" w:styleId="BodyTextChar">
    <w:name w:val="BodyText Char"/>
    <w:basedOn w:val="DefaultParagraphFont"/>
    <w:link w:val="BodyText"/>
    <w:rsid w:val="00E30271"/>
    <w:rPr>
      <w:rFonts w:asciiTheme="minorHAnsi" w:hAnsiTheme="minorHAnsi"/>
      <w:sz w:val="22"/>
    </w:rPr>
  </w:style>
  <w:style w:type="character" w:customStyle="1" w:styleId="ListParagraphChar">
    <w:name w:val="List Paragraph Char"/>
    <w:basedOn w:val="BodyTextChar"/>
    <w:link w:val="ListParagraph"/>
    <w:uiPriority w:val="34"/>
    <w:rsid w:val="00E30271"/>
    <w:rPr>
      <w:rFonts w:asciiTheme="minorHAnsi" w:hAnsiTheme="minorHAnsi"/>
      <w:sz w:val="22"/>
    </w:rPr>
  </w:style>
  <w:style w:type="character" w:customStyle="1" w:styleId="NumberedList2Char">
    <w:name w:val="NumberedList2 Char"/>
    <w:basedOn w:val="ListParagraphChar"/>
    <w:link w:val="NumberedList2"/>
    <w:rsid w:val="00E30271"/>
    <w:rPr>
      <w:rFonts w:asciiTheme="minorHAnsi" w:hAnsiTheme="minorHAnsi"/>
      <w:sz w:val="22"/>
    </w:rPr>
  </w:style>
  <w:style w:type="paragraph" w:customStyle="1" w:styleId="Heading3a">
    <w:name w:val="Heading 3a"/>
    <w:basedOn w:val="Heading2"/>
    <w:link w:val="Heading3aChar"/>
    <w:qFormat/>
    <w:rsid w:val="0074764C"/>
    <w:rPr>
      <w:sz w:val="22"/>
    </w:rPr>
  </w:style>
  <w:style w:type="character" w:customStyle="1" w:styleId="Heading3aChar">
    <w:name w:val="Heading 3a Char"/>
    <w:basedOn w:val="Heading2Char"/>
    <w:link w:val="Heading3a"/>
    <w:rsid w:val="0074764C"/>
    <w:rPr>
      <w:rFonts w:asciiTheme="minorHAnsi" w:eastAsiaTheme="majorEastAsia" w:hAnsiTheme="minorHAnsi" w:cstheme="majorBidi"/>
      <w:b/>
      <w:bCs/>
      <w:color w:val="2171B5"/>
      <w:sz w:val="22"/>
      <w:szCs w:val="26"/>
    </w:rPr>
  </w:style>
  <w:style w:type="character" w:customStyle="1" w:styleId="cit">
    <w:name w:val="cit"/>
    <w:basedOn w:val="DefaultParagraphFont"/>
    <w:rsid w:val="0074764C"/>
  </w:style>
  <w:style w:type="character" w:customStyle="1" w:styleId="doi">
    <w:name w:val="doi"/>
    <w:basedOn w:val="DefaultParagraphFont"/>
    <w:rsid w:val="0074764C"/>
  </w:style>
  <w:style w:type="character" w:customStyle="1" w:styleId="st1">
    <w:name w:val="st1"/>
    <w:basedOn w:val="DefaultParagraphFont"/>
    <w:rsid w:val="00590512"/>
  </w:style>
  <w:style w:type="paragraph" w:customStyle="1" w:styleId="Heading2-notintOCV2">
    <w:name w:val="Heading 2 - not in tOC V2"/>
    <w:basedOn w:val="Normal"/>
    <w:link w:val="Heading2-notintOCV2Char"/>
    <w:qFormat/>
    <w:rsid w:val="000430C8"/>
    <w:pPr>
      <w:pBdr>
        <w:top w:val="single" w:sz="4" w:space="14" w:color="D9F1F0"/>
        <w:left w:val="single" w:sz="4" w:space="14" w:color="D9F1F0"/>
        <w:bottom w:val="single" w:sz="4" w:space="14" w:color="D9F1F0"/>
        <w:right w:val="single" w:sz="4" w:space="14" w:color="D9F1F0"/>
      </w:pBdr>
      <w:shd w:val="clear" w:color="auto" w:fill="EFF3FF"/>
      <w:ind w:left="280" w:right="280"/>
    </w:pPr>
    <w:rPr>
      <w:b/>
      <w:color w:val="2171B5"/>
      <w:sz w:val="26"/>
      <w:szCs w:val="26"/>
    </w:rPr>
  </w:style>
  <w:style w:type="paragraph" w:customStyle="1" w:styleId="Disorderoverviewtext">
    <w:name w:val="Disorder overview text"/>
    <w:basedOn w:val="Normal"/>
    <w:link w:val="DisorderoverviewtextChar"/>
    <w:qFormat/>
    <w:rsid w:val="000430C8"/>
    <w:pPr>
      <w:pBdr>
        <w:top w:val="single" w:sz="4" w:space="14" w:color="D9F1F0"/>
        <w:left w:val="single" w:sz="4" w:space="14" w:color="D9F1F0"/>
        <w:bottom w:val="single" w:sz="4" w:space="14" w:color="D9F1F0"/>
        <w:right w:val="single" w:sz="4" w:space="14" w:color="D9F1F0"/>
      </w:pBdr>
      <w:shd w:val="clear" w:color="auto" w:fill="EFF3FF"/>
      <w:ind w:left="280" w:right="280"/>
    </w:pPr>
  </w:style>
  <w:style w:type="character" w:customStyle="1" w:styleId="Heading2-notintOCV2Char">
    <w:name w:val="Heading 2 - not in tOC V2 Char"/>
    <w:basedOn w:val="DefaultParagraphFont"/>
    <w:link w:val="Heading2-notintOCV2"/>
    <w:rsid w:val="000430C8"/>
    <w:rPr>
      <w:rFonts w:asciiTheme="minorHAnsi" w:hAnsiTheme="minorHAnsi"/>
      <w:b/>
      <w:color w:val="2171B5"/>
      <w:sz w:val="26"/>
      <w:szCs w:val="26"/>
      <w:shd w:val="clear" w:color="auto" w:fill="EFF3FF"/>
    </w:rPr>
  </w:style>
  <w:style w:type="character" w:customStyle="1" w:styleId="DisorderoverviewtextChar">
    <w:name w:val="Disorder overview text Char"/>
    <w:basedOn w:val="DefaultParagraphFont"/>
    <w:link w:val="Disorderoverviewtext"/>
    <w:rsid w:val="000430C8"/>
    <w:rPr>
      <w:rFonts w:asciiTheme="minorHAnsi" w:hAnsiTheme="minorHAnsi"/>
      <w:sz w:val="22"/>
      <w:shd w:val="clear" w:color="auto" w:fill="EFF3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heme="minorHAnsi" w:hAnsi="Minion Pro" w:cstheme="minorBidi"/>
        <w:sz w:val="24"/>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DB6"/>
    <w:pPr>
      <w:spacing w:after="227" w:line="300" w:lineRule="exact"/>
    </w:pPr>
    <w:rPr>
      <w:rFonts w:asciiTheme="minorHAnsi" w:hAnsiTheme="minorHAnsi"/>
      <w:sz w:val="22"/>
    </w:rPr>
  </w:style>
  <w:style w:type="paragraph" w:styleId="Heading1">
    <w:name w:val="heading 1"/>
    <w:basedOn w:val="BodyText"/>
    <w:next w:val="BodyText"/>
    <w:link w:val="Heading1Char"/>
    <w:uiPriority w:val="9"/>
    <w:qFormat/>
    <w:rsid w:val="00AE3CCE"/>
    <w:pPr>
      <w:keepNext/>
      <w:keepLines/>
      <w:spacing w:before="240" w:after="340" w:line="440" w:lineRule="exact"/>
      <w:outlineLvl w:val="0"/>
    </w:pPr>
    <w:rPr>
      <w:rFonts w:eastAsiaTheme="majorEastAsia" w:cstheme="majorBidi"/>
      <w:b/>
      <w:bCs/>
      <w:caps/>
      <w:color w:val="2171B5"/>
      <w:sz w:val="36"/>
      <w:szCs w:val="28"/>
    </w:rPr>
  </w:style>
  <w:style w:type="paragraph" w:styleId="Heading2">
    <w:name w:val="heading 2"/>
    <w:basedOn w:val="BodyText"/>
    <w:next w:val="BodyText"/>
    <w:link w:val="Heading2Char"/>
    <w:uiPriority w:val="9"/>
    <w:unhideWhenUsed/>
    <w:qFormat/>
    <w:rsid w:val="00AE3CCE"/>
    <w:pPr>
      <w:keepNext/>
      <w:keepLines/>
      <w:spacing w:before="340" w:line="240" w:lineRule="auto"/>
      <w:outlineLvl w:val="1"/>
    </w:pPr>
    <w:rPr>
      <w:rFonts w:eastAsiaTheme="majorEastAsia" w:cstheme="majorBidi"/>
      <w:b/>
      <w:bCs/>
      <w:color w:val="2171B5"/>
      <w:sz w:val="26"/>
      <w:szCs w:val="26"/>
    </w:rPr>
  </w:style>
  <w:style w:type="paragraph" w:styleId="Heading3">
    <w:name w:val="heading 3"/>
    <w:basedOn w:val="Normal"/>
    <w:next w:val="Normal"/>
    <w:link w:val="Heading3Char"/>
    <w:uiPriority w:val="9"/>
    <w:unhideWhenUsed/>
    <w:qFormat/>
    <w:rsid w:val="00AE3CCE"/>
    <w:pPr>
      <w:keepNext/>
      <w:keepLines/>
      <w:spacing w:before="200" w:after="170"/>
      <w:outlineLvl w:val="2"/>
    </w:pPr>
    <w:rPr>
      <w:rFonts w:eastAsiaTheme="majorEastAsia" w:cstheme="majorBidi"/>
      <w:b/>
      <w:bCs/>
      <w:color w:val="2171B5"/>
    </w:rPr>
  </w:style>
  <w:style w:type="paragraph" w:styleId="Heading4">
    <w:name w:val="heading 4"/>
    <w:basedOn w:val="Normal"/>
    <w:next w:val="Normal"/>
    <w:link w:val="Heading4Char"/>
    <w:uiPriority w:val="9"/>
    <w:unhideWhenUsed/>
    <w:qFormat/>
    <w:rsid w:val="00C827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552"/>
    <w:pPr>
      <w:tabs>
        <w:tab w:val="center" w:pos="4513"/>
        <w:tab w:val="right" w:pos="9026"/>
      </w:tabs>
      <w:spacing w:line="240" w:lineRule="auto"/>
    </w:pPr>
  </w:style>
  <w:style w:type="character" w:customStyle="1" w:styleId="HeaderChar">
    <w:name w:val="Header Char"/>
    <w:basedOn w:val="DefaultParagraphFont"/>
    <w:link w:val="Header"/>
    <w:uiPriority w:val="99"/>
    <w:rsid w:val="007B0552"/>
  </w:style>
  <w:style w:type="paragraph" w:styleId="Footer">
    <w:name w:val="footer"/>
    <w:basedOn w:val="Normal"/>
    <w:link w:val="FooterChar"/>
    <w:uiPriority w:val="99"/>
    <w:unhideWhenUsed/>
    <w:rsid w:val="007B0552"/>
    <w:pPr>
      <w:tabs>
        <w:tab w:val="center" w:pos="4513"/>
        <w:tab w:val="right" w:pos="9026"/>
      </w:tabs>
      <w:spacing w:line="240" w:lineRule="auto"/>
    </w:pPr>
  </w:style>
  <w:style w:type="character" w:customStyle="1" w:styleId="FooterChar">
    <w:name w:val="Footer Char"/>
    <w:basedOn w:val="DefaultParagraphFont"/>
    <w:link w:val="Footer"/>
    <w:uiPriority w:val="99"/>
    <w:rsid w:val="007B0552"/>
  </w:style>
  <w:style w:type="character" w:customStyle="1" w:styleId="Heading1Char">
    <w:name w:val="Heading 1 Char"/>
    <w:basedOn w:val="DefaultParagraphFont"/>
    <w:link w:val="Heading1"/>
    <w:uiPriority w:val="9"/>
    <w:rsid w:val="00AE3CCE"/>
    <w:rPr>
      <w:rFonts w:asciiTheme="minorHAnsi" w:eastAsiaTheme="majorEastAsia" w:hAnsiTheme="minorHAnsi" w:cstheme="majorBidi"/>
      <w:b/>
      <w:bCs/>
      <w:caps/>
      <w:color w:val="2171B5"/>
      <w:sz w:val="36"/>
      <w:szCs w:val="28"/>
    </w:rPr>
  </w:style>
  <w:style w:type="character" w:styleId="PlaceholderText">
    <w:name w:val="Placeholder Text"/>
    <w:basedOn w:val="DefaultParagraphFont"/>
    <w:uiPriority w:val="99"/>
    <w:semiHidden/>
    <w:rsid w:val="000C5FBA"/>
    <w:rPr>
      <w:color w:val="808080"/>
    </w:rPr>
  </w:style>
  <w:style w:type="paragraph" w:styleId="BalloonText">
    <w:name w:val="Balloon Text"/>
    <w:basedOn w:val="Normal"/>
    <w:link w:val="BalloonTextChar"/>
    <w:uiPriority w:val="99"/>
    <w:semiHidden/>
    <w:unhideWhenUsed/>
    <w:rsid w:val="000C5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FBA"/>
    <w:rPr>
      <w:rFonts w:ascii="Tahoma" w:hAnsi="Tahoma" w:cs="Tahoma"/>
      <w:sz w:val="16"/>
      <w:szCs w:val="16"/>
    </w:rPr>
  </w:style>
  <w:style w:type="paragraph" w:styleId="Title">
    <w:name w:val="Title"/>
    <w:basedOn w:val="Normal"/>
    <w:next w:val="Normal"/>
    <w:link w:val="TitleChar"/>
    <w:uiPriority w:val="10"/>
    <w:qFormat/>
    <w:rsid w:val="00917548"/>
    <w:pPr>
      <w:spacing w:after="284" w:line="240" w:lineRule="auto"/>
      <w:contextualSpacing/>
    </w:pPr>
    <w:rPr>
      <w:rFonts w:eastAsiaTheme="majorEastAsia" w:cstheme="majorBidi"/>
      <w:b/>
      <w:caps/>
      <w:color w:val="007565"/>
      <w:spacing w:val="5"/>
      <w:kern w:val="28"/>
      <w:sz w:val="36"/>
      <w:szCs w:val="52"/>
    </w:rPr>
  </w:style>
  <w:style w:type="character" w:customStyle="1" w:styleId="TitleChar">
    <w:name w:val="Title Char"/>
    <w:basedOn w:val="DefaultParagraphFont"/>
    <w:link w:val="Title"/>
    <w:uiPriority w:val="10"/>
    <w:rsid w:val="00917548"/>
    <w:rPr>
      <w:rFonts w:ascii="Source Sans Pro" w:eastAsiaTheme="majorEastAsia" w:hAnsi="Source Sans Pro" w:cstheme="majorBidi"/>
      <w:b/>
      <w:caps/>
      <w:color w:val="007565"/>
      <w:spacing w:val="5"/>
      <w:kern w:val="28"/>
      <w:sz w:val="36"/>
      <w:szCs w:val="52"/>
    </w:rPr>
  </w:style>
  <w:style w:type="paragraph" w:styleId="Caption">
    <w:name w:val="caption"/>
    <w:basedOn w:val="BodyText"/>
    <w:next w:val="Normal"/>
    <w:uiPriority w:val="35"/>
    <w:unhideWhenUsed/>
    <w:qFormat/>
    <w:rsid w:val="00AE3CCE"/>
    <w:pPr>
      <w:spacing w:before="340" w:after="200" w:line="240" w:lineRule="auto"/>
    </w:pPr>
    <w:rPr>
      <w:b/>
      <w:bCs/>
      <w:color w:val="2171B5"/>
      <w:sz w:val="20"/>
      <w:szCs w:val="18"/>
    </w:rPr>
  </w:style>
  <w:style w:type="paragraph" w:customStyle="1" w:styleId="PageHeader">
    <w:name w:val="PageHeader"/>
    <w:basedOn w:val="BodyText"/>
    <w:qFormat/>
    <w:rsid w:val="00AE3CCE"/>
    <w:pPr>
      <w:tabs>
        <w:tab w:val="left" w:pos="0"/>
        <w:tab w:val="left" w:pos="284"/>
        <w:tab w:val="right" w:pos="2438"/>
        <w:tab w:val="right" w:pos="4763"/>
        <w:tab w:val="right" w:pos="7088"/>
        <w:tab w:val="right" w:pos="9526"/>
      </w:tabs>
      <w:spacing w:after="0"/>
      <w:ind w:left="-567" w:right="-567"/>
    </w:pPr>
    <w:rPr>
      <w:color w:val="2171B5"/>
      <w:szCs w:val="24"/>
    </w:rPr>
  </w:style>
  <w:style w:type="character" w:customStyle="1" w:styleId="PageNumbers">
    <w:name w:val="PageNumbers"/>
    <w:basedOn w:val="DefaultParagraphFont"/>
    <w:uiPriority w:val="1"/>
    <w:qFormat/>
    <w:rsid w:val="00AE3CCE"/>
    <w:rPr>
      <w:rFonts w:asciiTheme="minorHAnsi" w:hAnsiTheme="minorHAnsi"/>
      <w:b/>
      <w:color w:val="2171B5"/>
      <w:sz w:val="28"/>
    </w:rPr>
  </w:style>
  <w:style w:type="character" w:customStyle="1" w:styleId="Heading2Char">
    <w:name w:val="Heading 2 Char"/>
    <w:basedOn w:val="DefaultParagraphFont"/>
    <w:link w:val="Heading2"/>
    <w:uiPriority w:val="9"/>
    <w:rsid w:val="00AE3CCE"/>
    <w:rPr>
      <w:rFonts w:asciiTheme="minorHAnsi" w:eastAsiaTheme="majorEastAsia" w:hAnsiTheme="minorHAnsi" w:cstheme="majorBidi"/>
      <w:b/>
      <w:bCs/>
      <w:color w:val="2171B5"/>
      <w:sz w:val="26"/>
      <w:szCs w:val="26"/>
    </w:rPr>
  </w:style>
  <w:style w:type="paragraph" w:customStyle="1" w:styleId="TableColumnHeadings">
    <w:name w:val="TableColumnHeadings"/>
    <w:basedOn w:val="BodyText"/>
    <w:qFormat/>
    <w:rsid w:val="00AE3CCE"/>
    <w:pPr>
      <w:adjustRightInd w:val="0"/>
      <w:spacing w:before="20" w:after="20" w:line="240" w:lineRule="auto"/>
      <w:jc w:val="center"/>
    </w:pPr>
    <w:rPr>
      <w:rFonts w:cs="Source Sans Pro"/>
      <w:color w:val="000000"/>
      <w:sz w:val="20"/>
    </w:rPr>
  </w:style>
  <w:style w:type="paragraph" w:customStyle="1" w:styleId="TableDataCell">
    <w:name w:val="TableDataCell"/>
    <w:basedOn w:val="BodyText"/>
    <w:qFormat/>
    <w:rsid w:val="00AE3CCE"/>
    <w:pPr>
      <w:adjustRightInd w:val="0"/>
      <w:spacing w:before="40" w:after="40" w:line="240" w:lineRule="auto"/>
      <w:jc w:val="right"/>
    </w:pPr>
    <w:rPr>
      <w:rFonts w:cs="Source Sans Pro"/>
      <w:color w:val="000000"/>
      <w:sz w:val="20"/>
    </w:rPr>
  </w:style>
  <w:style w:type="paragraph" w:customStyle="1" w:styleId="TableRowHeadings">
    <w:name w:val="TableRowHeadings"/>
    <w:basedOn w:val="Normal"/>
    <w:qFormat/>
    <w:rsid w:val="00AE3CCE"/>
    <w:pPr>
      <w:adjustRightInd w:val="0"/>
      <w:spacing w:before="40" w:after="40" w:line="240" w:lineRule="auto"/>
    </w:pPr>
    <w:rPr>
      <w:rFonts w:cs="Source Sans Pro"/>
      <w:color w:val="000000"/>
      <w:sz w:val="20"/>
    </w:rPr>
  </w:style>
  <w:style w:type="paragraph" w:customStyle="1" w:styleId="NumberedList">
    <w:name w:val="NumberedList"/>
    <w:basedOn w:val="BodyText"/>
    <w:qFormat/>
    <w:rsid w:val="00AE3CCE"/>
    <w:pPr>
      <w:ind w:left="851" w:hanging="567"/>
    </w:pPr>
  </w:style>
  <w:style w:type="paragraph" w:customStyle="1" w:styleId="TableFootnote">
    <w:name w:val="TableFootnote"/>
    <w:basedOn w:val="Normal"/>
    <w:qFormat/>
    <w:rsid w:val="00AE3CCE"/>
    <w:pPr>
      <w:tabs>
        <w:tab w:val="left" w:pos="284"/>
      </w:tabs>
      <w:autoSpaceDE w:val="0"/>
      <w:autoSpaceDN w:val="0"/>
      <w:adjustRightInd w:val="0"/>
      <w:spacing w:before="60" w:after="480" w:line="260" w:lineRule="exact"/>
      <w:ind w:left="284" w:hanging="284"/>
      <w:contextualSpacing/>
    </w:pPr>
    <w:rPr>
      <w:rFonts w:eastAsiaTheme="minorEastAsia" w:cs="Source Sans Pro"/>
      <w:bCs/>
      <w:color w:val="000000"/>
      <w:sz w:val="18"/>
      <w:szCs w:val="24"/>
      <w:lang w:eastAsia="en-AU"/>
    </w:rPr>
  </w:style>
  <w:style w:type="paragraph" w:customStyle="1" w:styleId="BulletList">
    <w:name w:val="BulletList"/>
    <w:basedOn w:val="NumberedList"/>
    <w:qFormat/>
    <w:rsid w:val="003A6D36"/>
    <w:pPr>
      <w:numPr>
        <w:numId w:val="1"/>
      </w:numPr>
    </w:pPr>
  </w:style>
  <w:style w:type="paragraph" w:customStyle="1" w:styleId="Heading1-notinToC">
    <w:name w:val="Heading 1 - not in ToC"/>
    <w:basedOn w:val="Heading1"/>
    <w:qFormat/>
    <w:rsid w:val="00AE3CCE"/>
    <w:pPr>
      <w:jc w:val="center"/>
    </w:pPr>
    <w:rPr>
      <w:caps w:val="0"/>
      <w:sz w:val="50"/>
      <w:szCs w:val="50"/>
    </w:rPr>
  </w:style>
  <w:style w:type="paragraph" w:customStyle="1" w:styleId="Heading2-notinToC">
    <w:name w:val="Heading 2 - not in ToC"/>
    <w:basedOn w:val="Heading2"/>
    <w:autoRedefine/>
    <w:qFormat/>
    <w:rsid w:val="00AE3CCE"/>
    <w:pPr>
      <w:jc w:val="center"/>
    </w:pPr>
    <w:rPr>
      <w:b w:val="0"/>
    </w:rPr>
  </w:style>
  <w:style w:type="paragraph" w:customStyle="1" w:styleId="BodyText">
    <w:name w:val="BodyText"/>
    <w:link w:val="BodyTextChar"/>
    <w:qFormat/>
    <w:rsid w:val="00AE3CCE"/>
    <w:pPr>
      <w:spacing w:after="227" w:line="300" w:lineRule="exact"/>
    </w:pPr>
    <w:rPr>
      <w:rFonts w:asciiTheme="minorHAnsi" w:hAnsiTheme="minorHAnsi"/>
      <w:sz w:val="22"/>
    </w:rPr>
  </w:style>
  <w:style w:type="character" w:styleId="FootnoteReference">
    <w:name w:val="footnote reference"/>
    <w:basedOn w:val="DefaultParagraphFont"/>
    <w:uiPriority w:val="99"/>
    <w:semiHidden/>
    <w:unhideWhenUsed/>
    <w:rsid w:val="00AE3CCE"/>
    <w:rPr>
      <w:vertAlign w:val="superscript"/>
    </w:rPr>
  </w:style>
  <w:style w:type="paragraph" w:styleId="FootnoteText">
    <w:name w:val="footnote text"/>
    <w:basedOn w:val="Normal"/>
    <w:link w:val="FootnoteTextChar"/>
    <w:uiPriority w:val="99"/>
    <w:semiHidden/>
    <w:unhideWhenUsed/>
    <w:rsid w:val="00AE3C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3CCE"/>
    <w:rPr>
      <w:rFonts w:ascii="Source Sans Pro Light" w:hAnsi="Source Sans Pro Light"/>
      <w:sz w:val="20"/>
      <w:szCs w:val="20"/>
    </w:rPr>
  </w:style>
  <w:style w:type="character" w:customStyle="1" w:styleId="Heading3Char">
    <w:name w:val="Heading 3 Char"/>
    <w:basedOn w:val="DefaultParagraphFont"/>
    <w:link w:val="Heading3"/>
    <w:uiPriority w:val="9"/>
    <w:rsid w:val="00AE3CCE"/>
    <w:rPr>
      <w:rFonts w:asciiTheme="minorHAnsi" w:eastAsiaTheme="majorEastAsia" w:hAnsiTheme="minorHAnsi" w:cstheme="majorBidi"/>
      <w:b/>
      <w:bCs/>
      <w:color w:val="2171B5"/>
      <w:sz w:val="22"/>
    </w:rPr>
  </w:style>
  <w:style w:type="paragraph" w:styleId="ListParagraph">
    <w:name w:val="List Paragraph"/>
    <w:basedOn w:val="BodyText"/>
    <w:link w:val="ListParagraphChar"/>
    <w:uiPriority w:val="34"/>
    <w:qFormat/>
    <w:rsid w:val="00AE3CCE"/>
    <w:pPr>
      <w:ind w:left="720"/>
      <w:contextualSpacing/>
    </w:pPr>
  </w:style>
  <w:style w:type="paragraph" w:styleId="TOC1">
    <w:name w:val="toc 1"/>
    <w:basedOn w:val="Normal"/>
    <w:next w:val="Normal"/>
    <w:autoRedefine/>
    <w:uiPriority w:val="39"/>
    <w:unhideWhenUsed/>
    <w:rsid w:val="005C4F80"/>
    <w:pPr>
      <w:tabs>
        <w:tab w:val="right" w:leader="dot" w:pos="9016"/>
      </w:tabs>
      <w:spacing w:after="100"/>
    </w:pPr>
    <w:rPr>
      <w:b/>
      <w:noProof/>
      <w:color w:val="2171B4"/>
      <w:sz w:val="24"/>
      <w:szCs w:val="24"/>
    </w:rPr>
  </w:style>
  <w:style w:type="paragraph" w:styleId="TOC2">
    <w:name w:val="toc 2"/>
    <w:basedOn w:val="Normal"/>
    <w:next w:val="Normal"/>
    <w:autoRedefine/>
    <w:uiPriority w:val="39"/>
    <w:unhideWhenUsed/>
    <w:rsid w:val="00353A37"/>
    <w:pPr>
      <w:tabs>
        <w:tab w:val="right" w:leader="dot" w:pos="9016"/>
      </w:tabs>
      <w:spacing w:after="100"/>
    </w:pPr>
    <w:rPr>
      <w:b/>
      <w:color w:val="2171B5"/>
      <w:sz w:val="24"/>
    </w:rPr>
  </w:style>
  <w:style w:type="paragraph" w:styleId="TOC3">
    <w:name w:val="toc 3"/>
    <w:basedOn w:val="Normal"/>
    <w:next w:val="Normal"/>
    <w:autoRedefine/>
    <w:uiPriority w:val="39"/>
    <w:unhideWhenUsed/>
    <w:rsid w:val="00353A37"/>
    <w:pPr>
      <w:tabs>
        <w:tab w:val="left" w:pos="880"/>
        <w:tab w:val="right" w:leader="dot" w:pos="9016"/>
      </w:tabs>
      <w:spacing w:after="100"/>
      <w:ind w:left="454"/>
    </w:pPr>
  </w:style>
  <w:style w:type="paragraph" w:customStyle="1" w:styleId="PartHeading">
    <w:name w:val="PartHeading"/>
    <w:basedOn w:val="Normal"/>
    <w:autoRedefine/>
    <w:qFormat/>
    <w:rsid w:val="009B151F"/>
    <w:pPr>
      <w:spacing w:before="240" w:after="0" w:line="276" w:lineRule="auto"/>
      <w:jc w:val="center"/>
    </w:pPr>
    <w:rPr>
      <w:rFonts w:eastAsia="Kozuka Gothic Pro B"/>
      <w:b/>
      <w:color w:val="2171B5"/>
      <w:sz w:val="66"/>
      <w:szCs w:val="66"/>
    </w:rPr>
  </w:style>
  <w:style w:type="paragraph" w:customStyle="1" w:styleId="ExecSummaryBulletPoint">
    <w:name w:val="ExecSummaryBulletPoint"/>
    <w:basedOn w:val="Normal"/>
    <w:link w:val="ExecSummaryBulletPointChar"/>
    <w:qFormat/>
    <w:rsid w:val="00353A37"/>
    <w:pPr>
      <w:numPr>
        <w:numId w:val="2"/>
      </w:numPr>
      <w:spacing w:before="120" w:after="0"/>
    </w:pPr>
  </w:style>
  <w:style w:type="paragraph" w:customStyle="1" w:styleId="ExecSummaryCaption">
    <w:name w:val="ExecSummaryCaption"/>
    <w:basedOn w:val="Caption"/>
    <w:qFormat/>
    <w:rsid w:val="00353A37"/>
    <w:pPr>
      <w:spacing w:after="60"/>
    </w:pPr>
  </w:style>
  <w:style w:type="paragraph" w:customStyle="1" w:styleId="FigurePilcrow">
    <w:name w:val="FigurePilcrow"/>
    <w:basedOn w:val="ExecSummaryCaption"/>
    <w:qFormat/>
    <w:rsid w:val="00982311"/>
    <w:pPr>
      <w:spacing w:before="100" w:beforeAutospacing="1" w:after="100" w:afterAutospacing="1"/>
    </w:pPr>
  </w:style>
  <w:style w:type="paragraph" w:customStyle="1" w:styleId="ExecSummaryHyphenSubDotPoint">
    <w:name w:val="ExecSummaryHyphenSubDotPoint"/>
    <w:basedOn w:val="ExecSummaryBulletPoint"/>
    <w:qFormat/>
    <w:rsid w:val="00353A37"/>
    <w:pPr>
      <w:numPr>
        <w:numId w:val="3"/>
      </w:numPr>
      <w:spacing w:before="40"/>
      <w:ind w:left="1078" w:hanging="284"/>
    </w:pPr>
    <w:rPr>
      <w:lang w:eastAsia="en-AU"/>
    </w:rPr>
  </w:style>
  <w:style w:type="character" w:styleId="Emphasis">
    <w:name w:val="Emphasis"/>
    <w:basedOn w:val="DefaultParagraphFont"/>
    <w:uiPriority w:val="20"/>
    <w:qFormat/>
    <w:rsid w:val="00353A37"/>
    <w:rPr>
      <w:i/>
      <w:iCs/>
    </w:rPr>
  </w:style>
  <w:style w:type="paragraph" w:customStyle="1" w:styleId="ListParagraph2">
    <w:name w:val="List Paragraph 2"/>
    <w:basedOn w:val="ExecSummaryHyphenSubDotPoint"/>
    <w:link w:val="ListParagraph2Char"/>
    <w:qFormat/>
    <w:rsid w:val="00353A37"/>
    <w:pPr>
      <w:spacing w:before="0" w:after="120"/>
    </w:pPr>
  </w:style>
  <w:style w:type="character" w:customStyle="1" w:styleId="ExecSummaryBulletPointChar">
    <w:name w:val="ExecSummaryBulletPoint Char"/>
    <w:basedOn w:val="DefaultParagraphFont"/>
    <w:link w:val="ExecSummaryBulletPoint"/>
    <w:rsid w:val="00353A37"/>
    <w:rPr>
      <w:rFonts w:asciiTheme="minorHAnsi" w:hAnsiTheme="minorHAnsi"/>
      <w:sz w:val="22"/>
    </w:rPr>
  </w:style>
  <w:style w:type="character" w:customStyle="1" w:styleId="ListParagraph2Char">
    <w:name w:val="List Paragraph 2 Char"/>
    <w:basedOn w:val="DefaultParagraphFont"/>
    <w:link w:val="ListParagraph2"/>
    <w:rsid w:val="00353A37"/>
    <w:rPr>
      <w:rFonts w:asciiTheme="minorHAnsi" w:hAnsiTheme="minorHAnsi"/>
      <w:sz w:val="22"/>
      <w:lang w:eastAsia="en-AU"/>
    </w:rPr>
  </w:style>
  <w:style w:type="paragraph" w:customStyle="1" w:styleId="IntroText">
    <w:name w:val="Intro Text"/>
    <w:basedOn w:val="BodyText"/>
    <w:qFormat/>
    <w:rsid w:val="00427869"/>
    <w:rPr>
      <w:sz w:val="24"/>
      <w:szCs w:val="24"/>
    </w:rPr>
  </w:style>
  <w:style w:type="character" w:customStyle="1" w:styleId="Heading4Char">
    <w:name w:val="Heading 4 Char"/>
    <w:basedOn w:val="DefaultParagraphFont"/>
    <w:link w:val="Heading4"/>
    <w:uiPriority w:val="9"/>
    <w:rsid w:val="00C827EF"/>
    <w:rPr>
      <w:rFonts w:asciiTheme="majorHAnsi" w:eastAsiaTheme="majorEastAsia" w:hAnsiTheme="majorHAnsi" w:cstheme="majorBidi"/>
      <w:b/>
      <w:bCs/>
      <w:i/>
      <w:iCs/>
      <w:color w:val="4F81BD" w:themeColor="accent1"/>
      <w:sz w:val="22"/>
    </w:rPr>
  </w:style>
  <w:style w:type="numbering" w:customStyle="1" w:styleId="NoList1">
    <w:name w:val="No List1"/>
    <w:next w:val="NoList"/>
    <w:uiPriority w:val="99"/>
    <w:semiHidden/>
    <w:unhideWhenUsed/>
    <w:rsid w:val="00C827EF"/>
  </w:style>
  <w:style w:type="character" w:styleId="Hyperlink">
    <w:name w:val="Hyperlink"/>
    <w:basedOn w:val="DefaultParagraphFont"/>
    <w:uiPriority w:val="99"/>
    <w:unhideWhenUsed/>
    <w:rsid w:val="00C827EF"/>
    <w:rPr>
      <w:color w:val="0000FF" w:themeColor="hyperlink"/>
      <w:u w:val="single"/>
    </w:r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pPr>
      <w:spacing w:line="240" w:lineRule="auto"/>
    </w:pPr>
    <w:rPr>
      <w:sz w:val="20"/>
      <w:szCs w:val="20"/>
    </w:rPr>
  </w:style>
  <w:style w:type="character" w:customStyle="1" w:styleId="CommentTextChar">
    <w:name w:val="Comment Text Char"/>
    <w:basedOn w:val="DefaultParagraphFont"/>
    <w:link w:val="CommentText"/>
    <w:uiPriority w:val="99"/>
    <w:rsid w:val="00C827EF"/>
    <w:rPr>
      <w:rFonts w:ascii="Source Sans Pro Light" w:hAnsi="Source Sans Pro Light"/>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Source Sans Pro Light" w:hAnsi="Source Sans Pro Light"/>
      <w:b/>
      <w:bCs/>
      <w:sz w:val="20"/>
      <w:szCs w:val="20"/>
    </w:rPr>
  </w:style>
  <w:style w:type="paragraph" w:styleId="Revision">
    <w:name w:val="Revision"/>
    <w:hidden/>
    <w:uiPriority w:val="99"/>
    <w:semiHidden/>
    <w:rsid w:val="00C827EF"/>
    <w:pPr>
      <w:spacing w:line="240" w:lineRule="auto"/>
    </w:pPr>
    <w:rPr>
      <w:rFonts w:ascii="Source Sans Pro Light" w:hAnsi="Source Sans Pro Light"/>
      <w:sz w:val="22"/>
    </w:rPr>
  </w:style>
  <w:style w:type="character" w:styleId="Strong">
    <w:name w:val="Strong"/>
    <w:basedOn w:val="DefaultParagraphFont"/>
    <w:uiPriority w:val="22"/>
    <w:qFormat/>
    <w:rsid w:val="00C827EF"/>
    <w:rPr>
      <w:b/>
      <w:bCs/>
    </w:rPr>
  </w:style>
  <w:style w:type="character" w:customStyle="1" w:styleId="TableFactorLabel">
    <w:name w:val="TableFactorLabel"/>
    <w:basedOn w:val="DefaultParagraphFont"/>
    <w:uiPriority w:val="1"/>
    <w:qFormat/>
    <w:rsid w:val="00C827EF"/>
    <w:rPr>
      <w:rFonts w:ascii="Source Sans Pro" w:hAnsi="Source Sans Pro" w:cs="Source Sans Pro Light"/>
      <w:sz w:val="20"/>
      <w:lang w:eastAsia="en-AU"/>
    </w:rPr>
  </w:style>
  <w:style w:type="paragraph" w:styleId="NormalWeb">
    <w:name w:val="Normal (Web)"/>
    <w:basedOn w:val="Normal"/>
    <w:uiPriority w:val="99"/>
    <w:semiHidden/>
    <w:unhideWhenUsed/>
    <w:rsid w:val="00C827EF"/>
    <w:pPr>
      <w:spacing w:before="150" w:after="150"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C827EF"/>
    <w:pPr>
      <w:spacing w:before="480" w:after="0" w:line="276" w:lineRule="auto"/>
      <w:outlineLvl w:val="9"/>
    </w:pPr>
    <w:rPr>
      <w:rFonts w:asciiTheme="majorHAnsi" w:hAnsiTheme="majorHAnsi"/>
      <w:caps w:val="0"/>
      <w:color w:val="365F91" w:themeColor="accent1" w:themeShade="BF"/>
      <w:sz w:val="28"/>
      <w:lang w:val="en-US" w:eastAsia="ja-JP"/>
    </w:rPr>
  </w:style>
  <w:style w:type="paragraph" w:styleId="TOC4">
    <w:name w:val="toc 4"/>
    <w:basedOn w:val="Normal"/>
    <w:next w:val="Normal"/>
    <w:autoRedefine/>
    <w:uiPriority w:val="39"/>
    <w:unhideWhenUsed/>
    <w:rsid w:val="00C827EF"/>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C827EF"/>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C827EF"/>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C827EF"/>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C827EF"/>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C827EF"/>
    <w:pPr>
      <w:spacing w:after="100" w:line="276" w:lineRule="auto"/>
      <w:ind w:left="1760"/>
    </w:pPr>
    <w:rPr>
      <w:rFonts w:eastAsiaTheme="minorEastAsia"/>
      <w:lang w:eastAsia="en-AU"/>
    </w:rPr>
  </w:style>
  <w:style w:type="paragraph" w:customStyle="1" w:styleId="Heading2-alsonotinToC">
    <w:name w:val="Heading 2 - also not in ToC"/>
    <w:basedOn w:val="Heading2"/>
    <w:qFormat/>
    <w:rsid w:val="00E30271"/>
    <w:pPr>
      <w:pBdr>
        <w:top w:val="single" w:sz="4" w:space="14" w:color="D9F1F0"/>
        <w:left w:val="single" w:sz="4" w:space="14" w:color="D9F1F0"/>
        <w:bottom w:val="single" w:sz="4" w:space="14" w:color="D9F1F0"/>
        <w:right w:val="single" w:sz="4" w:space="14" w:color="D9F1F0"/>
      </w:pBdr>
      <w:shd w:val="clear" w:color="auto" w:fill="D9F1F0"/>
      <w:ind w:left="280" w:right="280"/>
    </w:pPr>
  </w:style>
  <w:style w:type="paragraph" w:customStyle="1" w:styleId="ecxmsonormal">
    <w:name w:val="ecxmsonormal"/>
    <w:basedOn w:val="Normal"/>
    <w:rsid w:val="00E30271"/>
    <w:pPr>
      <w:spacing w:after="324" w:line="240" w:lineRule="auto"/>
    </w:pPr>
    <w:rPr>
      <w:rFonts w:ascii="Times New Roman" w:eastAsia="Times New Roman" w:hAnsi="Times New Roman" w:cs="Times New Roman"/>
      <w:sz w:val="24"/>
      <w:szCs w:val="24"/>
      <w:lang w:val="en-GB" w:eastAsia="en-GB"/>
    </w:rPr>
  </w:style>
  <w:style w:type="paragraph" w:customStyle="1" w:styleId="NumberedList2">
    <w:name w:val="NumberedList2"/>
    <w:basedOn w:val="ListParagraph"/>
    <w:link w:val="NumberedList2Char"/>
    <w:qFormat/>
    <w:rsid w:val="00E30271"/>
    <w:pPr>
      <w:numPr>
        <w:numId w:val="11"/>
      </w:numPr>
    </w:pPr>
  </w:style>
  <w:style w:type="character" w:customStyle="1" w:styleId="BodyTextChar">
    <w:name w:val="BodyText Char"/>
    <w:basedOn w:val="DefaultParagraphFont"/>
    <w:link w:val="BodyText"/>
    <w:rsid w:val="00E30271"/>
    <w:rPr>
      <w:rFonts w:asciiTheme="minorHAnsi" w:hAnsiTheme="minorHAnsi"/>
      <w:sz w:val="22"/>
    </w:rPr>
  </w:style>
  <w:style w:type="character" w:customStyle="1" w:styleId="ListParagraphChar">
    <w:name w:val="List Paragraph Char"/>
    <w:basedOn w:val="BodyTextChar"/>
    <w:link w:val="ListParagraph"/>
    <w:uiPriority w:val="34"/>
    <w:rsid w:val="00E30271"/>
    <w:rPr>
      <w:rFonts w:asciiTheme="minorHAnsi" w:hAnsiTheme="minorHAnsi"/>
      <w:sz w:val="22"/>
    </w:rPr>
  </w:style>
  <w:style w:type="character" w:customStyle="1" w:styleId="NumberedList2Char">
    <w:name w:val="NumberedList2 Char"/>
    <w:basedOn w:val="ListParagraphChar"/>
    <w:link w:val="NumberedList2"/>
    <w:rsid w:val="00E30271"/>
    <w:rPr>
      <w:rFonts w:asciiTheme="minorHAnsi" w:hAnsiTheme="minorHAnsi"/>
      <w:sz w:val="22"/>
    </w:rPr>
  </w:style>
  <w:style w:type="paragraph" w:customStyle="1" w:styleId="Heading3a">
    <w:name w:val="Heading 3a"/>
    <w:basedOn w:val="Heading2"/>
    <w:link w:val="Heading3aChar"/>
    <w:qFormat/>
    <w:rsid w:val="0074764C"/>
    <w:rPr>
      <w:sz w:val="22"/>
    </w:rPr>
  </w:style>
  <w:style w:type="character" w:customStyle="1" w:styleId="Heading3aChar">
    <w:name w:val="Heading 3a Char"/>
    <w:basedOn w:val="Heading2Char"/>
    <w:link w:val="Heading3a"/>
    <w:rsid w:val="0074764C"/>
    <w:rPr>
      <w:rFonts w:asciiTheme="minorHAnsi" w:eastAsiaTheme="majorEastAsia" w:hAnsiTheme="minorHAnsi" w:cstheme="majorBidi"/>
      <w:b/>
      <w:bCs/>
      <w:color w:val="2171B5"/>
      <w:sz w:val="22"/>
      <w:szCs w:val="26"/>
    </w:rPr>
  </w:style>
  <w:style w:type="character" w:customStyle="1" w:styleId="cit">
    <w:name w:val="cit"/>
    <w:basedOn w:val="DefaultParagraphFont"/>
    <w:rsid w:val="0074764C"/>
  </w:style>
  <w:style w:type="character" w:customStyle="1" w:styleId="doi">
    <w:name w:val="doi"/>
    <w:basedOn w:val="DefaultParagraphFont"/>
    <w:rsid w:val="0074764C"/>
  </w:style>
  <w:style w:type="character" w:customStyle="1" w:styleId="st1">
    <w:name w:val="st1"/>
    <w:basedOn w:val="DefaultParagraphFont"/>
    <w:rsid w:val="00590512"/>
  </w:style>
  <w:style w:type="paragraph" w:customStyle="1" w:styleId="Heading2-notintOCV2">
    <w:name w:val="Heading 2 - not in tOC V2"/>
    <w:basedOn w:val="Normal"/>
    <w:link w:val="Heading2-notintOCV2Char"/>
    <w:qFormat/>
    <w:rsid w:val="000430C8"/>
    <w:pPr>
      <w:pBdr>
        <w:top w:val="single" w:sz="4" w:space="14" w:color="D9F1F0"/>
        <w:left w:val="single" w:sz="4" w:space="14" w:color="D9F1F0"/>
        <w:bottom w:val="single" w:sz="4" w:space="14" w:color="D9F1F0"/>
        <w:right w:val="single" w:sz="4" w:space="14" w:color="D9F1F0"/>
      </w:pBdr>
      <w:shd w:val="clear" w:color="auto" w:fill="EFF3FF"/>
      <w:ind w:left="280" w:right="280"/>
    </w:pPr>
    <w:rPr>
      <w:b/>
      <w:color w:val="2171B5"/>
      <w:sz w:val="26"/>
      <w:szCs w:val="26"/>
    </w:rPr>
  </w:style>
  <w:style w:type="paragraph" w:customStyle="1" w:styleId="Disorderoverviewtext">
    <w:name w:val="Disorder overview text"/>
    <w:basedOn w:val="Normal"/>
    <w:link w:val="DisorderoverviewtextChar"/>
    <w:qFormat/>
    <w:rsid w:val="000430C8"/>
    <w:pPr>
      <w:pBdr>
        <w:top w:val="single" w:sz="4" w:space="14" w:color="D9F1F0"/>
        <w:left w:val="single" w:sz="4" w:space="14" w:color="D9F1F0"/>
        <w:bottom w:val="single" w:sz="4" w:space="14" w:color="D9F1F0"/>
        <w:right w:val="single" w:sz="4" w:space="14" w:color="D9F1F0"/>
      </w:pBdr>
      <w:shd w:val="clear" w:color="auto" w:fill="EFF3FF"/>
      <w:ind w:left="280" w:right="280"/>
    </w:pPr>
  </w:style>
  <w:style w:type="character" w:customStyle="1" w:styleId="Heading2-notintOCV2Char">
    <w:name w:val="Heading 2 - not in tOC V2 Char"/>
    <w:basedOn w:val="DefaultParagraphFont"/>
    <w:link w:val="Heading2-notintOCV2"/>
    <w:rsid w:val="000430C8"/>
    <w:rPr>
      <w:rFonts w:asciiTheme="minorHAnsi" w:hAnsiTheme="minorHAnsi"/>
      <w:b/>
      <w:color w:val="2171B5"/>
      <w:sz w:val="26"/>
      <w:szCs w:val="26"/>
      <w:shd w:val="clear" w:color="auto" w:fill="EFF3FF"/>
    </w:rPr>
  </w:style>
  <w:style w:type="character" w:customStyle="1" w:styleId="DisorderoverviewtextChar">
    <w:name w:val="Disorder overview text Char"/>
    <w:basedOn w:val="DefaultParagraphFont"/>
    <w:link w:val="Disorderoverviewtext"/>
    <w:rsid w:val="000430C8"/>
    <w:rPr>
      <w:rFonts w:asciiTheme="minorHAnsi" w:hAnsiTheme="minorHAnsi"/>
      <w:sz w:val="22"/>
      <w:shd w:val="clear" w:color="auto" w:fill="EFF3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53.xml"/><Relationship Id="rId21" Type="http://schemas.openxmlformats.org/officeDocument/2006/relationships/header" Target="header11.xml"/><Relationship Id="rId42" Type="http://schemas.openxmlformats.org/officeDocument/2006/relationships/image" Target="media/image17.png"/><Relationship Id="rId47" Type="http://schemas.openxmlformats.org/officeDocument/2006/relationships/header" Target="header14.xml"/><Relationship Id="rId63" Type="http://schemas.openxmlformats.org/officeDocument/2006/relationships/header" Target="header23.xml"/><Relationship Id="rId68" Type="http://schemas.openxmlformats.org/officeDocument/2006/relationships/footer" Target="footer12.xml"/><Relationship Id="rId84" Type="http://schemas.openxmlformats.org/officeDocument/2006/relationships/header" Target="header35.xml"/><Relationship Id="rId89" Type="http://schemas.openxmlformats.org/officeDocument/2006/relationships/footer" Target="footer21.xml"/><Relationship Id="rId112" Type="http://schemas.openxmlformats.org/officeDocument/2006/relationships/footer" Target="footer32.xml"/><Relationship Id="rId133" Type="http://schemas.openxmlformats.org/officeDocument/2006/relationships/footer" Target="footer40.xml"/><Relationship Id="rId138" Type="http://schemas.openxmlformats.org/officeDocument/2006/relationships/header" Target="header65.xml"/><Relationship Id="rId154" Type="http://schemas.openxmlformats.org/officeDocument/2006/relationships/header" Target="header76.xml"/><Relationship Id="rId159" Type="http://schemas.openxmlformats.org/officeDocument/2006/relationships/header" Target="header79.xml"/><Relationship Id="rId170" Type="http://schemas.openxmlformats.org/officeDocument/2006/relationships/theme" Target="theme/theme1.xml"/><Relationship Id="rId16" Type="http://schemas.openxmlformats.org/officeDocument/2006/relationships/header" Target="header7.xml"/><Relationship Id="rId107" Type="http://schemas.openxmlformats.org/officeDocument/2006/relationships/header" Target="header47.xml"/><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eader" Target="header17.xml"/><Relationship Id="rId58" Type="http://schemas.openxmlformats.org/officeDocument/2006/relationships/header" Target="header21.xml"/><Relationship Id="rId74" Type="http://schemas.openxmlformats.org/officeDocument/2006/relationships/footer" Target="footer14.xml"/><Relationship Id="rId79" Type="http://schemas.openxmlformats.org/officeDocument/2006/relationships/header" Target="header33.xml"/><Relationship Id="rId102" Type="http://schemas.openxmlformats.org/officeDocument/2006/relationships/footer" Target="footer27.xml"/><Relationship Id="rId123" Type="http://schemas.openxmlformats.org/officeDocument/2006/relationships/header" Target="header56.xml"/><Relationship Id="rId128" Type="http://schemas.openxmlformats.org/officeDocument/2006/relationships/header" Target="header59.xml"/><Relationship Id="rId144" Type="http://schemas.openxmlformats.org/officeDocument/2006/relationships/footer" Target="footer45.xml"/><Relationship Id="rId149" Type="http://schemas.openxmlformats.org/officeDocument/2006/relationships/header" Target="header71.xml"/><Relationship Id="rId5" Type="http://schemas.openxmlformats.org/officeDocument/2006/relationships/settings" Target="settings.xml"/><Relationship Id="rId90" Type="http://schemas.openxmlformats.org/officeDocument/2006/relationships/header" Target="header38.xml"/><Relationship Id="rId95" Type="http://schemas.openxmlformats.org/officeDocument/2006/relationships/header" Target="header41.xml"/><Relationship Id="rId160" Type="http://schemas.openxmlformats.org/officeDocument/2006/relationships/header" Target="header80.xml"/><Relationship Id="rId165" Type="http://schemas.openxmlformats.org/officeDocument/2006/relationships/header" Target="header82.xml"/><Relationship Id="rId22" Type="http://schemas.openxmlformats.org/officeDocument/2006/relationships/footer" Target="footer3.xml"/><Relationship Id="rId27"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header" Target="header15.xml"/><Relationship Id="rId64" Type="http://schemas.openxmlformats.org/officeDocument/2006/relationships/image" Target="media/image22.png"/><Relationship Id="rId69" Type="http://schemas.openxmlformats.org/officeDocument/2006/relationships/header" Target="header26.xml"/><Relationship Id="rId113" Type="http://schemas.openxmlformats.org/officeDocument/2006/relationships/header" Target="header50.xml"/><Relationship Id="rId118" Type="http://schemas.openxmlformats.org/officeDocument/2006/relationships/footer" Target="footer34.xml"/><Relationship Id="rId134" Type="http://schemas.openxmlformats.org/officeDocument/2006/relationships/footer" Target="footer41.xml"/><Relationship Id="rId139" Type="http://schemas.openxmlformats.org/officeDocument/2006/relationships/header" Target="header66.xml"/><Relationship Id="rId80" Type="http://schemas.openxmlformats.org/officeDocument/2006/relationships/footer" Target="footer16.xml"/><Relationship Id="rId85" Type="http://schemas.openxmlformats.org/officeDocument/2006/relationships/header" Target="header36.xml"/><Relationship Id="rId150" Type="http://schemas.openxmlformats.org/officeDocument/2006/relationships/header" Target="header72.xml"/><Relationship Id="rId155" Type="http://schemas.openxmlformats.org/officeDocument/2006/relationships/footer" Target="footer47.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footer" Target="footer9.xml"/><Relationship Id="rId103" Type="http://schemas.openxmlformats.org/officeDocument/2006/relationships/header" Target="header45.xml"/><Relationship Id="rId108" Type="http://schemas.openxmlformats.org/officeDocument/2006/relationships/footer" Target="footer30.xml"/><Relationship Id="rId124" Type="http://schemas.openxmlformats.org/officeDocument/2006/relationships/footer" Target="footer37.xml"/><Relationship Id="rId129" Type="http://schemas.openxmlformats.org/officeDocument/2006/relationships/header" Target="header60.xml"/><Relationship Id="rId54" Type="http://schemas.openxmlformats.org/officeDocument/2006/relationships/header" Target="header18.xml"/><Relationship Id="rId70" Type="http://schemas.openxmlformats.org/officeDocument/2006/relationships/header" Target="header27.xml"/><Relationship Id="rId75" Type="http://schemas.openxmlformats.org/officeDocument/2006/relationships/header" Target="header30.xml"/><Relationship Id="rId91" Type="http://schemas.openxmlformats.org/officeDocument/2006/relationships/header" Target="header39.xml"/><Relationship Id="rId96" Type="http://schemas.openxmlformats.org/officeDocument/2006/relationships/footer" Target="footer24.xml"/><Relationship Id="rId140" Type="http://schemas.openxmlformats.org/officeDocument/2006/relationships/footer" Target="footer43.xml"/><Relationship Id="rId145" Type="http://schemas.openxmlformats.org/officeDocument/2006/relationships/header" Target="header69.xml"/><Relationship Id="rId161" Type="http://schemas.openxmlformats.org/officeDocument/2006/relationships/footer" Target="footer49.xml"/><Relationship Id="rId166"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5.xml"/><Relationship Id="rId57" Type="http://schemas.openxmlformats.org/officeDocument/2006/relationships/header" Target="header20.xml"/><Relationship Id="rId106" Type="http://schemas.openxmlformats.org/officeDocument/2006/relationships/footer" Target="footer29.xml"/><Relationship Id="rId114" Type="http://schemas.openxmlformats.org/officeDocument/2006/relationships/footer" Target="footer33.xml"/><Relationship Id="rId119" Type="http://schemas.openxmlformats.org/officeDocument/2006/relationships/footer" Target="footer35.xml"/><Relationship Id="rId127" Type="http://schemas.openxmlformats.org/officeDocument/2006/relationships/footer" Target="footer38.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footer" Target="footer7.xml"/><Relationship Id="rId60" Type="http://schemas.openxmlformats.org/officeDocument/2006/relationships/footer" Target="footer10.xml"/><Relationship Id="rId65" Type="http://schemas.openxmlformats.org/officeDocument/2006/relationships/image" Target="media/image23.png"/><Relationship Id="rId73" Type="http://schemas.openxmlformats.org/officeDocument/2006/relationships/header" Target="header29.xml"/><Relationship Id="rId78" Type="http://schemas.openxmlformats.org/officeDocument/2006/relationships/header" Target="header32.xml"/><Relationship Id="rId81" Type="http://schemas.openxmlformats.org/officeDocument/2006/relationships/footer" Target="footer17.xml"/><Relationship Id="rId86" Type="http://schemas.openxmlformats.org/officeDocument/2006/relationships/footer" Target="footer19.xml"/><Relationship Id="rId94" Type="http://schemas.openxmlformats.org/officeDocument/2006/relationships/footer" Target="footer23.xml"/><Relationship Id="rId99" Type="http://schemas.openxmlformats.org/officeDocument/2006/relationships/footer" Target="footer25.xml"/><Relationship Id="rId101" Type="http://schemas.openxmlformats.org/officeDocument/2006/relationships/header" Target="header44.xml"/><Relationship Id="rId122" Type="http://schemas.openxmlformats.org/officeDocument/2006/relationships/header" Target="header55.xml"/><Relationship Id="rId130" Type="http://schemas.openxmlformats.org/officeDocument/2006/relationships/footer" Target="footer39.xml"/><Relationship Id="rId135" Type="http://schemas.openxmlformats.org/officeDocument/2006/relationships/header" Target="header63.xml"/><Relationship Id="rId143" Type="http://schemas.openxmlformats.org/officeDocument/2006/relationships/footer" Target="footer44.xml"/><Relationship Id="rId148" Type="http://schemas.openxmlformats.org/officeDocument/2006/relationships/hyperlink" Target="http://youngmindsmatter.org.au/" TargetMode="External"/><Relationship Id="rId151" Type="http://schemas.openxmlformats.org/officeDocument/2006/relationships/header" Target="header73.xml"/><Relationship Id="rId156" Type="http://schemas.openxmlformats.org/officeDocument/2006/relationships/header" Target="header77.xml"/><Relationship Id="rId164" Type="http://schemas.openxmlformats.org/officeDocument/2006/relationships/footer" Target="footer51.xm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9.xml"/><Relationship Id="rId39" Type="http://schemas.openxmlformats.org/officeDocument/2006/relationships/image" Target="media/image14.png"/><Relationship Id="rId109" Type="http://schemas.openxmlformats.org/officeDocument/2006/relationships/header" Target="header48.xml"/><Relationship Id="rId34" Type="http://schemas.openxmlformats.org/officeDocument/2006/relationships/image" Target="media/image9.png"/><Relationship Id="rId50" Type="http://schemas.openxmlformats.org/officeDocument/2006/relationships/footer" Target="footer6.xml"/><Relationship Id="rId55" Type="http://schemas.openxmlformats.org/officeDocument/2006/relationships/header" Target="header19.xml"/><Relationship Id="rId76" Type="http://schemas.openxmlformats.org/officeDocument/2006/relationships/header" Target="header31.xml"/><Relationship Id="rId97" Type="http://schemas.openxmlformats.org/officeDocument/2006/relationships/header" Target="header42.xml"/><Relationship Id="rId104" Type="http://schemas.openxmlformats.org/officeDocument/2006/relationships/header" Target="header46.xml"/><Relationship Id="rId120" Type="http://schemas.openxmlformats.org/officeDocument/2006/relationships/header" Target="header54.xml"/><Relationship Id="rId125" Type="http://schemas.openxmlformats.org/officeDocument/2006/relationships/header" Target="header57.xml"/><Relationship Id="rId141" Type="http://schemas.openxmlformats.org/officeDocument/2006/relationships/header" Target="header67.xml"/><Relationship Id="rId146" Type="http://schemas.openxmlformats.org/officeDocument/2006/relationships/footer" Target="footer46.xml"/><Relationship Id="rId167" Type="http://schemas.openxmlformats.org/officeDocument/2006/relationships/header" Target="header84.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header" Target="header40.xml"/><Relationship Id="rId162" Type="http://schemas.openxmlformats.org/officeDocument/2006/relationships/footer" Target="footer50.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eader" Target="header24.xml"/><Relationship Id="rId87" Type="http://schemas.openxmlformats.org/officeDocument/2006/relationships/footer" Target="footer20.xml"/><Relationship Id="rId110" Type="http://schemas.openxmlformats.org/officeDocument/2006/relationships/header" Target="header49.xml"/><Relationship Id="rId115" Type="http://schemas.openxmlformats.org/officeDocument/2006/relationships/header" Target="header51.xml"/><Relationship Id="rId131" Type="http://schemas.openxmlformats.org/officeDocument/2006/relationships/header" Target="header61.xml"/><Relationship Id="rId136" Type="http://schemas.openxmlformats.org/officeDocument/2006/relationships/footer" Target="footer42.xml"/><Relationship Id="rId157" Type="http://schemas.openxmlformats.org/officeDocument/2006/relationships/header" Target="header78.xml"/><Relationship Id="rId61" Type="http://schemas.openxmlformats.org/officeDocument/2006/relationships/header" Target="header22.xml"/><Relationship Id="rId82" Type="http://schemas.openxmlformats.org/officeDocument/2006/relationships/header" Target="header34.xml"/><Relationship Id="rId152" Type="http://schemas.openxmlformats.org/officeDocument/2006/relationships/header" Target="header74.xml"/><Relationship Id="rId19" Type="http://schemas.openxmlformats.org/officeDocument/2006/relationships/footer" Target="footer2.xml"/><Relationship Id="rId14"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footer" Target="footer8.xml"/><Relationship Id="rId77" Type="http://schemas.openxmlformats.org/officeDocument/2006/relationships/footer" Target="footer15.xml"/><Relationship Id="rId100" Type="http://schemas.openxmlformats.org/officeDocument/2006/relationships/footer" Target="footer26.xml"/><Relationship Id="rId105" Type="http://schemas.openxmlformats.org/officeDocument/2006/relationships/footer" Target="footer28.xml"/><Relationship Id="rId126" Type="http://schemas.openxmlformats.org/officeDocument/2006/relationships/header" Target="header58.xml"/><Relationship Id="rId147" Type="http://schemas.openxmlformats.org/officeDocument/2006/relationships/header" Target="header70.xml"/><Relationship Id="rId168" Type="http://schemas.openxmlformats.org/officeDocument/2006/relationships/footer" Target="footer52.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8.xml"/><Relationship Id="rId93" Type="http://schemas.openxmlformats.org/officeDocument/2006/relationships/footer" Target="footer22.xml"/><Relationship Id="rId98" Type="http://schemas.openxmlformats.org/officeDocument/2006/relationships/header" Target="header43.xml"/><Relationship Id="rId121" Type="http://schemas.openxmlformats.org/officeDocument/2006/relationships/footer" Target="footer36.xml"/><Relationship Id="rId142" Type="http://schemas.openxmlformats.org/officeDocument/2006/relationships/header" Target="header68.xml"/><Relationship Id="rId163" Type="http://schemas.openxmlformats.org/officeDocument/2006/relationships/header" Target="header81.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image" Target="media/image21.png"/><Relationship Id="rId67" Type="http://schemas.openxmlformats.org/officeDocument/2006/relationships/header" Target="header25.xml"/><Relationship Id="rId116" Type="http://schemas.openxmlformats.org/officeDocument/2006/relationships/header" Target="header52.xml"/><Relationship Id="rId137" Type="http://schemas.openxmlformats.org/officeDocument/2006/relationships/header" Target="header64.xml"/><Relationship Id="rId158" Type="http://schemas.openxmlformats.org/officeDocument/2006/relationships/footer" Target="footer48.xml"/><Relationship Id="rId20" Type="http://schemas.openxmlformats.org/officeDocument/2006/relationships/header" Target="header10.xml"/><Relationship Id="rId41" Type="http://schemas.openxmlformats.org/officeDocument/2006/relationships/image" Target="media/image16.png"/><Relationship Id="rId62" Type="http://schemas.openxmlformats.org/officeDocument/2006/relationships/footer" Target="footer11.xml"/><Relationship Id="rId83" Type="http://schemas.openxmlformats.org/officeDocument/2006/relationships/footer" Target="footer18.xml"/><Relationship Id="rId88" Type="http://schemas.openxmlformats.org/officeDocument/2006/relationships/header" Target="header37.xml"/><Relationship Id="rId111" Type="http://schemas.openxmlformats.org/officeDocument/2006/relationships/footer" Target="footer31.xml"/><Relationship Id="rId132" Type="http://schemas.openxmlformats.org/officeDocument/2006/relationships/header" Target="header62.xml"/><Relationship Id="rId153" Type="http://schemas.openxmlformats.org/officeDocument/2006/relationships/header" Target="header7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dx.doi.org/10.1136%2Fbmj.39238.399444.55" TargetMode="External"/><Relationship Id="rId1" Type="http://schemas.openxmlformats.org/officeDocument/2006/relationships/hyperlink" Target="http://dx.doi.org/10.1136%2Fbmj.39238.39944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764CD-1E6D-4488-A908-31852BB4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243</Pages>
  <Words>66346</Words>
  <Characters>378174</Characters>
  <Application>Microsoft Office Word</Application>
  <DocSecurity>0</DocSecurity>
  <Lines>3151</Lines>
  <Paragraphs>887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2015-08-21T02:15:00Z</dcterms:created>
  <dcterms:modified xsi:type="dcterms:W3CDTF">2015-08-21T02:15:00Z</dcterms:modified>
</cp:coreProperties>
</file>