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52" w:rsidRPr="005D3456" w:rsidRDefault="00DB4852" w:rsidP="00DB4852">
      <w:pPr>
        <w:pStyle w:val="Heading1"/>
        <w:numPr>
          <w:ilvl w:val="0"/>
          <w:numId w:val="0"/>
        </w:numPr>
      </w:pPr>
      <w:bookmarkStart w:id="0" w:name="_Toc55492718"/>
      <w:bookmarkStart w:id="1" w:name="_GoBack"/>
      <w:bookmarkEnd w:id="1"/>
      <w:r w:rsidRPr="005D3456">
        <w:t xml:space="preserve">APPENDIX </w:t>
      </w:r>
      <w:r>
        <w:t>D</w:t>
      </w:r>
      <w:bookmarkEnd w:id="0"/>
      <w:r w:rsidRPr="005D3456">
        <w:t xml:space="preserve"> </w:t>
      </w:r>
    </w:p>
    <w:p w:rsidR="00DB4852" w:rsidRPr="005D3456" w:rsidRDefault="00DB4852" w:rsidP="00DB4852">
      <w:pPr>
        <w:pStyle w:val="Heading2"/>
        <w:numPr>
          <w:ilvl w:val="0"/>
          <w:numId w:val="0"/>
        </w:numPr>
      </w:pPr>
      <w:bookmarkStart w:id="2" w:name="_Toc55492719"/>
      <w:r w:rsidRPr="005D3456">
        <w:t>Summary of AHPPC ethical framework</w:t>
      </w:r>
      <w:r w:rsidRPr="005D3456">
        <w:rPr>
          <w:rStyle w:val="FootnoteReference"/>
        </w:rPr>
        <w:footnoteReference w:id="1"/>
      </w:r>
      <w:r w:rsidRPr="005D3456">
        <w:t xml:space="preserve"> to guide health sector responses</w:t>
      </w:r>
      <w:bookmarkEnd w:id="2"/>
    </w:p>
    <w:p w:rsidR="00DB4852" w:rsidRPr="005D3456" w:rsidRDefault="00DB4852" w:rsidP="00DB4852"/>
    <w:p w:rsidR="00DB4852" w:rsidRPr="005D3456" w:rsidRDefault="00DB4852" w:rsidP="00DB4852">
      <w:pPr>
        <w:rPr>
          <w:rFonts w:ascii="Arial" w:hAnsi="Arial" w:cs="Arial"/>
        </w:rPr>
      </w:pPr>
      <w:r w:rsidRPr="005D3456">
        <w:rPr>
          <w:rFonts w:ascii="Arial" w:hAnsi="Arial" w:cs="Arial"/>
          <w:b/>
        </w:rPr>
        <w:t>Equity:</w:t>
      </w:r>
      <w:r w:rsidRPr="005D3456">
        <w:rPr>
          <w:rFonts w:ascii="Arial" w:hAnsi="Arial" w:cs="Arial"/>
        </w:rPr>
        <w:t xml:space="preserve"> providing care in an equitable manner, recognising special needs, cultural values and religious beliefs of different members of the community. This is especially important when providing health services to vulnerable individuals, such as Aboriginal and Torres Strait Islander peoples and people who are culturally and linguistically diverse.</w:t>
      </w:r>
    </w:p>
    <w:p w:rsidR="00DB4852" w:rsidRDefault="00DB4852" w:rsidP="00DB4852">
      <w:pPr>
        <w:rPr>
          <w:rFonts w:ascii="Arial" w:hAnsi="Arial" w:cs="Arial"/>
          <w:b/>
        </w:rPr>
      </w:pPr>
    </w:p>
    <w:p w:rsidR="00DB4852" w:rsidRPr="005D3456" w:rsidRDefault="00DB4852" w:rsidP="00DB4852">
      <w:pPr>
        <w:rPr>
          <w:rFonts w:ascii="Arial" w:hAnsi="Arial" w:cs="Arial"/>
        </w:rPr>
      </w:pPr>
      <w:r w:rsidRPr="005D3456">
        <w:rPr>
          <w:rFonts w:ascii="Arial" w:hAnsi="Arial" w:cs="Arial"/>
          <w:b/>
        </w:rPr>
        <w:t>Individual liberty:</w:t>
      </w:r>
      <w:r w:rsidRPr="005D3456">
        <w:rPr>
          <w:rFonts w:ascii="Arial" w:hAnsi="Arial" w:cs="Arial"/>
        </w:rPr>
        <w:t xml:space="preserve"> ensuring that the rights of the individual are upheld as much as possible</w:t>
      </w:r>
    </w:p>
    <w:p w:rsidR="00DB4852" w:rsidRDefault="00DB4852" w:rsidP="00DB4852">
      <w:pPr>
        <w:rPr>
          <w:rFonts w:ascii="Arial" w:hAnsi="Arial" w:cs="Arial"/>
          <w:b/>
        </w:rPr>
      </w:pPr>
    </w:p>
    <w:p w:rsidR="00DB4852" w:rsidRPr="005D3456" w:rsidRDefault="00DB4852" w:rsidP="00DB4852">
      <w:pPr>
        <w:rPr>
          <w:rFonts w:ascii="Arial" w:hAnsi="Arial" w:cs="Arial"/>
        </w:rPr>
      </w:pPr>
      <w:r w:rsidRPr="005D3456">
        <w:rPr>
          <w:rFonts w:ascii="Arial" w:hAnsi="Arial" w:cs="Arial"/>
          <w:b/>
        </w:rPr>
        <w:t>Privacy and confidentiality of individuals:</w:t>
      </w:r>
      <w:r w:rsidRPr="005D3456">
        <w:rPr>
          <w:rFonts w:ascii="Arial" w:hAnsi="Arial" w:cs="Arial"/>
        </w:rPr>
        <w:t xml:space="preserve"> is important and should be protected. Under extraordinary conditions during a pandemic, it may be necessary for some elements to be overridden to protect others.</w:t>
      </w:r>
    </w:p>
    <w:p w:rsidR="00DB4852" w:rsidRDefault="00DB4852" w:rsidP="00DB4852">
      <w:pPr>
        <w:rPr>
          <w:rFonts w:ascii="Arial" w:hAnsi="Arial" w:cs="Arial"/>
          <w:b/>
        </w:rPr>
      </w:pPr>
    </w:p>
    <w:p w:rsidR="00DB4852" w:rsidRPr="005D3456" w:rsidRDefault="00DB4852" w:rsidP="00DB4852">
      <w:pPr>
        <w:rPr>
          <w:rFonts w:ascii="Arial" w:hAnsi="Arial" w:cs="Arial"/>
        </w:rPr>
      </w:pPr>
      <w:r w:rsidRPr="005D3456">
        <w:rPr>
          <w:rFonts w:ascii="Arial" w:hAnsi="Arial" w:cs="Arial"/>
          <w:b/>
        </w:rPr>
        <w:t>Proportionality:</w:t>
      </w:r>
      <w:r w:rsidRPr="005D3456">
        <w:rPr>
          <w:rFonts w:ascii="Arial" w:hAnsi="Arial" w:cs="Arial"/>
        </w:rPr>
        <w:t xml:space="preserve"> ensuring that measures taken are proportional to the threat.</w:t>
      </w:r>
    </w:p>
    <w:p w:rsidR="00DB4852" w:rsidRDefault="00DB4852" w:rsidP="00DB4852">
      <w:pPr>
        <w:rPr>
          <w:rFonts w:ascii="Arial" w:hAnsi="Arial" w:cs="Arial"/>
          <w:b/>
        </w:rPr>
      </w:pPr>
    </w:p>
    <w:p w:rsidR="00DB4852" w:rsidRPr="005D3456" w:rsidRDefault="00DB4852" w:rsidP="00DB4852">
      <w:pPr>
        <w:rPr>
          <w:rFonts w:ascii="Arial" w:hAnsi="Arial" w:cs="Arial"/>
        </w:rPr>
      </w:pPr>
      <w:r w:rsidRPr="005D3456">
        <w:rPr>
          <w:rFonts w:ascii="Arial" w:hAnsi="Arial" w:cs="Arial"/>
          <w:b/>
        </w:rPr>
        <w:t>Protection of the public:</w:t>
      </w:r>
      <w:r w:rsidRPr="005D3456">
        <w:rPr>
          <w:rFonts w:ascii="Arial" w:hAnsi="Arial" w:cs="Arial"/>
        </w:rPr>
        <w:t xml:space="preserve"> ensuring that the protection of the entire population remains a primary focus.</w:t>
      </w:r>
    </w:p>
    <w:p w:rsidR="00DB4852" w:rsidRDefault="00DB4852" w:rsidP="00DB4852">
      <w:pPr>
        <w:rPr>
          <w:rFonts w:ascii="Arial" w:hAnsi="Arial" w:cs="Arial"/>
          <w:b/>
        </w:rPr>
      </w:pPr>
    </w:p>
    <w:p w:rsidR="00DB4852" w:rsidRPr="005D3456" w:rsidRDefault="00DB4852" w:rsidP="00DB4852">
      <w:pPr>
        <w:rPr>
          <w:rFonts w:ascii="Arial" w:hAnsi="Arial" w:cs="Arial"/>
        </w:rPr>
      </w:pPr>
      <w:r w:rsidRPr="005D3456">
        <w:rPr>
          <w:rFonts w:ascii="Arial" w:hAnsi="Arial" w:cs="Arial"/>
          <w:b/>
        </w:rPr>
        <w:t>Provision of care:</w:t>
      </w:r>
      <w:r w:rsidRPr="005D3456">
        <w:rPr>
          <w:rFonts w:ascii="Arial" w:hAnsi="Arial" w:cs="Arial"/>
        </w:rPr>
        <w:t xml:space="preserve"> ensuring that health care workers (HCWs) are able to deliver care appropriate to the situation, commensurate with good practice, and their profession’s code of ethics.</w:t>
      </w:r>
    </w:p>
    <w:p w:rsidR="00DB4852" w:rsidRDefault="00DB4852" w:rsidP="00DB4852">
      <w:pPr>
        <w:rPr>
          <w:rFonts w:ascii="Arial" w:hAnsi="Arial" w:cs="Arial"/>
          <w:b/>
        </w:rPr>
      </w:pPr>
    </w:p>
    <w:p w:rsidR="00DB4852" w:rsidRPr="005D3456" w:rsidRDefault="00DB4852" w:rsidP="00DB4852">
      <w:pPr>
        <w:rPr>
          <w:rFonts w:ascii="Arial" w:hAnsi="Arial" w:cs="Arial"/>
        </w:rPr>
      </w:pPr>
      <w:r w:rsidRPr="005D3456">
        <w:rPr>
          <w:rFonts w:ascii="Arial" w:hAnsi="Arial" w:cs="Arial"/>
          <w:b/>
        </w:rPr>
        <w:t>Reciprocity:</w:t>
      </w:r>
      <w:r w:rsidRPr="005D3456">
        <w:rPr>
          <w:rFonts w:ascii="Arial" w:hAnsi="Arial" w:cs="Arial"/>
        </w:rPr>
        <w:t xml:space="preserve"> ensuring that when individuals are asked to take measures or perform duties for the benefit of society as a whole, their acts are appropriately recognised and legitimate need associated with these acts are met where possible.</w:t>
      </w:r>
    </w:p>
    <w:p w:rsidR="00DB4852" w:rsidRDefault="00DB4852" w:rsidP="00DB4852">
      <w:pPr>
        <w:rPr>
          <w:rFonts w:ascii="Arial" w:hAnsi="Arial" w:cs="Arial"/>
          <w:b/>
        </w:rPr>
      </w:pPr>
    </w:p>
    <w:p w:rsidR="00DB4852" w:rsidRPr="005D3456" w:rsidRDefault="00DB4852" w:rsidP="00DB4852">
      <w:pPr>
        <w:rPr>
          <w:rFonts w:ascii="Arial" w:hAnsi="Arial" w:cs="Arial"/>
          <w:b/>
        </w:rPr>
      </w:pPr>
      <w:r w:rsidRPr="005D3456">
        <w:rPr>
          <w:rFonts w:ascii="Arial" w:hAnsi="Arial" w:cs="Arial"/>
          <w:b/>
        </w:rPr>
        <w:t xml:space="preserve">Stewardship: </w:t>
      </w:r>
      <w:r w:rsidRPr="005D3456">
        <w:rPr>
          <w:rFonts w:ascii="Arial" w:hAnsi="Arial" w:cs="Arial"/>
        </w:rPr>
        <w:t>that leaders strive to make good decisions based on best available evidence.</w:t>
      </w:r>
    </w:p>
    <w:p w:rsidR="00DB4852" w:rsidRDefault="00DB4852" w:rsidP="00DB4852">
      <w:pPr>
        <w:rPr>
          <w:rFonts w:ascii="Arial" w:hAnsi="Arial" w:cs="Arial"/>
          <w:b/>
        </w:rPr>
      </w:pPr>
    </w:p>
    <w:p w:rsidR="00E421D6" w:rsidRDefault="00DB4852">
      <w:r w:rsidRPr="005D3456">
        <w:rPr>
          <w:rFonts w:ascii="Arial" w:hAnsi="Arial" w:cs="Arial"/>
          <w:b/>
        </w:rPr>
        <w:t>Trust:</w:t>
      </w:r>
      <w:r w:rsidRPr="005D3456">
        <w:rPr>
          <w:rFonts w:ascii="Arial" w:hAnsi="Arial" w:cs="Arial"/>
        </w:rPr>
        <w:t xml:space="preserve"> that health decision makers strive to communicate in a timely and transparent manner to the public and</w:t>
      </w:r>
      <w:r>
        <w:rPr>
          <w:rFonts w:ascii="Arial" w:hAnsi="Arial" w:cs="Arial"/>
        </w:rPr>
        <w:t xml:space="preserve"> those within the health system</w:t>
      </w:r>
    </w:p>
    <w:sectPr w:rsidR="00E421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52" w:rsidRDefault="00DB4852" w:rsidP="00DB4852">
      <w:r>
        <w:separator/>
      </w:r>
    </w:p>
  </w:endnote>
  <w:endnote w:type="continuationSeparator" w:id="0">
    <w:p w:rsidR="00DB4852" w:rsidRDefault="00DB4852" w:rsidP="00DB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52" w:rsidRDefault="00DB4852" w:rsidP="00DB4852">
      <w:r>
        <w:separator/>
      </w:r>
    </w:p>
  </w:footnote>
  <w:footnote w:type="continuationSeparator" w:id="0">
    <w:p w:rsidR="00DB4852" w:rsidRDefault="00DB4852" w:rsidP="00DB4852">
      <w:r>
        <w:continuationSeparator/>
      </w:r>
    </w:p>
  </w:footnote>
  <w:footnote w:id="1">
    <w:p w:rsidR="00DB4852" w:rsidRDefault="00DB4852" w:rsidP="00DB4852">
      <w:pPr>
        <w:pStyle w:val="FootnoteText"/>
      </w:pPr>
      <w:r>
        <w:rPr>
          <w:rStyle w:val="FootnoteReference"/>
        </w:rPr>
        <w:footnoteRef/>
      </w:r>
      <w:r>
        <w:t xml:space="preserve"> Health Sector Plan; refer Section 2.6 </w:t>
      </w:r>
      <w:r w:rsidRPr="008E04F2">
        <w:t>https://www.health.gov.au/sites/default/files/documents/2020/02/australian-health-sector-emergency-response-plan-for-novel-coronavirus-covid-19_2.pdf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852" w:rsidRDefault="00DB4852" w:rsidP="00557C2B">
    <w:pPr>
      <w:pStyle w:val="Header"/>
      <w:rPr>
        <w:rFonts w:ascii="Arial" w:hAnsi="Arial" w:cs="Arial"/>
        <w:color w:val="FF0000"/>
        <w:sz w:val="28"/>
        <w:szCs w:val="28"/>
      </w:rPr>
    </w:pPr>
    <w:r>
      <w:rPr>
        <w:rFonts w:ascii="Arial" w:hAnsi="Arial" w:cs="Arial"/>
        <w:noProof/>
        <w:color w:val="007940"/>
      </w:rPr>
      <w:t>APPENDIX D: Summary of AHPPC ethical framework to guide health sector responses</w:t>
    </w:r>
  </w:p>
  <w:p w:rsidR="00DB4852" w:rsidRPr="00873EB0" w:rsidRDefault="00DB4852" w:rsidP="00557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26E3D"/>
    <w:multiLevelType w:val="multilevel"/>
    <w:tmpl w:val="6EAC5B28"/>
    <w:lvl w:ilvl="0">
      <w:start w:val="1"/>
      <w:numFmt w:val="decimal"/>
      <w:pStyle w:val="Heading1"/>
      <w:lvlText w:val="%1."/>
      <w:lvlJc w:val="left"/>
      <w:pPr>
        <w:ind w:left="999" w:hanging="432"/>
      </w:pPr>
      <w:rPr>
        <w:rFonts w:ascii="Arial" w:eastAsia="MS Gothic" w:hAnsi="Arial" w:cs="Arial"/>
        <w:b/>
        <w:i w:val="0"/>
      </w:rPr>
    </w:lvl>
    <w:lvl w:ilvl="1">
      <w:start w:val="1"/>
      <w:numFmt w:val="decimal"/>
      <w:pStyle w:val="Heading2"/>
      <w:lvlText w:val="%1.%2"/>
      <w:lvlJc w:val="left"/>
      <w:pPr>
        <w:ind w:left="1143" w:hanging="576"/>
      </w:pPr>
      <w:rPr>
        <w:rFonts w:hint="default"/>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1431" w:hanging="864"/>
      </w:pPr>
      <w:rPr>
        <w:rFonts w:hint="default"/>
      </w:rPr>
    </w:lvl>
    <w:lvl w:ilvl="4">
      <w:start w:val="1"/>
      <w:numFmt w:val="decimal"/>
      <w:pStyle w:val="Heading5"/>
      <w:lvlText w:val="%1.%2.%3.%4.%5"/>
      <w:lvlJc w:val="left"/>
      <w:pPr>
        <w:ind w:left="1575" w:hanging="1008"/>
      </w:pPr>
      <w:rPr>
        <w:rFonts w:hint="default"/>
      </w:rPr>
    </w:lvl>
    <w:lvl w:ilvl="5">
      <w:start w:val="1"/>
      <w:numFmt w:val="decimal"/>
      <w:pStyle w:val="Heading6"/>
      <w:lvlText w:val="%1.%2.%3.%4.%5.%6"/>
      <w:lvlJc w:val="left"/>
      <w:pPr>
        <w:ind w:left="1719" w:hanging="1152"/>
      </w:pPr>
      <w:rPr>
        <w:rFonts w:hint="default"/>
      </w:rPr>
    </w:lvl>
    <w:lvl w:ilvl="6">
      <w:start w:val="1"/>
      <w:numFmt w:val="decimal"/>
      <w:pStyle w:val="Heading7"/>
      <w:lvlText w:val="%1.%2.%3.%4.%5.%6.%7"/>
      <w:lvlJc w:val="left"/>
      <w:pPr>
        <w:ind w:left="1863" w:hanging="1296"/>
      </w:pPr>
      <w:rPr>
        <w:rFonts w:hint="default"/>
      </w:rPr>
    </w:lvl>
    <w:lvl w:ilvl="7">
      <w:start w:val="1"/>
      <w:numFmt w:val="decimal"/>
      <w:pStyle w:val="Heading8"/>
      <w:lvlText w:val="%1.%2.%3.%4.%5.%6.%7.%8"/>
      <w:lvlJc w:val="left"/>
      <w:pPr>
        <w:ind w:left="2007" w:hanging="1440"/>
      </w:pPr>
      <w:rPr>
        <w:rFonts w:hint="default"/>
      </w:rPr>
    </w:lvl>
    <w:lvl w:ilvl="8">
      <w:start w:val="1"/>
      <w:numFmt w:val="decimal"/>
      <w:pStyle w:val="Heading9"/>
      <w:lvlText w:val="%1.%2.%3.%4.%5.%6.%7.%8.%9"/>
      <w:lvlJc w:val="left"/>
      <w:pPr>
        <w:ind w:left="2151"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52"/>
    <w:rsid w:val="001856D8"/>
    <w:rsid w:val="00340708"/>
    <w:rsid w:val="004A46AA"/>
    <w:rsid w:val="00BA01D8"/>
    <w:rsid w:val="00DB4852"/>
    <w:rsid w:val="00E4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F8C8E-C9F7-484A-8987-61644ED2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4852"/>
    <w:pPr>
      <w:spacing w:after="0" w:line="240" w:lineRule="auto"/>
    </w:pPr>
    <w:rPr>
      <w:rFonts w:ascii="Cambria" w:eastAsia="Times New Roman" w:hAnsi="Cambria" w:cs="Times New Roman"/>
      <w:sz w:val="20"/>
      <w:szCs w:val="20"/>
    </w:rPr>
  </w:style>
  <w:style w:type="paragraph" w:styleId="Heading1">
    <w:name w:val="heading 1"/>
    <w:next w:val="Normal"/>
    <w:link w:val="Heading1Char"/>
    <w:uiPriority w:val="1"/>
    <w:qFormat/>
    <w:rsid w:val="00DB4852"/>
    <w:pPr>
      <w:keepNext/>
      <w:keepLines/>
      <w:numPr>
        <w:numId w:val="1"/>
      </w:numPr>
      <w:spacing w:before="360" w:after="240" w:line="260" w:lineRule="atLeast"/>
      <w:outlineLvl w:val="0"/>
    </w:pPr>
    <w:rPr>
      <w:rFonts w:ascii="Arial" w:eastAsia="MS Gothic" w:hAnsi="Arial" w:cs="Arial"/>
      <w:b/>
      <w:bCs/>
      <w:color w:val="007940"/>
      <w:kern w:val="32"/>
      <w:sz w:val="32"/>
      <w:szCs w:val="40"/>
    </w:rPr>
  </w:style>
  <w:style w:type="paragraph" w:styleId="Heading2">
    <w:name w:val="heading 2"/>
    <w:next w:val="Normal"/>
    <w:link w:val="Heading2Char"/>
    <w:uiPriority w:val="1"/>
    <w:qFormat/>
    <w:rsid w:val="00DB4852"/>
    <w:pPr>
      <w:keepNext/>
      <w:keepLines/>
      <w:numPr>
        <w:ilvl w:val="1"/>
        <w:numId w:val="1"/>
      </w:numPr>
      <w:spacing w:before="240" w:after="120" w:line="320" w:lineRule="atLeast"/>
      <w:outlineLvl w:val="1"/>
    </w:pPr>
    <w:rPr>
      <w:rFonts w:ascii="Arial" w:eastAsiaTheme="majorEastAsia" w:hAnsi="Arial" w:cstheme="majorBidi"/>
      <w:color w:val="007940"/>
      <w:sz w:val="28"/>
      <w:szCs w:val="28"/>
    </w:rPr>
  </w:style>
  <w:style w:type="paragraph" w:styleId="Heading3">
    <w:name w:val="heading 3"/>
    <w:next w:val="Normal"/>
    <w:link w:val="Heading3Char"/>
    <w:uiPriority w:val="1"/>
    <w:unhideWhenUsed/>
    <w:qFormat/>
    <w:rsid w:val="00DB4852"/>
    <w:pPr>
      <w:keepNext/>
      <w:keepLines/>
      <w:numPr>
        <w:ilvl w:val="2"/>
        <w:numId w:val="1"/>
      </w:numPr>
      <w:spacing w:before="280" w:after="120" w:line="200" w:lineRule="atLeast"/>
      <w:outlineLvl w:val="2"/>
    </w:pPr>
    <w:rPr>
      <w:rFonts w:ascii="Arial" w:eastAsia="MS Gothic" w:hAnsi="Arial" w:cstheme="majorBidi"/>
      <w:bCs/>
      <w:color w:val="007940"/>
      <w:sz w:val="24"/>
      <w:szCs w:val="26"/>
    </w:rPr>
  </w:style>
  <w:style w:type="paragraph" w:styleId="Heading4">
    <w:name w:val="heading 4"/>
    <w:next w:val="Normal"/>
    <w:link w:val="Heading4Char"/>
    <w:uiPriority w:val="1"/>
    <w:unhideWhenUsed/>
    <w:qFormat/>
    <w:rsid w:val="00DB4852"/>
    <w:pPr>
      <w:keepNext/>
      <w:keepLines/>
      <w:numPr>
        <w:ilvl w:val="3"/>
        <w:numId w:val="1"/>
      </w:numPr>
      <w:spacing w:before="240" w:after="120" w:line="240" w:lineRule="atLeast"/>
      <w:outlineLvl w:val="3"/>
    </w:pPr>
    <w:rPr>
      <w:rFonts w:ascii="Arial" w:eastAsia="MS Mincho" w:hAnsi="Arial" w:cstheme="majorBidi"/>
      <w:b/>
      <w:bCs/>
      <w:color w:val="007940"/>
      <w:szCs w:val="20"/>
    </w:rPr>
  </w:style>
  <w:style w:type="paragraph" w:styleId="Heading5">
    <w:name w:val="heading 5"/>
    <w:basedOn w:val="Normal"/>
    <w:next w:val="Normal"/>
    <w:link w:val="Heading5Char"/>
    <w:uiPriority w:val="9"/>
    <w:semiHidden/>
    <w:qFormat/>
    <w:rsid w:val="00DB4852"/>
    <w:pPr>
      <w:numPr>
        <w:ilvl w:val="4"/>
        <w:numId w:val="1"/>
      </w:numPr>
      <w:spacing w:before="240" w:after="60"/>
      <w:outlineLvl w:val="4"/>
    </w:pPr>
    <w:rPr>
      <w:rFonts w:ascii="Arial" w:eastAsia="MS Mincho" w:hAnsi="Arial" w:cstheme="majorBidi"/>
      <w:bCs/>
      <w:i/>
      <w:iCs/>
      <w:color w:val="9BBB59" w:themeColor="accent3"/>
      <w:sz w:val="22"/>
      <w:szCs w:val="26"/>
    </w:rPr>
  </w:style>
  <w:style w:type="paragraph" w:styleId="Heading6">
    <w:name w:val="heading 6"/>
    <w:basedOn w:val="Normal"/>
    <w:next w:val="Normal"/>
    <w:link w:val="Heading6Char"/>
    <w:uiPriority w:val="9"/>
    <w:unhideWhenUsed/>
    <w:qFormat/>
    <w:rsid w:val="00DB485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B485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B485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485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B4852"/>
    <w:rPr>
      <w:rFonts w:ascii="Arial" w:eastAsia="MS Gothic" w:hAnsi="Arial" w:cs="Arial"/>
      <w:b/>
      <w:bCs/>
      <w:color w:val="007940"/>
      <w:kern w:val="32"/>
      <w:sz w:val="32"/>
      <w:szCs w:val="40"/>
    </w:rPr>
  </w:style>
  <w:style w:type="character" w:customStyle="1" w:styleId="Heading2Char">
    <w:name w:val="Heading 2 Char"/>
    <w:basedOn w:val="DefaultParagraphFont"/>
    <w:link w:val="Heading2"/>
    <w:uiPriority w:val="1"/>
    <w:rsid w:val="00DB4852"/>
    <w:rPr>
      <w:rFonts w:ascii="Arial" w:eastAsiaTheme="majorEastAsia" w:hAnsi="Arial" w:cstheme="majorBidi"/>
      <w:color w:val="007940"/>
      <w:sz w:val="28"/>
      <w:szCs w:val="28"/>
    </w:rPr>
  </w:style>
  <w:style w:type="character" w:customStyle="1" w:styleId="Heading3Char">
    <w:name w:val="Heading 3 Char"/>
    <w:basedOn w:val="DefaultParagraphFont"/>
    <w:link w:val="Heading3"/>
    <w:uiPriority w:val="1"/>
    <w:rsid w:val="00DB4852"/>
    <w:rPr>
      <w:rFonts w:ascii="Arial" w:eastAsia="MS Gothic" w:hAnsi="Arial" w:cstheme="majorBidi"/>
      <w:bCs/>
      <w:color w:val="007940"/>
      <w:sz w:val="24"/>
      <w:szCs w:val="26"/>
    </w:rPr>
  </w:style>
  <w:style w:type="character" w:customStyle="1" w:styleId="Heading4Char">
    <w:name w:val="Heading 4 Char"/>
    <w:basedOn w:val="DefaultParagraphFont"/>
    <w:link w:val="Heading4"/>
    <w:uiPriority w:val="1"/>
    <w:rsid w:val="00DB4852"/>
    <w:rPr>
      <w:rFonts w:ascii="Arial" w:eastAsia="MS Mincho" w:hAnsi="Arial" w:cstheme="majorBidi"/>
      <w:b/>
      <w:bCs/>
      <w:color w:val="007940"/>
      <w:szCs w:val="20"/>
    </w:rPr>
  </w:style>
  <w:style w:type="character" w:customStyle="1" w:styleId="Heading5Char">
    <w:name w:val="Heading 5 Char"/>
    <w:basedOn w:val="DefaultParagraphFont"/>
    <w:link w:val="Heading5"/>
    <w:uiPriority w:val="9"/>
    <w:semiHidden/>
    <w:rsid w:val="00DB4852"/>
    <w:rPr>
      <w:rFonts w:ascii="Arial" w:eastAsia="MS Mincho" w:hAnsi="Arial" w:cstheme="majorBidi"/>
      <w:bCs/>
      <w:i/>
      <w:iCs/>
      <w:color w:val="9BBB59" w:themeColor="accent3"/>
      <w:szCs w:val="26"/>
    </w:rPr>
  </w:style>
  <w:style w:type="character" w:customStyle="1" w:styleId="Heading6Char">
    <w:name w:val="Heading 6 Char"/>
    <w:basedOn w:val="DefaultParagraphFont"/>
    <w:link w:val="Heading6"/>
    <w:uiPriority w:val="9"/>
    <w:rsid w:val="00DB4852"/>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rsid w:val="00DB4852"/>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rsid w:val="00DB48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4852"/>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qFormat/>
    <w:rsid w:val="00DB4852"/>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99"/>
    <w:qFormat/>
    <w:rsid w:val="00DB4852"/>
    <w:rPr>
      <w:rFonts w:ascii="Arial" w:eastAsia="MS Gothic" w:hAnsi="Arial" w:cs="Arial"/>
      <w:sz w:val="16"/>
      <w:szCs w:val="16"/>
    </w:rPr>
  </w:style>
  <w:style w:type="paragraph" w:styleId="Header">
    <w:name w:val="header"/>
    <w:basedOn w:val="Normal"/>
    <w:link w:val="HeaderChar"/>
    <w:uiPriority w:val="99"/>
    <w:unhideWhenUsed/>
    <w:rsid w:val="00DB4852"/>
    <w:pPr>
      <w:tabs>
        <w:tab w:val="center" w:pos="4513"/>
        <w:tab w:val="right" w:pos="9026"/>
      </w:tabs>
    </w:pPr>
  </w:style>
  <w:style w:type="character" w:customStyle="1" w:styleId="HeaderChar">
    <w:name w:val="Header Char"/>
    <w:basedOn w:val="DefaultParagraphFont"/>
    <w:link w:val="Header"/>
    <w:uiPriority w:val="99"/>
    <w:rsid w:val="00DB4852"/>
    <w:rPr>
      <w:rFonts w:ascii="Cambria" w:eastAsia="Times New Roman" w:hAnsi="Cambria" w:cs="Times New Roman"/>
      <w:sz w:val="20"/>
      <w:szCs w:val="20"/>
    </w:rPr>
  </w:style>
  <w:style w:type="character" w:styleId="FootnoteReference">
    <w:name w:val="footnote reference"/>
    <w:basedOn w:val="DefaultParagraphFont"/>
    <w:uiPriority w:val="99"/>
    <w:unhideWhenUsed/>
    <w:rsid w:val="00DB4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AHPPC ethical framework to guide health sector responses</dc:title>
  <dc:subject>Aged care</dc:subject>
  <dc:creator>Australian Government Department of Health</dc:creator>
  <cp:keywords>ethical framework</cp:keywords>
  <dc:description/>
  <cp:lastModifiedBy>MCCAY, Meryl</cp:lastModifiedBy>
  <cp:revision>4</cp:revision>
  <dcterms:created xsi:type="dcterms:W3CDTF">2020-11-27T03:52:00Z</dcterms:created>
  <dcterms:modified xsi:type="dcterms:W3CDTF">2020-11-27T04:48:00Z</dcterms:modified>
</cp:coreProperties>
</file>