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0625881"/>
        <w:docPartObj>
          <w:docPartGallery w:val="Cover Pages"/>
          <w:docPartUnique/>
        </w:docPartObj>
      </w:sdtPr>
      <w:sdtEndPr>
        <w:rPr>
          <w:sz w:val="6"/>
          <w:szCs w:val="6"/>
        </w:rPr>
      </w:sdtEndPr>
      <w:sdtContent>
        <w:tbl>
          <w:tblPr>
            <w:tblStyle w:val="TableGrid"/>
            <w:tblW w:w="10546" w:type="dxa"/>
            <w:tblLayout w:type="fixed"/>
            <w:tblLook w:val="04A0" w:firstRow="1" w:lastRow="0" w:firstColumn="1" w:lastColumn="0" w:noHBand="0" w:noVBand="1"/>
            <w:tblCaption w:val="Cover Page Table"/>
            <w:tblDescription w:val="Table displaying the cover page details - including the Deloitte and Department of Health Logos, the cover page image and the title of the report"/>
          </w:tblPr>
          <w:tblGrid>
            <w:gridCol w:w="10546"/>
          </w:tblGrid>
          <w:tr w:rsidR="00061444" w:rsidRPr="00264435" w:rsidTr="00BE60A6">
            <w:trPr>
              <w:cnfStyle w:val="100000000000" w:firstRow="1" w:lastRow="0" w:firstColumn="0" w:lastColumn="0" w:oddVBand="0" w:evenVBand="0" w:oddHBand="0" w:evenHBand="0" w:firstRowFirstColumn="0" w:firstRowLastColumn="0" w:lastRowFirstColumn="0" w:lastRowLastColumn="0"/>
              <w:trHeight w:hRule="exact" w:val="10773"/>
              <w:tblHeader/>
            </w:trPr>
            <w:tc>
              <w:tcPr>
                <w:tcW w:w="10546" w:type="dxa"/>
                <w:vAlign w:val="center"/>
              </w:tcPr>
              <w:p w:rsidR="00061444" w:rsidRPr="00264435" w:rsidRDefault="00D13580" w:rsidP="006D201F">
                <w:pPr>
                  <w:jc w:val="center"/>
                </w:pPr>
                <w:r w:rsidRPr="00264435">
                  <w:rPr>
                    <w:noProof/>
                    <w:lang w:eastAsia="en-AU"/>
                  </w:rPr>
                  <w:drawing>
                    <wp:anchor distT="0" distB="0" distL="114300" distR="114300" simplePos="0" relativeHeight="251722752" behindDoc="0" locked="0" layoutInCell="1" allowOverlap="1" wp14:anchorId="5621511F" wp14:editId="5731E44F">
                      <wp:simplePos x="0" y="0"/>
                      <wp:positionH relativeFrom="column">
                        <wp:posOffset>4791710</wp:posOffset>
                      </wp:positionH>
                      <wp:positionV relativeFrom="paragraph">
                        <wp:posOffset>-3815080</wp:posOffset>
                      </wp:positionV>
                      <wp:extent cx="1529080" cy="965835"/>
                      <wp:effectExtent l="0" t="0" r="0" b="5715"/>
                      <wp:wrapNone/>
                      <wp:docPr id="18434" name="Picture 2" descr="Image result for australian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descr="Image result for australian department of health"/>
                              <pic:cNvPicPr>
                                <a:picLocks noChangeAspect="1" noChangeArrowheads="1"/>
                              </pic:cNvPicPr>
                            </pic:nvPicPr>
                            <pic:blipFill rotWithShape="1">
                              <a:blip r:embed="rId9" cstate="screen">
                                <a:extLst>
                                  <a:ext uri="{28A0092B-C50C-407E-A947-70E740481C1C}">
                                    <a14:useLocalDpi xmlns:a14="http://schemas.microsoft.com/office/drawing/2010/main" val="0"/>
                                  </a:ext>
                                </a:extLst>
                              </a:blip>
                              <a:srcRect/>
                              <a:stretch/>
                            </pic:blipFill>
                            <pic:spPr bwMode="auto">
                              <a:xfrm>
                                <a:off x="0" y="0"/>
                                <a:ext cx="1529080" cy="965835"/>
                              </a:xfrm>
                              <a:prstGeom prst="rect">
                                <a:avLst/>
                              </a:prstGeom>
                              <a:noFill/>
                              <a:extLst/>
                            </pic:spPr>
                          </pic:pic>
                        </a:graphicData>
                      </a:graphic>
                      <wp14:sizeRelH relativeFrom="margin">
                        <wp14:pctWidth>0</wp14:pctWidth>
                      </wp14:sizeRelH>
                      <wp14:sizeRelV relativeFrom="margin">
                        <wp14:pctHeight>0</wp14:pctHeight>
                      </wp14:sizeRelV>
                    </wp:anchor>
                  </w:drawing>
                </w:r>
                <w:r w:rsidR="004B2356" w:rsidRPr="00264435">
                  <w:t>;</w:t>
                </w:r>
              </w:p>
            </w:tc>
          </w:tr>
        </w:tbl>
        <w:p w:rsidR="00061444" w:rsidRPr="00264435" w:rsidRDefault="00E43DC6" w:rsidP="003C4BE4">
          <w:pPr>
            <w:spacing w:after="0" w:line="240" w:lineRule="auto"/>
          </w:pPr>
          <w:r w:rsidRPr="00264435">
            <w:rPr>
              <w:noProof/>
              <w:lang w:eastAsia="en-AU"/>
            </w:rPr>
            <w:drawing>
              <wp:anchor distT="0" distB="0" distL="114300" distR="114300" simplePos="0" relativeHeight="251668480" behindDoc="0" locked="0" layoutInCell="1" allowOverlap="1" wp14:anchorId="32BD1014" wp14:editId="1A1E9C38">
                <wp:simplePos x="0" y="0"/>
                <wp:positionH relativeFrom="column">
                  <wp:posOffset>-485775</wp:posOffset>
                </wp:positionH>
                <wp:positionV relativeFrom="paragraph">
                  <wp:posOffset>-6736080</wp:posOffset>
                </wp:positionV>
                <wp:extent cx="6696075" cy="6696075"/>
                <wp:effectExtent l="0" t="0" r="9525" b="9525"/>
                <wp:wrapNone/>
                <wp:docPr id="20" name="Picture 20" descr="This is the title page image which has paint rollers the colour of the rainbow drawing paint to create a circlular image&#10;" title="Title Page Picture of Paint 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cook\Documents\08 - Templates\Images\Circular white\D37Y5E.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696075" cy="669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444" w:rsidRPr="00264435">
            <w:rPr>
              <w:noProof/>
              <w:lang w:eastAsia="en-AU"/>
            </w:rPr>
            <w:drawing>
              <wp:anchor distT="0" distB="0" distL="114300" distR="114300" simplePos="0" relativeHeight="251667456" behindDoc="0" locked="1" layoutInCell="1" allowOverlap="1" wp14:anchorId="235BD8BA" wp14:editId="15961CE2">
                <wp:simplePos x="0" y="0"/>
                <wp:positionH relativeFrom="page">
                  <wp:posOffset>431800</wp:posOffset>
                </wp:positionH>
                <wp:positionV relativeFrom="page">
                  <wp:posOffset>591185</wp:posOffset>
                </wp:positionV>
                <wp:extent cx="1831975" cy="345440"/>
                <wp:effectExtent l="0" t="0" r="0" b="0"/>
                <wp:wrapNone/>
                <wp:docPr id="9" name="Picture 9" descr="This is an image of the Deloitte logo which is simply the company name displayed in thick stylised lettering&#10;" title="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anchor>
            </w:drawing>
          </w:r>
        </w:p>
        <w:tbl>
          <w:tblPr>
            <w:tblStyle w:val="TableGrid"/>
            <w:tblW w:w="8364" w:type="dxa"/>
            <w:tblInd w:w="-709" w:type="dxa"/>
            <w:tblLayout w:type="fixed"/>
            <w:tblLook w:val="04A0" w:firstRow="1" w:lastRow="0" w:firstColumn="1" w:lastColumn="0" w:noHBand="0" w:noVBand="1"/>
            <w:tblCaption w:val="Table displaying title of the report"/>
            <w:tblDescription w:val="This table includes information on the report stating that it is for the Department of Health. The final report was completed May 2017 and is titled Review of the National Mental Health Commission"/>
          </w:tblPr>
          <w:tblGrid>
            <w:gridCol w:w="8364"/>
          </w:tblGrid>
          <w:tr w:rsidR="00061444" w:rsidRPr="00264435" w:rsidTr="00BE60A6">
            <w:trPr>
              <w:cnfStyle w:val="100000000000" w:firstRow="1" w:lastRow="0" w:firstColumn="0" w:lastColumn="0" w:oddVBand="0" w:evenVBand="0" w:oddHBand="0" w:evenHBand="0" w:firstRowFirstColumn="0" w:firstRowLastColumn="0" w:lastRowFirstColumn="0" w:lastRowLastColumn="0"/>
              <w:trHeight w:hRule="exact" w:val="2835"/>
              <w:tblHeader/>
            </w:trPr>
            <w:tc>
              <w:tcPr>
                <w:tcW w:w="8364" w:type="dxa"/>
                <w:vAlign w:val="bottom"/>
              </w:tcPr>
              <w:p w:rsidR="00061444" w:rsidRPr="00264435" w:rsidRDefault="008A3282" w:rsidP="003C4BE4">
                <w:pPr>
                  <w:pStyle w:val="Documenttitle"/>
                  <w:rPr>
                    <w:rFonts w:asciiTheme="minorHAnsi" w:hAnsiTheme="minorHAnsi"/>
                  </w:rPr>
                </w:pPr>
                <w:r w:rsidRPr="00264435">
                  <w:rPr>
                    <w:rFonts w:asciiTheme="minorHAnsi" w:hAnsiTheme="minorHAnsi"/>
                  </w:rPr>
                  <w:t>Department of Health</w:t>
                </w:r>
              </w:p>
              <w:p w:rsidR="00061444" w:rsidRPr="00264435" w:rsidRDefault="008A3282" w:rsidP="003C4BE4">
                <w:pPr>
                  <w:pStyle w:val="Documentsubtitle"/>
                </w:pPr>
                <w:bookmarkStart w:id="0" w:name="_GoBack"/>
                <w:r w:rsidRPr="00264435">
                  <w:t>Review of the National Mental Health Commission</w:t>
                </w:r>
              </w:p>
              <w:bookmarkEnd w:id="0"/>
              <w:p w:rsidR="00061444" w:rsidRPr="00264435" w:rsidRDefault="00E43DC6" w:rsidP="00E43DC6">
                <w:pPr>
                  <w:pStyle w:val="Documentdate"/>
                </w:pPr>
                <w:r w:rsidRPr="00264435">
                  <w:t>Final Report | May</w:t>
                </w:r>
                <w:r w:rsidR="008A3282" w:rsidRPr="00264435">
                  <w:t xml:space="preserve"> 2017</w:t>
                </w:r>
              </w:p>
            </w:tc>
          </w:tr>
        </w:tbl>
        <w:p w:rsidR="00061444" w:rsidRPr="00264435" w:rsidRDefault="00061444">
          <w:pPr>
            <w:spacing w:after="200" w:line="276" w:lineRule="auto"/>
            <w:rPr>
              <w:sz w:val="6"/>
              <w:szCs w:val="6"/>
            </w:rPr>
          </w:pPr>
          <w:r w:rsidRPr="00264435">
            <w:rPr>
              <w:sz w:val="6"/>
              <w:szCs w:val="6"/>
            </w:rPr>
            <w:br w:type="page"/>
          </w:r>
        </w:p>
      </w:sdtContent>
    </w:sdt>
    <w:p w:rsidR="00212852" w:rsidRPr="00264435" w:rsidRDefault="00F6769E" w:rsidP="00B20E03">
      <w:pPr>
        <w:pStyle w:val="Sectiontitle"/>
      </w:pPr>
      <w:r w:rsidRPr="00264435">
        <w:lastRenderedPageBreak/>
        <w:t>Table of Contents</w:t>
      </w:r>
    </w:p>
    <w:sdt>
      <w:sdtPr>
        <w:rPr>
          <w:rFonts w:asciiTheme="minorHAnsi" w:eastAsiaTheme="minorHAnsi" w:hAnsiTheme="minorHAnsi" w:cstheme="minorBidi"/>
          <w:b w:val="0"/>
          <w:bCs w:val="0"/>
          <w:color w:val="auto"/>
          <w:sz w:val="18"/>
          <w:szCs w:val="22"/>
          <w:lang w:eastAsia="en-US"/>
        </w:rPr>
        <w:id w:val="1075867473"/>
        <w:docPartObj>
          <w:docPartGallery w:val="Table of Contents"/>
          <w:docPartUnique/>
        </w:docPartObj>
      </w:sdtPr>
      <w:sdtEndPr>
        <w:rPr>
          <w:noProof/>
        </w:rPr>
      </w:sdtEndPr>
      <w:sdtContent>
        <w:p w:rsidR="00F6769E" w:rsidRPr="00264435" w:rsidRDefault="00F6769E">
          <w:pPr>
            <w:pStyle w:val="TOCHeading"/>
            <w:rPr>
              <w:rFonts w:asciiTheme="minorHAnsi" w:hAnsiTheme="minorHAnsi"/>
            </w:rPr>
          </w:pPr>
        </w:p>
        <w:p w:rsidR="007E3100" w:rsidRDefault="00203566">
          <w:pPr>
            <w:pStyle w:val="TOC1"/>
            <w:rPr>
              <w:rFonts w:eastAsiaTheme="minorEastAsia"/>
              <w:b w:val="0"/>
              <w:sz w:val="22"/>
              <w:lang w:eastAsia="en-AU"/>
            </w:rPr>
          </w:pPr>
          <w:r w:rsidRPr="007C20F8">
            <w:fldChar w:fldCharType="begin"/>
          </w:r>
          <w:r w:rsidR="00F6769E" w:rsidRPr="007C20F8">
            <w:instrText xml:space="preserve"> TOC \o "1-3" \h \z \u </w:instrText>
          </w:r>
          <w:r w:rsidRPr="007C20F8">
            <w:fldChar w:fldCharType="separate"/>
          </w:r>
          <w:hyperlink w:anchor="_Toc482809619" w:history="1">
            <w:r w:rsidR="007E3100" w:rsidRPr="00C4657D">
              <w:rPr>
                <w:rStyle w:val="Hyperlink"/>
              </w:rPr>
              <w:t>Executive Summary</w:t>
            </w:r>
            <w:r w:rsidR="007E3100">
              <w:rPr>
                <w:webHidden/>
              </w:rPr>
              <w:tab/>
            </w:r>
            <w:r>
              <w:rPr>
                <w:webHidden/>
              </w:rPr>
              <w:fldChar w:fldCharType="begin"/>
            </w:r>
            <w:r w:rsidR="007E3100">
              <w:rPr>
                <w:webHidden/>
              </w:rPr>
              <w:instrText xml:space="preserve"> PAGEREF _Toc482809619 \h </w:instrText>
            </w:r>
            <w:r>
              <w:rPr>
                <w:webHidden/>
              </w:rPr>
            </w:r>
            <w:r>
              <w:rPr>
                <w:webHidden/>
              </w:rPr>
              <w:fldChar w:fldCharType="separate"/>
            </w:r>
            <w:r w:rsidR="00225509">
              <w:rPr>
                <w:webHidden/>
              </w:rPr>
              <w:t>2</w:t>
            </w:r>
            <w:r>
              <w:rPr>
                <w:webHidden/>
              </w:rPr>
              <w:fldChar w:fldCharType="end"/>
            </w:r>
          </w:hyperlink>
        </w:p>
        <w:p w:rsidR="007E3100" w:rsidRDefault="00F916D6">
          <w:pPr>
            <w:pStyle w:val="TOC1"/>
            <w:rPr>
              <w:rFonts w:eastAsiaTheme="minorEastAsia"/>
              <w:b w:val="0"/>
              <w:sz w:val="22"/>
              <w:lang w:eastAsia="en-AU"/>
            </w:rPr>
          </w:pPr>
          <w:hyperlink w:anchor="_Toc482809620" w:history="1">
            <w:r w:rsidR="007E3100" w:rsidRPr="00C4657D">
              <w:rPr>
                <w:rStyle w:val="Hyperlink"/>
              </w:rPr>
              <w:t>1. Role, Functions &amp; Scope</w:t>
            </w:r>
            <w:r w:rsidR="007E3100">
              <w:rPr>
                <w:webHidden/>
              </w:rPr>
              <w:tab/>
            </w:r>
            <w:r w:rsidR="00203566">
              <w:rPr>
                <w:webHidden/>
              </w:rPr>
              <w:fldChar w:fldCharType="begin"/>
            </w:r>
            <w:r w:rsidR="007E3100">
              <w:rPr>
                <w:webHidden/>
              </w:rPr>
              <w:instrText xml:space="preserve"> PAGEREF _Toc482809620 \h </w:instrText>
            </w:r>
            <w:r w:rsidR="00203566">
              <w:rPr>
                <w:webHidden/>
              </w:rPr>
            </w:r>
            <w:r w:rsidR="00203566">
              <w:rPr>
                <w:webHidden/>
              </w:rPr>
              <w:fldChar w:fldCharType="separate"/>
            </w:r>
            <w:r w:rsidR="00225509">
              <w:rPr>
                <w:webHidden/>
              </w:rPr>
              <w:t>6</w:t>
            </w:r>
            <w:r w:rsidR="00203566">
              <w:rPr>
                <w:webHidden/>
              </w:rPr>
              <w:fldChar w:fldCharType="end"/>
            </w:r>
          </w:hyperlink>
        </w:p>
        <w:p w:rsidR="007E3100" w:rsidRDefault="00F916D6">
          <w:pPr>
            <w:pStyle w:val="TOC3"/>
            <w:tabs>
              <w:tab w:val="right" w:pos="9016"/>
            </w:tabs>
            <w:rPr>
              <w:rFonts w:eastAsiaTheme="minorEastAsia"/>
              <w:noProof/>
              <w:sz w:val="22"/>
              <w:lang w:eastAsia="en-AU"/>
            </w:rPr>
          </w:pPr>
          <w:hyperlink w:anchor="_Toc482809621" w:history="1">
            <w:r w:rsidR="007E3100" w:rsidRPr="00C4657D">
              <w:rPr>
                <w:rStyle w:val="Hyperlink"/>
                <w:b/>
                <w:noProof/>
              </w:rPr>
              <w:t>A. Role and Functions</w:t>
            </w:r>
            <w:r w:rsidR="007E3100">
              <w:rPr>
                <w:noProof/>
                <w:webHidden/>
              </w:rPr>
              <w:tab/>
            </w:r>
            <w:r w:rsidR="00203566">
              <w:rPr>
                <w:noProof/>
                <w:webHidden/>
              </w:rPr>
              <w:fldChar w:fldCharType="begin"/>
            </w:r>
            <w:r w:rsidR="007E3100">
              <w:rPr>
                <w:noProof/>
                <w:webHidden/>
              </w:rPr>
              <w:instrText xml:space="preserve"> PAGEREF _Toc482809621 \h </w:instrText>
            </w:r>
            <w:r w:rsidR="00203566">
              <w:rPr>
                <w:noProof/>
                <w:webHidden/>
              </w:rPr>
            </w:r>
            <w:r w:rsidR="00203566">
              <w:rPr>
                <w:noProof/>
                <w:webHidden/>
              </w:rPr>
              <w:fldChar w:fldCharType="separate"/>
            </w:r>
            <w:r w:rsidR="00225509">
              <w:rPr>
                <w:noProof/>
                <w:webHidden/>
              </w:rPr>
              <w:t>6</w:t>
            </w:r>
            <w:r w:rsidR="00203566">
              <w:rPr>
                <w:noProof/>
                <w:webHidden/>
              </w:rPr>
              <w:fldChar w:fldCharType="end"/>
            </w:r>
          </w:hyperlink>
        </w:p>
        <w:p w:rsidR="007E3100" w:rsidRDefault="00F916D6">
          <w:pPr>
            <w:pStyle w:val="TOC3"/>
            <w:tabs>
              <w:tab w:val="right" w:pos="9016"/>
            </w:tabs>
            <w:rPr>
              <w:rFonts w:eastAsiaTheme="minorEastAsia"/>
              <w:noProof/>
              <w:sz w:val="22"/>
              <w:lang w:eastAsia="en-AU"/>
            </w:rPr>
          </w:pPr>
          <w:hyperlink w:anchor="_Toc482809622" w:history="1">
            <w:r w:rsidR="007E3100" w:rsidRPr="00C4657D">
              <w:rPr>
                <w:rStyle w:val="Hyperlink"/>
                <w:b/>
                <w:noProof/>
              </w:rPr>
              <w:t>B. Scope</w:t>
            </w:r>
            <w:r w:rsidR="007E3100">
              <w:rPr>
                <w:noProof/>
                <w:webHidden/>
              </w:rPr>
              <w:tab/>
            </w:r>
            <w:r w:rsidR="00203566">
              <w:rPr>
                <w:noProof/>
                <w:webHidden/>
              </w:rPr>
              <w:fldChar w:fldCharType="begin"/>
            </w:r>
            <w:r w:rsidR="007E3100">
              <w:rPr>
                <w:noProof/>
                <w:webHidden/>
              </w:rPr>
              <w:instrText xml:space="preserve"> PAGEREF _Toc482809622 \h </w:instrText>
            </w:r>
            <w:r w:rsidR="00203566">
              <w:rPr>
                <w:noProof/>
                <w:webHidden/>
              </w:rPr>
            </w:r>
            <w:r w:rsidR="00203566">
              <w:rPr>
                <w:noProof/>
                <w:webHidden/>
              </w:rPr>
              <w:fldChar w:fldCharType="separate"/>
            </w:r>
            <w:r w:rsidR="00225509">
              <w:rPr>
                <w:noProof/>
                <w:webHidden/>
              </w:rPr>
              <w:t>9</w:t>
            </w:r>
            <w:r w:rsidR="00203566">
              <w:rPr>
                <w:noProof/>
                <w:webHidden/>
              </w:rPr>
              <w:fldChar w:fldCharType="end"/>
            </w:r>
          </w:hyperlink>
        </w:p>
        <w:p w:rsidR="007E3100" w:rsidRDefault="00F916D6">
          <w:pPr>
            <w:pStyle w:val="TOC1"/>
            <w:rPr>
              <w:rFonts w:eastAsiaTheme="minorEastAsia"/>
              <w:b w:val="0"/>
              <w:sz w:val="22"/>
              <w:lang w:eastAsia="en-AU"/>
            </w:rPr>
          </w:pPr>
          <w:hyperlink w:anchor="_Toc482809623" w:history="1">
            <w:r w:rsidR="007E3100" w:rsidRPr="00C4657D">
              <w:rPr>
                <w:rStyle w:val="Hyperlink"/>
              </w:rPr>
              <w:t>2. Capability and Capacity</w:t>
            </w:r>
            <w:r w:rsidR="007E3100">
              <w:rPr>
                <w:webHidden/>
              </w:rPr>
              <w:tab/>
            </w:r>
            <w:r w:rsidR="00203566">
              <w:rPr>
                <w:webHidden/>
              </w:rPr>
              <w:fldChar w:fldCharType="begin"/>
            </w:r>
            <w:r w:rsidR="007E3100">
              <w:rPr>
                <w:webHidden/>
              </w:rPr>
              <w:instrText xml:space="preserve"> PAGEREF _Toc482809623 \h </w:instrText>
            </w:r>
            <w:r w:rsidR="00203566">
              <w:rPr>
                <w:webHidden/>
              </w:rPr>
            </w:r>
            <w:r w:rsidR="00203566">
              <w:rPr>
                <w:webHidden/>
              </w:rPr>
              <w:fldChar w:fldCharType="separate"/>
            </w:r>
            <w:r w:rsidR="00225509">
              <w:rPr>
                <w:webHidden/>
              </w:rPr>
              <w:t>12</w:t>
            </w:r>
            <w:r w:rsidR="00203566">
              <w:rPr>
                <w:webHidden/>
              </w:rPr>
              <w:fldChar w:fldCharType="end"/>
            </w:r>
          </w:hyperlink>
        </w:p>
        <w:p w:rsidR="007E3100" w:rsidRDefault="00F916D6">
          <w:pPr>
            <w:pStyle w:val="TOC3"/>
            <w:tabs>
              <w:tab w:val="right" w:pos="9016"/>
            </w:tabs>
            <w:rPr>
              <w:rFonts w:eastAsiaTheme="minorEastAsia"/>
              <w:noProof/>
              <w:sz w:val="22"/>
              <w:lang w:eastAsia="en-AU"/>
            </w:rPr>
          </w:pPr>
          <w:hyperlink w:anchor="_Toc482809624" w:history="1">
            <w:r w:rsidR="007E3100" w:rsidRPr="00C4657D">
              <w:rPr>
                <w:rStyle w:val="Hyperlink"/>
                <w:b/>
                <w:noProof/>
              </w:rPr>
              <w:t>A. Current Capacity and Capability</w:t>
            </w:r>
            <w:r w:rsidR="007E3100">
              <w:rPr>
                <w:noProof/>
                <w:webHidden/>
              </w:rPr>
              <w:tab/>
            </w:r>
            <w:r w:rsidR="00203566">
              <w:rPr>
                <w:noProof/>
                <w:webHidden/>
              </w:rPr>
              <w:fldChar w:fldCharType="begin"/>
            </w:r>
            <w:r w:rsidR="007E3100">
              <w:rPr>
                <w:noProof/>
                <w:webHidden/>
              </w:rPr>
              <w:instrText xml:space="preserve"> PAGEREF _Toc482809624 \h </w:instrText>
            </w:r>
            <w:r w:rsidR="00203566">
              <w:rPr>
                <w:noProof/>
                <w:webHidden/>
              </w:rPr>
            </w:r>
            <w:r w:rsidR="00203566">
              <w:rPr>
                <w:noProof/>
                <w:webHidden/>
              </w:rPr>
              <w:fldChar w:fldCharType="separate"/>
            </w:r>
            <w:r w:rsidR="00225509">
              <w:rPr>
                <w:noProof/>
                <w:webHidden/>
              </w:rPr>
              <w:t>12</w:t>
            </w:r>
            <w:r w:rsidR="00203566">
              <w:rPr>
                <w:noProof/>
                <w:webHidden/>
              </w:rPr>
              <w:fldChar w:fldCharType="end"/>
            </w:r>
          </w:hyperlink>
        </w:p>
        <w:p w:rsidR="007E3100" w:rsidRDefault="00F916D6">
          <w:pPr>
            <w:pStyle w:val="TOC3"/>
            <w:tabs>
              <w:tab w:val="right" w:pos="9016"/>
            </w:tabs>
            <w:rPr>
              <w:rFonts w:eastAsiaTheme="minorEastAsia"/>
              <w:noProof/>
              <w:sz w:val="22"/>
              <w:lang w:eastAsia="en-AU"/>
            </w:rPr>
          </w:pPr>
          <w:hyperlink w:anchor="_Toc482809625" w:history="1">
            <w:r w:rsidR="007E3100" w:rsidRPr="00C4657D">
              <w:rPr>
                <w:rStyle w:val="Hyperlink"/>
                <w:b/>
                <w:noProof/>
              </w:rPr>
              <w:t>B. Additional capacity and capability is required</w:t>
            </w:r>
            <w:r w:rsidR="007E3100">
              <w:rPr>
                <w:noProof/>
                <w:webHidden/>
              </w:rPr>
              <w:tab/>
            </w:r>
            <w:r w:rsidR="00203566">
              <w:rPr>
                <w:noProof/>
                <w:webHidden/>
              </w:rPr>
              <w:fldChar w:fldCharType="begin"/>
            </w:r>
            <w:r w:rsidR="007E3100">
              <w:rPr>
                <w:noProof/>
                <w:webHidden/>
              </w:rPr>
              <w:instrText xml:space="preserve"> PAGEREF _Toc482809625 \h </w:instrText>
            </w:r>
            <w:r w:rsidR="00203566">
              <w:rPr>
                <w:noProof/>
                <w:webHidden/>
              </w:rPr>
            </w:r>
            <w:r w:rsidR="00203566">
              <w:rPr>
                <w:noProof/>
                <w:webHidden/>
              </w:rPr>
              <w:fldChar w:fldCharType="separate"/>
            </w:r>
            <w:r w:rsidR="00225509">
              <w:rPr>
                <w:noProof/>
                <w:webHidden/>
              </w:rPr>
              <w:t>13</w:t>
            </w:r>
            <w:r w:rsidR="00203566">
              <w:rPr>
                <w:noProof/>
                <w:webHidden/>
              </w:rPr>
              <w:fldChar w:fldCharType="end"/>
            </w:r>
          </w:hyperlink>
        </w:p>
        <w:p w:rsidR="007E3100" w:rsidRDefault="00F916D6">
          <w:pPr>
            <w:pStyle w:val="TOC1"/>
            <w:rPr>
              <w:rFonts w:eastAsiaTheme="minorEastAsia"/>
              <w:b w:val="0"/>
              <w:sz w:val="22"/>
              <w:lang w:eastAsia="en-AU"/>
            </w:rPr>
          </w:pPr>
          <w:hyperlink w:anchor="_Toc482809626" w:history="1">
            <w:r w:rsidR="007E3100" w:rsidRPr="00C4657D">
              <w:rPr>
                <w:rStyle w:val="Hyperlink"/>
              </w:rPr>
              <w:t>3. Governance</w:t>
            </w:r>
            <w:r w:rsidR="007E3100">
              <w:rPr>
                <w:webHidden/>
              </w:rPr>
              <w:tab/>
            </w:r>
            <w:r w:rsidR="00203566">
              <w:rPr>
                <w:webHidden/>
              </w:rPr>
              <w:fldChar w:fldCharType="begin"/>
            </w:r>
            <w:r w:rsidR="007E3100">
              <w:rPr>
                <w:webHidden/>
              </w:rPr>
              <w:instrText xml:space="preserve"> PAGEREF _Toc482809626 \h </w:instrText>
            </w:r>
            <w:r w:rsidR="00203566">
              <w:rPr>
                <w:webHidden/>
              </w:rPr>
            </w:r>
            <w:r w:rsidR="00203566">
              <w:rPr>
                <w:webHidden/>
              </w:rPr>
              <w:fldChar w:fldCharType="separate"/>
            </w:r>
            <w:r w:rsidR="00225509">
              <w:rPr>
                <w:webHidden/>
              </w:rPr>
              <w:t>16</w:t>
            </w:r>
            <w:r w:rsidR="00203566">
              <w:rPr>
                <w:webHidden/>
              </w:rPr>
              <w:fldChar w:fldCharType="end"/>
            </w:r>
          </w:hyperlink>
        </w:p>
        <w:p w:rsidR="007E3100" w:rsidRDefault="00F916D6">
          <w:pPr>
            <w:pStyle w:val="TOC3"/>
            <w:tabs>
              <w:tab w:val="left" w:pos="880"/>
              <w:tab w:val="right" w:pos="9016"/>
            </w:tabs>
            <w:rPr>
              <w:rFonts w:eastAsiaTheme="minorEastAsia"/>
              <w:noProof/>
              <w:sz w:val="22"/>
              <w:lang w:eastAsia="en-AU"/>
            </w:rPr>
          </w:pPr>
          <w:hyperlink w:anchor="_Toc482809627" w:history="1">
            <w:r w:rsidR="007E3100" w:rsidRPr="00C4657D">
              <w:rPr>
                <w:rStyle w:val="Hyperlink"/>
                <w:b/>
                <w:noProof/>
              </w:rPr>
              <w:t>A.</w:t>
            </w:r>
            <w:r w:rsidR="007E3100">
              <w:rPr>
                <w:rFonts w:eastAsiaTheme="minorEastAsia"/>
                <w:noProof/>
                <w:sz w:val="22"/>
                <w:lang w:eastAsia="en-AU"/>
              </w:rPr>
              <w:tab/>
            </w:r>
            <w:r w:rsidR="007E3100" w:rsidRPr="00C4657D">
              <w:rPr>
                <w:rStyle w:val="Hyperlink"/>
                <w:b/>
                <w:noProof/>
              </w:rPr>
              <w:t>Current institutional form</w:t>
            </w:r>
            <w:r w:rsidR="007E3100">
              <w:rPr>
                <w:noProof/>
                <w:webHidden/>
              </w:rPr>
              <w:tab/>
            </w:r>
            <w:r w:rsidR="00203566">
              <w:rPr>
                <w:noProof/>
                <w:webHidden/>
              </w:rPr>
              <w:fldChar w:fldCharType="begin"/>
            </w:r>
            <w:r w:rsidR="007E3100">
              <w:rPr>
                <w:noProof/>
                <w:webHidden/>
              </w:rPr>
              <w:instrText xml:space="preserve"> PAGEREF _Toc482809627 \h </w:instrText>
            </w:r>
            <w:r w:rsidR="00203566">
              <w:rPr>
                <w:noProof/>
                <w:webHidden/>
              </w:rPr>
            </w:r>
            <w:r w:rsidR="00203566">
              <w:rPr>
                <w:noProof/>
                <w:webHidden/>
              </w:rPr>
              <w:fldChar w:fldCharType="separate"/>
            </w:r>
            <w:r w:rsidR="00225509">
              <w:rPr>
                <w:noProof/>
                <w:webHidden/>
              </w:rPr>
              <w:t>16</w:t>
            </w:r>
            <w:r w:rsidR="00203566">
              <w:rPr>
                <w:noProof/>
                <w:webHidden/>
              </w:rPr>
              <w:fldChar w:fldCharType="end"/>
            </w:r>
          </w:hyperlink>
        </w:p>
        <w:p w:rsidR="007E3100" w:rsidRDefault="00F916D6">
          <w:pPr>
            <w:pStyle w:val="TOC3"/>
            <w:tabs>
              <w:tab w:val="left" w:pos="880"/>
              <w:tab w:val="right" w:pos="9016"/>
            </w:tabs>
            <w:rPr>
              <w:rFonts w:eastAsiaTheme="minorEastAsia"/>
              <w:noProof/>
              <w:sz w:val="22"/>
              <w:lang w:eastAsia="en-AU"/>
            </w:rPr>
          </w:pPr>
          <w:hyperlink w:anchor="_Toc482809628" w:history="1">
            <w:r w:rsidR="007E3100" w:rsidRPr="00C4657D">
              <w:rPr>
                <w:rStyle w:val="Hyperlink"/>
                <w:b/>
                <w:noProof/>
              </w:rPr>
              <w:t>B.</w:t>
            </w:r>
            <w:r w:rsidR="007E3100">
              <w:rPr>
                <w:rFonts w:eastAsiaTheme="minorEastAsia"/>
                <w:noProof/>
                <w:sz w:val="22"/>
                <w:lang w:eastAsia="en-AU"/>
              </w:rPr>
              <w:tab/>
            </w:r>
            <w:r w:rsidR="007E3100" w:rsidRPr="00C4657D">
              <w:rPr>
                <w:rStyle w:val="Hyperlink"/>
                <w:b/>
                <w:noProof/>
              </w:rPr>
              <w:t>Independence of the NMHC</w:t>
            </w:r>
            <w:r w:rsidR="007E3100">
              <w:rPr>
                <w:noProof/>
                <w:webHidden/>
              </w:rPr>
              <w:tab/>
            </w:r>
            <w:r w:rsidR="00203566">
              <w:rPr>
                <w:noProof/>
                <w:webHidden/>
              </w:rPr>
              <w:fldChar w:fldCharType="begin"/>
            </w:r>
            <w:r w:rsidR="007E3100">
              <w:rPr>
                <w:noProof/>
                <w:webHidden/>
              </w:rPr>
              <w:instrText xml:space="preserve"> PAGEREF _Toc482809628 \h </w:instrText>
            </w:r>
            <w:r w:rsidR="00203566">
              <w:rPr>
                <w:noProof/>
                <w:webHidden/>
              </w:rPr>
            </w:r>
            <w:r w:rsidR="00203566">
              <w:rPr>
                <w:noProof/>
                <w:webHidden/>
              </w:rPr>
              <w:fldChar w:fldCharType="separate"/>
            </w:r>
            <w:r w:rsidR="00225509">
              <w:rPr>
                <w:noProof/>
                <w:webHidden/>
              </w:rPr>
              <w:t>17</w:t>
            </w:r>
            <w:r w:rsidR="00203566">
              <w:rPr>
                <w:noProof/>
                <w:webHidden/>
              </w:rPr>
              <w:fldChar w:fldCharType="end"/>
            </w:r>
          </w:hyperlink>
        </w:p>
        <w:p w:rsidR="007E3100" w:rsidRDefault="00F916D6">
          <w:pPr>
            <w:pStyle w:val="TOC3"/>
            <w:tabs>
              <w:tab w:val="left" w:pos="880"/>
              <w:tab w:val="right" w:pos="9016"/>
            </w:tabs>
            <w:rPr>
              <w:rFonts w:eastAsiaTheme="minorEastAsia"/>
              <w:noProof/>
              <w:sz w:val="22"/>
              <w:lang w:eastAsia="en-AU"/>
            </w:rPr>
          </w:pPr>
          <w:hyperlink w:anchor="_Toc482809629" w:history="1">
            <w:r w:rsidR="007E3100" w:rsidRPr="00C4657D">
              <w:rPr>
                <w:rStyle w:val="Hyperlink"/>
                <w:b/>
                <w:noProof/>
              </w:rPr>
              <w:t>C.</w:t>
            </w:r>
            <w:r w:rsidR="007E3100">
              <w:rPr>
                <w:rFonts w:eastAsiaTheme="minorEastAsia"/>
                <w:noProof/>
                <w:sz w:val="22"/>
                <w:lang w:eastAsia="en-AU"/>
              </w:rPr>
              <w:tab/>
            </w:r>
            <w:r w:rsidR="007E3100" w:rsidRPr="00C4657D">
              <w:rPr>
                <w:rStyle w:val="Hyperlink"/>
                <w:b/>
                <w:noProof/>
              </w:rPr>
              <w:t>CEO and Commissioner Roles and Responsibilities</w:t>
            </w:r>
            <w:r w:rsidR="007E3100">
              <w:rPr>
                <w:noProof/>
                <w:webHidden/>
              </w:rPr>
              <w:tab/>
            </w:r>
            <w:r w:rsidR="00203566">
              <w:rPr>
                <w:noProof/>
                <w:webHidden/>
              </w:rPr>
              <w:fldChar w:fldCharType="begin"/>
            </w:r>
            <w:r w:rsidR="007E3100">
              <w:rPr>
                <w:noProof/>
                <w:webHidden/>
              </w:rPr>
              <w:instrText xml:space="preserve"> PAGEREF _Toc482809629 \h </w:instrText>
            </w:r>
            <w:r w:rsidR="00203566">
              <w:rPr>
                <w:noProof/>
                <w:webHidden/>
              </w:rPr>
            </w:r>
            <w:r w:rsidR="00203566">
              <w:rPr>
                <w:noProof/>
                <w:webHidden/>
              </w:rPr>
              <w:fldChar w:fldCharType="separate"/>
            </w:r>
            <w:r w:rsidR="00225509">
              <w:rPr>
                <w:noProof/>
                <w:webHidden/>
              </w:rPr>
              <w:t>19</w:t>
            </w:r>
            <w:r w:rsidR="00203566">
              <w:rPr>
                <w:noProof/>
                <w:webHidden/>
              </w:rPr>
              <w:fldChar w:fldCharType="end"/>
            </w:r>
          </w:hyperlink>
        </w:p>
        <w:p w:rsidR="007E3100" w:rsidRDefault="00F916D6">
          <w:pPr>
            <w:pStyle w:val="TOC1"/>
            <w:rPr>
              <w:rFonts w:eastAsiaTheme="minorEastAsia"/>
              <w:b w:val="0"/>
              <w:sz w:val="22"/>
              <w:lang w:eastAsia="en-AU"/>
            </w:rPr>
          </w:pPr>
          <w:hyperlink w:anchor="_Toc482809630" w:history="1">
            <w:r w:rsidR="007E3100" w:rsidRPr="00C4657D">
              <w:rPr>
                <w:rStyle w:val="Hyperlink"/>
              </w:rPr>
              <w:t>4. Future State Options</w:t>
            </w:r>
            <w:r w:rsidR="007E3100">
              <w:rPr>
                <w:webHidden/>
              </w:rPr>
              <w:tab/>
            </w:r>
            <w:r w:rsidR="00203566">
              <w:rPr>
                <w:webHidden/>
              </w:rPr>
              <w:fldChar w:fldCharType="begin"/>
            </w:r>
            <w:r w:rsidR="007E3100">
              <w:rPr>
                <w:webHidden/>
              </w:rPr>
              <w:instrText xml:space="preserve"> PAGEREF _Toc482809630 \h </w:instrText>
            </w:r>
            <w:r w:rsidR="00203566">
              <w:rPr>
                <w:webHidden/>
              </w:rPr>
            </w:r>
            <w:r w:rsidR="00203566">
              <w:rPr>
                <w:webHidden/>
              </w:rPr>
              <w:fldChar w:fldCharType="separate"/>
            </w:r>
            <w:r w:rsidR="00225509">
              <w:rPr>
                <w:webHidden/>
              </w:rPr>
              <w:t>24</w:t>
            </w:r>
            <w:r w:rsidR="00203566">
              <w:rPr>
                <w:webHidden/>
              </w:rPr>
              <w:fldChar w:fldCharType="end"/>
            </w:r>
          </w:hyperlink>
        </w:p>
        <w:p w:rsidR="007E3100" w:rsidRDefault="00F916D6">
          <w:pPr>
            <w:pStyle w:val="TOC3"/>
            <w:tabs>
              <w:tab w:val="right" w:pos="9016"/>
            </w:tabs>
            <w:rPr>
              <w:rFonts w:eastAsiaTheme="minorEastAsia"/>
              <w:noProof/>
              <w:sz w:val="22"/>
              <w:lang w:eastAsia="en-AU"/>
            </w:rPr>
          </w:pPr>
          <w:hyperlink w:anchor="_Toc482809631" w:history="1">
            <w:r w:rsidR="007E3100" w:rsidRPr="00C4657D">
              <w:rPr>
                <w:rStyle w:val="Hyperlink"/>
                <w:b/>
                <w:noProof/>
              </w:rPr>
              <w:t>A. Institutional form options</w:t>
            </w:r>
            <w:r w:rsidR="007E3100">
              <w:rPr>
                <w:noProof/>
                <w:webHidden/>
              </w:rPr>
              <w:tab/>
            </w:r>
            <w:r w:rsidR="00203566">
              <w:rPr>
                <w:noProof/>
                <w:webHidden/>
              </w:rPr>
              <w:fldChar w:fldCharType="begin"/>
            </w:r>
            <w:r w:rsidR="007E3100">
              <w:rPr>
                <w:noProof/>
                <w:webHidden/>
              </w:rPr>
              <w:instrText xml:space="preserve"> PAGEREF _Toc482809631 \h </w:instrText>
            </w:r>
            <w:r w:rsidR="00203566">
              <w:rPr>
                <w:noProof/>
                <w:webHidden/>
              </w:rPr>
            </w:r>
            <w:r w:rsidR="00203566">
              <w:rPr>
                <w:noProof/>
                <w:webHidden/>
              </w:rPr>
              <w:fldChar w:fldCharType="separate"/>
            </w:r>
            <w:r w:rsidR="00225509">
              <w:rPr>
                <w:noProof/>
                <w:webHidden/>
              </w:rPr>
              <w:t>24</w:t>
            </w:r>
            <w:r w:rsidR="00203566">
              <w:rPr>
                <w:noProof/>
                <w:webHidden/>
              </w:rPr>
              <w:fldChar w:fldCharType="end"/>
            </w:r>
          </w:hyperlink>
        </w:p>
        <w:p w:rsidR="007E3100" w:rsidRDefault="00F916D6">
          <w:pPr>
            <w:pStyle w:val="TOC3"/>
            <w:tabs>
              <w:tab w:val="right" w:pos="9016"/>
            </w:tabs>
            <w:rPr>
              <w:rFonts w:eastAsiaTheme="minorEastAsia"/>
              <w:noProof/>
              <w:sz w:val="22"/>
              <w:lang w:eastAsia="en-AU"/>
            </w:rPr>
          </w:pPr>
          <w:hyperlink w:anchor="_Toc482809632" w:history="1">
            <w:r w:rsidR="007E3100" w:rsidRPr="00C4657D">
              <w:rPr>
                <w:rStyle w:val="Hyperlink"/>
                <w:b/>
                <w:noProof/>
              </w:rPr>
              <w:t>B. Additional Improvement Options</w:t>
            </w:r>
            <w:r w:rsidR="007E3100">
              <w:rPr>
                <w:noProof/>
                <w:webHidden/>
              </w:rPr>
              <w:tab/>
            </w:r>
            <w:r w:rsidR="00203566">
              <w:rPr>
                <w:noProof/>
                <w:webHidden/>
              </w:rPr>
              <w:fldChar w:fldCharType="begin"/>
            </w:r>
            <w:r w:rsidR="007E3100">
              <w:rPr>
                <w:noProof/>
                <w:webHidden/>
              </w:rPr>
              <w:instrText xml:space="preserve"> PAGEREF _Toc482809632 \h </w:instrText>
            </w:r>
            <w:r w:rsidR="00203566">
              <w:rPr>
                <w:noProof/>
                <w:webHidden/>
              </w:rPr>
            </w:r>
            <w:r w:rsidR="00203566">
              <w:rPr>
                <w:noProof/>
                <w:webHidden/>
              </w:rPr>
              <w:fldChar w:fldCharType="separate"/>
            </w:r>
            <w:r w:rsidR="00225509">
              <w:rPr>
                <w:noProof/>
                <w:webHidden/>
              </w:rPr>
              <w:t>25</w:t>
            </w:r>
            <w:r w:rsidR="00203566">
              <w:rPr>
                <w:noProof/>
                <w:webHidden/>
              </w:rPr>
              <w:fldChar w:fldCharType="end"/>
            </w:r>
          </w:hyperlink>
        </w:p>
        <w:p w:rsidR="007E3100" w:rsidRDefault="00F916D6">
          <w:pPr>
            <w:pStyle w:val="TOC1"/>
            <w:rPr>
              <w:rFonts w:eastAsiaTheme="minorEastAsia"/>
              <w:b w:val="0"/>
              <w:sz w:val="22"/>
              <w:lang w:eastAsia="en-AU"/>
            </w:rPr>
          </w:pPr>
          <w:hyperlink w:anchor="_Toc482809633" w:history="1">
            <w:r w:rsidR="007E3100" w:rsidRPr="00C4657D">
              <w:rPr>
                <w:rStyle w:val="Hyperlink"/>
              </w:rPr>
              <w:t>5. Recommendations</w:t>
            </w:r>
            <w:r w:rsidR="007E3100">
              <w:rPr>
                <w:webHidden/>
              </w:rPr>
              <w:tab/>
            </w:r>
            <w:r w:rsidR="00203566">
              <w:rPr>
                <w:webHidden/>
              </w:rPr>
              <w:fldChar w:fldCharType="begin"/>
            </w:r>
            <w:r w:rsidR="007E3100">
              <w:rPr>
                <w:webHidden/>
              </w:rPr>
              <w:instrText xml:space="preserve"> PAGEREF _Toc482809633 \h </w:instrText>
            </w:r>
            <w:r w:rsidR="00203566">
              <w:rPr>
                <w:webHidden/>
              </w:rPr>
            </w:r>
            <w:r w:rsidR="00203566">
              <w:rPr>
                <w:webHidden/>
              </w:rPr>
              <w:fldChar w:fldCharType="separate"/>
            </w:r>
            <w:r w:rsidR="00225509">
              <w:rPr>
                <w:webHidden/>
              </w:rPr>
              <w:t>28</w:t>
            </w:r>
            <w:r w:rsidR="00203566">
              <w:rPr>
                <w:webHidden/>
              </w:rPr>
              <w:fldChar w:fldCharType="end"/>
            </w:r>
          </w:hyperlink>
        </w:p>
        <w:p w:rsidR="007E3100" w:rsidRDefault="00F916D6">
          <w:pPr>
            <w:pStyle w:val="TOC1"/>
            <w:rPr>
              <w:rFonts w:eastAsiaTheme="minorEastAsia"/>
              <w:b w:val="0"/>
              <w:sz w:val="22"/>
              <w:lang w:eastAsia="en-AU"/>
            </w:rPr>
          </w:pPr>
          <w:hyperlink w:anchor="_Toc482809634" w:history="1">
            <w:r w:rsidR="007E3100" w:rsidRPr="00C4657D">
              <w:rPr>
                <w:rStyle w:val="Hyperlink"/>
              </w:rPr>
              <w:t>Appendix A: Project Context &amp; Background</w:t>
            </w:r>
            <w:r w:rsidR="007E3100">
              <w:rPr>
                <w:webHidden/>
              </w:rPr>
              <w:tab/>
            </w:r>
            <w:r w:rsidR="00203566">
              <w:rPr>
                <w:webHidden/>
              </w:rPr>
              <w:fldChar w:fldCharType="begin"/>
            </w:r>
            <w:r w:rsidR="007E3100">
              <w:rPr>
                <w:webHidden/>
              </w:rPr>
              <w:instrText xml:space="preserve"> PAGEREF _Toc482809634 \h </w:instrText>
            </w:r>
            <w:r w:rsidR="00203566">
              <w:rPr>
                <w:webHidden/>
              </w:rPr>
            </w:r>
            <w:r w:rsidR="00203566">
              <w:rPr>
                <w:webHidden/>
              </w:rPr>
              <w:fldChar w:fldCharType="separate"/>
            </w:r>
            <w:r w:rsidR="00225509">
              <w:rPr>
                <w:webHidden/>
              </w:rPr>
              <w:t>31</w:t>
            </w:r>
            <w:r w:rsidR="00203566">
              <w:rPr>
                <w:webHidden/>
              </w:rPr>
              <w:fldChar w:fldCharType="end"/>
            </w:r>
          </w:hyperlink>
        </w:p>
        <w:p w:rsidR="007E3100" w:rsidRDefault="00F916D6">
          <w:pPr>
            <w:pStyle w:val="TOC3"/>
            <w:tabs>
              <w:tab w:val="right" w:pos="9016"/>
            </w:tabs>
            <w:rPr>
              <w:rFonts w:eastAsiaTheme="minorEastAsia"/>
              <w:noProof/>
              <w:sz w:val="22"/>
              <w:lang w:eastAsia="en-AU"/>
            </w:rPr>
          </w:pPr>
          <w:hyperlink w:anchor="_Toc482809635" w:history="1">
            <w:r w:rsidR="007E3100" w:rsidRPr="00C4657D">
              <w:rPr>
                <w:rStyle w:val="Hyperlink"/>
                <w:b/>
                <w:noProof/>
              </w:rPr>
              <w:t>A. Project Context</w:t>
            </w:r>
            <w:r w:rsidR="007E3100">
              <w:rPr>
                <w:noProof/>
                <w:webHidden/>
              </w:rPr>
              <w:tab/>
            </w:r>
            <w:r w:rsidR="00203566">
              <w:rPr>
                <w:noProof/>
                <w:webHidden/>
              </w:rPr>
              <w:fldChar w:fldCharType="begin"/>
            </w:r>
            <w:r w:rsidR="007E3100">
              <w:rPr>
                <w:noProof/>
                <w:webHidden/>
              </w:rPr>
              <w:instrText xml:space="preserve"> PAGEREF _Toc482809635 \h </w:instrText>
            </w:r>
            <w:r w:rsidR="00203566">
              <w:rPr>
                <w:noProof/>
                <w:webHidden/>
              </w:rPr>
            </w:r>
            <w:r w:rsidR="00203566">
              <w:rPr>
                <w:noProof/>
                <w:webHidden/>
              </w:rPr>
              <w:fldChar w:fldCharType="separate"/>
            </w:r>
            <w:r w:rsidR="00225509">
              <w:rPr>
                <w:noProof/>
                <w:webHidden/>
              </w:rPr>
              <w:t>31</w:t>
            </w:r>
            <w:r w:rsidR="00203566">
              <w:rPr>
                <w:noProof/>
                <w:webHidden/>
              </w:rPr>
              <w:fldChar w:fldCharType="end"/>
            </w:r>
          </w:hyperlink>
        </w:p>
        <w:p w:rsidR="007E3100" w:rsidRDefault="00F916D6">
          <w:pPr>
            <w:pStyle w:val="TOC3"/>
            <w:tabs>
              <w:tab w:val="right" w:pos="9016"/>
            </w:tabs>
            <w:rPr>
              <w:rFonts w:eastAsiaTheme="minorEastAsia"/>
              <w:noProof/>
              <w:sz w:val="22"/>
              <w:lang w:eastAsia="en-AU"/>
            </w:rPr>
          </w:pPr>
          <w:hyperlink w:anchor="_Toc482809636" w:history="1">
            <w:r w:rsidR="007E3100" w:rsidRPr="00C4657D">
              <w:rPr>
                <w:rStyle w:val="Hyperlink"/>
                <w:b/>
                <w:noProof/>
              </w:rPr>
              <w:t>B. Project Purpose &amp; Deliverables</w:t>
            </w:r>
            <w:r w:rsidR="007E3100">
              <w:rPr>
                <w:noProof/>
                <w:webHidden/>
              </w:rPr>
              <w:tab/>
            </w:r>
            <w:r w:rsidR="00203566">
              <w:rPr>
                <w:noProof/>
                <w:webHidden/>
              </w:rPr>
              <w:fldChar w:fldCharType="begin"/>
            </w:r>
            <w:r w:rsidR="007E3100">
              <w:rPr>
                <w:noProof/>
                <w:webHidden/>
              </w:rPr>
              <w:instrText xml:space="preserve"> PAGEREF _Toc482809636 \h </w:instrText>
            </w:r>
            <w:r w:rsidR="00203566">
              <w:rPr>
                <w:noProof/>
                <w:webHidden/>
              </w:rPr>
            </w:r>
            <w:r w:rsidR="00203566">
              <w:rPr>
                <w:noProof/>
                <w:webHidden/>
              </w:rPr>
              <w:fldChar w:fldCharType="separate"/>
            </w:r>
            <w:r w:rsidR="00225509">
              <w:rPr>
                <w:noProof/>
                <w:webHidden/>
              </w:rPr>
              <w:t>32</w:t>
            </w:r>
            <w:r w:rsidR="00203566">
              <w:rPr>
                <w:noProof/>
                <w:webHidden/>
              </w:rPr>
              <w:fldChar w:fldCharType="end"/>
            </w:r>
          </w:hyperlink>
        </w:p>
        <w:p w:rsidR="007E3100" w:rsidRDefault="00F916D6">
          <w:pPr>
            <w:pStyle w:val="TOC3"/>
            <w:tabs>
              <w:tab w:val="right" w:pos="9016"/>
            </w:tabs>
            <w:rPr>
              <w:rFonts w:eastAsiaTheme="minorEastAsia"/>
              <w:noProof/>
              <w:sz w:val="22"/>
              <w:lang w:eastAsia="en-AU"/>
            </w:rPr>
          </w:pPr>
          <w:hyperlink w:anchor="_Toc482809637" w:history="1">
            <w:r w:rsidR="007E3100" w:rsidRPr="00C4657D">
              <w:rPr>
                <w:rStyle w:val="Hyperlink"/>
                <w:b/>
                <w:noProof/>
              </w:rPr>
              <w:t>C. Project Approach</w:t>
            </w:r>
            <w:r w:rsidR="007E3100">
              <w:rPr>
                <w:noProof/>
                <w:webHidden/>
              </w:rPr>
              <w:tab/>
            </w:r>
            <w:r w:rsidR="00203566">
              <w:rPr>
                <w:noProof/>
                <w:webHidden/>
              </w:rPr>
              <w:fldChar w:fldCharType="begin"/>
            </w:r>
            <w:r w:rsidR="007E3100">
              <w:rPr>
                <w:noProof/>
                <w:webHidden/>
              </w:rPr>
              <w:instrText xml:space="preserve"> PAGEREF _Toc482809637 \h </w:instrText>
            </w:r>
            <w:r w:rsidR="00203566">
              <w:rPr>
                <w:noProof/>
                <w:webHidden/>
              </w:rPr>
            </w:r>
            <w:r w:rsidR="00203566">
              <w:rPr>
                <w:noProof/>
                <w:webHidden/>
              </w:rPr>
              <w:fldChar w:fldCharType="separate"/>
            </w:r>
            <w:r w:rsidR="00225509">
              <w:rPr>
                <w:noProof/>
                <w:webHidden/>
              </w:rPr>
              <w:t>33</w:t>
            </w:r>
            <w:r w:rsidR="00203566">
              <w:rPr>
                <w:noProof/>
                <w:webHidden/>
              </w:rPr>
              <w:fldChar w:fldCharType="end"/>
            </w:r>
          </w:hyperlink>
        </w:p>
        <w:p w:rsidR="007E3100" w:rsidRDefault="00F916D6">
          <w:pPr>
            <w:pStyle w:val="TOC1"/>
            <w:rPr>
              <w:rFonts w:eastAsiaTheme="minorEastAsia"/>
              <w:b w:val="0"/>
              <w:sz w:val="22"/>
              <w:lang w:eastAsia="en-AU"/>
            </w:rPr>
          </w:pPr>
          <w:hyperlink w:anchor="_Toc482809638" w:history="1">
            <w:r w:rsidR="007E3100" w:rsidRPr="00C4657D">
              <w:rPr>
                <w:rStyle w:val="Hyperlink"/>
              </w:rPr>
              <w:t>Appendix B: Additional Comparison Research</w:t>
            </w:r>
            <w:r w:rsidR="007E3100">
              <w:rPr>
                <w:webHidden/>
              </w:rPr>
              <w:tab/>
            </w:r>
            <w:r w:rsidR="00203566">
              <w:rPr>
                <w:webHidden/>
              </w:rPr>
              <w:fldChar w:fldCharType="begin"/>
            </w:r>
            <w:r w:rsidR="007E3100">
              <w:rPr>
                <w:webHidden/>
              </w:rPr>
              <w:instrText xml:space="preserve"> PAGEREF _Toc482809638 \h </w:instrText>
            </w:r>
            <w:r w:rsidR="00203566">
              <w:rPr>
                <w:webHidden/>
              </w:rPr>
            </w:r>
            <w:r w:rsidR="00203566">
              <w:rPr>
                <w:webHidden/>
              </w:rPr>
              <w:fldChar w:fldCharType="separate"/>
            </w:r>
            <w:r w:rsidR="00225509">
              <w:rPr>
                <w:webHidden/>
              </w:rPr>
              <w:t>34</w:t>
            </w:r>
            <w:r w:rsidR="00203566">
              <w:rPr>
                <w:webHidden/>
              </w:rPr>
              <w:fldChar w:fldCharType="end"/>
            </w:r>
          </w:hyperlink>
        </w:p>
        <w:p w:rsidR="007E3100" w:rsidRDefault="00F916D6">
          <w:pPr>
            <w:pStyle w:val="TOC3"/>
            <w:tabs>
              <w:tab w:val="right" w:pos="9016"/>
            </w:tabs>
            <w:rPr>
              <w:rFonts w:eastAsiaTheme="minorEastAsia"/>
              <w:noProof/>
              <w:sz w:val="22"/>
              <w:lang w:eastAsia="en-AU"/>
            </w:rPr>
          </w:pPr>
          <w:hyperlink w:anchor="_Toc482809639" w:history="1">
            <w:r w:rsidR="007E3100" w:rsidRPr="00C4657D">
              <w:rPr>
                <w:rStyle w:val="Hyperlink"/>
                <w:b/>
                <w:noProof/>
              </w:rPr>
              <w:t>A. Role of Commissioners</w:t>
            </w:r>
            <w:r w:rsidR="007E3100">
              <w:rPr>
                <w:noProof/>
                <w:webHidden/>
              </w:rPr>
              <w:tab/>
            </w:r>
            <w:r w:rsidR="00203566">
              <w:rPr>
                <w:noProof/>
                <w:webHidden/>
              </w:rPr>
              <w:fldChar w:fldCharType="begin"/>
            </w:r>
            <w:r w:rsidR="007E3100">
              <w:rPr>
                <w:noProof/>
                <w:webHidden/>
              </w:rPr>
              <w:instrText xml:space="preserve"> PAGEREF _Toc482809639 \h </w:instrText>
            </w:r>
            <w:r w:rsidR="00203566">
              <w:rPr>
                <w:noProof/>
                <w:webHidden/>
              </w:rPr>
            </w:r>
            <w:r w:rsidR="00203566">
              <w:rPr>
                <w:noProof/>
                <w:webHidden/>
              </w:rPr>
              <w:fldChar w:fldCharType="separate"/>
            </w:r>
            <w:r w:rsidR="00225509">
              <w:rPr>
                <w:noProof/>
                <w:webHidden/>
              </w:rPr>
              <w:t>34</w:t>
            </w:r>
            <w:r w:rsidR="00203566">
              <w:rPr>
                <w:noProof/>
                <w:webHidden/>
              </w:rPr>
              <w:fldChar w:fldCharType="end"/>
            </w:r>
          </w:hyperlink>
        </w:p>
        <w:p w:rsidR="007E3100" w:rsidRDefault="00F916D6">
          <w:pPr>
            <w:pStyle w:val="TOC1"/>
            <w:rPr>
              <w:rFonts w:eastAsiaTheme="minorEastAsia"/>
              <w:b w:val="0"/>
              <w:sz w:val="22"/>
              <w:lang w:eastAsia="en-AU"/>
            </w:rPr>
          </w:pPr>
          <w:hyperlink w:anchor="_Toc482809640" w:history="1">
            <w:r w:rsidR="007E3100" w:rsidRPr="00C4657D">
              <w:rPr>
                <w:rStyle w:val="Hyperlink"/>
              </w:rPr>
              <w:t>Appendix C: Possible Inputs to Charter Letter</w:t>
            </w:r>
            <w:r w:rsidR="007E3100">
              <w:rPr>
                <w:webHidden/>
              </w:rPr>
              <w:tab/>
            </w:r>
            <w:r w:rsidR="00203566">
              <w:rPr>
                <w:webHidden/>
              </w:rPr>
              <w:fldChar w:fldCharType="begin"/>
            </w:r>
            <w:r w:rsidR="007E3100">
              <w:rPr>
                <w:webHidden/>
              </w:rPr>
              <w:instrText xml:space="preserve"> PAGEREF _Toc482809640 \h </w:instrText>
            </w:r>
            <w:r w:rsidR="00203566">
              <w:rPr>
                <w:webHidden/>
              </w:rPr>
            </w:r>
            <w:r w:rsidR="00203566">
              <w:rPr>
                <w:webHidden/>
              </w:rPr>
              <w:fldChar w:fldCharType="separate"/>
            </w:r>
            <w:r w:rsidR="00225509">
              <w:rPr>
                <w:webHidden/>
              </w:rPr>
              <w:t>35</w:t>
            </w:r>
            <w:r w:rsidR="00203566">
              <w:rPr>
                <w:webHidden/>
              </w:rPr>
              <w:fldChar w:fldCharType="end"/>
            </w:r>
          </w:hyperlink>
        </w:p>
        <w:p w:rsidR="007E3100" w:rsidRDefault="00F916D6">
          <w:pPr>
            <w:pStyle w:val="TOC1"/>
            <w:rPr>
              <w:rFonts w:eastAsiaTheme="minorEastAsia"/>
              <w:b w:val="0"/>
              <w:sz w:val="22"/>
              <w:lang w:eastAsia="en-AU"/>
            </w:rPr>
          </w:pPr>
          <w:hyperlink w:anchor="_Toc482809641" w:history="1">
            <w:r w:rsidR="007E3100" w:rsidRPr="00C4657D">
              <w:rPr>
                <w:rStyle w:val="Hyperlink"/>
              </w:rPr>
              <w:t>Appendix D: Stakeholder Register</w:t>
            </w:r>
            <w:r w:rsidR="007E3100">
              <w:rPr>
                <w:webHidden/>
              </w:rPr>
              <w:tab/>
            </w:r>
            <w:r w:rsidR="00203566">
              <w:rPr>
                <w:webHidden/>
              </w:rPr>
              <w:fldChar w:fldCharType="begin"/>
            </w:r>
            <w:r w:rsidR="007E3100">
              <w:rPr>
                <w:webHidden/>
              </w:rPr>
              <w:instrText xml:space="preserve"> PAGEREF _Toc482809641 \h </w:instrText>
            </w:r>
            <w:r w:rsidR="00203566">
              <w:rPr>
                <w:webHidden/>
              </w:rPr>
            </w:r>
            <w:r w:rsidR="00203566">
              <w:rPr>
                <w:webHidden/>
              </w:rPr>
              <w:fldChar w:fldCharType="separate"/>
            </w:r>
            <w:r w:rsidR="00225509">
              <w:rPr>
                <w:webHidden/>
              </w:rPr>
              <w:t>37</w:t>
            </w:r>
            <w:r w:rsidR="00203566">
              <w:rPr>
                <w:webHidden/>
              </w:rPr>
              <w:fldChar w:fldCharType="end"/>
            </w:r>
          </w:hyperlink>
        </w:p>
        <w:p w:rsidR="00F6769E" w:rsidRPr="00264435" w:rsidRDefault="00203566">
          <w:r w:rsidRPr="007C20F8">
            <w:rPr>
              <w:b/>
              <w:bCs/>
              <w:noProof/>
            </w:rPr>
            <w:fldChar w:fldCharType="end"/>
          </w:r>
        </w:p>
      </w:sdtContent>
    </w:sdt>
    <w:p w:rsidR="000B6C05" w:rsidRPr="00264435" w:rsidRDefault="000B6C05" w:rsidP="00E94C20"/>
    <w:p w:rsidR="00F6769E" w:rsidRPr="00264435" w:rsidRDefault="00F6769E" w:rsidP="00E94C20"/>
    <w:p w:rsidR="005E3501" w:rsidRPr="00264435" w:rsidRDefault="005E3501" w:rsidP="00E94C20">
      <w:pPr>
        <w:sectPr w:rsidR="005E3501" w:rsidRPr="00264435">
          <w:headerReference w:type="default" r:id="rId12"/>
          <w:footerReference w:type="default" r:id="rId13"/>
          <w:footerReference w:type="first" r:id="rId14"/>
          <w:pgSz w:w="11906" w:h="16838" w:code="9"/>
          <w:pgMar w:top="1440" w:right="1440" w:bottom="1440" w:left="1440" w:header="680" w:footer="397" w:gutter="0"/>
          <w:pgNumType w:start="0"/>
          <w:cols w:space="284"/>
          <w:titlePg/>
          <w:docGrid w:linePitch="360"/>
        </w:sectPr>
      </w:pPr>
    </w:p>
    <w:p w:rsidR="00212852" w:rsidRPr="00264435" w:rsidRDefault="00E452E7" w:rsidP="002C3CAF">
      <w:pPr>
        <w:pStyle w:val="Heading1"/>
        <w:spacing w:after="0"/>
      </w:pPr>
      <w:bookmarkStart w:id="1" w:name="_Toc482809619"/>
      <w:r w:rsidRPr="00264435">
        <w:lastRenderedPageBreak/>
        <w:t>Executive Summary</w:t>
      </w:r>
      <w:bookmarkEnd w:id="1"/>
    </w:p>
    <w:p w:rsidR="00937282" w:rsidRPr="00264435" w:rsidRDefault="00937282" w:rsidP="00162C45">
      <w:pPr>
        <w:rPr>
          <w:bCs/>
          <w:sz w:val="20"/>
          <w:szCs w:val="18"/>
        </w:rPr>
      </w:pPr>
    </w:p>
    <w:p w:rsidR="00407C25" w:rsidRPr="00264435" w:rsidRDefault="00407C25" w:rsidP="00407C25">
      <w:pPr>
        <w:rPr>
          <w:b/>
          <w:bCs/>
          <w:color w:val="0097A9" w:themeColor="accent5"/>
          <w:sz w:val="20"/>
          <w:szCs w:val="18"/>
        </w:rPr>
      </w:pPr>
      <w:r w:rsidRPr="00264435">
        <w:rPr>
          <w:b/>
          <w:bCs/>
          <w:color w:val="0097A9" w:themeColor="accent5"/>
          <w:sz w:val="20"/>
          <w:szCs w:val="18"/>
        </w:rPr>
        <w:t xml:space="preserve">The </w:t>
      </w:r>
      <w:r w:rsidR="00204D56">
        <w:rPr>
          <w:b/>
          <w:bCs/>
          <w:color w:val="0097A9" w:themeColor="accent5"/>
          <w:sz w:val="20"/>
          <w:szCs w:val="18"/>
        </w:rPr>
        <w:t>National Mental Health Commission</w:t>
      </w:r>
      <w:r w:rsidRPr="00264435">
        <w:rPr>
          <w:b/>
          <w:bCs/>
          <w:color w:val="0097A9" w:themeColor="accent5"/>
          <w:sz w:val="20"/>
          <w:szCs w:val="18"/>
        </w:rPr>
        <w:t xml:space="preserve"> was established with a</w:t>
      </w:r>
      <w:r w:rsidR="00746FA6">
        <w:rPr>
          <w:b/>
          <w:bCs/>
          <w:color w:val="0097A9" w:themeColor="accent5"/>
          <w:sz w:val="20"/>
          <w:szCs w:val="18"/>
        </w:rPr>
        <w:t xml:space="preserve">n </w:t>
      </w:r>
      <w:r w:rsidRPr="00264435">
        <w:rPr>
          <w:b/>
          <w:bCs/>
          <w:color w:val="0097A9" w:themeColor="accent5"/>
          <w:sz w:val="20"/>
          <w:szCs w:val="18"/>
        </w:rPr>
        <w:t>important purpose</w:t>
      </w:r>
    </w:p>
    <w:p w:rsidR="002E243F" w:rsidRPr="00264435" w:rsidRDefault="002E243F" w:rsidP="002E243F">
      <w:pPr>
        <w:spacing w:after="0" w:line="259" w:lineRule="auto"/>
        <w:rPr>
          <w:sz w:val="20"/>
          <w:szCs w:val="18"/>
        </w:rPr>
      </w:pPr>
      <w:r w:rsidRPr="00264435">
        <w:rPr>
          <w:sz w:val="20"/>
          <w:szCs w:val="18"/>
        </w:rPr>
        <w:t xml:space="preserve">The Australian mental health ‘system’ is complex with </w:t>
      </w:r>
      <w:r w:rsidR="00204D56">
        <w:rPr>
          <w:sz w:val="20"/>
          <w:szCs w:val="18"/>
        </w:rPr>
        <w:t xml:space="preserve">a </w:t>
      </w:r>
      <w:r w:rsidRPr="00264435">
        <w:rPr>
          <w:sz w:val="20"/>
          <w:szCs w:val="18"/>
        </w:rPr>
        <w:t>range of different entities and stakeholders, comprising government</w:t>
      </w:r>
      <w:r w:rsidR="00746FA6">
        <w:rPr>
          <w:sz w:val="20"/>
          <w:szCs w:val="18"/>
        </w:rPr>
        <w:t>s at federal and state level</w:t>
      </w:r>
      <w:r w:rsidRPr="00264435">
        <w:rPr>
          <w:sz w:val="20"/>
          <w:szCs w:val="18"/>
        </w:rPr>
        <w:t xml:space="preserve"> (as policy and strategy-setter</w:t>
      </w:r>
      <w:r w:rsidR="00746FA6">
        <w:rPr>
          <w:sz w:val="20"/>
          <w:szCs w:val="18"/>
        </w:rPr>
        <w:t>s</w:t>
      </w:r>
      <w:r w:rsidRPr="00264435">
        <w:rPr>
          <w:sz w:val="20"/>
          <w:szCs w:val="18"/>
        </w:rPr>
        <w:t>, funder</w:t>
      </w:r>
      <w:r w:rsidR="00746FA6">
        <w:rPr>
          <w:sz w:val="20"/>
          <w:szCs w:val="18"/>
        </w:rPr>
        <w:t>s</w:t>
      </w:r>
      <w:r w:rsidRPr="00264435">
        <w:rPr>
          <w:sz w:val="20"/>
          <w:szCs w:val="18"/>
        </w:rPr>
        <w:t>, regulator</w:t>
      </w:r>
      <w:r w:rsidR="00746FA6">
        <w:rPr>
          <w:sz w:val="20"/>
          <w:szCs w:val="18"/>
        </w:rPr>
        <w:t>s</w:t>
      </w:r>
      <w:r w:rsidRPr="00264435">
        <w:rPr>
          <w:sz w:val="20"/>
          <w:szCs w:val="18"/>
        </w:rPr>
        <w:t xml:space="preserve"> and in some cases service deliverer</w:t>
      </w:r>
      <w:r w:rsidR="00746FA6">
        <w:rPr>
          <w:sz w:val="20"/>
          <w:szCs w:val="18"/>
        </w:rPr>
        <w:t>s</w:t>
      </w:r>
      <w:r w:rsidRPr="00264435">
        <w:rPr>
          <w:sz w:val="20"/>
          <w:szCs w:val="18"/>
        </w:rPr>
        <w:t>), service delivery entities (public and private, primary and acute), and consumers, carers and families.</w:t>
      </w:r>
    </w:p>
    <w:p w:rsidR="002E243F" w:rsidRPr="00264435" w:rsidRDefault="002E243F" w:rsidP="002E243F">
      <w:pPr>
        <w:spacing w:after="0" w:line="259" w:lineRule="auto"/>
        <w:rPr>
          <w:sz w:val="20"/>
          <w:szCs w:val="18"/>
        </w:rPr>
      </w:pPr>
    </w:p>
    <w:p w:rsidR="002E243F" w:rsidRPr="00264435" w:rsidRDefault="002E243F" w:rsidP="002E243F">
      <w:pPr>
        <w:spacing w:after="0" w:line="259" w:lineRule="auto"/>
        <w:rPr>
          <w:sz w:val="20"/>
          <w:szCs w:val="18"/>
        </w:rPr>
      </w:pPr>
      <w:r w:rsidRPr="00264435">
        <w:rPr>
          <w:sz w:val="20"/>
          <w:szCs w:val="18"/>
        </w:rPr>
        <w:t xml:space="preserve">Within this system, the National Mental Health Commission (NMHC) exists, in the words of the Prime Minister at the time of its creation, to: </w:t>
      </w:r>
    </w:p>
    <w:p w:rsidR="002E243F" w:rsidRPr="00264435" w:rsidRDefault="002E243F" w:rsidP="002E243F">
      <w:pPr>
        <w:spacing w:after="0" w:line="259" w:lineRule="auto"/>
        <w:rPr>
          <w:sz w:val="20"/>
          <w:szCs w:val="18"/>
        </w:rPr>
      </w:pPr>
    </w:p>
    <w:p w:rsidR="002E243F" w:rsidRPr="00E11C53" w:rsidRDefault="002E243F" w:rsidP="002E243F">
      <w:pPr>
        <w:spacing w:after="0" w:line="259" w:lineRule="auto"/>
        <w:ind w:left="720"/>
        <w:rPr>
          <w:b/>
          <w:i/>
          <w:color w:val="012169" w:themeColor="accent4"/>
          <w:sz w:val="20"/>
          <w:szCs w:val="18"/>
        </w:rPr>
      </w:pPr>
      <w:r w:rsidRPr="00E11C53">
        <w:rPr>
          <w:b/>
          <w:bCs/>
          <w:i/>
          <w:color w:val="012169" w:themeColor="accent4"/>
          <w:sz w:val="20"/>
          <w:szCs w:val="20"/>
        </w:rPr>
        <w:t>“…help improve Australia’s mental health system. It will plan more effectively for the future mental health needs of the community, create greater accountability and transparency in the mental health system and give mental health prominence at a national level</w:t>
      </w:r>
      <w:r w:rsidRPr="00E11C53">
        <w:rPr>
          <w:b/>
          <w:i/>
          <w:color w:val="012169" w:themeColor="accent4"/>
          <w:sz w:val="20"/>
          <w:szCs w:val="18"/>
        </w:rPr>
        <w:t>”.</w:t>
      </w:r>
      <w:r w:rsidRPr="00E11C53">
        <w:rPr>
          <w:rStyle w:val="FootnoteReference"/>
          <w:b/>
          <w:i/>
          <w:color w:val="012169" w:themeColor="accent4"/>
          <w:sz w:val="20"/>
          <w:szCs w:val="18"/>
        </w:rPr>
        <w:footnoteReference w:id="1"/>
      </w:r>
      <w:r w:rsidRPr="00E11C53">
        <w:rPr>
          <w:b/>
          <w:i/>
          <w:color w:val="012169" w:themeColor="accent4"/>
          <w:sz w:val="20"/>
          <w:szCs w:val="18"/>
        </w:rPr>
        <w:t xml:space="preserve"> </w:t>
      </w:r>
    </w:p>
    <w:p w:rsidR="002E243F" w:rsidRPr="00264435" w:rsidRDefault="002E243F" w:rsidP="002E243F">
      <w:pPr>
        <w:spacing w:after="0" w:line="259" w:lineRule="auto"/>
        <w:rPr>
          <w:sz w:val="20"/>
          <w:szCs w:val="18"/>
        </w:rPr>
      </w:pPr>
    </w:p>
    <w:p w:rsidR="00EC3121" w:rsidRDefault="002E243F" w:rsidP="002E243F">
      <w:pPr>
        <w:spacing w:after="0" w:line="259" w:lineRule="auto"/>
        <w:rPr>
          <w:sz w:val="20"/>
          <w:szCs w:val="18"/>
        </w:rPr>
      </w:pPr>
      <w:r w:rsidRPr="00264435">
        <w:rPr>
          <w:sz w:val="20"/>
          <w:szCs w:val="18"/>
        </w:rPr>
        <w:t xml:space="preserve">This purpose was translated into a set of roles and functions, encapsulated in Section 15, Schedule 1 of the </w:t>
      </w:r>
      <w:r w:rsidRPr="00264435">
        <w:rPr>
          <w:i/>
          <w:sz w:val="20"/>
          <w:szCs w:val="18"/>
        </w:rPr>
        <w:t>Public Governance, Performance and Accountability Rule</w:t>
      </w:r>
      <w:r w:rsidRPr="00264435">
        <w:rPr>
          <w:sz w:val="20"/>
          <w:szCs w:val="18"/>
        </w:rPr>
        <w:t xml:space="preserve"> 2014. </w:t>
      </w:r>
      <w:r w:rsidR="00EC3121">
        <w:rPr>
          <w:sz w:val="20"/>
          <w:szCs w:val="18"/>
        </w:rPr>
        <w:t xml:space="preserve">This role was then expanded </w:t>
      </w:r>
      <w:r w:rsidR="00EC3121" w:rsidRPr="00264435">
        <w:rPr>
          <w:sz w:val="20"/>
          <w:szCs w:val="18"/>
        </w:rPr>
        <w:t xml:space="preserve">in December 2015, as part of the Government’s response to the NMHC’s report </w:t>
      </w:r>
      <w:r w:rsidR="00EC3121" w:rsidRPr="00264435">
        <w:rPr>
          <w:i/>
          <w:sz w:val="20"/>
          <w:szCs w:val="18"/>
        </w:rPr>
        <w:t>Contributing Lives, Thriving Communities</w:t>
      </w:r>
      <w:r w:rsidR="00EC3121">
        <w:rPr>
          <w:i/>
          <w:sz w:val="20"/>
          <w:szCs w:val="18"/>
        </w:rPr>
        <w:t>.</w:t>
      </w:r>
      <w:r w:rsidR="00476FFA">
        <w:rPr>
          <w:i/>
          <w:sz w:val="20"/>
          <w:szCs w:val="18"/>
        </w:rPr>
        <w:t xml:space="preserve"> </w:t>
      </w:r>
      <w:r w:rsidR="00476FFA" w:rsidRPr="00476FFA">
        <w:rPr>
          <w:sz w:val="20"/>
          <w:szCs w:val="18"/>
        </w:rPr>
        <w:t>At that time, the then-Health Minister emphasised the cross-sectoral nature of the NMHC’s role, as well as explicitly adding functions monitoring activity arising from the Fifth National Mental Health Plan, development of a consumer and carer participation framework and taking on the advisory functions of the Australian Suicide Prevention Advisory Council.</w:t>
      </w:r>
      <w:r w:rsidR="00476FFA">
        <w:rPr>
          <w:rStyle w:val="FootnoteReference"/>
          <w:sz w:val="20"/>
          <w:szCs w:val="18"/>
        </w:rPr>
        <w:footnoteReference w:id="2"/>
      </w:r>
    </w:p>
    <w:p w:rsidR="00EC3121" w:rsidRDefault="00EC3121" w:rsidP="002E243F">
      <w:pPr>
        <w:spacing w:after="0" w:line="259" w:lineRule="auto"/>
        <w:rPr>
          <w:sz w:val="20"/>
          <w:szCs w:val="18"/>
        </w:rPr>
      </w:pPr>
    </w:p>
    <w:p w:rsidR="00EC3121" w:rsidRPr="00EC3121" w:rsidRDefault="00EC3121" w:rsidP="002E243F">
      <w:pPr>
        <w:spacing w:after="0" w:line="259" w:lineRule="auto"/>
        <w:rPr>
          <w:sz w:val="20"/>
          <w:szCs w:val="18"/>
        </w:rPr>
      </w:pPr>
      <w:r>
        <w:rPr>
          <w:sz w:val="20"/>
          <w:szCs w:val="18"/>
        </w:rPr>
        <w:t>In sum</w:t>
      </w:r>
      <w:r w:rsidR="00204D56">
        <w:rPr>
          <w:sz w:val="20"/>
          <w:szCs w:val="18"/>
        </w:rPr>
        <w:t>mary</w:t>
      </w:r>
      <w:r>
        <w:rPr>
          <w:sz w:val="20"/>
          <w:szCs w:val="18"/>
        </w:rPr>
        <w:t xml:space="preserve">, the role and functions of the NMHC are to conduct monitoring and reporting; provide policy advice and engage mental health system stakeholders, including consumers, carers and families. </w:t>
      </w:r>
    </w:p>
    <w:p w:rsidR="00EC3121" w:rsidRDefault="00EC3121" w:rsidP="002E243F">
      <w:pPr>
        <w:spacing w:after="0" w:line="259" w:lineRule="auto"/>
        <w:rPr>
          <w:sz w:val="20"/>
          <w:szCs w:val="18"/>
        </w:rPr>
      </w:pPr>
    </w:p>
    <w:p w:rsidR="00247DFA" w:rsidRPr="00264435" w:rsidRDefault="00247DFA" w:rsidP="00247DFA">
      <w:pPr>
        <w:spacing w:after="200" w:line="240" w:lineRule="auto"/>
        <w:rPr>
          <w:rFonts w:eastAsia="Times New Roman" w:cs="Times New Roman"/>
          <w:sz w:val="20"/>
          <w:szCs w:val="20"/>
          <w:lang w:eastAsia="en-AU"/>
        </w:rPr>
      </w:pPr>
      <w:r w:rsidRPr="00264435">
        <w:rPr>
          <w:rFonts w:eastAsia="+mn-ea" w:cs="+mn-cs"/>
          <w:color w:val="000000"/>
          <w:kern w:val="24"/>
          <w:sz w:val="20"/>
          <w:szCs w:val="20"/>
          <w:lang w:eastAsia="en-AU"/>
        </w:rPr>
        <w:t>At the most recent federal election the Government committed, as part of its plan to strengthen mental health care, to:</w:t>
      </w:r>
    </w:p>
    <w:p w:rsidR="00247DFA" w:rsidRPr="00264435" w:rsidRDefault="00247DFA" w:rsidP="00247DFA">
      <w:pPr>
        <w:spacing w:after="200" w:line="240" w:lineRule="auto"/>
        <w:ind w:left="274"/>
        <w:rPr>
          <w:rFonts w:eastAsia="+mn-ea" w:cs="+mn-cs"/>
          <w:bCs/>
          <w:i/>
          <w:iCs/>
          <w:kern w:val="24"/>
          <w:position w:val="6"/>
          <w:sz w:val="20"/>
          <w:szCs w:val="20"/>
          <w:vertAlign w:val="superscript"/>
          <w:lang w:eastAsia="en-AU"/>
        </w:rPr>
      </w:pPr>
      <w:r w:rsidRPr="00264435">
        <w:rPr>
          <w:rFonts w:eastAsia="+mn-ea" w:cs="+mn-cs"/>
          <w:bCs/>
          <w:i/>
          <w:iCs/>
          <w:kern w:val="24"/>
          <w:sz w:val="20"/>
          <w:szCs w:val="20"/>
          <w:lang w:eastAsia="en-AU"/>
        </w:rPr>
        <w:t>“Strengthen the National Mental Health Commission, which will provide independent oversight of our mental health reforms.”</w:t>
      </w:r>
      <w:r w:rsidRPr="00264435">
        <w:rPr>
          <w:rStyle w:val="FootnoteReference"/>
          <w:rFonts w:eastAsia="+mn-ea" w:cs="+mn-cs"/>
          <w:bCs/>
          <w:i/>
          <w:iCs/>
          <w:kern w:val="24"/>
          <w:sz w:val="20"/>
          <w:szCs w:val="20"/>
          <w:lang w:eastAsia="en-AU"/>
        </w:rPr>
        <w:footnoteReference w:id="3"/>
      </w:r>
    </w:p>
    <w:p w:rsidR="00407C25" w:rsidRPr="00264435" w:rsidRDefault="00407C25" w:rsidP="00407C25">
      <w:pPr>
        <w:rPr>
          <w:b/>
          <w:bCs/>
          <w:color w:val="0097A9" w:themeColor="accent5"/>
          <w:sz w:val="20"/>
          <w:szCs w:val="18"/>
        </w:rPr>
      </w:pPr>
      <w:r w:rsidRPr="00264435">
        <w:rPr>
          <w:b/>
          <w:bCs/>
          <w:color w:val="0097A9" w:themeColor="accent5"/>
          <w:sz w:val="20"/>
          <w:szCs w:val="18"/>
        </w:rPr>
        <w:t>Achievement of its purpose is currently challenged by organis</w:t>
      </w:r>
      <w:r w:rsidR="00204D56">
        <w:rPr>
          <w:b/>
          <w:bCs/>
          <w:color w:val="0097A9" w:themeColor="accent5"/>
          <w:sz w:val="20"/>
          <w:szCs w:val="18"/>
        </w:rPr>
        <w:t>ational capacity and capability</w:t>
      </w:r>
      <w:r w:rsidRPr="00264435">
        <w:rPr>
          <w:b/>
          <w:bCs/>
          <w:color w:val="0097A9" w:themeColor="accent5"/>
          <w:sz w:val="20"/>
          <w:szCs w:val="18"/>
        </w:rPr>
        <w:t xml:space="preserve"> and</w:t>
      </w:r>
      <w:r w:rsidR="00204D56">
        <w:rPr>
          <w:b/>
          <w:bCs/>
          <w:color w:val="0097A9" w:themeColor="accent5"/>
          <w:sz w:val="20"/>
          <w:szCs w:val="18"/>
        </w:rPr>
        <w:t>,</w:t>
      </w:r>
      <w:r w:rsidRPr="00264435">
        <w:rPr>
          <w:b/>
          <w:bCs/>
          <w:color w:val="0097A9" w:themeColor="accent5"/>
          <w:sz w:val="20"/>
          <w:szCs w:val="18"/>
        </w:rPr>
        <w:t xml:space="preserve"> to a lesser extent, the need to clarify roles and governance</w:t>
      </w:r>
    </w:p>
    <w:p w:rsidR="00407C25" w:rsidRDefault="00637FB2" w:rsidP="00407C25">
      <w:pPr>
        <w:spacing w:after="0" w:line="259" w:lineRule="auto"/>
        <w:rPr>
          <w:sz w:val="20"/>
          <w:szCs w:val="18"/>
        </w:rPr>
      </w:pPr>
      <w:r>
        <w:rPr>
          <w:sz w:val="20"/>
          <w:szCs w:val="18"/>
        </w:rPr>
        <w:t xml:space="preserve">The objectives </w:t>
      </w:r>
      <w:r w:rsidR="00EC3121">
        <w:rPr>
          <w:sz w:val="20"/>
          <w:szCs w:val="18"/>
        </w:rPr>
        <w:t xml:space="preserve">set for the NMHC </w:t>
      </w:r>
      <w:r>
        <w:rPr>
          <w:sz w:val="20"/>
          <w:szCs w:val="18"/>
        </w:rPr>
        <w:t>are ambitious</w:t>
      </w:r>
      <w:r w:rsidR="00EC3121">
        <w:rPr>
          <w:sz w:val="20"/>
          <w:szCs w:val="18"/>
        </w:rPr>
        <w:t>. Mental health is, both in content and governance, a complex space. In addition</w:t>
      </w:r>
      <w:r w:rsidR="00204D56">
        <w:rPr>
          <w:sz w:val="20"/>
          <w:szCs w:val="18"/>
        </w:rPr>
        <w:t>,</w:t>
      </w:r>
      <w:r w:rsidR="00EC3121">
        <w:rPr>
          <w:sz w:val="20"/>
          <w:szCs w:val="18"/>
        </w:rPr>
        <w:t xml:space="preserve"> the scope of the NMHC’s focus is broad, encompassing both a cross-sectoral perspective on mental health policy and performance, and a national view beyond the confines of the Commonwealth’s jurisdiction. </w:t>
      </w:r>
    </w:p>
    <w:p w:rsidR="00EC3121" w:rsidRDefault="00EC3121" w:rsidP="00407C25">
      <w:pPr>
        <w:spacing w:after="0" w:line="259" w:lineRule="auto"/>
        <w:rPr>
          <w:sz w:val="20"/>
          <w:szCs w:val="18"/>
        </w:rPr>
      </w:pPr>
    </w:p>
    <w:p w:rsidR="007944A6" w:rsidRDefault="00EC3121" w:rsidP="00407C25">
      <w:pPr>
        <w:spacing w:after="0" w:line="259" w:lineRule="auto"/>
        <w:rPr>
          <w:sz w:val="20"/>
          <w:szCs w:val="18"/>
        </w:rPr>
      </w:pPr>
      <w:r>
        <w:rPr>
          <w:sz w:val="20"/>
          <w:szCs w:val="18"/>
        </w:rPr>
        <w:t>The NMHC is a small organi</w:t>
      </w:r>
      <w:r w:rsidR="007944A6">
        <w:rPr>
          <w:sz w:val="20"/>
          <w:szCs w:val="18"/>
        </w:rPr>
        <w:t>s</w:t>
      </w:r>
      <w:r>
        <w:rPr>
          <w:sz w:val="20"/>
          <w:szCs w:val="18"/>
        </w:rPr>
        <w:t>ation and does not have sufficient capacity or capability to reliably deliver against this ambitious rol</w:t>
      </w:r>
      <w:r w:rsidR="007944A6">
        <w:rPr>
          <w:sz w:val="20"/>
          <w:szCs w:val="18"/>
        </w:rPr>
        <w:t xml:space="preserve">e. For such a body to have an impact that is </w:t>
      </w:r>
      <w:r w:rsidR="007944A6">
        <w:rPr>
          <w:sz w:val="20"/>
          <w:szCs w:val="18"/>
        </w:rPr>
        <w:lastRenderedPageBreak/>
        <w:t xml:space="preserve">respected </w:t>
      </w:r>
      <w:r w:rsidR="00204D56">
        <w:rPr>
          <w:sz w:val="20"/>
          <w:szCs w:val="18"/>
        </w:rPr>
        <w:t xml:space="preserve">and </w:t>
      </w:r>
      <w:r w:rsidR="007944A6">
        <w:rPr>
          <w:sz w:val="20"/>
          <w:szCs w:val="18"/>
        </w:rPr>
        <w:t>recognised by stakeholders requires the regular production</w:t>
      </w:r>
      <w:r w:rsidR="00821362">
        <w:rPr>
          <w:sz w:val="20"/>
          <w:szCs w:val="18"/>
        </w:rPr>
        <w:t xml:space="preserve"> of outputs that are of value, strong relationships </w:t>
      </w:r>
      <w:r w:rsidR="00746FA6">
        <w:rPr>
          <w:sz w:val="20"/>
          <w:szCs w:val="18"/>
        </w:rPr>
        <w:t>across government agencies and the different level</w:t>
      </w:r>
      <w:r w:rsidR="00667DCA">
        <w:rPr>
          <w:sz w:val="20"/>
          <w:szCs w:val="18"/>
        </w:rPr>
        <w:t>s</w:t>
      </w:r>
      <w:r w:rsidR="00746FA6">
        <w:rPr>
          <w:sz w:val="20"/>
          <w:szCs w:val="18"/>
        </w:rPr>
        <w:t xml:space="preserve"> of government</w:t>
      </w:r>
      <w:r w:rsidR="00204D56">
        <w:rPr>
          <w:sz w:val="20"/>
          <w:szCs w:val="18"/>
        </w:rPr>
        <w:t>,</w:t>
      </w:r>
      <w:r w:rsidR="00821362">
        <w:rPr>
          <w:sz w:val="20"/>
          <w:szCs w:val="18"/>
        </w:rPr>
        <w:t xml:space="preserve"> </w:t>
      </w:r>
      <w:r w:rsidR="007944A6">
        <w:rPr>
          <w:sz w:val="20"/>
          <w:szCs w:val="18"/>
        </w:rPr>
        <w:t xml:space="preserve">and </w:t>
      </w:r>
      <w:r w:rsidR="00821362">
        <w:rPr>
          <w:sz w:val="20"/>
          <w:szCs w:val="18"/>
        </w:rPr>
        <w:t xml:space="preserve">continuous engagement with key stakeholders across the system. </w:t>
      </w:r>
      <w:r w:rsidR="00746FA6">
        <w:rPr>
          <w:sz w:val="20"/>
          <w:szCs w:val="18"/>
        </w:rPr>
        <w:t>To deliver on this</w:t>
      </w:r>
      <w:r w:rsidR="00821362">
        <w:rPr>
          <w:sz w:val="20"/>
          <w:szCs w:val="18"/>
        </w:rPr>
        <w:t xml:space="preserve"> require</w:t>
      </w:r>
      <w:r w:rsidR="00204D56">
        <w:rPr>
          <w:sz w:val="20"/>
          <w:szCs w:val="18"/>
        </w:rPr>
        <w:t>s</w:t>
      </w:r>
      <w:r w:rsidR="00821362">
        <w:rPr>
          <w:sz w:val="20"/>
          <w:szCs w:val="18"/>
        </w:rPr>
        <w:t xml:space="preserve"> senior and experienced staff within the NMHC</w:t>
      </w:r>
      <w:r w:rsidR="00746FA6">
        <w:rPr>
          <w:sz w:val="20"/>
          <w:szCs w:val="18"/>
        </w:rPr>
        <w:t>. This</w:t>
      </w:r>
      <w:r w:rsidR="00821362">
        <w:rPr>
          <w:sz w:val="20"/>
          <w:szCs w:val="18"/>
        </w:rPr>
        <w:t xml:space="preserve"> is not sufficiently reflected in the current </w:t>
      </w:r>
      <w:r w:rsidR="00F562FF">
        <w:rPr>
          <w:sz w:val="20"/>
          <w:szCs w:val="18"/>
        </w:rPr>
        <w:t>workforce composition</w:t>
      </w:r>
      <w:r w:rsidR="00746FA6">
        <w:rPr>
          <w:sz w:val="20"/>
          <w:szCs w:val="18"/>
        </w:rPr>
        <w:t xml:space="preserve">, </w:t>
      </w:r>
      <w:proofErr w:type="gramStart"/>
      <w:r w:rsidR="00746FA6">
        <w:rPr>
          <w:sz w:val="20"/>
          <w:szCs w:val="18"/>
        </w:rPr>
        <w:t>nor</w:t>
      </w:r>
      <w:proofErr w:type="gramEnd"/>
      <w:r w:rsidR="00746FA6">
        <w:rPr>
          <w:sz w:val="20"/>
          <w:szCs w:val="18"/>
        </w:rPr>
        <w:t xml:space="preserve"> the resourcing of the organisation</w:t>
      </w:r>
      <w:r w:rsidR="00821362">
        <w:rPr>
          <w:sz w:val="20"/>
          <w:szCs w:val="18"/>
        </w:rPr>
        <w:t xml:space="preserve">. </w:t>
      </w:r>
    </w:p>
    <w:p w:rsidR="003F4C6A" w:rsidRDefault="003F4C6A" w:rsidP="00407C25">
      <w:pPr>
        <w:spacing w:after="0" w:line="259" w:lineRule="auto"/>
        <w:rPr>
          <w:sz w:val="20"/>
          <w:szCs w:val="18"/>
        </w:rPr>
      </w:pPr>
    </w:p>
    <w:p w:rsidR="00EC3121" w:rsidRDefault="003F4C6A" w:rsidP="00407C25">
      <w:pPr>
        <w:spacing w:after="0" w:line="259" w:lineRule="auto"/>
        <w:rPr>
          <w:sz w:val="20"/>
          <w:szCs w:val="18"/>
        </w:rPr>
      </w:pPr>
      <w:r>
        <w:rPr>
          <w:sz w:val="20"/>
          <w:szCs w:val="18"/>
        </w:rPr>
        <w:t>The NMHC’s value and place within the Australian mental health system would be greatly strengthened if it were known to reliably produce insightful and impactful research and advice</w:t>
      </w:r>
      <w:r w:rsidR="00667DCA">
        <w:rPr>
          <w:sz w:val="20"/>
          <w:szCs w:val="18"/>
        </w:rPr>
        <w:t xml:space="preserve"> on a regular basis, with a forward looking agenda of issues to consider in addition to its monitoring role</w:t>
      </w:r>
      <w:r>
        <w:rPr>
          <w:sz w:val="20"/>
          <w:szCs w:val="18"/>
        </w:rPr>
        <w:t xml:space="preserve">. </w:t>
      </w:r>
      <w:r w:rsidR="00CB5E90">
        <w:rPr>
          <w:sz w:val="20"/>
          <w:szCs w:val="18"/>
        </w:rPr>
        <w:t xml:space="preserve">The NMHC has certainly done good work – not least through its watershed development of the </w:t>
      </w:r>
      <w:r w:rsidR="00CB5E90" w:rsidRPr="00CB5E90">
        <w:rPr>
          <w:i/>
          <w:sz w:val="20"/>
          <w:szCs w:val="18"/>
        </w:rPr>
        <w:t>Contributing Lives</w:t>
      </w:r>
      <w:r w:rsidR="00CB5E90">
        <w:rPr>
          <w:sz w:val="20"/>
          <w:szCs w:val="18"/>
        </w:rPr>
        <w:t xml:space="preserve"> review. Consistently achieving this level of impact is not possible wi</w:t>
      </w:r>
      <w:r w:rsidR="00BE60A6">
        <w:rPr>
          <w:sz w:val="20"/>
          <w:szCs w:val="18"/>
        </w:rPr>
        <w:t>thin current resourcing levels.</w:t>
      </w:r>
    </w:p>
    <w:p w:rsidR="00637FB2" w:rsidRDefault="00637FB2" w:rsidP="00407C25">
      <w:pPr>
        <w:spacing w:after="0" w:line="259" w:lineRule="auto"/>
        <w:rPr>
          <w:sz w:val="20"/>
          <w:szCs w:val="18"/>
        </w:rPr>
      </w:pPr>
    </w:p>
    <w:p w:rsidR="00CB5E90" w:rsidRDefault="00CB5E90" w:rsidP="00407C25">
      <w:pPr>
        <w:spacing w:after="0" w:line="259" w:lineRule="auto"/>
        <w:rPr>
          <w:sz w:val="20"/>
          <w:szCs w:val="18"/>
        </w:rPr>
      </w:pPr>
      <w:r>
        <w:rPr>
          <w:sz w:val="20"/>
          <w:szCs w:val="18"/>
        </w:rPr>
        <w:t xml:space="preserve">The NMHC’s current governance has some room for clarification, though this is not as significant a barrier to success as its capacity and capability needs. </w:t>
      </w:r>
    </w:p>
    <w:p w:rsidR="00CB5E90" w:rsidRDefault="00CB5E90" w:rsidP="00407C25">
      <w:pPr>
        <w:spacing w:after="0" w:line="259" w:lineRule="auto"/>
        <w:rPr>
          <w:sz w:val="20"/>
          <w:szCs w:val="18"/>
        </w:rPr>
      </w:pPr>
    </w:p>
    <w:p w:rsidR="00CB5E90" w:rsidRDefault="00CB5E90" w:rsidP="00407C25">
      <w:pPr>
        <w:spacing w:after="0" w:line="259" w:lineRule="auto"/>
        <w:rPr>
          <w:sz w:val="20"/>
          <w:szCs w:val="18"/>
        </w:rPr>
      </w:pPr>
      <w:r>
        <w:rPr>
          <w:sz w:val="20"/>
          <w:szCs w:val="18"/>
        </w:rPr>
        <w:t>The NMHC was</w:t>
      </w:r>
      <w:r w:rsidR="00204D56">
        <w:rPr>
          <w:sz w:val="20"/>
          <w:szCs w:val="18"/>
        </w:rPr>
        <w:t xml:space="preserve"> created as an Executive Agency</w:t>
      </w:r>
      <w:r>
        <w:rPr>
          <w:sz w:val="20"/>
          <w:szCs w:val="18"/>
        </w:rPr>
        <w:t xml:space="preserve"> attached to</w:t>
      </w:r>
      <w:r w:rsidR="00204D56">
        <w:rPr>
          <w:sz w:val="20"/>
          <w:szCs w:val="18"/>
        </w:rPr>
        <w:t>,</w:t>
      </w:r>
      <w:r>
        <w:rPr>
          <w:sz w:val="20"/>
          <w:szCs w:val="18"/>
        </w:rPr>
        <w:t xml:space="preserve"> but distinct from</w:t>
      </w:r>
      <w:r w:rsidR="00204D56">
        <w:rPr>
          <w:sz w:val="20"/>
          <w:szCs w:val="18"/>
        </w:rPr>
        <w:t>,</w:t>
      </w:r>
      <w:r w:rsidR="00746FA6">
        <w:rPr>
          <w:sz w:val="20"/>
          <w:szCs w:val="18"/>
        </w:rPr>
        <w:t xml:space="preserve"> its </w:t>
      </w:r>
      <w:proofErr w:type="spellStart"/>
      <w:r w:rsidR="00746FA6">
        <w:rPr>
          <w:sz w:val="20"/>
          <w:szCs w:val="18"/>
        </w:rPr>
        <w:t>auspicing</w:t>
      </w:r>
      <w:proofErr w:type="spellEnd"/>
      <w:r w:rsidR="00746FA6">
        <w:rPr>
          <w:sz w:val="20"/>
          <w:szCs w:val="18"/>
        </w:rPr>
        <w:t xml:space="preserve"> agency (currently</w:t>
      </w:r>
      <w:r>
        <w:rPr>
          <w:sz w:val="20"/>
          <w:szCs w:val="18"/>
        </w:rPr>
        <w:t xml:space="preserve"> the Commonwealth Department of Health</w:t>
      </w:r>
      <w:r w:rsidR="00746FA6">
        <w:rPr>
          <w:sz w:val="20"/>
          <w:szCs w:val="18"/>
        </w:rPr>
        <w:t>, previously the Department of Prime Minister &amp; Cabinet)</w:t>
      </w:r>
      <w:r>
        <w:rPr>
          <w:sz w:val="20"/>
          <w:szCs w:val="18"/>
        </w:rPr>
        <w:t xml:space="preserve">. This form allows the NMHC to act with a degree of independence, enabling it to report </w:t>
      </w:r>
      <w:r w:rsidR="00204D56">
        <w:rPr>
          <w:sz w:val="20"/>
          <w:szCs w:val="18"/>
        </w:rPr>
        <w:t>to</w:t>
      </w:r>
      <w:r>
        <w:rPr>
          <w:sz w:val="20"/>
          <w:szCs w:val="18"/>
        </w:rPr>
        <w:t xml:space="preserve"> and </w:t>
      </w:r>
      <w:proofErr w:type="gramStart"/>
      <w:r>
        <w:rPr>
          <w:sz w:val="20"/>
          <w:szCs w:val="18"/>
        </w:rPr>
        <w:t>advise</w:t>
      </w:r>
      <w:proofErr w:type="gramEnd"/>
      <w:r>
        <w:rPr>
          <w:sz w:val="20"/>
          <w:szCs w:val="18"/>
        </w:rPr>
        <w:t xml:space="preserve"> government with separation from those who fund, administer and deliver mental health policy and programs. While some stakeholders indicate the independence of the NMHC is not sufficient, this </w:t>
      </w:r>
      <w:r w:rsidR="00BE1221">
        <w:rPr>
          <w:sz w:val="20"/>
          <w:szCs w:val="18"/>
        </w:rPr>
        <w:t>is</w:t>
      </w:r>
      <w:r>
        <w:rPr>
          <w:sz w:val="20"/>
          <w:szCs w:val="18"/>
        </w:rPr>
        <w:t xml:space="preserve"> a matter of perception, rather than strict institutional form. These perceptions should be addressed, however, as part of a set of actions to strengthen both the actual and perceived value of the NMHC. </w:t>
      </w:r>
    </w:p>
    <w:p w:rsidR="00527D17" w:rsidRDefault="00527D17" w:rsidP="00407C25">
      <w:pPr>
        <w:spacing w:after="0" w:line="259" w:lineRule="auto"/>
        <w:rPr>
          <w:sz w:val="20"/>
          <w:szCs w:val="18"/>
        </w:rPr>
      </w:pPr>
    </w:p>
    <w:p w:rsidR="00527D17" w:rsidRDefault="00527D17" w:rsidP="00407C25">
      <w:pPr>
        <w:spacing w:after="0" w:line="259" w:lineRule="auto"/>
        <w:rPr>
          <w:sz w:val="20"/>
          <w:szCs w:val="18"/>
        </w:rPr>
      </w:pPr>
      <w:r>
        <w:rPr>
          <w:sz w:val="20"/>
          <w:szCs w:val="18"/>
        </w:rPr>
        <w:t>The roles and responsibilities of the Commissioners are not clear, leading to misalignment about their proper purpose in the organisation. The Commissioners could, if working alongside a properly resourced NMHC, and with greater clarity about their roles and responsibilities, have a stronger impact on the NMHC and the mental health system.</w:t>
      </w:r>
    </w:p>
    <w:p w:rsidR="00407C25" w:rsidRPr="00264435" w:rsidRDefault="00407C25" w:rsidP="00407C25">
      <w:pPr>
        <w:spacing w:after="0" w:line="259" w:lineRule="auto"/>
        <w:rPr>
          <w:sz w:val="20"/>
          <w:szCs w:val="18"/>
        </w:rPr>
      </w:pPr>
    </w:p>
    <w:p w:rsidR="00407C25" w:rsidRPr="00264435" w:rsidRDefault="00407C25" w:rsidP="00407C25">
      <w:pPr>
        <w:spacing w:after="0" w:line="259" w:lineRule="auto"/>
        <w:rPr>
          <w:sz w:val="20"/>
          <w:szCs w:val="18"/>
        </w:rPr>
      </w:pPr>
      <w:r w:rsidRPr="00667DCA">
        <w:rPr>
          <w:b/>
          <w:bCs/>
          <w:color w:val="0097A9" w:themeColor="accent5"/>
          <w:sz w:val="20"/>
          <w:szCs w:val="18"/>
        </w:rPr>
        <w:t>A strengthened NMHC is one with</w:t>
      </w:r>
      <w:r w:rsidR="00926BB1" w:rsidRPr="00667DCA">
        <w:rPr>
          <w:b/>
          <w:bCs/>
          <w:color w:val="0097A9" w:themeColor="accent5"/>
          <w:sz w:val="20"/>
          <w:szCs w:val="18"/>
        </w:rPr>
        <w:t xml:space="preserve"> a strong authorising environment,</w:t>
      </w:r>
      <w:r w:rsidRPr="00667DCA">
        <w:rPr>
          <w:b/>
          <w:bCs/>
          <w:color w:val="0097A9" w:themeColor="accent5"/>
          <w:sz w:val="20"/>
          <w:szCs w:val="18"/>
        </w:rPr>
        <w:t xml:space="preserve"> sufficient capacity and capability and</w:t>
      </w:r>
      <w:r w:rsidR="00926BB1" w:rsidRPr="00667DCA">
        <w:rPr>
          <w:b/>
          <w:bCs/>
          <w:color w:val="0097A9" w:themeColor="accent5"/>
          <w:sz w:val="20"/>
          <w:szCs w:val="18"/>
        </w:rPr>
        <w:t xml:space="preserve"> well defined</w:t>
      </w:r>
      <w:r w:rsidRPr="00667DCA">
        <w:rPr>
          <w:b/>
          <w:bCs/>
          <w:color w:val="0097A9" w:themeColor="accent5"/>
          <w:sz w:val="20"/>
          <w:szCs w:val="18"/>
        </w:rPr>
        <w:t xml:space="preserve"> roles and functions</w:t>
      </w:r>
    </w:p>
    <w:p w:rsidR="00407C25" w:rsidRPr="00264435" w:rsidRDefault="00407C25" w:rsidP="00407C25">
      <w:pPr>
        <w:spacing w:after="0" w:line="259" w:lineRule="auto"/>
        <w:rPr>
          <w:sz w:val="20"/>
          <w:szCs w:val="18"/>
        </w:rPr>
      </w:pPr>
    </w:p>
    <w:p w:rsidR="00527D17" w:rsidRPr="00264435" w:rsidRDefault="00527D17" w:rsidP="00527D17">
      <w:pPr>
        <w:spacing w:after="0" w:line="259" w:lineRule="auto"/>
        <w:rPr>
          <w:b/>
          <w:sz w:val="20"/>
          <w:szCs w:val="18"/>
        </w:rPr>
      </w:pPr>
      <w:r w:rsidRPr="00264435">
        <w:rPr>
          <w:b/>
          <w:sz w:val="20"/>
          <w:szCs w:val="18"/>
        </w:rPr>
        <w:t>The role of the NMHC</w:t>
      </w:r>
      <w:r>
        <w:rPr>
          <w:b/>
          <w:sz w:val="20"/>
          <w:szCs w:val="18"/>
        </w:rPr>
        <w:t xml:space="preserve">, and its authorising environment, </w:t>
      </w:r>
      <w:r w:rsidRPr="00264435">
        <w:rPr>
          <w:b/>
          <w:sz w:val="20"/>
          <w:szCs w:val="18"/>
        </w:rPr>
        <w:t>should b</w:t>
      </w:r>
      <w:r>
        <w:rPr>
          <w:b/>
          <w:sz w:val="20"/>
          <w:szCs w:val="18"/>
        </w:rPr>
        <w:t>e optimised going forward</w:t>
      </w:r>
    </w:p>
    <w:p w:rsidR="00527D17" w:rsidRDefault="00527D17" w:rsidP="00527D17">
      <w:pPr>
        <w:spacing w:after="0" w:line="259" w:lineRule="auto"/>
        <w:rPr>
          <w:sz w:val="20"/>
          <w:szCs w:val="18"/>
        </w:rPr>
      </w:pPr>
    </w:p>
    <w:p w:rsidR="00527D17" w:rsidRDefault="00527D17" w:rsidP="00527D17">
      <w:pPr>
        <w:spacing w:after="0" w:line="259" w:lineRule="auto"/>
        <w:rPr>
          <w:sz w:val="20"/>
          <w:szCs w:val="18"/>
        </w:rPr>
      </w:pPr>
      <w:r>
        <w:rPr>
          <w:sz w:val="20"/>
          <w:szCs w:val="18"/>
        </w:rPr>
        <w:t xml:space="preserve">The core objectives and roles of the NMHC should remain the same. Its purpose should be bringing expertise and stakeholder perspectives – particularly those with lived experiences – to the advancement of mental health policy and practice in Australia. The impact and credibility of the NMHC will be strengthened by investing in its authorising environment, critical relationships and regular, high-quality outputs. </w:t>
      </w:r>
    </w:p>
    <w:p w:rsidR="00527D17" w:rsidRDefault="00527D17" w:rsidP="00527D17">
      <w:pPr>
        <w:spacing w:after="0" w:line="259" w:lineRule="auto"/>
        <w:rPr>
          <w:sz w:val="20"/>
          <w:szCs w:val="18"/>
        </w:rPr>
      </w:pPr>
    </w:p>
    <w:p w:rsidR="00527D17" w:rsidRDefault="00527D17" w:rsidP="00527D17">
      <w:pPr>
        <w:spacing w:after="0" w:line="259" w:lineRule="auto"/>
        <w:rPr>
          <w:sz w:val="20"/>
          <w:szCs w:val="18"/>
        </w:rPr>
      </w:pPr>
      <w:r>
        <w:rPr>
          <w:sz w:val="20"/>
          <w:szCs w:val="18"/>
        </w:rPr>
        <w:t>The authorising environment of the NMHC should be premised on the authority and support of the Minister</w:t>
      </w:r>
      <w:r w:rsidR="00926BB1">
        <w:rPr>
          <w:sz w:val="20"/>
          <w:szCs w:val="18"/>
        </w:rPr>
        <w:t xml:space="preserve"> for Health</w:t>
      </w:r>
      <w:r>
        <w:rPr>
          <w:sz w:val="20"/>
          <w:szCs w:val="18"/>
        </w:rPr>
        <w:t xml:space="preserve">, strong relationships with sector stakeholders, and sufficient resources to deliver on its objectives. </w:t>
      </w:r>
      <w:r w:rsidR="00926BB1">
        <w:rPr>
          <w:sz w:val="20"/>
          <w:szCs w:val="18"/>
        </w:rPr>
        <w:t>This authorising environment</w:t>
      </w:r>
      <w:r>
        <w:rPr>
          <w:sz w:val="20"/>
          <w:szCs w:val="18"/>
        </w:rPr>
        <w:t xml:space="preserve"> should be built through</w:t>
      </w:r>
      <w:r w:rsidR="00252A56">
        <w:rPr>
          <w:sz w:val="20"/>
          <w:szCs w:val="18"/>
        </w:rPr>
        <w:t xml:space="preserve"> </w:t>
      </w:r>
      <w:r w:rsidR="00252A56" w:rsidRPr="00B50499">
        <w:rPr>
          <w:sz w:val="20"/>
          <w:szCs w:val="18"/>
        </w:rPr>
        <w:t>changes to the Executive Order,</w:t>
      </w:r>
      <w:r>
        <w:rPr>
          <w:sz w:val="20"/>
          <w:szCs w:val="18"/>
        </w:rPr>
        <w:t xml:space="preserve"> a clear Charter Letter, regular meetings with the CEO and Chair and ad hoc engagement, such as participation at key events. </w:t>
      </w:r>
    </w:p>
    <w:p w:rsidR="00AF73BA" w:rsidRDefault="00AF73BA" w:rsidP="00527D17">
      <w:pPr>
        <w:spacing w:after="0" w:line="259" w:lineRule="auto"/>
        <w:rPr>
          <w:sz w:val="20"/>
          <w:szCs w:val="18"/>
        </w:rPr>
      </w:pPr>
    </w:p>
    <w:p w:rsidR="00AF73BA" w:rsidRDefault="00AF73BA" w:rsidP="00527D17">
      <w:pPr>
        <w:spacing w:after="0" w:line="259" w:lineRule="auto"/>
        <w:rPr>
          <w:sz w:val="20"/>
          <w:szCs w:val="18"/>
        </w:rPr>
      </w:pPr>
      <w:r w:rsidRPr="00B50499">
        <w:rPr>
          <w:sz w:val="20"/>
          <w:szCs w:val="18"/>
        </w:rPr>
        <w:t xml:space="preserve">Changes to the Executive Agency are made by Order of the Governor-General.  Such an Executive Order would be drafted within the Department of Health, in consultation with </w:t>
      </w:r>
      <w:r w:rsidRPr="00B50499">
        <w:rPr>
          <w:sz w:val="20"/>
          <w:szCs w:val="18"/>
        </w:rPr>
        <w:lastRenderedPageBreak/>
        <w:t xml:space="preserve">the Office of Parliamentary Counsel (OPC). </w:t>
      </w:r>
      <w:r w:rsidR="00377BCF" w:rsidRPr="00B50499">
        <w:rPr>
          <w:sz w:val="20"/>
          <w:szCs w:val="18"/>
        </w:rPr>
        <w:t>This approach would involve engagement with the Minister for Health and Prime Minister to clearly define the authorising environment for the NMHC.</w:t>
      </w:r>
    </w:p>
    <w:p w:rsidR="00527D17" w:rsidRDefault="00527D17" w:rsidP="00527D17">
      <w:pPr>
        <w:spacing w:after="0" w:line="259" w:lineRule="auto"/>
        <w:rPr>
          <w:sz w:val="20"/>
          <w:szCs w:val="18"/>
        </w:rPr>
      </w:pPr>
    </w:p>
    <w:p w:rsidR="00527D17" w:rsidRDefault="00DC3C1A" w:rsidP="00527D17">
      <w:pPr>
        <w:spacing w:after="0" w:line="259" w:lineRule="auto"/>
        <w:rPr>
          <w:sz w:val="20"/>
          <w:szCs w:val="18"/>
        </w:rPr>
      </w:pPr>
      <w:r>
        <w:rPr>
          <w:sz w:val="20"/>
          <w:szCs w:val="18"/>
        </w:rPr>
        <w:t>Given the NMHC’s cross-sectoral and national scope, its a</w:t>
      </w:r>
      <w:r w:rsidR="00527D17">
        <w:rPr>
          <w:sz w:val="20"/>
          <w:szCs w:val="18"/>
        </w:rPr>
        <w:t xml:space="preserve">uthority should also be built through strong relationships across the Australian mental health sector. This should include connections with Commonwealth and State and Territory colleagues in mental health and health to enhance the NMHC’s reach and impact. It should also include engagement with service providers and consumers, their carers’ and families. </w:t>
      </w:r>
    </w:p>
    <w:p w:rsidR="00527D17" w:rsidRDefault="00527D17" w:rsidP="00527D17">
      <w:pPr>
        <w:spacing w:after="0" w:line="259" w:lineRule="auto"/>
        <w:rPr>
          <w:sz w:val="20"/>
          <w:szCs w:val="18"/>
        </w:rPr>
      </w:pPr>
    </w:p>
    <w:p w:rsidR="00527D17" w:rsidRDefault="00527D17" w:rsidP="00527D17">
      <w:pPr>
        <w:spacing w:after="0" w:line="259" w:lineRule="auto"/>
        <w:rPr>
          <w:sz w:val="20"/>
          <w:szCs w:val="18"/>
        </w:rPr>
      </w:pPr>
      <w:r>
        <w:rPr>
          <w:sz w:val="20"/>
          <w:szCs w:val="18"/>
        </w:rPr>
        <w:t>Finally, the NMHC’s authority will be based on its activities</w:t>
      </w:r>
      <w:r w:rsidR="00DC3C1A">
        <w:rPr>
          <w:sz w:val="20"/>
          <w:szCs w:val="18"/>
        </w:rPr>
        <w:t>,</w:t>
      </w:r>
      <w:r>
        <w:rPr>
          <w:sz w:val="20"/>
          <w:szCs w:val="18"/>
        </w:rPr>
        <w:t xml:space="preserve"> outputs</w:t>
      </w:r>
      <w:r w:rsidR="00DC3C1A">
        <w:rPr>
          <w:sz w:val="20"/>
          <w:szCs w:val="18"/>
        </w:rPr>
        <w:t xml:space="preserve"> and the strength of its relationships</w:t>
      </w:r>
      <w:r>
        <w:rPr>
          <w:sz w:val="20"/>
          <w:szCs w:val="18"/>
        </w:rPr>
        <w:t xml:space="preserve">. It should be tasked with roles in </w:t>
      </w:r>
      <w:r w:rsidRPr="00264435">
        <w:rPr>
          <w:sz w:val="20"/>
          <w:szCs w:val="18"/>
        </w:rPr>
        <w:t>monitoring and reporting; providing policy advice to Government</w:t>
      </w:r>
      <w:r>
        <w:rPr>
          <w:sz w:val="20"/>
          <w:szCs w:val="18"/>
        </w:rPr>
        <w:t>s</w:t>
      </w:r>
      <w:r w:rsidRPr="00264435">
        <w:rPr>
          <w:sz w:val="20"/>
          <w:szCs w:val="18"/>
        </w:rPr>
        <w:t xml:space="preserve"> and engaging consumers, carers and families</w:t>
      </w:r>
      <w:r>
        <w:rPr>
          <w:sz w:val="20"/>
          <w:szCs w:val="18"/>
        </w:rPr>
        <w:t xml:space="preserve">. These roles should be delivered through a </w:t>
      </w:r>
      <w:r w:rsidRPr="00264435">
        <w:rPr>
          <w:sz w:val="20"/>
          <w:szCs w:val="18"/>
        </w:rPr>
        <w:t xml:space="preserve">regular suite of published </w:t>
      </w:r>
      <w:r>
        <w:rPr>
          <w:sz w:val="20"/>
          <w:szCs w:val="18"/>
        </w:rPr>
        <w:t>advice and engagement events</w:t>
      </w:r>
      <w:r w:rsidRPr="00264435">
        <w:rPr>
          <w:sz w:val="20"/>
          <w:szCs w:val="18"/>
        </w:rPr>
        <w:t>, including a combination of regular, planned work (such as annual reporting) coupled with targeted research focusing on priority areas</w:t>
      </w:r>
      <w:r>
        <w:rPr>
          <w:sz w:val="20"/>
          <w:szCs w:val="18"/>
        </w:rPr>
        <w:t xml:space="preserve">. This would be agreed in annual work-plans, with priority areas for research and advice identified in Charter Letters. </w:t>
      </w:r>
    </w:p>
    <w:p w:rsidR="00527D17" w:rsidRDefault="00527D17" w:rsidP="00527D17">
      <w:pPr>
        <w:spacing w:after="0" w:line="259" w:lineRule="auto"/>
        <w:rPr>
          <w:sz w:val="20"/>
          <w:szCs w:val="18"/>
        </w:rPr>
      </w:pPr>
    </w:p>
    <w:p w:rsidR="00527D17" w:rsidRDefault="00527D17" w:rsidP="00527D17">
      <w:pPr>
        <w:spacing w:after="0" w:line="259" w:lineRule="auto"/>
        <w:rPr>
          <w:sz w:val="20"/>
          <w:szCs w:val="18"/>
        </w:rPr>
      </w:pPr>
      <w:r>
        <w:rPr>
          <w:sz w:val="20"/>
          <w:szCs w:val="18"/>
        </w:rPr>
        <w:t xml:space="preserve">Through agreement with </w:t>
      </w:r>
      <w:r w:rsidRPr="00637FB2">
        <w:rPr>
          <w:sz w:val="20"/>
          <w:szCs w:val="18"/>
        </w:rPr>
        <w:t>Australian Heal</w:t>
      </w:r>
      <w:r>
        <w:rPr>
          <w:sz w:val="20"/>
          <w:szCs w:val="18"/>
        </w:rPr>
        <w:t xml:space="preserve">th Ministers' Advisory Council, and associated subcommittees, the NMHC should have a formal role </w:t>
      </w:r>
      <w:r w:rsidRPr="00637FB2">
        <w:rPr>
          <w:sz w:val="20"/>
          <w:szCs w:val="18"/>
        </w:rPr>
        <w:t xml:space="preserve">monitoring implementation and impact of the </w:t>
      </w:r>
      <w:r w:rsidRPr="00204D56">
        <w:rPr>
          <w:i/>
          <w:sz w:val="20"/>
          <w:szCs w:val="18"/>
        </w:rPr>
        <w:t>Fifth National Mental Health Plan</w:t>
      </w:r>
      <w:r>
        <w:rPr>
          <w:sz w:val="20"/>
          <w:szCs w:val="18"/>
        </w:rPr>
        <w:t xml:space="preserve">, commencing with development of appropriate outcome-level indicators. </w:t>
      </w:r>
    </w:p>
    <w:p w:rsidR="00527D17" w:rsidRDefault="00527D17" w:rsidP="00527D17">
      <w:pPr>
        <w:spacing w:after="0" w:line="259" w:lineRule="auto"/>
        <w:rPr>
          <w:sz w:val="20"/>
          <w:szCs w:val="18"/>
        </w:rPr>
      </w:pPr>
    </w:p>
    <w:p w:rsidR="00527D17" w:rsidRPr="00264435" w:rsidRDefault="00527D17" w:rsidP="00527D17">
      <w:pPr>
        <w:spacing w:after="0" w:line="259" w:lineRule="auto"/>
        <w:rPr>
          <w:b/>
          <w:sz w:val="20"/>
          <w:szCs w:val="18"/>
        </w:rPr>
      </w:pPr>
      <w:r w:rsidRPr="00264435">
        <w:rPr>
          <w:b/>
          <w:sz w:val="20"/>
          <w:szCs w:val="18"/>
        </w:rPr>
        <w:t>A strengthened NMHC requires sufficient cap</w:t>
      </w:r>
      <w:r>
        <w:rPr>
          <w:b/>
          <w:sz w:val="20"/>
          <w:szCs w:val="18"/>
        </w:rPr>
        <w:t>ability and capacity to deliver</w:t>
      </w:r>
    </w:p>
    <w:p w:rsidR="00527D17" w:rsidRDefault="00527D17" w:rsidP="00527D17">
      <w:pPr>
        <w:spacing w:after="0" w:line="259" w:lineRule="auto"/>
        <w:rPr>
          <w:sz w:val="20"/>
          <w:szCs w:val="18"/>
        </w:rPr>
      </w:pPr>
    </w:p>
    <w:p w:rsidR="00527D17" w:rsidRDefault="00527D17" w:rsidP="00527D17">
      <w:pPr>
        <w:spacing w:after="0" w:line="259" w:lineRule="auto"/>
        <w:rPr>
          <w:sz w:val="20"/>
          <w:szCs w:val="18"/>
        </w:rPr>
      </w:pPr>
      <w:r>
        <w:rPr>
          <w:sz w:val="20"/>
          <w:szCs w:val="18"/>
        </w:rPr>
        <w:t xml:space="preserve">Current resourcing of the NMHC, both the number and shape of the workforce, is not sufficient to deliver on its objectives. Achievement of the NMHC’s role in the system requires a proportionate uplift in the organisation’s capacity and capability – particularly its staff. </w:t>
      </w:r>
    </w:p>
    <w:p w:rsidR="00527D17" w:rsidRDefault="00527D17" w:rsidP="00527D17">
      <w:pPr>
        <w:spacing w:after="0" w:line="259" w:lineRule="auto"/>
        <w:rPr>
          <w:sz w:val="20"/>
          <w:szCs w:val="18"/>
        </w:rPr>
      </w:pPr>
    </w:p>
    <w:p w:rsidR="00527D17" w:rsidRDefault="00527D17" w:rsidP="00527D17">
      <w:pPr>
        <w:tabs>
          <w:tab w:val="num" w:pos="284"/>
        </w:tabs>
        <w:spacing w:after="0" w:line="259" w:lineRule="auto"/>
        <w:rPr>
          <w:sz w:val="20"/>
          <w:szCs w:val="18"/>
        </w:rPr>
      </w:pPr>
      <w:r>
        <w:rPr>
          <w:sz w:val="20"/>
          <w:szCs w:val="18"/>
        </w:rPr>
        <w:t xml:space="preserve">In the future, </w:t>
      </w:r>
      <w:r w:rsidR="00667DCA">
        <w:rPr>
          <w:sz w:val="20"/>
          <w:szCs w:val="18"/>
        </w:rPr>
        <w:t>a team of sufficient scale and capability to be credible and impactful in the mental health system must deliver the NMHC’s work</w:t>
      </w:r>
      <w:r w:rsidRPr="00264435">
        <w:rPr>
          <w:sz w:val="20"/>
          <w:szCs w:val="18"/>
        </w:rPr>
        <w:t>.</w:t>
      </w:r>
      <w:r>
        <w:rPr>
          <w:sz w:val="20"/>
          <w:szCs w:val="18"/>
        </w:rPr>
        <w:t xml:space="preserve"> </w:t>
      </w:r>
      <w:r w:rsidRPr="00264435">
        <w:rPr>
          <w:sz w:val="20"/>
          <w:szCs w:val="18"/>
        </w:rPr>
        <w:t>This means not just ‘enough’ staff, but also the right mixture, which includes those with mental health expertise and sufficient seniority</w:t>
      </w:r>
      <w:r>
        <w:rPr>
          <w:sz w:val="20"/>
          <w:szCs w:val="18"/>
        </w:rPr>
        <w:t xml:space="preserve"> to oversee</w:t>
      </w:r>
      <w:r w:rsidR="00667DCA">
        <w:rPr>
          <w:sz w:val="20"/>
          <w:szCs w:val="18"/>
        </w:rPr>
        <w:t xml:space="preserve"> and undertake</w:t>
      </w:r>
      <w:r>
        <w:rPr>
          <w:sz w:val="20"/>
          <w:szCs w:val="18"/>
        </w:rPr>
        <w:t xml:space="preserve"> engagement</w:t>
      </w:r>
      <w:r w:rsidR="00667DCA">
        <w:rPr>
          <w:sz w:val="20"/>
          <w:szCs w:val="18"/>
        </w:rPr>
        <w:t xml:space="preserve"> within and across governments and the sector</w:t>
      </w:r>
      <w:r w:rsidRPr="00264435">
        <w:rPr>
          <w:sz w:val="20"/>
          <w:szCs w:val="18"/>
        </w:rPr>
        <w:t>.</w:t>
      </w:r>
      <w:r>
        <w:rPr>
          <w:sz w:val="20"/>
          <w:szCs w:val="18"/>
        </w:rPr>
        <w:t xml:space="preserve"> </w:t>
      </w:r>
      <w:r w:rsidRPr="00264435">
        <w:rPr>
          <w:sz w:val="20"/>
          <w:szCs w:val="18"/>
        </w:rPr>
        <w:t xml:space="preserve">The NMHC </w:t>
      </w:r>
      <w:r>
        <w:rPr>
          <w:sz w:val="20"/>
          <w:szCs w:val="18"/>
        </w:rPr>
        <w:t>should</w:t>
      </w:r>
      <w:r w:rsidRPr="00264435">
        <w:rPr>
          <w:sz w:val="20"/>
          <w:szCs w:val="18"/>
        </w:rPr>
        <w:t xml:space="preserve"> also </w:t>
      </w:r>
      <w:r>
        <w:rPr>
          <w:sz w:val="20"/>
          <w:szCs w:val="18"/>
        </w:rPr>
        <w:t xml:space="preserve">be </w:t>
      </w:r>
      <w:r w:rsidRPr="00264435">
        <w:rPr>
          <w:sz w:val="20"/>
          <w:szCs w:val="18"/>
        </w:rPr>
        <w:t xml:space="preserve">able to effectively procure external support to add capacity as needed. </w:t>
      </w:r>
    </w:p>
    <w:p w:rsidR="00527D17" w:rsidRDefault="00527D17" w:rsidP="00527D17">
      <w:pPr>
        <w:tabs>
          <w:tab w:val="num" w:pos="284"/>
        </w:tabs>
        <w:spacing w:after="0" w:line="259" w:lineRule="auto"/>
        <w:rPr>
          <w:sz w:val="20"/>
          <w:szCs w:val="18"/>
        </w:rPr>
      </w:pPr>
    </w:p>
    <w:p w:rsidR="00527D17" w:rsidRPr="00264435" w:rsidRDefault="00527D17" w:rsidP="00527D17">
      <w:pPr>
        <w:tabs>
          <w:tab w:val="num" w:pos="284"/>
        </w:tabs>
        <w:spacing w:after="0" w:line="259" w:lineRule="auto"/>
        <w:rPr>
          <w:sz w:val="20"/>
          <w:szCs w:val="18"/>
        </w:rPr>
      </w:pPr>
      <w:r>
        <w:rPr>
          <w:sz w:val="20"/>
          <w:szCs w:val="18"/>
        </w:rPr>
        <w:t xml:space="preserve">This will require investment in addition to current levels. Without this investment, strengthening the NMHC will be impossible and its role in the Australian mental health system will be limited. </w:t>
      </w:r>
    </w:p>
    <w:p w:rsidR="00527D17" w:rsidRDefault="00527D17" w:rsidP="00407C25">
      <w:pPr>
        <w:spacing w:after="0" w:line="259" w:lineRule="auto"/>
        <w:rPr>
          <w:b/>
          <w:sz w:val="20"/>
          <w:szCs w:val="18"/>
        </w:rPr>
      </w:pPr>
    </w:p>
    <w:p w:rsidR="00407C25" w:rsidRPr="00264435" w:rsidRDefault="00637FB2" w:rsidP="00407C25">
      <w:pPr>
        <w:spacing w:after="0" w:line="259" w:lineRule="auto"/>
        <w:rPr>
          <w:b/>
          <w:sz w:val="20"/>
          <w:szCs w:val="18"/>
        </w:rPr>
      </w:pPr>
      <w:r>
        <w:rPr>
          <w:b/>
          <w:sz w:val="20"/>
          <w:szCs w:val="18"/>
        </w:rPr>
        <w:t>T</w:t>
      </w:r>
      <w:r w:rsidR="00407C25" w:rsidRPr="00264435">
        <w:rPr>
          <w:b/>
          <w:sz w:val="20"/>
          <w:szCs w:val="18"/>
        </w:rPr>
        <w:t xml:space="preserve">he roles and responsibilities of </w:t>
      </w:r>
      <w:r w:rsidR="00204D56">
        <w:rPr>
          <w:b/>
          <w:sz w:val="20"/>
          <w:szCs w:val="18"/>
        </w:rPr>
        <w:t xml:space="preserve">the </w:t>
      </w:r>
      <w:r w:rsidR="00407C25" w:rsidRPr="00264435">
        <w:rPr>
          <w:b/>
          <w:sz w:val="20"/>
          <w:szCs w:val="18"/>
        </w:rPr>
        <w:t>Commissioner</w:t>
      </w:r>
      <w:r w:rsidR="00204D56">
        <w:rPr>
          <w:b/>
          <w:sz w:val="20"/>
          <w:szCs w:val="18"/>
        </w:rPr>
        <w:t>s</w:t>
      </w:r>
      <w:r w:rsidR="00746FA6">
        <w:rPr>
          <w:b/>
          <w:sz w:val="20"/>
          <w:szCs w:val="18"/>
        </w:rPr>
        <w:t xml:space="preserve"> should be clarified</w:t>
      </w:r>
    </w:p>
    <w:p w:rsidR="00637FB2" w:rsidRDefault="00637FB2" w:rsidP="00637FB2">
      <w:pPr>
        <w:spacing w:after="0" w:line="259" w:lineRule="auto"/>
        <w:rPr>
          <w:sz w:val="20"/>
          <w:szCs w:val="18"/>
        </w:rPr>
      </w:pPr>
    </w:p>
    <w:p w:rsidR="00637FB2" w:rsidRDefault="00637FB2" w:rsidP="00637FB2">
      <w:pPr>
        <w:spacing w:after="0" w:line="259" w:lineRule="auto"/>
        <w:rPr>
          <w:sz w:val="20"/>
          <w:szCs w:val="18"/>
        </w:rPr>
      </w:pPr>
      <w:r>
        <w:rPr>
          <w:sz w:val="20"/>
          <w:szCs w:val="18"/>
        </w:rPr>
        <w:t xml:space="preserve">Current ambiguity in the roles and responsibilities of </w:t>
      </w:r>
      <w:r w:rsidR="00204D56">
        <w:rPr>
          <w:sz w:val="20"/>
          <w:szCs w:val="18"/>
        </w:rPr>
        <w:t xml:space="preserve">the </w:t>
      </w:r>
      <w:r>
        <w:rPr>
          <w:sz w:val="20"/>
          <w:szCs w:val="18"/>
        </w:rPr>
        <w:t xml:space="preserve">Commissioners should be addressed going forward through a </w:t>
      </w:r>
      <w:r w:rsidR="00AF73BA" w:rsidRPr="00B50499">
        <w:rPr>
          <w:sz w:val="20"/>
          <w:szCs w:val="18"/>
        </w:rPr>
        <w:t>change to the Executive Order</w:t>
      </w:r>
      <w:r w:rsidRPr="00B50499">
        <w:rPr>
          <w:sz w:val="20"/>
          <w:szCs w:val="18"/>
        </w:rPr>
        <w:t xml:space="preserve"> </w:t>
      </w:r>
      <w:r w:rsidR="00AF73BA" w:rsidRPr="00B50499">
        <w:rPr>
          <w:sz w:val="20"/>
          <w:szCs w:val="18"/>
        </w:rPr>
        <w:t xml:space="preserve">from the Governor General </w:t>
      </w:r>
      <w:r w:rsidRPr="00B50499">
        <w:rPr>
          <w:sz w:val="20"/>
          <w:szCs w:val="18"/>
        </w:rPr>
        <w:t xml:space="preserve">to </w:t>
      </w:r>
      <w:r w:rsidR="00AF73BA" w:rsidRPr="00B50499">
        <w:rPr>
          <w:sz w:val="20"/>
          <w:szCs w:val="18"/>
        </w:rPr>
        <w:t>the NMHC and reiterated through the Charter Letter from the Minister for Health</w:t>
      </w:r>
      <w:r w:rsidR="00377BCF" w:rsidRPr="00B50499">
        <w:rPr>
          <w:sz w:val="20"/>
          <w:szCs w:val="18"/>
        </w:rPr>
        <w:t xml:space="preserve"> and in close consultation with the Prime Minister</w:t>
      </w:r>
      <w:r w:rsidRPr="00B50499">
        <w:rPr>
          <w:sz w:val="20"/>
          <w:szCs w:val="18"/>
        </w:rPr>
        <w:t xml:space="preserve">. </w:t>
      </w:r>
      <w:r w:rsidR="00AF73BA" w:rsidRPr="00B50499">
        <w:rPr>
          <w:sz w:val="20"/>
          <w:szCs w:val="18"/>
        </w:rPr>
        <w:t>The Executive Order and Charter Letter (which should be issued on a regular basis)</w:t>
      </w:r>
      <w:r w:rsidRPr="00B50499">
        <w:rPr>
          <w:sz w:val="20"/>
          <w:szCs w:val="18"/>
        </w:rPr>
        <w:t xml:space="preserve"> should</w:t>
      </w:r>
      <w:r>
        <w:rPr>
          <w:sz w:val="20"/>
          <w:szCs w:val="18"/>
        </w:rPr>
        <w:t xml:space="preserve"> outline the expectations contained in this document, as well as any specific priorities the government has for the NMHC.</w:t>
      </w:r>
    </w:p>
    <w:p w:rsidR="00637FB2" w:rsidRDefault="00637FB2" w:rsidP="00637FB2">
      <w:pPr>
        <w:spacing w:after="0" w:line="259" w:lineRule="auto"/>
        <w:rPr>
          <w:sz w:val="20"/>
          <w:szCs w:val="18"/>
        </w:rPr>
      </w:pPr>
    </w:p>
    <w:p w:rsidR="00746FA6" w:rsidRPr="00AC1111" w:rsidRDefault="006F4274" w:rsidP="00637FB2">
      <w:pPr>
        <w:spacing w:after="0" w:line="259" w:lineRule="auto"/>
        <w:rPr>
          <w:sz w:val="20"/>
          <w:szCs w:val="18"/>
        </w:rPr>
      </w:pPr>
      <w:r w:rsidRPr="00AC1111">
        <w:rPr>
          <w:sz w:val="20"/>
          <w:szCs w:val="18"/>
        </w:rPr>
        <w:t xml:space="preserve">The Commissioners are advisors to, not governors of, the NMHC. </w:t>
      </w:r>
      <w:r w:rsidR="008B1FEA" w:rsidRPr="00AC1111">
        <w:rPr>
          <w:sz w:val="20"/>
          <w:szCs w:val="18"/>
        </w:rPr>
        <w:t xml:space="preserve">The Commissioners are expert advisors to, and influencers of, the work created or commissioned by the </w:t>
      </w:r>
      <w:r w:rsidR="008B1FEA" w:rsidRPr="00AC1111">
        <w:rPr>
          <w:sz w:val="20"/>
          <w:szCs w:val="18"/>
        </w:rPr>
        <w:lastRenderedPageBreak/>
        <w:t xml:space="preserve">organisation. They also play a leading role engaging with stakeholders, and feeding these voices back into the NMHC’s work. </w:t>
      </w:r>
      <w:r w:rsidR="00F2442D" w:rsidRPr="00AC1111">
        <w:rPr>
          <w:sz w:val="20"/>
          <w:szCs w:val="18"/>
        </w:rPr>
        <w:t>Whilst bringing individual expertise, they operate as an advisory collective</w:t>
      </w:r>
      <w:r w:rsidR="00926BB1">
        <w:rPr>
          <w:sz w:val="20"/>
          <w:szCs w:val="18"/>
        </w:rPr>
        <w:t>. As such, t</w:t>
      </w:r>
      <w:r w:rsidR="00F2442D" w:rsidRPr="00AC1111">
        <w:rPr>
          <w:sz w:val="20"/>
          <w:szCs w:val="18"/>
        </w:rPr>
        <w:t>he Chair is required to manage the Commissioners as a collective, seeking to build consensus view</w:t>
      </w:r>
      <w:r w:rsidR="00945565">
        <w:rPr>
          <w:sz w:val="20"/>
          <w:szCs w:val="18"/>
        </w:rPr>
        <w:t>s</w:t>
      </w:r>
      <w:r w:rsidR="00F2442D" w:rsidRPr="00AC1111">
        <w:rPr>
          <w:sz w:val="20"/>
          <w:szCs w:val="18"/>
        </w:rPr>
        <w:t xml:space="preserve"> wherever possible. </w:t>
      </w:r>
    </w:p>
    <w:p w:rsidR="008B1FEA" w:rsidRPr="00AC1111" w:rsidRDefault="008B1FEA" w:rsidP="00637FB2">
      <w:pPr>
        <w:spacing w:after="0" w:line="259" w:lineRule="auto"/>
        <w:rPr>
          <w:sz w:val="20"/>
          <w:szCs w:val="18"/>
        </w:rPr>
      </w:pPr>
    </w:p>
    <w:p w:rsidR="00637FB2" w:rsidRDefault="00F2442D" w:rsidP="00637FB2">
      <w:pPr>
        <w:spacing w:after="0" w:line="259" w:lineRule="auto"/>
        <w:rPr>
          <w:sz w:val="20"/>
          <w:szCs w:val="18"/>
        </w:rPr>
      </w:pPr>
      <w:r w:rsidRPr="00AC1111">
        <w:rPr>
          <w:sz w:val="20"/>
          <w:szCs w:val="18"/>
        </w:rPr>
        <w:t xml:space="preserve">This expert advisory role of the Commissioners, and the associated expectations around their expertise and behaviour, should </w:t>
      </w:r>
      <w:r w:rsidR="00DC3C1A">
        <w:rPr>
          <w:sz w:val="20"/>
          <w:szCs w:val="18"/>
        </w:rPr>
        <w:t xml:space="preserve">also </w:t>
      </w:r>
      <w:r w:rsidRPr="00AC1111">
        <w:rPr>
          <w:sz w:val="20"/>
          <w:szCs w:val="18"/>
        </w:rPr>
        <w:t>be documented in the</w:t>
      </w:r>
      <w:r w:rsidR="00AF73BA">
        <w:rPr>
          <w:sz w:val="20"/>
          <w:szCs w:val="18"/>
        </w:rPr>
        <w:t xml:space="preserve"> </w:t>
      </w:r>
      <w:r w:rsidR="00AF73BA" w:rsidRPr="00B50499">
        <w:rPr>
          <w:sz w:val="20"/>
          <w:szCs w:val="18"/>
        </w:rPr>
        <w:t>Executive Order and</w:t>
      </w:r>
      <w:r w:rsidRPr="00B50499">
        <w:rPr>
          <w:sz w:val="20"/>
          <w:szCs w:val="18"/>
        </w:rPr>
        <w:t xml:space="preserve"> Charter Letter.</w:t>
      </w:r>
    </w:p>
    <w:p w:rsidR="00407C25" w:rsidRPr="00264435" w:rsidRDefault="00407C25" w:rsidP="00407C25">
      <w:pPr>
        <w:spacing w:after="0" w:line="259" w:lineRule="auto"/>
        <w:rPr>
          <w:sz w:val="20"/>
          <w:szCs w:val="18"/>
        </w:rPr>
      </w:pPr>
    </w:p>
    <w:p w:rsidR="00E664BD" w:rsidRPr="00264435" w:rsidRDefault="00E664BD" w:rsidP="00E664BD">
      <w:pPr>
        <w:rPr>
          <w:b/>
          <w:bCs/>
          <w:color w:val="0097A9" w:themeColor="accent5"/>
          <w:sz w:val="20"/>
          <w:szCs w:val="18"/>
        </w:rPr>
      </w:pPr>
      <w:r w:rsidRPr="00264435">
        <w:rPr>
          <w:b/>
          <w:bCs/>
          <w:color w:val="0097A9" w:themeColor="accent5"/>
          <w:sz w:val="20"/>
          <w:szCs w:val="18"/>
        </w:rPr>
        <w:t>Now is an opportune moment to strengthen the NMHC, and learn from the experience of similar entities</w:t>
      </w:r>
    </w:p>
    <w:p w:rsidR="00637FB2" w:rsidRDefault="00637FB2" w:rsidP="00E664BD">
      <w:pPr>
        <w:spacing w:after="0" w:line="259" w:lineRule="auto"/>
        <w:rPr>
          <w:sz w:val="20"/>
          <w:szCs w:val="18"/>
        </w:rPr>
      </w:pPr>
      <w:r>
        <w:rPr>
          <w:sz w:val="20"/>
          <w:szCs w:val="18"/>
        </w:rPr>
        <w:t xml:space="preserve">There are clear opportunities to strengthen the NMHC, as described in this document. However, lessons should also be drawn from the experiences of similar </w:t>
      </w:r>
      <w:r w:rsidR="00F2442D">
        <w:rPr>
          <w:sz w:val="20"/>
          <w:szCs w:val="18"/>
        </w:rPr>
        <w:t>organisations</w:t>
      </w:r>
      <w:r>
        <w:rPr>
          <w:sz w:val="20"/>
          <w:szCs w:val="18"/>
        </w:rPr>
        <w:t xml:space="preserve">. </w:t>
      </w:r>
    </w:p>
    <w:p w:rsidR="00637FB2" w:rsidRDefault="00637FB2" w:rsidP="00E664BD">
      <w:pPr>
        <w:spacing w:after="0" w:line="259" w:lineRule="auto"/>
        <w:rPr>
          <w:sz w:val="20"/>
          <w:szCs w:val="18"/>
        </w:rPr>
      </w:pPr>
    </w:p>
    <w:p w:rsidR="00E664BD" w:rsidRPr="00264435" w:rsidRDefault="00E664BD" w:rsidP="00E664BD">
      <w:pPr>
        <w:spacing w:after="0" w:line="259" w:lineRule="auto"/>
        <w:rPr>
          <w:sz w:val="20"/>
          <w:szCs w:val="18"/>
        </w:rPr>
      </w:pPr>
      <w:r w:rsidRPr="00264435">
        <w:rPr>
          <w:sz w:val="20"/>
          <w:szCs w:val="18"/>
        </w:rPr>
        <w:t>The Australian Commission on Safety and Quality in Health Care (ACSQHC) is broadly considered to be a valuable and high-impact organi</w:t>
      </w:r>
      <w:r w:rsidR="00204D56">
        <w:rPr>
          <w:sz w:val="20"/>
          <w:szCs w:val="18"/>
        </w:rPr>
        <w:t>s</w:t>
      </w:r>
      <w:r w:rsidRPr="00264435">
        <w:rPr>
          <w:sz w:val="20"/>
          <w:szCs w:val="18"/>
        </w:rPr>
        <w:t xml:space="preserve">ation within the Australian health system. While no longer in operation, the former National Health Performance Authority (NHPA) was considered by many to be a similarly strong and effective entity. Their success was driven by a number of factors, but critical amongst these were strong work programmes </w:t>
      </w:r>
      <w:r w:rsidRPr="00264435">
        <w:rPr>
          <w:b/>
          <w:sz w:val="20"/>
          <w:szCs w:val="18"/>
        </w:rPr>
        <w:t>demonstrating their value</w:t>
      </w:r>
      <w:r w:rsidRPr="00264435">
        <w:rPr>
          <w:sz w:val="20"/>
          <w:szCs w:val="18"/>
        </w:rPr>
        <w:t xml:space="preserve">, and a gradual </w:t>
      </w:r>
      <w:r w:rsidRPr="00264435">
        <w:rPr>
          <w:b/>
          <w:sz w:val="20"/>
          <w:szCs w:val="18"/>
        </w:rPr>
        <w:t>building of relationships</w:t>
      </w:r>
      <w:r w:rsidRPr="00264435">
        <w:rPr>
          <w:sz w:val="20"/>
          <w:szCs w:val="18"/>
        </w:rPr>
        <w:t xml:space="preserve"> and ‘earning’ their place. Particularly in the case of the ACSQH, this strength is underpinned by a perception that it is comprised </w:t>
      </w:r>
      <w:r w:rsidR="00204D56">
        <w:rPr>
          <w:sz w:val="20"/>
          <w:szCs w:val="18"/>
        </w:rPr>
        <w:t>of</w:t>
      </w:r>
      <w:r w:rsidRPr="00264435">
        <w:rPr>
          <w:sz w:val="20"/>
          <w:szCs w:val="18"/>
        </w:rPr>
        <w:t xml:space="preserve"> </w:t>
      </w:r>
      <w:r w:rsidRPr="00264435">
        <w:rPr>
          <w:b/>
          <w:sz w:val="20"/>
          <w:szCs w:val="18"/>
        </w:rPr>
        <w:t>experts</w:t>
      </w:r>
      <w:r w:rsidRPr="00264435">
        <w:rPr>
          <w:sz w:val="20"/>
          <w:szCs w:val="18"/>
        </w:rPr>
        <w:t xml:space="preserve">, who bring their knowledge and experience to their work. These lessons are important to consider as part of the journey towards a strengthened role for the NMHC. </w:t>
      </w:r>
    </w:p>
    <w:p w:rsidR="00E664BD" w:rsidRPr="00264435" w:rsidRDefault="00E664BD" w:rsidP="00E664BD">
      <w:pPr>
        <w:spacing w:after="0" w:line="259" w:lineRule="auto"/>
        <w:rPr>
          <w:sz w:val="20"/>
          <w:szCs w:val="18"/>
        </w:rPr>
      </w:pPr>
    </w:p>
    <w:p w:rsidR="00E664BD" w:rsidRPr="00264435" w:rsidRDefault="00E664BD" w:rsidP="00E664BD">
      <w:pPr>
        <w:spacing w:after="0" w:line="259" w:lineRule="auto"/>
      </w:pPr>
      <w:r w:rsidRPr="00264435">
        <w:rPr>
          <w:sz w:val="20"/>
          <w:szCs w:val="18"/>
        </w:rPr>
        <w:t xml:space="preserve">The NMHC has an opportunity to make a difference to the lives of Australians, particularly those who experience mental illness or are affected by suicide. Given the recent commencement of a new CEO, the forthcoming end of tenure for the inaugural Commissioners and Chair and the Prime Minister’s public commitment to strengthening its role, </w:t>
      </w:r>
      <w:r w:rsidRPr="00264435">
        <w:rPr>
          <w:b/>
          <w:sz w:val="20"/>
          <w:szCs w:val="18"/>
        </w:rPr>
        <w:t>now is the moment</w:t>
      </w:r>
      <w:r w:rsidRPr="00264435">
        <w:rPr>
          <w:sz w:val="20"/>
          <w:szCs w:val="18"/>
        </w:rPr>
        <w:t xml:space="preserve"> to address issues holding the NMHC back, and position it to have a valuable impact going forward. </w:t>
      </w:r>
    </w:p>
    <w:p w:rsidR="00937282" w:rsidRPr="00264435" w:rsidRDefault="00937282" w:rsidP="0095077D">
      <w:pPr>
        <w:rPr>
          <w:bCs/>
          <w:sz w:val="20"/>
          <w:szCs w:val="18"/>
        </w:rPr>
      </w:pPr>
    </w:p>
    <w:p w:rsidR="00D63556" w:rsidRPr="00264435" w:rsidRDefault="00D63556" w:rsidP="002C3CAF">
      <w:r w:rsidRPr="00264435">
        <w:br w:type="page"/>
      </w:r>
    </w:p>
    <w:p w:rsidR="00E452E7" w:rsidRPr="00264435" w:rsidRDefault="00B64F03" w:rsidP="00E452E7">
      <w:pPr>
        <w:pStyle w:val="Heading1"/>
        <w:spacing w:after="0"/>
      </w:pPr>
      <w:bookmarkStart w:id="2" w:name="_Toc482809620"/>
      <w:r>
        <w:lastRenderedPageBreak/>
        <w:t xml:space="preserve">1. </w:t>
      </w:r>
      <w:r w:rsidR="00247DFA" w:rsidRPr="00264435">
        <w:t>Role, Functions &amp; Scope</w:t>
      </w:r>
      <w:bookmarkEnd w:id="2"/>
    </w:p>
    <w:p w:rsidR="00C7789A" w:rsidRDefault="00C7789A" w:rsidP="00F7673A">
      <w:pPr>
        <w:rPr>
          <w:sz w:val="20"/>
          <w:szCs w:val="18"/>
        </w:rPr>
      </w:pPr>
    </w:p>
    <w:p w:rsidR="00247DFA" w:rsidRPr="007819CC" w:rsidRDefault="00204D56" w:rsidP="00F7673A">
      <w:pPr>
        <w:rPr>
          <w:i/>
          <w:sz w:val="20"/>
          <w:szCs w:val="18"/>
        </w:rPr>
      </w:pPr>
      <w:r>
        <w:rPr>
          <w:i/>
          <w:sz w:val="20"/>
          <w:szCs w:val="18"/>
        </w:rPr>
        <w:t>The role,</w:t>
      </w:r>
      <w:r w:rsidR="007819CC" w:rsidRPr="007819CC">
        <w:rPr>
          <w:i/>
          <w:sz w:val="20"/>
          <w:szCs w:val="18"/>
        </w:rPr>
        <w:t xml:space="preserve"> function</w:t>
      </w:r>
      <w:r>
        <w:rPr>
          <w:i/>
          <w:sz w:val="20"/>
          <w:szCs w:val="18"/>
        </w:rPr>
        <w:t>s</w:t>
      </w:r>
      <w:r w:rsidR="007819CC" w:rsidRPr="007819CC">
        <w:rPr>
          <w:i/>
          <w:sz w:val="20"/>
          <w:szCs w:val="18"/>
        </w:rPr>
        <w:t xml:space="preserve"> and scope of the NMHC do not need to significantly change. While there is benefit to some sharpening of the NMHC’s role and functions, the primary </w:t>
      </w:r>
      <w:proofErr w:type="gramStart"/>
      <w:r w:rsidR="007819CC" w:rsidRPr="007819CC">
        <w:rPr>
          <w:i/>
          <w:sz w:val="20"/>
          <w:szCs w:val="18"/>
        </w:rPr>
        <w:t>challenge to its effective performance are</w:t>
      </w:r>
      <w:proofErr w:type="gramEnd"/>
      <w:r w:rsidR="007819CC" w:rsidRPr="007819CC">
        <w:rPr>
          <w:i/>
          <w:sz w:val="20"/>
          <w:szCs w:val="18"/>
        </w:rPr>
        <w:t xml:space="preserve"> capacity and capability constraints. These are discussed in Chapter 2.  </w:t>
      </w:r>
    </w:p>
    <w:p w:rsidR="00E452E7" w:rsidRPr="00264435" w:rsidRDefault="00B64F03" w:rsidP="00F916D6">
      <w:pPr>
        <w:pStyle w:val="Heading2"/>
      </w:pPr>
      <w:bookmarkStart w:id="3" w:name="_Toc482809621"/>
      <w:r>
        <w:t xml:space="preserve">A. </w:t>
      </w:r>
      <w:r w:rsidR="00F7673A" w:rsidRPr="00264435">
        <w:t>Role</w:t>
      </w:r>
      <w:r w:rsidR="009B4D0A" w:rsidRPr="00264435">
        <w:t xml:space="preserve"> and Functions</w:t>
      </w:r>
      <w:bookmarkEnd w:id="3"/>
    </w:p>
    <w:p w:rsidR="0008004C" w:rsidRDefault="0008004C" w:rsidP="00F7673A">
      <w:pPr>
        <w:spacing w:after="200" w:line="240" w:lineRule="auto"/>
        <w:rPr>
          <w:rFonts w:eastAsia="+mn-ea" w:cs="+mn-cs"/>
          <w:b/>
          <w:color w:val="000000" w:themeColor="text1"/>
          <w:kern w:val="24"/>
          <w:sz w:val="20"/>
          <w:szCs w:val="36"/>
          <w:lang w:eastAsia="en-AU"/>
        </w:rPr>
      </w:pPr>
    </w:p>
    <w:p w:rsidR="00F7673A" w:rsidRPr="00264435" w:rsidRDefault="009B4D0A" w:rsidP="00F7673A">
      <w:pPr>
        <w:spacing w:after="200" w:line="240" w:lineRule="auto"/>
        <w:rPr>
          <w:rFonts w:eastAsia="Times New Roman" w:cs="Times New Roman"/>
          <w:b/>
          <w:color w:val="000000" w:themeColor="text1"/>
          <w:sz w:val="14"/>
          <w:szCs w:val="24"/>
          <w:lang w:eastAsia="en-AU"/>
        </w:rPr>
      </w:pPr>
      <w:r w:rsidRPr="00264435">
        <w:rPr>
          <w:rFonts w:eastAsia="+mn-ea" w:cs="+mn-cs"/>
          <w:b/>
          <w:color w:val="000000" w:themeColor="text1"/>
          <w:kern w:val="24"/>
          <w:sz w:val="20"/>
          <w:szCs w:val="36"/>
          <w:lang w:eastAsia="en-AU"/>
        </w:rPr>
        <w:t>Key finding</w:t>
      </w:r>
      <w:r w:rsidR="00F42F62">
        <w:rPr>
          <w:rFonts w:eastAsia="+mn-ea" w:cs="+mn-cs"/>
          <w:b/>
          <w:color w:val="000000" w:themeColor="text1"/>
          <w:kern w:val="24"/>
          <w:sz w:val="20"/>
          <w:szCs w:val="36"/>
          <w:lang w:eastAsia="en-AU"/>
        </w:rPr>
        <w:t xml:space="preserve"> 1</w:t>
      </w:r>
      <w:r w:rsidRPr="00264435">
        <w:rPr>
          <w:rFonts w:eastAsia="+mn-ea" w:cs="+mn-cs"/>
          <w:b/>
          <w:color w:val="000000" w:themeColor="text1"/>
          <w:kern w:val="24"/>
          <w:sz w:val="20"/>
          <w:szCs w:val="36"/>
          <w:lang w:eastAsia="en-AU"/>
        </w:rPr>
        <w:t>: t</w:t>
      </w:r>
      <w:r w:rsidR="00F7673A" w:rsidRPr="00264435">
        <w:rPr>
          <w:rFonts w:eastAsia="+mn-ea" w:cs="+mn-cs"/>
          <w:b/>
          <w:color w:val="000000" w:themeColor="text1"/>
          <w:kern w:val="24"/>
          <w:sz w:val="20"/>
          <w:szCs w:val="36"/>
          <w:lang w:eastAsia="en-AU"/>
        </w:rPr>
        <w:t>he NMHC has an important</w:t>
      </w:r>
      <w:r w:rsidRPr="00264435">
        <w:rPr>
          <w:rFonts w:eastAsia="+mn-ea" w:cs="+mn-cs"/>
          <w:b/>
          <w:color w:val="000000" w:themeColor="text1"/>
          <w:kern w:val="24"/>
          <w:sz w:val="20"/>
          <w:szCs w:val="36"/>
          <w:lang w:eastAsia="en-AU"/>
        </w:rPr>
        <w:t xml:space="preserve"> and significant</w:t>
      </w:r>
      <w:r w:rsidR="00F7673A" w:rsidRPr="00264435">
        <w:rPr>
          <w:rFonts w:eastAsia="+mn-ea" w:cs="+mn-cs"/>
          <w:b/>
          <w:color w:val="000000" w:themeColor="text1"/>
          <w:kern w:val="24"/>
          <w:sz w:val="20"/>
          <w:szCs w:val="36"/>
          <w:lang w:eastAsia="en-AU"/>
        </w:rPr>
        <w:t xml:space="preserve"> role</w:t>
      </w:r>
      <w:r w:rsidR="00204D56">
        <w:rPr>
          <w:rFonts w:eastAsia="+mn-ea" w:cs="+mn-cs"/>
          <w:b/>
          <w:color w:val="000000" w:themeColor="text1"/>
          <w:kern w:val="24"/>
          <w:sz w:val="20"/>
          <w:szCs w:val="36"/>
          <w:lang w:eastAsia="en-AU"/>
        </w:rPr>
        <w:t xml:space="preserve"> in</w:t>
      </w:r>
      <w:r w:rsidR="00F7673A" w:rsidRPr="00264435">
        <w:rPr>
          <w:rFonts w:eastAsia="+mn-ea" w:cs="+mn-cs"/>
          <w:b/>
          <w:color w:val="000000" w:themeColor="text1"/>
          <w:kern w:val="24"/>
          <w:sz w:val="20"/>
          <w:szCs w:val="36"/>
          <w:lang w:eastAsia="en-AU"/>
        </w:rPr>
        <w:t xml:space="preserve"> imp</w:t>
      </w:r>
      <w:r w:rsidRPr="00264435">
        <w:rPr>
          <w:rFonts w:eastAsia="+mn-ea" w:cs="+mn-cs"/>
          <w:b/>
          <w:color w:val="000000" w:themeColor="text1"/>
          <w:kern w:val="24"/>
          <w:sz w:val="20"/>
          <w:szCs w:val="36"/>
          <w:lang w:eastAsia="en-AU"/>
        </w:rPr>
        <w:t>roving the Australian mental health sector</w:t>
      </w:r>
    </w:p>
    <w:p w:rsidR="00F7673A" w:rsidRPr="00264435" w:rsidRDefault="00F7673A" w:rsidP="00F7673A">
      <w:pPr>
        <w:spacing w:after="200" w:line="240" w:lineRule="auto"/>
        <w:rPr>
          <w:rFonts w:eastAsia="Times New Roman" w:cs="Times New Roman"/>
          <w:sz w:val="24"/>
          <w:szCs w:val="24"/>
          <w:lang w:eastAsia="en-AU"/>
        </w:rPr>
      </w:pPr>
      <w:r w:rsidRPr="00264435">
        <w:rPr>
          <w:rFonts w:eastAsia="+mn-ea" w:cs="+mn-cs"/>
          <w:color w:val="000000"/>
          <w:kern w:val="24"/>
          <w:sz w:val="20"/>
          <w:szCs w:val="20"/>
          <w:lang w:eastAsia="en-AU"/>
        </w:rPr>
        <w:t>The NMHC was established to perform a monit</w:t>
      </w:r>
      <w:r w:rsidR="00FC6595" w:rsidRPr="00264435">
        <w:rPr>
          <w:rFonts w:eastAsia="+mn-ea" w:cs="+mn-cs"/>
          <w:color w:val="000000"/>
          <w:kern w:val="24"/>
          <w:sz w:val="20"/>
          <w:szCs w:val="20"/>
          <w:lang w:eastAsia="en-AU"/>
        </w:rPr>
        <w:t xml:space="preserve">oring and policy advisory </w:t>
      </w:r>
      <w:r w:rsidR="00FC6595" w:rsidRPr="00264435">
        <w:rPr>
          <w:rFonts w:eastAsia="+mn-ea" w:cs="+mn-cs"/>
          <w:kern w:val="24"/>
          <w:sz w:val="20"/>
          <w:szCs w:val="20"/>
          <w:lang w:eastAsia="en-AU"/>
        </w:rPr>
        <w:t>role</w:t>
      </w:r>
      <w:r w:rsidR="00E83017">
        <w:rPr>
          <w:rFonts w:eastAsia="+mn-ea" w:cs="+mn-cs"/>
          <w:kern w:val="24"/>
          <w:sz w:val="20"/>
          <w:szCs w:val="20"/>
          <w:lang w:eastAsia="en-AU"/>
        </w:rPr>
        <w:t xml:space="preserve"> across the mental health system</w:t>
      </w:r>
      <w:r w:rsidR="00FC6595" w:rsidRPr="00264435">
        <w:rPr>
          <w:rFonts w:eastAsia="+mn-ea" w:cs="+mn-cs"/>
          <w:bCs/>
          <w:kern w:val="24"/>
          <w:sz w:val="20"/>
          <w:szCs w:val="24"/>
          <w:lang w:eastAsia="en-AU"/>
        </w:rPr>
        <w:t xml:space="preserve">. </w:t>
      </w:r>
      <w:r w:rsidRPr="00264435">
        <w:rPr>
          <w:rFonts w:eastAsia="+mn-ea" w:cs="+mn-cs"/>
          <w:kern w:val="24"/>
          <w:sz w:val="20"/>
          <w:szCs w:val="20"/>
          <w:lang w:eastAsia="en-AU"/>
        </w:rPr>
        <w:t xml:space="preserve">At </w:t>
      </w:r>
      <w:r w:rsidRPr="00264435">
        <w:rPr>
          <w:rFonts w:eastAsia="+mn-ea" w:cs="+mn-cs"/>
          <w:color w:val="000000"/>
          <w:kern w:val="24"/>
          <w:sz w:val="20"/>
          <w:szCs w:val="20"/>
          <w:lang w:eastAsia="en-AU"/>
        </w:rPr>
        <w:t>the time of its creation, the NMHC’s purpose was describe</w:t>
      </w:r>
      <w:r w:rsidR="00524B0B" w:rsidRPr="00264435">
        <w:rPr>
          <w:rFonts w:eastAsia="+mn-ea" w:cs="+mn-cs"/>
          <w:color w:val="000000"/>
          <w:kern w:val="24"/>
          <w:sz w:val="20"/>
          <w:szCs w:val="20"/>
          <w:lang w:eastAsia="en-AU"/>
        </w:rPr>
        <w:t>d</w:t>
      </w:r>
      <w:r w:rsidRPr="00264435">
        <w:rPr>
          <w:rFonts w:eastAsia="+mn-ea" w:cs="+mn-cs"/>
          <w:color w:val="000000"/>
          <w:kern w:val="24"/>
          <w:sz w:val="20"/>
          <w:szCs w:val="20"/>
          <w:lang w:eastAsia="en-AU"/>
        </w:rPr>
        <w:t xml:space="preserve"> as:</w:t>
      </w:r>
    </w:p>
    <w:p w:rsidR="00F7673A" w:rsidRPr="00264435" w:rsidRDefault="00F7673A" w:rsidP="00524B0B">
      <w:pPr>
        <w:spacing w:after="200" w:line="240" w:lineRule="auto"/>
        <w:ind w:left="720"/>
        <w:rPr>
          <w:rFonts w:eastAsia="Times New Roman" w:cs="Times New Roman"/>
          <w:color w:val="012169" w:themeColor="accent4"/>
          <w:sz w:val="24"/>
          <w:szCs w:val="24"/>
          <w:lang w:eastAsia="en-AU"/>
        </w:rPr>
      </w:pPr>
      <w:r w:rsidRPr="00264435">
        <w:rPr>
          <w:rFonts w:eastAsia="+mn-ea" w:cs="+mn-cs"/>
          <w:bCs/>
          <w:i/>
          <w:iCs/>
          <w:color w:val="012169" w:themeColor="accent4"/>
          <w:kern w:val="24"/>
          <w:sz w:val="20"/>
          <w:szCs w:val="20"/>
          <w:lang w:eastAsia="en-AU"/>
        </w:rPr>
        <w:t>“…to help improve Australia’s mental health system. It will plan more effectively for the future mental health needs of the community, create greater accountability and transparency in the mental health system and give mental health prominence at a national level.”</w:t>
      </w:r>
      <w:r w:rsidR="00524B0B" w:rsidRPr="00264435">
        <w:rPr>
          <w:rStyle w:val="FootnoteReference"/>
          <w:rFonts w:eastAsia="+mn-ea" w:cs="+mn-cs"/>
          <w:bCs/>
          <w:i/>
          <w:iCs/>
          <w:color w:val="012169" w:themeColor="accent4"/>
          <w:kern w:val="24"/>
          <w:sz w:val="20"/>
          <w:szCs w:val="20"/>
          <w:lang w:eastAsia="en-AU"/>
        </w:rPr>
        <w:footnoteReference w:id="4"/>
      </w:r>
    </w:p>
    <w:p w:rsidR="00B75036" w:rsidRPr="00945565" w:rsidRDefault="00B75036" w:rsidP="00B75036">
      <w:pPr>
        <w:spacing w:before="120" w:after="0" w:line="240" w:lineRule="auto"/>
        <w:rPr>
          <w:sz w:val="20"/>
          <w:szCs w:val="18"/>
        </w:rPr>
      </w:pPr>
      <w:r w:rsidRPr="00945565">
        <w:rPr>
          <w:rFonts w:eastAsia="+mn-ea" w:cs="+mn-cs"/>
          <w:color w:val="000000"/>
          <w:kern w:val="24"/>
          <w:sz w:val="20"/>
          <w:szCs w:val="20"/>
          <w:lang w:eastAsia="en-AU"/>
        </w:rPr>
        <w:t xml:space="preserve">To achieve this, NMHC was established as an Executive Agency under the </w:t>
      </w:r>
      <w:r w:rsidRPr="00945565">
        <w:rPr>
          <w:rFonts w:eastAsia="+mn-ea" w:cs="+mn-cs"/>
          <w:i/>
          <w:color w:val="000000"/>
          <w:kern w:val="24"/>
          <w:sz w:val="20"/>
          <w:szCs w:val="20"/>
          <w:lang w:eastAsia="en-AU"/>
        </w:rPr>
        <w:t>Public Services Act 1999</w:t>
      </w:r>
      <w:r w:rsidRPr="00945565">
        <w:rPr>
          <w:rFonts w:eastAsia="+mn-ea" w:cs="+mn-cs"/>
          <w:color w:val="000000"/>
          <w:kern w:val="24"/>
          <w:sz w:val="20"/>
          <w:szCs w:val="20"/>
          <w:lang w:eastAsia="en-AU"/>
        </w:rPr>
        <w:t xml:space="preserve">. </w:t>
      </w:r>
      <w:r w:rsidRPr="00945565">
        <w:rPr>
          <w:sz w:val="20"/>
          <w:szCs w:val="18"/>
        </w:rPr>
        <w:t>Under Schedule 1 - Section 15 of the P</w:t>
      </w:r>
      <w:r w:rsidRPr="00945565">
        <w:rPr>
          <w:i/>
          <w:sz w:val="20"/>
          <w:szCs w:val="18"/>
        </w:rPr>
        <w:t>ublic Governance, Performance and Accountability Rule 2014</w:t>
      </w:r>
      <w:r w:rsidRPr="00945565">
        <w:rPr>
          <w:sz w:val="20"/>
          <w:szCs w:val="18"/>
        </w:rPr>
        <w:t xml:space="preserve"> (PGPA), the NMHC was established as a listed entity comprising the following group of individuals:</w:t>
      </w:r>
    </w:p>
    <w:p w:rsidR="00B75036" w:rsidRPr="00945565" w:rsidRDefault="00B75036" w:rsidP="00D8278D">
      <w:pPr>
        <w:pStyle w:val="ListParagraph"/>
        <w:numPr>
          <w:ilvl w:val="0"/>
          <w:numId w:val="37"/>
        </w:numPr>
        <w:spacing w:after="0" w:line="259" w:lineRule="auto"/>
        <w:rPr>
          <w:sz w:val="20"/>
          <w:szCs w:val="18"/>
        </w:rPr>
      </w:pPr>
      <w:r w:rsidRPr="00945565">
        <w:rPr>
          <w:sz w:val="20"/>
          <w:szCs w:val="18"/>
        </w:rPr>
        <w:t>the commissioners of the NMHC;</w:t>
      </w:r>
    </w:p>
    <w:p w:rsidR="00B75036" w:rsidRPr="00945565" w:rsidRDefault="00B75036" w:rsidP="00D8278D">
      <w:pPr>
        <w:pStyle w:val="ListParagraph"/>
        <w:numPr>
          <w:ilvl w:val="0"/>
          <w:numId w:val="37"/>
        </w:numPr>
        <w:spacing w:after="0" w:line="259" w:lineRule="auto"/>
        <w:rPr>
          <w:sz w:val="20"/>
          <w:szCs w:val="18"/>
        </w:rPr>
      </w:pPr>
      <w:r w:rsidRPr="00945565">
        <w:rPr>
          <w:sz w:val="20"/>
          <w:szCs w:val="18"/>
        </w:rPr>
        <w:t>the Chief Executive Officer of the NMHC; and</w:t>
      </w:r>
    </w:p>
    <w:p w:rsidR="00B75036" w:rsidRPr="00945565" w:rsidRDefault="00B75036" w:rsidP="00D8278D">
      <w:pPr>
        <w:pStyle w:val="ListParagraph"/>
        <w:numPr>
          <w:ilvl w:val="0"/>
          <w:numId w:val="37"/>
        </w:numPr>
        <w:spacing w:after="0" w:line="259" w:lineRule="auto"/>
        <w:rPr>
          <w:sz w:val="20"/>
          <w:szCs w:val="18"/>
        </w:rPr>
      </w:pPr>
      <w:proofErr w:type="gramStart"/>
      <w:r w:rsidRPr="00945565">
        <w:rPr>
          <w:sz w:val="20"/>
          <w:szCs w:val="18"/>
        </w:rPr>
        <w:t>persons</w:t>
      </w:r>
      <w:proofErr w:type="gramEnd"/>
      <w:r w:rsidRPr="00945565">
        <w:rPr>
          <w:sz w:val="20"/>
          <w:szCs w:val="18"/>
        </w:rPr>
        <w:t xml:space="preserve"> engaged under the Public Service Act 1999 to assist the Chief Executive Officer.</w:t>
      </w:r>
    </w:p>
    <w:p w:rsidR="00B75036" w:rsidRPr="00945565" w:rsidRDefault="00B75036" w:rsidP="00FC6595">
      <w:pPr>
        <w:spacing w:after="0" w:line="240" w:lineRule="auto"/>
        <w:rPr>
          <w:rFonts w:eastAsia="+mn-ea" w:cs="+mn-cs"/>
          <w:color w:val="000000"/>
          <w:kern w:val="24"/>
          <w:sz w:val="20"/>
          <w:szCs w:val="20"/>
          <w:lang w:eastAsia="en-AU"/>
        </w:rPr>
      </w:pPr>
    </w:p>
    <w:p w:rsidR="00E83017" w:rsidRDefault="004A027D" w:rsidP="00FC6595">
      <w:pPr>
        <w:spacing w:after="0" w:line="240" w:lineRule="auto"/>
        <w:rPr>
          <w:rFonts w:eastAsia="+mn-ea" w:cs="+mn-cs"/>
          <w:color w:val="000000"/>
          <w:kern w:val="24"/>
          <w:sz w:val="20"/>
          <w:szCs w:val="20"/>
          <w:lang w:eastAsia="en-AU"/>
        </w:rPr>
      </w:pPr>
      <w:r w:rsidRPr="00945565">
        <w:rPr>
          <w:rFonts w:eastAsia="+mn-ea" w:cs="+mn-cs"/>
          <w:color w:val="000000"/>
          <w:kern w:val="24"/>
          <w:sz w:val="20"/>
          <w:szCs w:val="20"/>
          <w:lang w:eastAsia="en-AU"/>
        </w:rPr>
        <w:t>T</w:t>
      </w:r>
      <w:r w:rsidR="00363858" w:rsidRPr="00945565">
        <w:rPr>
          <w:rFonts w:eastAsia="+mn-ea" w:cs="+mn-cs"/>
          <w:color w:val="000000"/>
          <w:kern w:val="24"/>
          <w:sz w:val="20"/>
          <w:szCs w:val="20"/>
          <w:lang w:eastAsia="en-AU"/>
        </w:rPr>
        <w:t>he</w:t>
      </w:r>
      <w:r w:rsidR="00E83017" w:rsidRPr="00945565">
        <w:rPr>
          <w:rFonts w:eastAsia="+mn-ea" w:cs="+mn-cs"/>
          <w:color w:val="000000"/>
          <w:kern w:val="24"/>
          <w:sz w:val="20"/>
          <w:szCs w:val="20"/>
          <w:lang w:eastAsia="en-AU"/>
        </w:rPr>
        <w:t xml:space="preserve"> scope of NMHC’s role encompasse</w:t>
      </w:r>
      <w:r w:rsidR="00363858" w:rsidRPr="00945565">
        <w:rPr>
          <w:rFonts w:eastAsia="+mn-ea" w:cs="+mn-cs"/>
          <w:color w:val="000000"/>
          <w:kern w:val="24"/>
          <w:sz w:val="20"/>
          <w:szCs w:val="20"/>
          <w:lang w:eastAsia="en-AU"/>
        </w:rPr>
        <w:t>s</w:t>
      </w:r>
      <w:r w:rsidR="00E83017" w:rsidRPr="00945565">
        <w:rPr>
          <w:rFonts w:eastAsia="+mn-ea" w:cs="+mn-cs"/>
          <w:color w:val="000000"/>
          <w:kern w:val="24"/>
          <w:sz w:val="20"/>
          <w:szCs w:val="20"/>
          <w:lang w:eastAsia="en-AU"/>
        </w:rPr>
        <w:t xml:space="preserve"> the full lived experience of mental health, including health and welfare; family and community support and inclusion; housing</w:t>
      </w:r>
      <w:r w:rsidR="00363858" w:rsidRPr="00945565">
        <w:rPr>
          <w:rFonts w:eastAsia="+mn-ea" w:cs="+mn-cs"/>
          <w:color w:val="000000"/>
          <w:kern w:val="24"/>
          <w:sz w:val="20"/>
          <w:szCs w:val="20"/>
          <w:lang w:eastAsia="en-AU"/>
        </w:rPr>
        <w:t>;</w:t>
      </w:r>
      <w:r w:rsidR="00E83017" w:rsidRPr="00945565">
        <w:rPr>
          <w:rFonts w:eastAsia="+mn-ea" w:cs="+mn-cs"/>
          <w:color w:val="000000"/>
          <w:kern w:val="24"/>
          <w:sz w:val="20"/>
          <w:szCs w:val="20"/>
          <w:lang w:eastAsia="en-AU"/>
        </w:rPr>
        <w:t xml:space="preserve"> and economic participation.</w:t>
      </w:r>
    </w:p>
    <w:p w:rsidR="00E83017" w:rsidRDefault="00E83017" w:rsidP="00FC6595">
      <w:pPr>
        <w:spacing w:after="0" w:line="240" w:lineRule="auto"/>
        <w:rPr>
          <w:rFonts w:eastAsia="+mn-ea" w:cs="+mn-cs"/>
          <w:color w:val="000000"/>
          <w:kern w:val="24"/>
          <w:sz w:val="20"/>
          <w:szCs w:val="20"/>
          <w:lang w:eastAsia="en-AU"/>
        </w:rPr>
      </w:pPr>
    </w:p>
    <w:p w:rsidR="00F7673A" w:rsidRPr="00DC7919" w:rsidRDefault="00524B0B" w:rsidP="00FC6595">
      <w:pPr>
        <w:spacing w:after="0" w:line="240" w:lineRule="auto"/>
        <w:rPr>
          <w:rFonts w:eastAsia="Times New Roman" w:cs="Times New Roman"/>
          <w:sz w:val="24"/>
          <w:szCs w:val="24"/>
          <w:lang w:eastAsia="en-AU"/>
        </w:rPr>
      </w:pPr>
      <w:r w:rsidRPr="00DC7919">
        <w:rPr>
          <w:rFonts w:eastAsia="+mn-ea" w:cs="+mn-cs"/>
          <w:color w:val="000000"/>
          <w:kern w:val="24"/>
          <w:sz w:val="20"/>
          <w:szCs w:val="20"/>
          <w:lang w:eastAsia="en-AU"/>
        </w:rPr>
        <w:t>As outlined in its establishing instruments, t</w:t>
      </w:r>
      <w:r w:rsidR="00F7673A" w:rsidRPr="00DC7919">
        <w:rPr>
          <w:rFonts w:eastAsia="+mn-ea" w:cs="+mn-cs"/>
          <w:color w:val="000000"/>
          <w:kern w:val="24"/>
          <w:sz w:val="20"/>
          <w:szCs w:val="20"/>
          <w:lang w:eastAsia="en-AU"/>
        </w:rPr>
        <w:t>he core r</w:t>
      </w:r>
      <w:r w:rsidR="003E0307">
        <w:rPr>
          <w:rFonts w:eastAsia="+mn-ea" w:cs="+mn-cs"/>
          <w:color w:val="000000"/>
          <w:kern w:val="24"/>
          <w:sz w:val="20"/>
          <w:szCs w:val="20"/>
          <w:lang w:eastAsia="en-AU"/>
        </w:rPr>
        <w:t>o</w:t>
      </w:r>
      <w:r w:rsidR="00F7673A" w:rsidRPr="00DC7919">
        <w:rPr>
          <w:rFonts w:eastAsia="+mn-ea" w:cs="+mn-cs"/>
          <w:color w:val="000000"/>
          <w:kern w:val="24"/>
          <w:sz w:val="20"/>
          <w:szCs w:val="20"/>
          <w:lang w:eastAsia="en-AU"/>
        </w:rPr>
        <w:t>le/functions of the NMHC were</w:t>
      </w:r>
      <w:r w:rsidR="00204D56">
        <w:rPr>
          <w:rFonts w:eastAsia="+mn-ea" w:cs="+mn-cs"/>
          <w:color w:val="000000"/>
          <w:kern w:val="24"/>
          <w:sz w:val="20"/>
          <w:szCs w:val="20"/>
          <w:lang w:eastAsia="en-AU"/>
        </w:rPr>
        <w:t xml:space="preserve"> to</w:t>
      </w:r>
      <w:r w:rsidR="00F7673A" w:rsidRPr="00DC7919">
        <w:rPr>
          <w:rFonts w:eastAsia="+mn-ea" w:cs="+mn-cs"/>
          <w:color w:val="000000"/>
          <w:kern w:val="24"/>
          <w:sz w:val="20"/>
          <w:szCs w:val="20"/>
          <w:lang w:eastAsia="en-AU"/>
        </w:rPr>
        <w:t>:</w:t>
      </w:r>
    </w:p>
    <w:p w:rsidR="00F7673A" w:rsidRPr="00DC7919" w:rsidRDefault="00204D56" w:rsidP="008A3CBB">
      <w:pPr>
        <w:numPr>
          <w:ilvl w:val="0"/>
          <w:numId w:val="9"/>
        </w:numPr>
        <w:spacing w:after="200" w:line="240" w:lineRule="auto"/>
        <w:contextualSpacing/>
        <w:rPr>
          <w:rFonts w:eastAsia="Times New Roman" w:cs="Times New Roman"/>
          <w:sz w:val="20"/>
          <w:szCs w:val="24"/>
          <w:lang w:eastAsia="en-AU"/>
        </w:rPr>
      </w:pPr>
      <w:r>
        <w:rPr>
          <w:rFonts w:eastAsia="+mn-ea" w:cs="+mn-cs"/>
          <w:color w:val="000000"/>
          <w:kern w:val="24"/>
          <w:sz w:val="20"/>
          <w:szCs w:val="20"/>
          <w:lang w:eastAsia="en-AU"/>
        </w:rPr>
        <w:t>D</w:t>
      </w:r>
      <w:r w:rsidR="00F7673A" w:rsidRPr="00DC7919">
        <w:rPr>
          <w:rFonts w:eastAsia="+mn-ea" w:cs="+mn-cs"/>
          <w:color w:val="000000"/>
          <w:kern w:val="24"/>
          <w:sz w:val="20"/>
          <w:szCs w:val="20"/>
          <w:lang w:eastAsia="en-AU"/>
        </w:rPr>
        <w:t>eliver the Annual</w:t>
      </w:r>
      <w:r w:rsidR="00F7673A" w:rsidRPr="00DC7919">
        <w:rPr>
          <w:rFonts w:eastAsia="+mn-ea" w:cs="+mn-cs"/>
          <w:bCs/>
          <w:color w:val="000000"/>
          <w:kern w:val="24"/>
          <w:sz w:val="20"/>
          <w:szCs w:val="20"/>
          <w:lang w:eastAsia="en-AU"/>
        </w:rPr>
        <w:t xml:space="preserve"> National Report Card</w:t>
      </w:r>
      <w:r w:rsidR="00F7673A" w:rsidRPr="00DC7919">
        <w:rPr>
          <w:rFonts w:eastAsia="+mn-ea" w:cs="+mn-cs"/>
          <w:color w:val="000000"/>
          <w:kern w:val="24"/>
          <w:sz w:val="20"/>
          <w:szCs w:val="20"/>
          <w:lang w:eastAsia="en-AU"/>
        </w:rPr>
        <w:t>;</w:t>
      </w:r>
    </w:p>
    <w:p w:rsidR="00F7673A" w:rsidRPr="00DC7919" w:rsidRDefault="00204D56" w:rsidP="008A3CBB">
      <w:pPr>
        <w:numPr>
          <w:ilvl w:val="0"/>
          <w:numId w:val="9"/>
        </w:numPr>
        <w:spacing w:after="200" w:line="240" w:lineRule="auto"/>
        <w:contextualSpacing/>
        <w:rPr>
          <w:rFonts w:eastAsia="Times New Roman" w:cs="Times New Roman"/>
          <w:sz w:val="20"/>
          <w:szCs w:val="24"/>
          <w:lang w:eastAsia="en-AU"/>
        </w:rPr>
      </w:pPr>
      <w:r>
        <w:rPr>
          <w:rFonts w:eastAsia="+mn-ea" w:cs="+mn-cs"/>
          <w:color w:val="000000"/>
          <w:kern w:val="24"/>
          <w:sz w:val="20"/>
          <w:szCs w:val="20"/>
          <w:lang w:eastAsia="en-AU"/>
        </w:rPr>
        <w:t>D</w:t>
      </w:r>
      <w:r w:rsidR="00F7673A" w:rsidRPr="00DC7919">
        <w:rPr>
          <w:rFonts w:eastAsia="+mn-ea" w:cs="+mn-cs"/>
          <w:color w:val="000000"/>
          <w:kern w:val="24"/>
          <w:sz w:val="20"/>
          <w:szCs w:val="20"/>
          <w:lang w:eastAsia="en-AU"/>
        </w:rPr>
        <w:t xml:space="preserve">evelop </w:t>
      </w:r>
      <w:r w:rsidR="00F7673A" w:rsidRPr="00DC7919">
        <w:rPr>
          <w:rFonts w:eastAsia="+mn-ea" w:cs="+mn-cs"/>
          <w:bCs/>
          <w:color w:val="000000"/>
          <w:kern w:val="24"/>
          <w:sz w:val="20"/>
          <w:szCs w:val="20"/>
          <w:lang w:eastAsia="en-AU"/>
        </w:rPr>
        <w:t>data and reports</w:t>
      </w:r>
      <w:r w:rsidR="00F7673A" w:rsidRPr="00DC7919">
        <w:rPr>
          <w:rFonts w:eastAsia="+mn-ea" w:cs="+mn-cs"/>
          <w:color w:val="000000"/>
          <w:kern w:val="24"/>
          <w:sz w:val="20"/>
          <w:szCs w:val="20"/>
          <w:lang w:eastAsia="en-AU"/>
        </w:rPr>
        <w:t xml:space="preserve"> with a particular focus on ensuring a </w:t>
      </w:r>
      <w:r w:rsidR="00F7673A" w:rsidRPr="00DC7919">
        <w:rPr>
          <w:rFonts w:eastAsia="+mn-ea" w:cs="+mn-cs"/>
          <w:bCs/>
          <w:color w:val="000000"/>
          <w:kern w:val="24"/>
          <w:sz w:val="20"/>
          <w:szCs w:val="20"/>
          <w:lang w:eastAsia="en-AU"/>
        </w:rPr>
        <w:t xml:space="preserve">cross sectoral perspective </w:t>
      </w:r>
      <w:r w:rsidR="00F7673A" w:rsidRPr="00DC7919">
        <w:rPr>
          <w:rFonts w:eastAsia="+mn-ea" w:cs="+mn-cs"/>
          <w:color w:val="000000"/>
          <w:kern w:val="24"/>
          <w:sz w:val="20"/>
          <w:szCs w:val="20"/>
          <w:lang w:eastAsia="en-AU"/>
        </w:rPr>
        <w:t>is taken;</w:t>
      </w:r>
    </w:p>
    <w:p w:rsidR="00F7673A" w:rsidRPr="00DC7919" w:rsidRDefault="00204D56" w:rsidP="008A3CBB">
      <w:pPr>
        <w:numPr>
          <w:ilvl w:val="0"/>
          <w:numId w:val="9"/>
        </w:numPr>
        <w:spacing w:after="200" w:line="240" w:lineRule="auto"/>
        <w:contextualSpacing/>
        <w:rPr>
          <w:rFonts w:eastAsia="Times New Roman" w:cs="Times New Roman"/>
          <w:sz w:val="20"/>
          <w:szCs w:val="24"/>
          <w:lang w:eastAsia="en-AU"/>
        </w:rPr>
      </w:pPr>
      <w:r>
        <w:rPr>
          <w:rFonts w:eastAsia="+mn-ea" w:cs="+mn-cs"/>
          <w:color w:val="000000"/>
          <w:kern w:val="24"/>
          <w:sz w:val="20"/>
          <w:szCs w:val="20"/>
          <w:lang w:eastAsia="en-AU"/>
        </w:rPr>
        <w:t>P</w:t>
      </w:r>
      <w:r w:rsidR="00F7673A" w:rsidRPr="00DC7919">
        <w:rPr>
          <w:rFonts w:eastAsia="+mn-ea" w:cs="+mn-cs"/>
          <w:color w:val="000000"/>
          <w:kern w:val="24"/>
          <w:sz w:val="20"/>
          <w:szCs w:val="20"/>
          <w:lang w:eastAsia="en-AU"/>
        </w:rPr>
        <w:t xml:space="preserve">rovide </w:t>
      </w:r>
      <w:r w:rsidR="00F7673A" w:rsidRPr="00DC7919">
        <w:rPr>
          <w:rFonts w:eastAsia="+mn-ea" w:cs="+mn-cs"/>
          <w:bCs/>
          <w:color w:val="000000"/>
          <w:kern w:val="24"/>
          <w:sz w:val="20"/>
          <w:szCs w:val="20"/>
          <w:lang w:eastAsia="en-AU"/>
        </w:rPr>
        <w:t xml:space="preserve">mental health policy advice </w:t>
      </w:r>
      <w:r w:rsidR="00F7673A" w:rsidRPr="00DC7919">
        <w:rPr>
          <w:rFonts w:eastAsia="+mn-ea" w:cs="+mn-cs"/>
          <w:color w:val="000000"/>
          <w:kern w:val="24"/>
          <w:sz w:val="20"/>
          <w:szCs w:val="20"/>
          <w:lang w:eastAsia="en-AU"/>
        </w:rPr>
        <w:t>to the Australian Government;</w:t>
      </w:r>
    </w:p>
    <w:p w:rsidR="00F7673A" w:rsidRPr="00DC7919" w:rsidRDefault="00204D56" w:rsidP="008A3CBB">
      <w:pPr>
        <w:numPr>
          <w:ilvl w:val="0"/>
          <w:numId w:val="9"/>
        </w:numPr>
        <w:spacing w:after="200" w:line="240" w:lineRule="auto"/>
        <w:contextualSpacing/>
        <w:rPr>
          <w:rFonts w:eastAsia="Times New Roman" w:cs="Times New Roman"/>
          <w:sz w:val="20"/>
          <w:szCs w:val="24"/>
          <w:lang w:eastAsia="en-AU"/>
        </w:rPr>
      </w:pPr>
      <w:r>
        <w:rPr>
          <w:rFonts w:eastAsia="+mn-ea" w:cs="+mn-cs"/>
          <w:bCs/>
          <w:color w:val="000000"/>
          <w:kern w:val="24"/>
          <w:sz w:val="20"/>
          <w:szCs w:val="20"/>
          <w:lang w:eastAsia="en-AU"/>
        </w:rPr>
        <w:t>E</w:t>
      </w:r>
      <w:r w:rsidR="00F7673A" w:rsidRPr="00DC7919">
        <w:rPr>
          <w:rFonts w:eastAsia="+mn-ea" w:cs="+mn-cs"/>
          <w:bCs/>
          <w:color w:val="000000"/>
          <w:kern w:val="24"/>
          <w:sz w:val="20"/>
          <w:szCs w:val="20"/>
          <w:lang w:eastAsia="en-AU"/>
        </w:rPr>
        <w:t xml:space="preserve">ngage consumers </w:t>
      </w:r>
      <w:r w:rsidR="00F7673A" w:rsidRPr="00DC7919">
        <w:rPr>
          <w:rFonts w:eastAsia="+mn-ea" w:cs="+mn-cs"/>
          <w:color w:val="000000"/>
          <w:kern w:val="24"/>
          <w:sz w:val="20"/>
          <w:szCs w:val="20"/>
          <w:lang w:eastAsia="en-AU"/>
        </w:rPr>
        <w:t xml:space="preserve">and carers; </w:t>
      </w:r>
    </w:p>
    <w:p w:rsidR="003E0307" w:rsidRPr="003E0307" w:rsidRDefault="00204D56" w:rsidP="008A3CBB">
      <w:pPr>
        <w:numPr>
          <w:ilvl w:val="0"/>
          <w:numId w:val="9"/>
        </w:numPr>
        <w:spacing w:after="200" w:line="240" w:lineRule="auto"/>
        <w:contextualSpacing/>
        <w:rPr>
          <w:rFonts w:eastAsia="Times New Roman" w:cs="Times New Roman"/>
          <w:sz w:val="20"/>
          <w:szCs w:val="24"/>
          <w:lang w:eastAsia="en-AU"/>
        </w:rPr>
      </w:pPr>
      <w:r>
        <w:rPr>
          <w:rFonts w:eastAsia="+mn-ea" w:cs="+mn-cs"/>
          <w:bCs/>
          <w:color w:val="000000"/>
          <w:kern w:val="24"/>
          <w:sz w:val="20"/>
          <w:szCs w:val="20"/>
          <w:lang w:eastAsia="en-AU"/>
        </w:rPr>
        <w:t>B</w:t>
      </w:r>
      <w:r w:rsidR="00F7673A" w:rsidRPr="00DC7919">
        <w:rPr>
          <w:rFonts w:eastAsia="+mn-ea" w:cs="+mn-cs"/>
          <w:bCs/>
          <w:color w:val="000000"/>
          <w:kern w:val="24"/>
          <w:sz w:val="20"/>
          <w:szCs w:val="20"/>
          <w:lang w:eastAsia="en-AU"/>
        </w:rPr>
        <w:t xml:space="preserve">uild relationships with stakeholders </w:t>
      </w:r>
      <w:r w:rsidR="00F7673A" w:rsidRPr="00DC7919">
        <w:rPr>
          <w:rFonts w:eastAsia="+mn-ea" w:cs="+mn-cs"/>
          <w:color w:val="000000"/>
          <w:kern w:val="24"/>
          <w:sz w:val="20"/>
          <w:szCs w:val="20"/>
          <w:lang w:eastAsia="en-AU"/>
        </w:rPr>
        <w:t xml:space="preserve">including service providers, government agencies, researchers, academics, and </w:t>
      </w:r>
      <w:r w:rsidR="003E0307">
        <w:rPr>
          <w:rFonts w:eastAsia="+mn-ea" w:cs="+mn-cs"/>
          <w:color w:val="000000"/>
          <w:kern w:val="24"/>
          <w:sz w:val="20"/>
          <w:szCs w:val="20"/>
          <w:lang w:eastAsia="en-AU"/>
        </w:rPr>
        <w:t>State and Territory Governments; and</w:t>
      </w:r>
    </w:p>
    <w:p w:rsidR="00F7673A" w:rsidRPr="00DC7919" w:rsidRDefault="00204D56" w:rsidP="008A3CBB">
      <w:pPr>
        <w:numPr>
          <w:ilvl w:val="0"/>
          <w:numId w:val="9"/>
        </w:numPr>
        <w:spacing w:after="200" w:line="240" w:lineRule="auto"/>
        <w:contextualSpacing/>
        <w:rPr>
          <w:rFonts w:eastAsia="Times New Roman" w:cs="Times New Roman"/>
          <w:sz w:val="20"/>
          <w:szCs w:val="24"/>
          <w:lang w:eastAsia="en-AU"/>
        </w:rPr>
      </w:pPr>
      <w:r>
        <w:rPr>
          <w:rFonts w:eastAsia="Times New Roman" w:cs="Times New Roman"/>
          <w:sz w:val="20"/>
          <w:szCs w:val="24"/>
          <w:lang w:eastAsia="en-AU"/>
        </w:rPr>
        <w:t>U</w:t>
      </w:r>
      <w:r w:rsidR="003E0307" w:rsidRPr="003E0307">
        <w:rPr>
          <w:rFonts w:eastAsia="Times New Roman" w:cs="Times New Roman"/>
          <w:sz w:val="20"/>
          <w:szCs w:val="24"/>
          <w:lang w:eastAsia="en-AU"/>
        </w:rPr>
        <w:t>ndertake other relevant tasks as the responsible Minister may require from time to time.</w:t>
      </w:r>
      <w:r w:rsidR="00524B0B" w:rsidRPr="00DC7919">
        <w:rPr>
          <w:rStyle w:val="FootnoteReference"/>
          <w:rFonts w:eastAsia="+mn-ea" w:cs="+mn-cs"/>
          <w:color w:val="000000"/>
          <w:kern w:val="24"/>
          <w:sz w:val="20"/>
          <w:szCs w:val="20"/>
          <w:lang w:eastAsia="en-AU"/>
        </w:rPr>
        <w:footnoteReference w:id="5"/>
      </w:r>
    </w:p>
    <w:p w:rsidR="00524B0B" w:rsidRPr="00DC7919" w:rsidRDefault="00524B0B" w:rsidP="00FC6595">
      <w:pPr>
        <w:spacing w:after="0" w:line="240" w:lineRule="auto"/>
        <w:rPr>
          <w:rFonts w:eastAsia="+mn-ea" w:cs="+mn-cs"/>
          <w:bCs/>
          <w:kern w:val="24"/>
          <w:sz w:val="20"/>
          <w:szCs w:val="20"/>
          <w:lang w:eastAsia="en-AU"/>
        </w:rPr>
      </w:pPr>
    </w:p>
    <w:p w:rsidR="00F7673A" w:rsidRPr="00DC7919" w:rsidRDefault="00FC6595" w:rsidP="00FC6595">
      <w:pPr>
        <w:spacing w:after="0" w:line="240" w:lineRule="auto"/>
        <w:rPr>
          <w:rFonts w:eastAsia="Times New Roman" w:cs="Times New Roman"/>
          <w:sz w:val="20"/>
          <w:szCs w:val="20"/>
          <w:lang w:eastAsia="en-AU"/>
        </w:rPr>
      </w:pPr>
      <w:r w:rsidRPr="00DC7919">
        <w:rPr>
          <w:rFonts w:eastAsia="+mn-ea" w:cs="+mn-cs"/>
          <w:bCs/>
          <w:kern w:val="24"/>
          <w:sz w:val="20"/>
          <w:szCs w:val="20"/>
          <w:lang w:eastAsia="en-AU"/>
        </w:rPr>
        <w:t>T</w:t>
      </w:r>
      <w:r w:rsidR="00F7673A" w:rsidRPr="00DC7919">
        <w:rPr>
          <w:rFonts w:eastAsia="+mn-ea" w:cs="+mn-cs"/>
          <w:bCs/>
          <w:kern w:val="24"/>
          <w:sz w:val="20"/>
          <w:szCs w:val="20"/>
          <w:lang w:eastAsia="en-AU"/>
        </w:rPr>
        <w:t xml:space="preserve">his role </w:t>
      </w:r>
      <w:r w:rsidR="003E0307">
        <w:rPr>
          <w:rFonts w:eastAsia="+mn-ea" w:cs="+mn-cs"/>
          <w:bCs/>
          <w:kern w:val="24"/>
          <w:sz w:val="20"/>
          <w:szCs w:val="20"/>
          <w:lang w:eastAsia="en-AU"/>
        </w:rPr>
        <w:t xml:space="preserve">was </w:t>
      </w:r>
      <w:r w:rsidR="00524B0B" w:rsidRPr="00DC7919">
        <w:rPr>
          <w:rFonts w:eastAsia="+mn-ea" w:cs="+mn-cs"/>
          <w:bCs/>
          <w:kern w:val="24"/>
          <w:sz w:val="20"/>
          <w:szCs w:val="20"/>
          <w:lang w:eastAsia="en-AU"/>
        </w:rPr>
        <w:t xml:space="preserve">expanded </w:t>
      </w:r>
      <w:r w:rsidR="00F7673A" w:rsidRPr="00DC7919">
        <w:rPr>
          <w:rFonts w:eastAsia="+mn-ea" w:cs="+mn-cs"/>
          <w:bCs/>
          <w:kern w:val="24"/>
          <w:sz w:val="20"/>
          <w:szCs w:val="20"/>
          <w:lang w:eastAsia="en-AU"/>
        </w:rPr>
        <w:t xml:space="preserve">as part of the Government’s response to </w:t>
      </w:r>
      <w:r w:rsidRPr="00DC7919">
        <w:rPr>
          <w:rFonts w:eastAsia="+mn-ea" w:cs="+mn-cs"/>
          <w:bCs/>
          <w:i/>
          <w:iCs/>
          <w:kern w:val="24"/>
          <w:sz w:val="20"/>
          <w:szCs w:val="20"/>
          <w:lang w:eastAsia="en-AU"/>
        </w:rPr>
        <w:t xml:space="preserve">Contributing Lives </w:t>
      </w:r>
      <w:r w:rsidRPr="00DC7919">
        <w:rPr>
          <w:rFonts w:eastAsia="+mn-ea" w:cs="+mn-cs"/>
          <w:bCs/>
          <w:iCs/>
          <w:kern w:val="24"/>
          <w:sz w:val="20"/>
          <w:szCs w:val="20"/>
          <w:lang w:eastAsia="en-AU"/>
        </w:rPr>
        <w:t xml:space="preserve">in which the </w:t>
      </w:r>
      <w:r w:rsidR="00F7673A" w:rsidRPr="00DC7919">
        <w:rPr>
          <w:rFonts w:eastAsia="+mn-ea" w:cs="+mn-cs"/>
          <w:color w:val="000000"/>
          <w:kern w:val="24"/>
          <w:sz w:val="20"/>
          <w:szCs w:val="20"/>
          <w:lang w:eastAsia="en-AU"/>
        </w:rPr>
        <w:t xml:space="preserve">then-Minister for Health supplemented the NMHC’s role </w:t>
      </w:r>
      <w:r w:rsidR="003E0307">
        <w:rPr>
          <w:rFonts w:eastAsia="+mn-ea" w:cs="+mn-cs"/>
          <w:color w:val="000000"/>
          <w:kern w:val="24"/>
          <w:sz w:val="20"/>
          <w:szCs w:val="20"/>
          <w:lang w:eastAsia="en-AU"/>
        </w:rPr>
        <w:t>by tasking it to</w:t>
      </w:r>
      <w:r w:rsidR="00F7673A" w:rsidRPr="00DC7919">
        <w:rPr>
          <w:rFonts w:eastAsia="+mn-ea" w:cs="+mn-cs"/>
          <w:color w:val="000000"/>
          <w:kern w:val="24"/>
          <w:sz w:val="20"/>
          <w:szCs w:val="20"/>
          <w:lang w:eastAsia="en-AU"/>
        </w:rPr>
        <w:t>:</w:t>
      </w:r>
    </w:p>
    <w:p w:rsidR="00F7673A" w:rsidRPr="00DC7919" w:rsidRDefault="003E0307" w:rsidP="008A3CBB">
      <w:pPr>
        <w:numPr>
          <w:ilvl w:val="0"/>
          <w:numId w:val="10"/>
        </w:numPr>
        <w:spacing w:after="200" w:line="240" w:lineRule="auto"/>
        <w:contextualSpacing/>
        <w:rPr>
          <w:rFonts w:eastAsia="Times New Roman" w:cs="Times New Roman"/>
          <w:sz w:val="20"/>
          <w:szCs w:val="20"/>
          <w:lang w:eastAsia="en-AU"/>
        </w:rPr>
      </w:pPr>
      <w:r>
        <w:rPr>
          <w:rFonts w:eastAsia="+mn-ea" w:cs="+mn-cs"/>
          <w:color w:val="000000"/>
          <w:kern w:val="24"/>
          <w:sz w:val="20"/>
          <w:szCs w:val="20"/>
          <w:lang w:eastAsia="en-AU"/>
        </w:rPr>
        <w:t>Conduct d</w:t>
      </w:r>
      <w:r w:rsidR="00F7673A" w:rsidRPr="00DC7919">
        <w:rPr>
          <w:rFonts w:eastAsia="+mn-ea" w:cs="+mn-cs"/>
          <w:color w:val="000000"/>
          <w:kern w:val="24"/>
          <w:sz w:val="20"/>
          <w:szCs w:val="20"/>
          <w:lang w:eastAsia="en-AU"/>
        </w:rPr>
        <w:t xml:space="preserve">ata collection and cross-border monitoring of activity arising from the </w:t>
      </w:r>
      <w:r w:rsidR="00F7673A" w:rsidRPr="00DC7919">
        <w:rPr>
          <w:rFonts w:eastAsia="+mn-ea" w:cs="+mn-cs"/>
          <w:bCs/>
          <w:color w:val="000000"/>
          <w:kern w:val="24"/>
          <w:sz w:val="20"/>
          <w:szCs w:val="20"/>
          <w:lang w:eastAsia="en-AU"/>
        </w:rPr>
        <w:t>Fifth</w:t>
      </w:r>
      <w:r w:rsidR="00F7673A" w:rsidRPr="00DC7919">
        <w:rPr>
          <w:rFonts w:eastAsia="+mn-ea" w:cs="+mn-cs"/>
          <w:color w:val="000000"/>
          <w:kern w:val="24"/>
          <w:sz w:val="20"/>
          <w:szCs w:val="20"/>
          <w:lang w:eastAsia="en-AU"/>
        </w:rPr>
        <w:t xml:space="preserve"> </w:t>
      </w:r>
      <w:r w:rsidR="00F7673A" w:rsidRPr="00DC7919">
        <w:rPr>
          <w:rFonts w:eastAsia="+mn-ea" w:cs="+mn-cs"/>
          <w:bCs/>
          <w:color w:val="000000"/>
          <w:kern w:val="24"/>
          <w:sz w:val="20"/>
          <w:szCs w:val="20"/>
          <w:lang w:eastAsia="en-AU"/>
        </w:rPr>
        <w:t>National Mental Health Plan</w:t>
      </w:r>
      <w:r w:rsidR="00F7673A" w:rsidRPr="00DC7919">
        <w:rPr>
          <w:rFonts w:eastAsia="+mn-ea" w:cs="+mn-cs"/>
          <w:color w:val="000000"/>
          <w:kern w:val="24"/>
          <w:sz w:val="20"/>
          <w:szCs w:val="20"/>
          <w:lang w:eastAsia="en-AU"/>
        </w:rPr>
        <w:t>;</w:t>
      </w:r>
    </w:p>
    <w:p w:rsidR="00F7673A" w:rsidRPr="00DC7919" w:rsidRDefault="00F7673A" w:rsidP="008A3CBB">
      <w:pPr>
        <w:numPr>
          <w:ilvl w:val="0"/>
          <w:numId w:val="10"/>
        </w:numPr>
        <w:spacing w:after="200" w:line="240" w:lineRule="auto"/>
        <w:contextualSpacing/>
        <w:rPr>
          <w:rFonts w:eastAsia="Times New Roman" w:cs="Times New Roman"/>
          <w:sz w:val="20"/>
          <w:szCs w:val="20"/>
          <w:lang w:eastAsia="en-AU"/>
        </w:rPr>
      </w:pPr>
      <w:r w:rsidRPr="00DC7919">
        <w:rPr>
          <w:rFonts w:eastAsia="+mn-ea" w:cs="+mn-cs"/>
          <w:color w:val="000000"/>
          <w:kern w:val="24"/>
          <w:sz w:val="20"/>
          <w:szCs w:val="20"/>
          <w:lang w:eastAsia="en-AU"/>
        </w:rPr>
        <w:t xml:space="preserve">Expand the focus on consumer engagement to include development of a </w:t>
      </w:r>
      <w:r w:rsidRPr="00DC7919">
        <w:rPr>
          <w:rFonts w:eastAsia="+mn-ea" w:cs="+mn-cs"/>
          <w:bCs/>
          <w:color w:val="000000"/>
          <w:kern w:val="24"/>
          <w:sz w:val="20"/>
          <w:szCs w:val="20"/>
          <w:lang w:eastAsia="en-AU"/>
        </w:rPr>
        <w:t>consumer and carer participation framework</w:t>
      </w:r>
      <w:r w:rsidRPr="00DC7919">
        <w:rPr>
          <w:rFonts w:eastAsia="+mn-ea" w:cs="+mn-cs"/>
          <w:color w:val="000000"/>
          <w:kern w:val="24"/>
          <w:sz w:val="20"/>
          <w:szCs w:val="20"/>
          <w:lang w:eastAsia="en-AU"/>
        </w:rPr>
        <w:t>;</w:t>
      </w:r>
    </w:p>
    <w:p w:rsidR="00F7673A" w:rsidRPr="00DC7919" w:rsidRDefault="00F7673A" w:rsidP="008A3CBB">
      <w:pPr>
        <w:numPr>
          <w:ilvl w:val="0"/>
          <w:numId w:val="10"/>
        </w:numPr>
        <w:spacing w:after="200" w:line="240" w:lineRule="auto"/>
        <w:contextualSpacing/>
        <w:rPr>
          <w:rFonts w:eastAsia="Times New Roman" w:cs="Times New Roman"/>
          <w:sz w:val="20"/>
          <w:szCs w:val="20"/>
          <w:lang w:eastAsia="en-AU"/>
        </w:rPr>
      </w:pPr>
      <w:r w:rsidRPr="00DC7919">
        <w:rPr>
          <w:rFonts w:eastAsia="+mn-ea" w:cs="+mn-cs"/>
          <w:color w:val="000000"/>
          <w:kern w:val="24"/>
          <w:sz w:val="20"/>
          <w:szCs w:val="20"/>
          <w:lang w:eastAsia="en-AU"/>
        </w:rPr>
        <w:lastRenderedPageBreak/>
        <w:t xml:space="preserve">Strengthen its role supporting collaboration and </w:t>
      </w:r>
      <w:r w:rsidRPr="00DC7919">
        <w:rPr>
          <w:rFonts w:eastAsia="+mn-ea" w:cs="+mn-cs"/>
          <w:bCs/>
          <w:color w:val="000000"/>
          <w:kern w:val="24"/>
          <w:sz w:val="20"/>
          <w:szCs w:val="20"/>
          <w:lang w:eastAsia="en-AU"/>
        </w:rPr>
        <w:t>translation of research</w:t>
      </w:r>
      <w:r w:rsidRPr="00DC7919">
        <w:rPr>
          <w:rFonts w:eastAsia="+mn-ea" w:cs="+mn-cs"/>
          <w:color w:val="000000"/>
          <w:kern w:val="24"/>
          <w:sz w:val="20"/>
          <w:szCs w:val="20"/>
          <w:lang w:eastAsia="en-AU"/>
        </w:rPr>
        <w:t xml:space="preserve"> into policy and practice;</w:t>
      </w:r>
    </w:p>
    <w:p w:rsidR="00F7673A" w:rsidRPr="00DC7919" w:rsidRDefault="00F7673A" w:rsidP="008A3CBB">
      <w:pPr>
        <w:numPr>
          <w:ilvl w:val="0"/>
          <w:numId w:val="10"/>
        </w:numPr>
        <w:spacing w:after="200" w:line="240" w:lineRule="auto"/>
        <w:contextualSpacing/>
        <w:rPr>
          <w:rFonts w:eastAsia="Times New Roman" w:cs="Times New Roman"/>
          <w:sz w:val="20"/>
          <w:szCs w:val="20"/>
          <w:lang w:eastAsia="en-AU"/>
        </w:rPr>
      </w:pPr>
      <w:r w:rsidRPr="00DC7919">
        <w:rPr>
          <w:rFonts w:eastAsia="+mn-ea" w:cs="+mn-cs"/>
          <w:color w:val="000000"/>
          <w:kern w:val="24"/>
          <w:sz w:val="20"/>
          <w:szCs w:val="20"/>
          <w:lang w:eastAsia="en-AU"/>
        </w:rPr>
        <w:t xml:space="preserve">Provide evidence on specific issues which require </w:t>
      </w:r>
      <w:r w:rsidRPr="00DC7919">
        <w:rPr>
          <w:rFonts w:eastAsia="+mn-ea" w:cs="+mn-cs"/>
          <w:bCs/>
          <w:color w:val="000000"/>
          <w:kern w:val="24"/>
          <w:sz w:val="20"/>
          <w:szCs w:val="20"/>
          <w:lang w:eastAsia="en-AU"/>
        </w:rPr>
        <w:t>cross-sectoral or cross-agency input</w:t>
      </w:r>
      <w:r w:rsidRPr="00DC7919">
        <w:rPr>
          <w:rFonts w:eastAsia="+mn-ea" w:cs="+mn-cs"/>
          <w:color w:val="000000"/>
          <w:kern w:val="24"/>
          <w:sz w:val="20"/>
          <w:szCs w:val="20"/>
          <w:lang w:eastAsia="en-AU"/>
        </w:rPr>
        <w:t>; and</w:t>
      </w:r>
    </w:p>
    <w:p w:rsidR="00F7673A" w:rsidRPr="00DC7919" w:rsidRDefault="00F7673A" w:rsidP="008A3CBB">
      <w:pPr>
        <w:numPr>
          <w:ilvl w:val="0"/>
          <w:numId w:val="10"/>
        </w:numPr>
        <w:spacing w:after="200" w:line="240" w:lineRule="auto"/>
        <w:contextualSpacing/>
        <w:rPr>
          <w:rFonts w:eastAsia="Times New Roman" w:cs="Times New Roman"/>
          <w:sz w:val="20"/>
          <w:szCs w:val="20"/>
          <w:lang w:eastAsia="en-AU"/>
        </w:rPr>
      </w:pPr>
      <w:r w:rsidRPr="00DC7919">
        <w:rPr>
          <w:rFonts w:eastAsia="+mn-ea" w:cs="+mn-cs"/>
          <w:color w:val="000000"/>
          <w:kern w:val="24"/>
          <w:sz w:val="20"/>
          <w:szCs w:val="20"/>
          <w:lang w:eastAsia="en-AU"/>
        </w:rPr>
        <w:t xml:space="preserve">Provide the advisory functions of the </w:t>
      </w:r>
      <w:r w:rsidRPr="00DC7919">
        <w:rPr>
          <w:rFonts w:eastAsia="+mn-ea" w:cs="+mn-cs"/>
          <w:bCs/>
          <w:color w:val="000000"/>
          <w:kern w:val="24"/>
          <w:sz w:val="20"/>
          <w:szCs w:val="20"/>
          <w:lang w:eastAsia="en-AU"/>
        </w:rPr>
        <w:t>Australian Suicide Prevention Advisory Council</w:t>
      </w:r>
      <w:r w:rsidRPr="00DC7919">
        <w:rPr>
          <w:rFonts w:eastAsia="+mn-ea" w:cs="+mn-cs"/>
          <w:color w:val="000000"/>
          <w:kern w:val="24"/>
          <w:sz w:val="20"/>
          <w:szCs w:val="20"/>
          <w:lang w:eastAsia="en-AU"/>
        </w:rPr>
        <w:t>.</w:t>
      </w:r>
      <w:r w:rsidR="00524B0B" w:rsidRPr="00DC7919">
        <w:rPr>
          <w:rStyle w:val="FootnoteReference"/>
          <w:rFonts w:eastAsia="+mn-ea" w:cs="+mn-cs"/>
          <w:color w:val="000000"/>
          <w:kern w:val="24"/>
          <w:sz w:val="20"/>
          <w:szCs w:val="20"/>
          <w:lang w:eastAsia="en-AU"/>
        </w:rPr>
        <w:footnoteReference w:id="6"/>
      </w:r>
    </w:p>
    <w:p w:rsidR="00C7789A" w:rsidRDefault="00C7789A" w:rsidP="00C7789A">
      <w:pPr>
        <w:spacing w:after="0" w:line="240" w:lineRule="auto"/>
        <w:rPr>
          <w:rFonts w:eastAsia="+mn-ea" w:cs="+mn-cs"/>
          <w:color w:val="000000"/>
          <w:kern w:val="24"/>
          <w:sz w:val="20"/>
          <w:szCs w:val="20"/>
          <w:lang w:eastAsia="en-AU"/>
        </w:rPr>
      </w:pPr>
    </w:p>
    <w:p w:rsidR="005F22D3" w:rsidRDefault="00C7789A" w:rsidP="00C7789A">
      <w:pPr>
        <w:spacing w:after="0" w:line="259" w:lineRule="auto"/>
        <w:rPr>
          <w:sz w:val="20"/>
          <w:szCs w:val="18"/>
        </w:rPr>
      </w:pPr>
      <w:r w:rsidRPr="00264435">
        <w:rPr>
          <w:sz w:val="20"/>
          <w:szCs w:val="18"/>
        </w:rPr>
        <w:t xml:space="preserve">This review has not found any reason to change the </w:t>
      </w:r>
      <w:r w:rsidRPr="00264435">
        <w:rPr>
          <w:b/>
          <w:sz w:val="20"/>
          <w:szCs w:val="18"/>
        </w:rPr>
        <w:t>fundamental role</w:t>
      </w:r>
      <w:r w:rsidRPr="00264435">
        <w:rPr>
          <w:sz w:val="20"/>
          <w:szCs w:val="18"/>
        </w:rPr>
        <w:t xml:space="preserve"> of the NMHC within the Australian mental health sector. </w:t>
      </w:r>
      <w:r w:rsidR="003E0307">
        <w:rPr>
          <w:sz w:val="20"/>
          <w:szCs w:val="18"/>
        </w:rPr>
        <w:t xml:space="preserve">Stakeholder consultation reveals that these roles are considered valuable and are not already being delivered by other actors in the system. </w:t>
      </w:r>
      <w:r w:rsidRPr="00264435">
        <w:rPr>
          <w:sz w:val="20"/>
          <w:szCs w:val="18"/>
        </w:rPr>
        <w:t xml:space="preserve">Therefore, our advice assumes that </w:t>
      </w:r>
      <w:r w:rsidR="003E0307">
        <w:rPr>
          <w:sz w:val="20"/>
          <w:szCs w:val="18"/>
        </w:rPr>
        <w:t>the NMHC</w:t>
      </w:r>
      <w:r w:rsidRPr="00264435">
        <w:rPr>
          <w:sz w:val="20"/>
          <w:szCs w:val="18"/>
        </w:rPr>
        <w:t xml:space="preserve"> will continue to </w:t>
      </w:r>
      <w:r w:rsidR="00363858">
        <w:rPr>
          <w:sz w:val="20"/>
          <w:szCs w:val="18"/>
        </w:rPr>
        <w:t xml:space="preserve">contribute to building </w:t>
      </w:r>
      <w:r w:rsidRPr="00264435">
        <w:rPr>
          <w:sz w:val="20"/>
          <w:szCs w:val="18"/>
        </w:rPr>
        <w:t xml:space="preserve">a stronger </w:t>
      </w:r>
      <w:r w:rsidR="00363858">
        <w:rPr>
          <w:sz w:val="20"/>
          <w:szCs w:val="18"/>
        </w:rPr>
        <w:t xml:space="preserve">mental health </w:t>
      </w:r>
      <w:r w:rsidRPr="00264435">
        <w:rPr>
          <w:sz w:val="20"/>
          <w:szCs w:val="18"/>
        </w:rPr>
        <w:t xml:space="preserve">system with better outcomes for consumers through a combination of monitoring and reporting, policy input and stakeholder engagement. </w:t>
      </w:r>
    </w:p>
    <w:p w:rsidR="00A00489" w:rsidRDefault="00A00489" w:rsidP="00C7789A">
      <w:pPr>
        <w:spacing w:after="0" w:line="259" w:lineRule="auto"/>
        <w:rPr>
          <w:sz w:val="20"/>
          <w:szCs w:val="18"/>
        </w:rPr>
      </w:pPr>
    </w:p>
    <w:p w:rsidR="005F22D3" w:rsidRDefault="00A00489" w:rsidP="00A00489">
      <w:pPr>
        <w:spacing w:after="0" w:line="259" w:lineRule="auto"/>
        <w:rPr>
          <w:sz w:val="20"/>
          <w:szCs w:val="18"/>
        </w:rPr>
      </w:pPr>
      <w:r w:rsidRPr="00CF1241">
        <w:rPr>
          <w:sz w:val="20"/>
          <w:szCs w:val="18"/>
        </w:rPr>
        <w:t xml:space="preserve">A high level assessment against the NMHC’s Corporate Plan (2016-2020) and Work Plan (2016-17) suggests that </w:t>
      </w:r>
      <w:r w:rsidR="00924609" w:rsidRPr="00CF1241">
        <w:rPr>
          <w:rFonts w:eastAsia="+mn-ea" w:cs="+mn-cs"/>
          <w:color w:val="000000" w:themeColor="text1"/>
          <w:kern w:val="24"/>
          <w:sz w:val="20"/>
          <w:szCs w:val="36"/>
          <w:lang w:eastAsia="en-AU"/>
        </w:rPr>
        <w:t>NMHC’s own depictions of its priorities reflect most of its established roles and functions.</w:t>
      </w:r>
      <w:r w:rsidR="00924609" w:rsidRPr="00264435">
        <w:rPr>
          <w:rFonts w:eastAsia="+mn-ea" w:cs="+mn-cs"/>
          <w:color w:val="000000" w:themeColor="text1"/>
          <w:kern w:val="24"/>
          <w:sz w:val="20"/>
          <w:szCs w:val="36"/>
          <w:lang w:eastAsia="en-AU"/>
        </w:rPr>
        <w:t xml:space="preserve"> </w:t>
      </w:r>
    </w:p>
    <w:p w:rsidR="00924609" w:rsidRDefault="00924609" w:rsidP="00A00489">
      <w:pPr>
        <w:spacing w:after="0" w:line="259" w:lineRule="auto"/>
        <w:rPr>
          <w:sz w:val="20"/>
          <w:szCs w:val="18"/>
        </w:rPr>
      </w:pPr>
    </w:p>
    <w:p w:rsidR="00F7673A" w:rsidRPr="00264435" w:rsidRDefault="009B4D0A" w:rsidP="0008004C">
      <w:pPr>
        <w:spacing w:after="200" w:line="240" w:lineRule="auto"/>
        <w:rPr>
          <w:rFonts w:eastAsia="+mn-ea" w:cs="+mn-cs"/>
          <w:b/>
          <w:bCs/>
          <w:kern w:val="24"/>
          <w:sz w:val="20"/>
          <w:szCs w:val="36"/>
          <w:lang w:eastAsia="en-AU"/>
        </w:rPr>
      </w:pPr>
      <w:r w:rsidRPr="0008004C">
        <w:rPr>
          <w:rFonts w:eastAsia="+mn-ea" w:cs="+mn-cs"/>
          <w:b/>
          <w:color w:val="000000" w:themeColor="text1"/>
          <w:kern w:val="24"/>
          <w:sz w:val="20"/>
          <w:szCs w:val="36"/>
          <w:lang w:eastAsia="en-AU"/>
        </w:rPr>
        <w:t>Key finding</w:t>
      </w:r>
      <w:r w:rsidR="00F42F62" w:rsidRPr="0008004C">
        <w:rPr>
          <w:rFonts w:eastAsia="+mn-ea" w:cs="+mn-cs"/>
          <w:b/>
          <w:color w:val="000000" w:themeColor="text1"/>
          <w:kern w:val="24"/>
          <w:sz w:val="20"/>
          <w:szCs w:val="36"/>
          <w:lang w:eastAsia="en-AU"/>
        </w:rPr>
        <w:t xml:space="preserve"> 2</w:t>
      </w:r>
      <w:r w:rsidRPr="0008004C">
        <w:rPr>
          <w:rFonts w:eastAsia="+mn-ea" w:cs="+mn-cs"/>
          <w:b/>
          <w:color w:val="000000" w:themeColor="text1"/>
          <w:kern w:val="24"/>
          <w:sz w:val="20"/>
          <w:szCs w:val="36"/>
          <w:lang w:eastAsia="en-AU"/>
        </w:rPr>
        <w:t xml:space="preserve">: </w:t>
      </w:r>
      <w:r w:rsidR="00F7673A" w:rsidRPr="0008004C">
        <w:rPr>
          <w:rFonts w:eastAsia="+mn-ea" w:cs="+mn-cs"/>
          <w:b/>
          <w:color w:val="000000" w:themeColor="text1"/>
          <w:kern w:val="24"/>
          <w:sz w:val="20"/>
          <w:szCs w:val="36"/>
          <w:lang w:eastAsia="en-AU"/>
        </w:rPr>
        <w:t xml:space="preserve">The NMHC’s </w:t>
      </w:r>
      <w:proofErr w:type="gramStart"/>
      <w:r w:rsidR="00F7673A" w:rsidRPr="0008004C">
        <w:rPr>
          <w:rFonts w:eastAsia="+mn-ea" w:cs="+mn-cs"/>
          <w:b/>
          <w:color w:val="000000" w:themeColor="text1"/>
          <w:kern w:val="24"/>
          <w:sz w:val="20"/>
          <w:szCs w:val="36"/>
          <w:lang w:eastAsia="en-AU"/>
        </w:rPr>
        <w:t>role,</w:t>
      </w:r>
      <w:proofErr w:type="gramEnd"/>
      <w:r w:rsidR="00F7673A" w:rsidRPr="0008004C">
        <w:rPr>
          <w:rFonts w:eastAsia="+mn-ea" w:cs="+mn-cs"/>
          <w:b/>
          <w:color w:val="000000" w:themeColor="text1"/>
          <w:kern w:val="24"/>
          <w:sz w:val="20"/>
          <w:szCs w:val="36"/>
          <w:lang w:eastAsia="en-AU"/>
        </w:rPr>
        <w:t xml:space="preserve"> functions </w:t>
      </w:r>
      <w:r w:rsidR="00F42F62" w:rsidRPr="0008004C">
        <w:rPr>
          <w:rFonts w:eastAsia="+mn-ea" w:cs="+mn-cs"/>
          <w:b/>
          <w:color w:val="000000" w:themeColor="text1"/>
          <w:kern w:val="24"/>
          <w:sz w:val="20"/>
          <w:szCs w:val="36"/>
          <w:lang w:eastAsia="en-AU"/>
        </w:rPr>
        <w:t>and</w:t>
      </w:r>
      <w:r w:rsidR="00F7673A" w:rsidRPr="0008004C">
        <w:rPr>
          <w:rFonts w:eastAsia="+mn-ea" w:cs="+mn-cs"/>
          <w:b/>
          <w:color w:val="000000" w:themeColor="text1"/>
          <w:kern w:val="24"/>
          <w:sz w:val="20"/>
          <w:szCs w:val="36"/>
          <w:lang w:eastAsia="en-AU"/>
        </w:rPr>
        <w:t xml:space="preserve"> outputs and scope are currently</w:t>
      </w:r>
      <w:r w:rsidR="00F7673A" w:rsidRPr="00264435">
        <w:rPr>
          <w:rFonts w:eastAsia="+mn-ea" w:cs="+mn-cs"/>
          <w:b/>
          <w:bCs/>
          <w:kern w:val="24"/>
          <w:sz w:val="20"/>
          <w:szCs w:val="36"/>
          <w:lang w:eastAsia="en-AU"/>
        </w:rPr>
        <w:t xml:space="preserve"> clear, though these </w:t>
      </w:r>
      <w:r w:rsidR="0008004C">
        <w:rPr>
          <w:rFonts w:eastAsia="+mn-ea" w:cs="+mn-cs"/>
          <w:b/>
          <w:bCs/>
          <w:kern w:val="24"/>
          <w:sz w:val="20"/>
          <w:szCs w:val="36"/>
          <w:lang w:eastAsia="en-AU"/>
        </w:rPr>
        <w:t xml:space="preserve">should be refined </w:t>
      </w:r>
      <w:r w:rsidR="00F7673A" w:rsidRPr="00264435">
        <w:rPr>
          <w:rFonts w:eastAsia="+mn-ea" w:cs="+mn-cs"/>
          <w:b/>
          <w:bCs/>
          <w:kern w:val="24"/>
          <w:sz w:val="20"/>
          <w:szCs w:val="36"/>
          <w:lang w:eastAsia="en-AU"/>
        </w:rPr>
        <w:t>going forward</w:t>
      </w:r>
    </w:p>
    <w:p w:rsidR="00F42F62" w:rsidRDefault="00F42F62" w:rsidP="00F42F62">
      <w:pPr>
        <w:spacing w:after="200" w:line="276" w:lineRule="auto"/>
        <w:rPr>
          <w:bCs/>
          <w:color w:val="000000" w:themeColor="text1"/>
          <w:sz w:val="20"/>
          <w:szCs w:val="18"/>
        </w:rPr>
      </w:pPr>
      <w:r>
        <w:rPr>
          <w:bCs/>
          <w:color w:val="000000" w:themeColor="text1"/>
          <w:sz w:val="20"/>
          <w:szCs w:val="18"/>
        </w:rPr>
        <w:t xml:space="preserve">As </w:t>
      </w:r>
      <w:r w:rsidR="007819CC">
        <w:rPr>
          <w:bCs/>
          <w:color w:val="000000" w:themeColor="text1"/>
          <w:sz w:val="20"/>
          <w:szCs w:val="18"/>
        </w:rPr>
        <w:t>depicted</w:t>
      </w:r>
      <w:r>
        <w:rPr>
          <w:bCs/>
          <w:color w:val="000000" w:themeColor="text1"/>
          <w:sz w:val="20"/>
          <w:szCs w:val="18"/>
        </w:rPr>
        <w:t xml:space="preserve"> in</w:t>
      </w:r>
      <w:r w:rsidR="00735639">
        <w:rPr>
          <w:bCs/>
          <w:color w:val="000000" w:themeColor="text1"/>
          <w:sz w:val="20"/>
          <w:szCs w:val="18"/>
        </w:rPr>
        <w:t xml:space="preserve"> Figure 1</w:t>
      </w:r>
      <w:r>
        <w:rPr>
          <w:bCs/>
          <w:color w:val="000000" w:themeColor="text1"/>
          <w:sz w:val="20"/>
          <w:szCs w:val="18"/>
        </w:rPr>
        <w:t xml:space="preserve"> below, the NMHC performs a number of functions and produces a number of outputs in execution of its role.</w:t>
      </w:r>
    </w:p>
    <w:p w:rsidR="00F42F62" w:rsidRPr="00F42F62" w:rsidRDefault="00F42F62" w:rsidP="00F42F62">
      <w:pPr>
        <w:pStyle w:val="Caption"/>
        <w:spacing w:after="0"/>
        <w:rPr>
          <w:b/>
          <w:smallCaps/>
          <w:color w:val="auto"/>
          <w:sz w:val="16"/>
        </w:rPr>
      </w:pPr>
      <w:bookmarkStart w:id="4" w:name="_Ref482168337"/>
      <w:r w:rsidRPr="00F42F62">
        <w:rPr>
          <w:b/>
          <w:smallCaps/>
          <w:color w:val="auto"/>
          <w:sz w:val="16"/>
        </w:rPr>
        <w:t xml:space="preserve">Figure </w:t>
      </w:r>
      <w:r w:rsidR="00203566" w:rsidRPr="00F42F62">
        <w:rPr>
          <w:b/>
          <w:smallCaps/>
          <w:color w:val="auto"/>
          <w:sz w:val="16"/>
        </w:rPr>
        <w:fldChar w:fldCharType="begin"/>
      </w:r>
      <w:r w:rsidRPr="00F42F62">
        <w:rPr>
          <w:b/>
          <w:smallCaps/>
          <w:color w:val="auto"/>
          <w:sz w:val="16"/>
        </w:rPr>
        <w:instrText xml:space="preserve"> SEQ Figure \* ARABIC </w:instrText>
      </w:r>
      <w:r w:rsidR="00203566" w:rsidRPr="00F42F62">
        <w:rPr>
          <w:b/>
          <w:smallCaps/>
          <w:color w:val="auto"/>
          <w:sz w:val="16"/>
        </w:rPr>
        <w:fldChar w:fldCharType="separate"/>
      </w:r>
      <w:r w:rsidR="00281FC8">
        <w:rPr>
          <w:b/>
          <w:smallCaps/>
          <w:noProof/>
          <w:color w:val="auto"/>
          <w:sz w:val="16"/>
        </w:rPr>
        <w:t>1</w:t>
      </w:r>
      <w:r w:rsidR="00203566" w:rsidRPr="00F42F62">
        <w:rPr>
          <w:b/>
          <w:smallCaps/>
          <w:color w:val="auto"/>
          <w:sz w:val="16"/>
        </w:rPr>
        <w:fldChar w:fldCharType="end"/>
      </w:r>
      <w:r w:rsidRPr="00F42F62">
        <w:rPr>
          <w:b/>
          <w:smallCaps/>
          <w:color w:val="auto"/>
          <w:sz w:val="16"/>
        </w:rPr>
        <w:t>: Summary view of NMHC purpose, role, functions and outputs</w:t>
      </w:r>
      <w:bookmarkEnd w:id="4"/>
    </w:p>
    <w:p w:rsidR="00F42F62" w:rsidRDefault="00F42F62" w:rsidP="00B43163">
      <w:pPr>
        <w:spacing w:after="200" w:line="276" w:lineRule="auto"/>
        <w:jc w:val="center"/>
        <w:rPr>
          <w:bCs/>
          <w:color w:val="000000" w:themeColor="text1"/>
          <w:sz w:val="20"/>
          <w:szCs w:val="18"/>
        </w:rPr>
      </w:pPr>
      <w:r>
        <w:rPr>
          <w:bCs/>
          <w:noProof/>
          <w:color w:val="000000" w:themeColor="text1"/>
          <w:sz w:val="20"/>
          <w:szCs w:val="18"/>
          <w:lang w:eastAsia="en-AU"/>
        </w:rPr>
        <w:drawing>
          <wp:inline distT="0" distB="0" distL="0" distR="0" wp14:anchorId="04DD3401" wp14:editId="3520C735">
            <wp:extent cx="5424179" cy="4123426"/>
            <wp:effectExtent l="0" t="0" r="5080" b="0"/>
            <wp:docPr id="7" name="Picture 7" descr="This image provides a summary view of the National Mental Health Commission's purpose, role, functions and outputs.&#10;" title="SUMMARY VIEW OF NMHC PURPOSE, ROLE, FUNCTIONS AND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706" cy="4134469"/>
                    </a:xfrm>
                    <a:prstGeom prst="rect">
                      <a:avLst/>
                    </a:prstGeom>
                    <a:noFill/>
                  </pic:spPr>
                </pic:pic>
              </a:graphicData>
            </a:graphic>
          </wp:inline>
        </w:drawing>
      </w:r>
    </w:p>
    <w:p w:rsidR="00A96AEF" w:rsidRDefault="00F42F62" w:rsidP="00F42F62">
      <w:pPr>
        <w:spacing w:after="200" w:line="276" w:lineRule="auto"/>
        <w:rPr>
          <w:bCs/>
          <w:color w:val="000000" w:themeColor="text1"/>
          <w:sz w:val="20"/>
          <w:szCs w:val="18"/>
        </w:rPr>
      </w:pPr>
      <w:r>
        <w:rPr>
          <w:bCs/>
          <w:color w:val="000000" w:themeColor="text1"/>
          <w:sz w:val="20"/>
          <w:szCs w:val="18"/>
        </w:rPr>
        <w:t xml:space="preserve">Generally, these </w:t>
      </w:r>
      <w:r w:rsidR="00B07C7D">
        <w:rPr>
          <w:bCs/>
          <w:color w:val="000000" w:themeColor="text1"/>
          <w:sz w:val="20"/>
          <w:szCs w:val="18"/>
        </w:rPr>
        <w:t xml:space="preserve">while </w:t>
      </w:r>
      <w:r>
        <w:rPr>
          <w:bCs/>
          <w:color w:val="000000" w:themeColor="text1"/>
          <w:sz w:val="20"/>
          <w:szCs w:val="18"/>
        </w:rPr>
        <w:t xml:space="preserve">functions are clearly understood and stakeholders agree </w:t>
      </w:r>
      <w:r w:rsidR="004D1392">
        <w:rPr>
          <w:bCs/>
          <w:color w:val="000000" w:themeColor="text1"/>
          <w:sz w:val="20"/>
          <w:szCs w:val="18"/>
        </w:rPr>
        <w:t>that these should be performed</w:t>
      </w:r>
      <w:r w:rsidR="00B07C7D">
        <w:rPr>
          <w:bCs/>
          <w:color w:val="000000" w:themeColor="text1"/>
          <w:sz w:val="20"/>
          <w:szCs w:val="18"/>
        </w:rPr>
        <w:t xml:space="preserve"> by the NMHC</w:t>
      </w:r>
      <w:r w:rsidR="00B07C7D" w:rsidRPr="00CF1241">
        <w:rPr>
          <w:bCs/>
          <w:color w:val="000000" w:themeColor="text1"/>
          <w:sz w:val="20"/>
          <w:szCs w:val="18"/>
        </w:rPr>
        <w:t>, fu</w:t>
      </w:r>
      <w:r w:rsidR="00A96AEF" w:rsidRPr="00CF1241">
        <w:rPr>
          <w:bCs/>
          <w:color w:val="000000" w:themeColor="text1"/>
          <w:sz w:val="20"/>
          <w:szCs w:val="18"/>
        </w:rPr>
        <w:t xml:space="preserve">rther consideration should be given to </w:t>
      </w:r>
      <w:r w:rsidR="00A96AEF" w:rsidRPr="00CF1241">
        <w:rPr>
          <w:bCs/>
          <w:color w:val="000000" w:themeColor="text1"/>
          <w:sz w:val="20"/>
          <w:szCs w:val="18"/>
        </w:rPr>
        <w:lastRenderedPageBreak/>
        <w:t xml:space="preserve">refinement of some of the </w:t>
      </w:r>
      <w:r w:rsidR="00B07C7D" w:rsidRPr="00CF1241">
        <w:rPr>
          <w:bCs/>
          <w:color w:val="000000" w:themeColor="text1"/>
          <w:sz w:val="20"/>
          <w:szCs w:val="18"/>
        </w:rPr>
        <w:t xml:space="preserve">functions and </w:t>
      </w:r>
      <w:r w:rsidR="00A96AEF" w:rsidRPr="00CF1241">
        <w:rPr>
          <w:bCs/>
          <w:color w:val="000000" w:themeColor="text1"/>
          <w:sz w:val="20"/>
          <w:szCs w:val="18"/>
        </w:rPr>
        <w:t xml:space="preserve">outputs to ensure value continues to be </w:t>
      </w:r>
      <w:r w:rsidR="00B07C7D" w:rsidRPr="00CF1241">
        <w:rPr>
          <w:bCs/>
          <w:color w:val="000000" w:themeColor="text1"/>
          <w:sz w:val="20"/>
          <w:szCs w:val="18"/>
        </w:rPr>
        <w:t>derived from the presence of the NMHC</w:t>
      </w:r>
      <w:r w:rsidR="00A96AEF" w:rsidRPr="00CF1241">
        <w:rPr>
          <w:bCs/>
          <w:color w:val="000000" w:themeColor="text1"/>
          <w:sz w:val="20"/>
          <w:szCs w:val="18"/>
        </w:rPr>
        <w:t>.</w:t>
      </w:r>
      <w:r w:rsidR="00B07C7D" w:rsidRPr="00CF1241">
        <w:rPr>
          <w:bCs/>
          <w:color w:val="000000" w:themeColor="text1"/>
          <w:sz w:val="20"/>
          <w:szCs w:val="18"/>
        </w:rPr>
        <w:t xml:space="preserve"> In addition, current resourcing is not adequate to achieve the desired role and purpose, which is described further in </w:t>
      </w:r>
      <w:r w:rsidR="00406764" w:rsidRPr="00CF1241">
        <w:rPr>
          <w:bCs/>
          <w:color w:val="000000" w:themeColor="text1"/>
          <w:sz w:val="20"/>
          <w:szCs w:val="18"/>
        </w:rPr>
        <w:t>Chapter</w:t>
      </w:r>
      <w:r w:rsidR="00B07C7D" w:rsidRPr="00CF1241">
        <w:rPr>
          <w:bCs/>
          <w:color w:val="000000" w:themeColor="text1"/>
          <w:sz w:val="20"/>
          <w:szCs w:val="18"/>
        </w:rPr>
        <w:t xml:space="preserve"> 2.</w:t>
      </w:r>
      <w:r w:rsidR="00B07C7D">
        <w:rPr>
          <w:bCs/>
          <w:color w:val="000000" w:themeColor="text1"/>
          <w:sz w:val="20"/>
          <w:szCs w:val="18"/>
        </w:rPr>
        <w:t xml:space="preserve"> </w:t>
      </w:r>
    </w:p>
    <w:p w:rsidR="001B4518" w:rsidRDefault="00F42F62" w:rsidP="00F42F62">
      <w:pPr>
        <w:spacing w:after="0" w:line="259" w:lineRule="auto"/>
        <w:rPr>
          <w:sz w:val="20"/>
          <w:szCs w:val="18"/>
        </w:rPr>
      </w:pPr>
      <w:r w:rsidRPr="00264435">
        <w:rPr>
          <w:sz w:val="20"/>
          <w:szCs w:val="18"/>
        </w:rPr>
        <w:t xml:space="preserve">In terms of </w:t>
      </w:r>
      <w:r w:rsidRPr="00264435">
        <w:rPr>
          <w:b/>
          <w:sz w:val="20"/>
          <w:szCs w:val="18"/>
        </w:rPr>
        <w:t>monitoring and reporting</w:t>
      </w:r>
      <w:r w:rsidRPr="00264435">
        <w:rPr>
          <w:sz w:val="20"/>
          <w:szCs w:val="18"/>
        </w:rPr>
        <w:t xml:space="preserve">, the review has found </w:t>
      </w:r>
      <w:r w:rsidR="001B4518">
        <w:rPr>
          <w:sz w:val="20"/>
          <w:szCs w:val="18"/>
        </w:rPr>
        <w:t xml:space="preserve">that the </w:t>
      </w:r>
      <w:r w:rsidR="001B4518" w:rsidRPr="00CF1241">
        <w:rPr>
          <w:sz w:val="20"/>
          <w:szCs w:val="18"/>
        </w:rPr>
        <w:t>Annual Report lacked consistency in both frequency and content.</w:t>
      </w:r>
      <w:r w:rsidR="001B4518">
        <w:rPr>
          <w:sz w:val="20"/>
          <w:szCs w:val="18"/>
        </w:rPr>
        <w:t xml:space="preserve"> </w:t>
      </w:r>
      <w:r w:rsidR="00DC0135">
        <w:rPr>
          <w:sz w:val="20"/>
          <w:szCs w:val="18"/>
        </w:rPr>
        <w:t xml:space="preserve">Further, </w:t>
      </w:r>
      <w:r w:rsidRPr="00264435">
        <w:rPr>
          <w:sz w:val="20"/>
          <w:szCs w:val="18"/>
        </w:rPr>
        <w:t>a number of stakeholders questioning the value of the annual ‘report card’ model, particularly given that system outcomes are unlikely to mea</w:t>
      </w:r>
      <w:r w:rsidR="001B4518">
        <w:rPr>
          <w:sz w:val="20"/>
          <w:szCs w:val="18"/>
        </w:rPr>
        <w:t>ningfully change across a year</w:t>
      </w:r>
      <w:r w:rsidR="00CF1241">
        <w:rPr>
          <w:sz w:val="20"/>
          <w:szCs w:val="18"/>
        </w:rPr>
        <w:t>.  However, the construct of an annual report of some form on progress of reform in mental health had</w:t>
      </w:r>
      <w:r w:rsidR="001B4518">
        <w:rPr>
          <w:sz w:val="20"/>
          <w:szCs w:val="18"/>
        </w:rPr>
        <w:t xml:space="preserve"> </w:t>
      </w:r>
      <w:r w:rsidR="00CF1241">
        <w:rPr>
          <w:sz w:val="20"/>
          <w:szCs w:val="18"/>
        </w:rPr>
        <w:t>support.</w:t>
      </w:r>
    </w:p>
    <w:p w:rsidR="001B4518" w:rsidRDefault="001B4518" w:rsidP="00F42F62">
      <w:pPr>
        <w:spacing w:after="0" w:line="259" w:lineRule="auto"/>
        <w:rPr>
          <w:sz w:val="20"/>
          <w:szCs w:val="18"/>
        </w:rPr>
      </w:pPr>
    </w:p>
    <w:p w:rsidR="0025094E" w:rsidRDefault="00F42F62" w:rsidP="00F42F62">
      <w:pPr>
        <w:spacing w:after="0" w:line="259" w:lineRule="auto"/>
        <w:rPr>
          <w:sz w:val="20"/>
          <w:szCs w:val="18"/>
          <w:highlight w:val="yellow"/>
        </w:rPr>
      </w:pPr>
      <w:r w:rsidRPr="00264435">
        <w:rPr>
          <w:sz w:val="20"/>
          <w:szCs w:val="18"/>
        </w:rPr>
        <w:t xml:space="preserve">While there was support for the NMHC having a role regularly reporting on the activity of the mental health system, this should be carefully scoped to ensure valuable insights were provided, without duplicating the work performed by other reporting entities such as the AIHW. </w:t>
      </w:r>
      <w:r w:rsidR="00913762" w:rsidRPr="00CF1241">
        <w:rPr>
          <w:sz w:val="20"/>
          <w:szCs w:val="18"/>
        </w:rPr>
        <w:t xml:space="preserve">Importantly, </w:t>
      </w:r>
      <w:r w:rsidR="001B4518" w:rsidRPr="00CF1241">
        <w:rPr>
          <w:sz w:val="20"/>
          <w:szCs w:val="18"/>
        </w:rPr>
        <w:t xml:space="preserve">it was identified in stakeholder consultations that </w:t>
      </w:r>
      <w:r w:rsidR="00406764" w:rsidRPr="00CF1241">
        <w:rPr>
          <w:sz w:val="20"/>
          <w:szCs w:val="18"/>
        </w:rPr>
        <w:t xml:space="preserve">NMHC should take the lead role in creating </w:t>
      </w:r>
      <w:r w:rsidR="0025094E" w:rsidRPr="00CF1241">
        <w:rPr>
          <w:sz w:val="20"/>
          <w:szCs w:val="18"/>
        </w:rPr>
        <w:t xml:space="preserve">and reporting on </w:t>
      </w:r>
      <w:r w:rsidR="00913762" w:rsidRPr="00CF1241">
        <w:rPr>
          <w:sz w:val="20"/>
          <w:szCs w:val="18"/>
        </w:rPr>
        <w:t xml:space="preserve">a set of </w:t>
      </w:r>
      <w:r w:rsidR="00406764" w:rsidRPr="00CF1241">
        <w:rPr>
          <w:sz w:val="20"/>
          <w:szCs w:val="18"/>
        </w:rPr>
        <w:t xml:space="preserve">agreed </w:t>
      </w:r>
      <w:r w:rsidR="0025094E" w:rsidRPr="00CF1241">
        <w:rPr>
          <w:sz w:val="20"/>
          <w:szCs w:val="18"/>
        </w:rPr>
        <w:t>outcome</w:t>
      </w:r>
      <w:r w:rsidR="00D607E1" w:rsidRPr="00CF1241">
        <w:rPr>
          <w:sz w:val="20"/>
          <w:szCs w:val="18"/>
        </w:rPr>
        <w:t xml:space="preserve"> and experience</w:t>
      </w:r>
      <w:r w:rsidR="0025094E" w:rsidRPr="00CF1241">
        <w:rPr>
          <w:sz w:val="20"/>
          <w:szCs w:val="18"/>
        </w:rPr>
        <w:t xml:space="preserve"> measures</w:t>
      </w:r>
      <w:r w:rsidR="00511B71" w:rsidRPr="00CF1241">
        <w:rPr>
          <w:sz w:val="20"/>
          <w:szCs w:val="18"/>
        </w:rPr>
        <w:t xml:space="preserve"> that </w:t>
      </w:r>
      <w:r w:rsidR="002F7FF4" w:rsidRPr="00CF1241">
        <w:rPr>
          <w:sz w:val="20"/>
          <w:szCs w:val="18"/>
        </w:rPr>
        <w:t xml:space="preserve">capture the key touchpoints that consumers have across whole mental health system and demonstrate the progress being made. Historically, the mental health system (like other segments of the health system) struggles to report on the outcomes and experiences of consumers, typically reporting activity or input measures (such as bed numbers) instead.  </w:t>
      </w:r>
      <w:r w:rsidR="0025094E" w:rsidRPr="00CF1241">
        <w:rPr>
          <w:sz w:val="20"/>
          <w:szCs w:val="18"/>
        </w:rPr>
        <w:t xml:space="preserve">It is acknowledged that the NMHC has made some progress in this approach in the most recent 2016 National Report, using measures it had recommended as part of the </w:t>
      </w:r>
      <w:r w:rsidR="0025094E" w:rsidRPr="00CF1241">
        <w:rPr>
          <w:i/>
          <w:sz w:val="20"/>
          <w:szCs w:val="18"/>
        </w:rPr>
        <w:t>Contributing Lives</w:t>
      </w:r>
      <w:r w:rsidR="0025094E" w:rsidRPr="00CF1241">
        <w:rPr>
          <w:sz w:val="20"/>
          <w:szCs w:val="18"/>
        </w:rPr>
        <w:t xml:space="preserve"> report and included the Consultation Paper on the </w:t>
      </w:r>
      <w:r w:rsidR="0025094E" w:rsidRPr="00CF1241">
        <w:rPr>
          <w:i/>
          <w:sz w:val="20"/>
          <w:szCs w:val="18"/>
        </w:rPr>
        <w:t>Fifth National Mental Health Plan</w:t>
      </w:r>
      <w:r w:rsidR="0025094E" w:rsidRPr="00CF1241">
        <w:rPr>
          <w:sz w:val="20"/>
          <w:szCs w:val="18"/>
        </w:rPr>
        <w:t xml:space="preserve">. </w:t>
      </w:r>
    </w:p>
    <w:p w:rsidR="0025094E" w:rsidRDefault="0025094E" w:rsidP="00F42F62">
      <w:pPr>
        <w:spacing w:after="0" w:line="259" w:lineRule="auto"/>
        <w:rPr>
          <w:sz w:val="20"/>
          <w:szCs w:val="18"/>
          <w:highlight w:val="yellow"/>
        </w:rPr>
      </w:pPr>
    </w:p>
    <w:p w:rsidR="001B4518" w:rsidRPr="00264435" w:rsidRDefault="001B4518" w:rsidP="00F42F62">
      <w:pPr>
        <w:spacing w:after="0" w:line="259" w:lineRule="auto"/>
        <w:rPr>
          <w:sz w:val="20"/>
          <w:szCs w:val="18"/>
        </w:rPr>
      </w:pPr>
      <w:r w:rsidRPr="00CF1241">
        <w:rPr>
          <w:sz w:val="20"/>
          <w:szCs w:val="18"/>
        </w:rPr>
        <w:t xml:space="preserve">These reports should form part of ‘series’ with a level of consistency that articulates </w:t>
      </w:r>
      <w:r w:rsidR="00E74C9C" w:rsidRPr="00CF1241">
        <w:rPr>
          <w:sz w:val="20"/>
          <w:szCs w:val="18"/>
        </w:rPr>
        <w:t>a story around the national mental health system</w:t>
      </w:r>
      <w:r w:rsidR="00CF1241">
        <w:rPr>
          <w:sz w:val="20"/>
          <w:szCs w:val="18"/>
        </w:rPr>
        <w:t xml:space="preserve"> over time</w:t>
      </w:r>
      <w:r w:rsidR="00E74C9C" w:rsidRPr="00CF1241">
        <w:rPr>
          <w:sz w:val="20"/>
          <w:szCs w:val="18"/>
        </w:rPr>
        <w:t>.</w:t>
      </w:r>
      <w:r w:rsidR="00E74C9C">
        <w:rPr>
          <w:sz w:val="20"/>
          <w:szCs w:val="18"/>
        </w:rPr>
        <w:t xml:space="preserve"> To achieve this, </w:t>
      </w:r>
      <w:r w:rsidR="0025094E">
        <w:rPr>
          <w:sz w:val="20"/>
          <w:szCs w:val="18"/>
        </w:rPr>
        <w:t xml:space="preserve">outcome measures </w:t>
      </w:r>
      <w:r w:rsidR="00406764">
        <w:rPr>
          <w:sz w:val="20"/>
          <w:szCs w:val="18"/>
        </w:rPr>
        <w:t>wo</w:t>
      </w:r>
      <w:r w:rsidR="00F42F62" w:rsidRPr="00264435">
        <w:rPr>
          <w:sz w:val="20"/>
          <w:szCs w:val="18"/>
        </w:rPr>
        <w:t>uld likely include some annual reporting of baseline data, coupled with periodic system-wide reporting, similar to the review conducted in 2014</w:t>
      </w:r>
      <w:r w:rsidR="0025094E">
        <w:rPr>
          <w:sz w:val="20"/>
          <w:szCs w:val="18"/>
        </w:rPr>
        <w:t xml:space="preserve">, </w:t>
      </w:r>
      <w:r>
        <w:rPr>
          <w:sz w:val="20"/>
          <w:szCs w:val="18"/>
        </w:rPr>
        <w:t>or deeper dives</w:t>
      </w:r>
      <w:r w:rsidR="00CF1241">
        <w:rPr>
          <w:sz w:val="20"/>
          <w:szCs w:val="18"/>
        </w:rPr>
        <w:t xml:space="preserve"> into specific areas of reform or sub-populations</w:t>
      </w:r>
      <w:r>
        <w:rPr>
          <w:sz w:val="20"/>
          <w:szCs w:val="18"/>
        </w:rPr>
        <w:t xml:space="preserve"> such as the</w:t>
      </w:r>
      <w:r w:rsidR="0025094E">
        <w:rPr>
          <w:sz w:val="20"/>
          <w:szCs w:val="18"/>
        </w:rPr>
        <w:t xml:space="preserve"> </w:t>
      </w:r>
      <w:r w:rsidR="0025094E" w:rsidRPr="00264435">
        <w:rPr>
          <w:sz w:val="20"/>
          <w:szCs w:val="18"/>
        </w:rPr>
        <w:t xml:space="preserve">recent work around the mental health of </w:t>
      </w:r>
      <w:r w:rsidR="0025094E">
        <w:rPr>
          <w:sz w:val="20"/>
          <w:szCs w:val="18"/>
        </w:rPr>
        <w:t>the Australian Defence Force</w:t>
      </w:r>
      <w:r w:rsidR="0025094E" w:rsidRPr="00264435">
        <w:rPr>
          <w:sz w:val="20"/>
          <w:szCs w:val="18"/>
        </w:rPr>
        <w:t xml:space="preserve"> </w:t>
      </w:r>
      <w:r w:rsidR="0025094E">
        <w:rPr>
          <w:sz w:val="20"/>
          <w:szCs w:val="18"/>
        </w:rPr>
        <w:t>veterans and members. Such work co</w:t>
      </w:r>
      <w:r w:rsidR="00F42F62" w:rsidRPr="00264435">
        <w:rPr>
          <w:sz w:val="20"/>
          <w:szCs w:val="18"/>
        </w:rPr>
        <w:t>uld take place every three to five years, tracking changes in outcome and experience measures. This combination would balance the value of detailed insights and analysis based on data, with regular reporting – ensuring accountability and strengthening the role of the NMHC within the sector.</w:t>
      </w:r>
    </w:p>
    <w:p w:rsidR="00F42F62" w:rsidRPr="00264435" w:rsidRDefault="00F42F62" w:rsidP="00F42F62">
      <w:pPr>
        <w:spacing w:after="0" w:line="259" w:lineRule="auto"/>
        <w:rPr>
          <w:sz w:val="20"/>
          <w:szCs w:val="18"/>
        </w:rPr>
      </w:pPr>
    </w:p>
    <w:p w:rsidR="00F42F62" w:rsidRPr="00264435" w:rsidRDefault="002F7FF4" w:rsidP="00F42F62">
      <w:pPr>
        <w:spacing w:after="0" w:line="259" w:lineRule="auto"/>
        <w:rPr>
          <w:sz w:val="20"/>
          <w:szCs w:val="18"/>
        </w:rPr>
      </w:pPr>
      <w:r>
        <w:rPr>
          <w:sz w:val="20"/>
          <w:szCs w:val="18"/>
        </w:rPr>
        <w:t>In addition, t</w:t>
      </w:r>
      <w:r w:rsidR="00F42F62" w:rsidRPr="00264435">
        <w:rPr>
          <w:sz w:val="20"/>
          <w:szCs w:val="18"/>
        </w:rPr>
        <w:t xml:space="preserve">he NMHC should have a role monitoring the </w:t>
      </w:r>
      <w:r w:rsidR="00F42F62" w:rsidRPr="00264435">
        <w:rPr>
          <w:b/>
          <w:sz w:val="20"/>
          <w:szCs w:val="18"/>
        </w:rPr>
        <w:t>Fifth National Mental Health Plan</w:t>
      </w:r>
      <w:r w:rsidR="00F42F62" w:rsidRPr="00264435">
        <w:rPr>
          <w:sz w:val="20"/>
          <w:szCs w:val="18"/>
        </w:rPr>
        <w:t xml:space="preserve">, as envisioned in the Government’s response to the NMHC’s </w:t>
      </w:r>
      <w:r w:rsidR="00F42F62" w:rsidRPr="00264435">
        <w:rPr>
          <w:i/>
          <w:sz w:val="20"/>
          <w:szCs w:val="18"/>
        </w:rPr>
        <w:t>Contributing Lives</w:t>
      </w:r>
      <w:r w:rsidR="00F42F62" w:rsidRPr="00264435">
        <w:rPr>
          <w:sz w:val="20"/>
          <w:szCs w:val="18"/>
        </w:rPr>
        <w:t xml:space="preserve"> report. Whilst still in development, and hence subject to negotiation between the Commonwealth, State and Territory Governments through AHMAC, this role should include:</w:t>
      </w:r>
    </w:p>
    <w:p w:rsidR="00F42F62" w:rsidRPr="00264435" w:rsidRDefault="00F42F62" w:rsidP="00F42F62">
      <w:pPr>
        <w:spacing w:after="0" w:line="259" w:lineRule="auto"/>
        <w:rPr>
          <w:sz w:val="20"/>
          <w:szCs w:val="18"/>
        </w:rPr>
      </w:pPr>
    </w:p>
    <w:p w:rsidR="00F42F62" w:rsidRPr="00264435" w:rsidRDefault="002F7FF4" w:rsidP="00F42F62">
      <w:pPr>
        <w:numPr>
          <w:ilvl w:val="0"/>
          <w:numId w:val="7"/>
        </w:numPr>
        <w:tabs>
          <w:tab w:val="clear" w:pos="720"/>
          <w:tab w:val="num" w:pos="284"/>
        </w:tabs>
        <w:spacing w:after="0" w:line="259" w:lineRule="auto"/>
        <w:ind w:left="284" w:hanging="284"/>
        <w:rPr>
          <w:sz w:val="20"/>
          <w:szCs w:val="18"/>
        </w:rPr>
      </w:pPr>
      <w:r>
        <w:rPr>
          <w:sz w:val="20"/>
          <w:szCs w:val="18"/>
        </w:rPr>
        <w:t>As stated above, d</w:t>
      </w:r>
      <w:r w:rsidR="00F42F62" w:rsidRPr="00264435">
        <w:rPr>
          <w:sz w:val="20"/>
          <w:szCs w:val="18"/>
        </w:rPr>
        <w:t xml:space="preserve">eveloping </w:t>
      </w:r>
      <w:r>
        <w:rPr>
          <w:sz w:val="20"/>
          <w:szCs w:val="18"/>
        </w:rPr>
        <w:t xml:space="preserve">a set of agreed </w:t>
      </w:r>
      <w:r w:rsidRPr="002F7FF4">
        <w:rPr>
          <w:b/>
          <w:sz w:val="20"/>
          <w:szCs w:val="18"/>
        </w:rPr>
        <w:t>experience and</w:t>
      </w:r>
      <w:r>
        <w:rPr>
          <w:sz w:val="20"/>
          <w:szCs w:val="18"/>
        </w:rPr>
        <w:t xml:space="preserve"> </w:t>
      </w:r>
      <w:r>
        <w:rPr>
          <w:b/>
          <w:sz w:val="20"/>
          <w:szCs w:val="18"/>
        </w:rPr>
        <w:t>outcome measures across the system</w:t>
      </w:r>
      <w:r w:rsidR="00CE5388">
        <w:rPr>
          <w:b/>
          <w:sz w:val="20"/>
          <w:szCs w:val="18"/>
        </w:rPr>
        <w:t xml:space="preserve"> </w:t>
      </w:r>
      <w:r w:rsidR="00CE5388" w:rsidRPr="00CE5388">
        <w:rPr>
          <w:sz w:val="20"/>
          <w:szCs w:val="18"/>
        </w:rPr>
        <w:t>(as discussed above)</w:t>
      </w:r>
      <w:r w:rsidR="00F42F62" w:rsidRPr="00CE5388">
        <w:rPr>
          <w:sz w:val="20"/>
          <w:szCs w:val="18"/>
        </w:rPr>
        <w:t>;</w:t>
      </w:r>
    </w:p>
    <w:p w:rsidR="00F42F62" w:rsidRPr="00264435" w:rsidRDefault="00F42F62" w:rsidP="00F42F62">
      <w:pPr>
        <w:numPr>
          <w:ilvl w:val="0"/>
          <w:numId w:val="7"/>
        </w:numPr>
        <w:tabs>
          <w:tab w:val="clear" w:pos="720"/>
          <w:tab w:val="num" w:pos="284"/>
        </w:tabs>
        <w:spacing w:after="0" w:line="259" w:lineRule="auto"/>
        <w:ind w:left="284" w:hanging="284"/>
        <w:rPr>
          <w:sz w:val="20"/>
          <w:szCs w:val="18"/>
        </w:rPr>
      </w:pPr>
      <w:r w:rsidRPr="00264435">
        <w:rPr>
          <w:sz w:val="20"/>
          <w:szCs w:val="18"/>
        </w:rPr>
        <w:t xml:space="preserve">Reporting on </w:t>
      </w:r>
      <w:r w:rsidRPr="00264435">
        <w:rPr>
          <w:b/>
          <w:sz w:val="20"/>
          <w:szCs w:val="18"/>
        </w:rPr>
        <w:t xml:space="preserve">implementation </w:t>
      </w:r>
      <w:r w:rsidRPr="00264435">
        <w:rPr>
          <w:sz w:val="20"/>
          <w:szCs w:val="18"/>
        </w:rPr>
        <w:t xml:space="preserve">progress of the initiatives/recommendations contained in the Plan; </w:t>
      </w:r>
    </w:p>
    <w:p w:rsidR="00F42F62" w:rsidRDefault="00F42F62" w:rsidP="00F42F62">
      <w:pPr>
        <w:numPr>
          <w:ilvl w:val="0"/>
          <w:numId w:val="7"/>
        </w:numPr>
        <w:tabs>
          <w:tab w:val="clear" w:pos="720"/>
          <w:tab w:val="num" w:pos="284"/>
        </w:tabs>
        <w:spacing w:after="0" w:line="259" w:lineRule="auto"/>
        <w:ind w:left="284" w:hanging="284"/>
        <w:rPr>
          <w:sz w:val="20"/>
          <w:szCs w:val="18"/>
        </w:rPr>
      </w:pPr>
      <w:r w:rsidRPr="00264435">
        <w:rPr>
          <w:sz w:val="20"/>
          <w:szCs w:val="18"/>
        </w:rPr>
        <w:t xml:space="preserve">Reporting on </w:t>
      </w:r>
      <w:r w:rsidRPr="00264435">
        <w:rPr>
          <w:b/>
          <w:sz w:val="20"/>
          <w:szCs w:val="18"/>
        </w:rPr>
        <w:t>impact/outcomes</w:t>
      </w:r>
      <w:r w:rsidRPr="00264435">
        <w:rPr>
          <w:sz w:val="20"/>
          <w:szCs w:val="18"/>
        </w:rPr>
        <w:t xml:space="preserve"> as a result of reforms, ideally at a national, ju</w:t>
      </w:r>
      <w:r w:rsidR="001B4518">
        <w:rPr>
          <w:sz w:val="20"/>
          <w:szCs w:val="18"/>
        </w:rPr>
        <w:t xml:space="preserve">risdictional and regional-level; and </w:t>
      </w:r>
    </w:p>
    <w:p w:rsidR="001B4518" w:rsidRPr="00264435" w:rsidRDefault="001B4518" w:rsidP="00F42F62">
      <w:pPr>
        <w:numPr>
          <w:ilvl w:val="0"/>
          <w:numId w:val="7"/>
        </w:numPr>
        <w:tabs>
          <w:tab w:val="clear" w:pos="720"/>
          <w:tab w:val="num" w:pos="284"/>
        </w:tabs>
        <w:spacing w:after="0" w:line="259" w:lineRule="auto"/>
        <w:ind w:left="284" w:hanging="284"/>
        <w:rPr>
          <w:sz w:val="20"/>
          <w:szCs w:val="18"/>
        </w:rPr>
      </w:pPr>
      <w:r>
        <w:rPr>
          <w:sz w:val="20"/>
          <w:szCs w:val="18"/>
        </w:rPr>
        <w:t xml:space="preserve">Linking the Fifth National Mental Health Plan with other initiatives and the associated impact on experience and outcomes. </w:t>
      </w:r>
    </w:p>
    <w:p w:rsidR="00F42F62" w:rsidRPr="00264435" w:rsidRDefault="00F42F62" w:rsidP="00F42F62">
      <w:pPr>
        <w:spacing w:after="0" w:line="259" w:lineRule="auto"/>
        <w:rPr>
          <w:sz w:val="20"/>
          <w:szCs w:val="18"/>
        </w:rPr>
      </w:pPr>
    </w:p>
    <w:p w:rsidR="00F42F62" w:rsidRPr="00264435" w:rsidRDefault="00F42F62" w:rsidP="00F42F62">
      <w:pPr>
        <w:spacing w:after="0" w:line="259" w:lineRule="auto"/>
        <w:rPr>
          <w:sz w:val="20"/>
          <w:szCs w:val="18"/>
        </w:rPr>
      </w:pPr>
      <w:r w:rsidRPr="00264435">
        <w:rPr>
          <w:sz w:val="20"/>
          <w:szCs w:val="18"/>
        </w:rPr>
        <w:t xml:space="preserve">In addition to these reporting functions, the NMHC should conduct </w:t>
      </w:r>
      <w:r w:rsidRPr="00264435">
        <w:rPr>
          <w:b/>
          <w:sz w:val="20"/>
          <w:szCs w:val="18"/>
        </w:rPr>
        <w:t>bespoke research</w:t>
      </w:r>
      <w:r w:rsidRPr="00264435">
        <w:rPr>
          <w:sz w:val="20"/>
          <w:szCs w:val="18"/>
        </w:rPr>
        <w:t xml:space="preserve"> and policy input functions, focusing on priority issues for Government and the mental health sector. These will likely take the form of time-limited projects, conducted through </w:t>
      </w:r>
      <w:r w:rsidRPr="00264435">
        <w:rPr>
          <w:sz w:val="20"/>
          <w:szCs w:val="18"/>
        </w:rPr>
        <w:lastRenderedPageBreak/>
        <w:t xml:space="preserve">a combination of internal resources and externally procured research and analytical support. The NMHC’s annual </w:t>
      </w:r>
      <w:proofErr w:type="spellStart"/>
      <w:r w:rsidRPr="00264435">
        <w:rPr>
          <w:sz w:val="20"/>
          <w:szCs w:val="18"/>
        </w:rPr>
        <w:t>workplan</w:t>
      </w:r>
      <w:proofErr w:type="spellEnd"/>
      <w:r w:rsidRPr="00264435">
        <w:rPr>
          <w:sz w:val="20"/>
          <w:szCs w:val="18"/>
        </w:rPr>
        <w:t xml:space="preserve"> should identify the projects to be delivered over the coming period (1-2 years) through a process of negotiating priorities </w:t>
      </w:r>
      <w:r w:rsidRPr="00CF1241">
        <w:rPr>
          <w:sz w:val="20"/>
          <w:szCs w:val="18"/>
        </w:rPr>
        <w:t>with the Minister</w:t>
      </w:r>
      <w:r w:rsidR="001B4518" w:rsidRPr="00CF1241">
        <w:rPr>
          <w:sz w:val="20"/>
          <w:szCs w:val="18"/>
        </w:rPr>
        <w:t xml:space="preserve"> for Health, consumers and carers,</w:t>
      </w:r>
      <w:r w:rsidRPr="00CF1241">
        <w:rPr>
          <w:sz w:val="20"/>
          <w:szCs w:val="18"/>
        </w:rPr>
        <w:t xml:space="preserve"> and other relevant stakeholders</w:t>
      </w:r>
      <w:r w:rsidR="001B4518" w:rsidRPr="00CF1241">
        <w:rPr>
          <w:sz w:val="20"/>
          <w:szCs w:val="18"/>
        </w:rPr>
        <w:t xml:space="preserve"> including other federal agencies and</w:t>
      </w:r>
      <w:r w:rsidRPr="00CF1241">
        <w:rPr>
          <w:sz w:val="20"/>
          <w:szCs w:val="18"/>
        </w:rPr>
        <w:t xml:space="preserve"> States and Territories.</w:t>
      </w:r>
      <w:r w:rsidRPr="00264435">
        <w:rPr>
          <w:sz w:val="20"/>
          <w:szCs w:val="18"/>
        </w:rPr>
        <w:t xml:space="preserve"> These projects should address issues of particular urgency or need for the mental health sector, and should emphasise the cross-sector focus of the NMHC by incorporating issues and data from outside of traditional health or mental health silos. This prioritisation process should also consider a cost-benefit analysis, to allocate resources carefully. The NMHC’s </w:t>
      </w:r>
      <w:r w:rsidR="00F562FF" w:rsidRPr="00264435">
        <w:rPr>
          <w:sz w:val="20"/>
          <w:szCs w:val="18"/>
        </w:rPr>
        <w:t>ongoing focus on the physical health of mental health consumers</w:t>
      </w:r>
      <w:r w:rsidR="00F562FF">
        <w:rPr>
          <w:sz w:val="20"/>
          <w:szCs w:val="18"/>
        </w:rPr>
        <w:t xml:space="preserve"> and its</w:t>
      </w:r>
      <w:r w:rsidR="00F562FF" w:rsidRPr="00264435">
        <w:rPr>
          <w:sz w:val="20"/>
          <w:szCs w:val="18"/>
        </w:rPr>
        <w:t xml:space="preserve"> </w:t>
      </w:r>
      <w:r w:rsidRPr="00264435">
        <w:rPr>
          <w:sz w:val="20"/>
          <w:szCs w:val="18"/>
        </w:rPr>
        <w:t xml:space="preserve">recent work around the mental health of </w:t>
      </w:r>
      <w:r w:rsidR="006A627C">
        <w:rPr>
          <w:sz w:val="20"/>
          <w:szCs w:val="18"/>
        </w:rPr>
        <w:t>the Australian Defence Force</w:t>
      </w:r>
      <w:r w:rsidR="006A627C" w:rsidRPr="00264435">
        <w:rPr>
          <w:sz w:val="20"/>
          <w:szCs w:val="18"/>
        </w:rPr>
        <w:t xml:space="preserve"> </w:t>
      </w:r>
      <w:r w:rsidRPr="00264435">
        <w:rPr>
          <w:sz w:val="20"/>
          <w:szCs w:val="18"/>
        </w:rPr>
        <w:t xml:space="preserve">veterans are good examples of this. </w:t>
      </w:r>
      <w:r w:rsidR="00CF1241">
        <w:rPr>
          <w:sz w:val="20"/>
          <w:szCs w:val="18"/>
        </w:rPr>
        <w:t>And of course, these projects will contribute to the NMHCs role in advising on improvement to the mental health system.</w:t>
      </w:r>
    </w:p>
    <w:p w:rsidR="00F42F62" w:rsidRDefault="00F42F62" w:rsidP="00F42F62">
      <w:pPr>
        <w:spacing w:after="0" w:line="259" w:lineRule="auto"/>
        <w:rPr>
          <w:bCs/>
          <w:color w:val="000000" w:themeColor="text1"/>
          <w:sz w:val="20"/>
          <w:szCs w:val="18"/>
        </w:rPr>
      </w:pPr>
    </w:p>
    <w:p w:rsidR="00CE5388" w:rsidRPr="00CE5388" w:rsidRDefault="00F42F62" w:rsidP="00F42F62">
      <w:pPr>
        <w:spacing w:after="0" w:line="259" w:lineRule="auto"/>
        <w:rPr>
          <w:sz w:val="20"/>
          <w:szCs w:val="18"/>
        </w:rPr>
      </w:pPr>
      <w:r w:rsidRPr="00264435">
        <w:rPr>
          <w:sz w:val="20"/>
          <w:szCs w:val="18"/>
        </w:rPr>
        <w:t xml:space="preserve">The </w:t>
      </w:r>
      <w:r w:rsidRPr="00264435">
        <w:rPr>
          <w:b/>
          <w:sz w:val="20"/>
          <w:szCs w:val="18"/>
        </w:rPr>
        <w:t>extent</w:t>
      </w:r>
      <w:r w:rsidRPr="00264435">
        <w:rPr>
          <w:sz w:val="20"/>
          <w:szCs w:val="18"/>
        </w:rPr>
        <w:t xml:space="preserve"> of the NMHC’s role in </w:t>
      </w:r>
      <w:r w:rsidRPr="00CE5388">
        <w:rPr>
          <w:b/>
          <w:sz w:val="20"/>
          <w:szCs w:val="18"/>
        </w:rPr>
        <w:t xml:space="preserve">policy </w:t>
      </w:r>
      <w:r w:rsidR="00CE5388">
        <w:rPr>
          <w:b/>
          <w:sz w:val="20"/>
          <w:szCs w:val="18"/>
        </w:rPr>
        <w:t xml:space="preserve">advice </w:t>
      </w:r>
      <w:r w:rsidRPr="00264435">
        <w:rPr>
          <w:sz w:val="20"/>
          <w:szCs w:val="18"/>
        </w:rPr>
        <w:t xml:space="preserve">may change over time. Recognising the need to build capability and experience, at first the NMHC will likely restrict itself to providing inputs to policy, in the form of research insights and commentary. Over time, this role could expand to generating some aspects of policy, such as frameworks or tools, recognising that ultimate responsibility for generating mental health policy and strategy still lies with Government Departments and Ministers. </w:t>
      </w:r>
      <w:r w:rsidR="00CE5388" w:rsidRPr="00CF1241">
        <w:rPr>
          <w:sz w:val="20"/>
          <w:szCs w:val="18"/>
        </w:rPr>
        <w:t xml:space="preserve">While this latter role is partially being delivered through the </w:t>
      </w:r>
      <w:r w:rsidR="00CE5388" w:rsidRPr="00CF1241">
        <w:rPr>
          <w:i/>
          <w:sz w:val="20"/>
          <w:szCs w:val="18"/>
        </w:rPr>
        <w:t>consumer and carer engagement framework</w:t>
      </w:r>
      <w:r w:rsidR="00CE5388" w:rsidRPr="00CF1241">
        <w:rPr>
          <w:sz w:val="20"/>
          <w:szCs w:val="18"/>
        </w:rPr>
        <w:t>, as requested by the Minister for Health, there is substantial opportunity to grow this role further.</w:t>
      </w:r>
      <w:r w:rsidR="00CE5388">
        <w:rPr>
          <w:sz w:val="20"/>
          <w:szCs w:val="18"/>
        </w:rPr>
        <w:t xml:space="preserve"> </w:t>
      </w:r>
    </w:p>
    <w:p w:rsidR="00F562FF" w:rsidRDefault="00F562FF" w:rsidP="00F42F62">
      <w:pPr>
        <w:spacing w:after="0" w:line="259" w:lineRule="auto"/>
        <w:rPr>
          <w:sz w:val="20"/>
          <w:szCs w:val="18"/>
        </w:rPr>
      </w:pPr>
    </w:p>
    <w:p w:rsidR="00924609" w:rsidRDefault="00924609" w:rsidP="00924609">
      <w:pPr>
        <w:spacing w:after="0" w:line="259" w:lineRule="auto"/>
        <w:rPr>
          <w:bCs/>
          <w:color w:val="000000" w:themeColor="text1"/>
          <w:sz w:val="20"/>
          <w:szCs w:val="18"/>
        </w:rPr>
      </w:pPr>
      <w:r w:rsidRPr="00CF1241">
        <w:rPr>
          <w:bCs/>
          <w:color w:val="000000" w:themeColor="text1"/>
          <w:sz w:val="20"/>
          <w:szCs w:val="18"/>
        </w:rPr>
        <w:t xml:space="preserve">In addition, as part of its role in bringing to life the cross-sectoral perspective, the NMHC </w:t>
      </w:r>
      <w:r w:rsidR="00B64914" w:rsidRPr="00CF1241">
        <w:rPr>
          <w:bCs/>
          <w:color w:val="000000" w:themeColor="text1"/>
          <w:sz w:val="20"/>
          <w:szCs w:val="18"/>
        </w:rPr>
        <w:t>attempts to deliver on this requirement through reporting on performance in the annual National Report and undertaking ad hoc</w:t>
      </w:r>
      <w:r w:rsidR="0093307C" w:rsidRPr="00CF1241">
        <w:rPr>
          <w:bCs/>
          <w:color w:val="000000" w:themeColor="text1"/>
          <w:sz w:val="20"/>
          <w:szCs w:val="18"/>
        </w:rPr>
        <w:t xml:space="preserve"> engagement,</w:t>
      </w:r>
      <w:r w:rsidR="00B64914" w:rsidRPr="00CF1241">
        <w:rPr>
          <w:bCs/>
          <w:color w:val="000000" w:themeColor="text1"/>
          <w:sz w:val="20"/>
          <w:szCs w:val="18"/>
        </w:rPr>
        <w:t xml:space="preserve"> research and policy advice taking a cross-sector and interjurisdictional approach (for example the work on understanding the connections between housing, homelessness and mental health). </w:t>
      </w:r>
      <w:r w:rsidR="0093307C" w:rsidRPr="00CF1241">
        <w:rPr>
          <w:bCs/>
          <w:color w:val="000000" w:themeColor="text1"/>
          <w:sz w:val="20"/>
          <w:szCs w:val="18"/>
        </w:rPr>
        <w:t>As outlined in the Draft Fifth National Mental Health Plan, t</w:t>
      </w:r>
      <w:r w:rsidR="00B64914" w:rsidRPr="00CF1241">
        <w:rPr>
          <w:bCs/>
          <w:color w:val="000000" w:themeColor="text1"/>
          <w:sz w:val="20"/>
          <w:szCs w:val="18"/>
        </w:rPr>
        <w:t xml:space="preserve">here an increased need to build the </w:t>
      </w:r>
      <w:r w:rsidR="0093307C" w:rsidRPr="00CF1241">
        <w:rPr>
          <w:bCs/>
          <w:color w:val="000000" w:themeColor="text1"/>
          <w:sz w:val="20"/>
          <w:szCs w:val="18"/>
        </w:rPr>
        <w:t xml:space="preserve">awareness </w:t>
      </w:r>
      <w:r w:rsidR="00B64914" w:rsidRPr="00CF1241">
        <w:rPr>
          <w:bCs/>
          <w:color w:val="000000" w:themeColor="text1"/>
          <w:sz w:val="20"/>
          <w:szCs w:val="18"/>
        </w:rPr>
        <w:t xml:space="preserve">of </w:t>
      </w:r>
      <w:r w:rsidRPr="00CF1241">
        <w:rPr>
          <w:bCs/>
          <w:color w:val="000000" w:themeColor="text1"/>
          <w:sz w:val="20"/>
          <w:szCs w:val="18"/>
        </w:rPr>
        <w:t>c</w:t>
      </w:r>
      <w:r w:rsidR="00B64914" w:rsidRPr="00CF1241">
        <w:rPr>
          <w:bCs/>
          <w:color w:val="000000" w:themeColor="text1"/>
          <w:sz w:val="20"/>
          <w:szCs w:val="18"/>
        </w:rPr>
        <w:t>ross-sector</w:t>
      </w:r>
      <w:r w:rsidRPr="00CF1241">
        <w:rPr>
          <w:bCs/>
          <w:color w:val="000000" w:themeColor="text1"/>
          <w:sz w:val="20"/>
          <w:szCs w:val="18"/>
        </w:rPr>
        <w:t xml:space="preserve"> and inter-jurisdictional initiatives</w:t>
      </w:r>
      <w:r w:rsidR="00B64914" w:rsidRPr="00CF1241">
        <w:rPr>
          <w:bCs/>
          <w:color w:val="000000" w:themeColor="text1"/>
          <w:sz w:val="20"/>
          <w:szCs w:val="18"/>
        </w:rPr>
        <w:t xml:space="preserve"> and to report on the outcomes of such approaches</w:t>
      </w:r>
      <w:r w:rsidRPr="00CF1241">
        <w:rPr>
          <w:bCs/>
          <w:color w:val="000000" w:themeColor="text1"/>
          <w:sz w:val="20"/>
          <w:szCs w:val="18"/>
        </w:rPr>
        <w:t xml:space="preserve">. The </w:t>
      </w:r>
      <w:r w:rsidR="00B64914" w:rsidRPr="00CF1241">
        <w:rPr>
          <w:bCs/>
          <w:color w:val="000000" w:themeColor="text1"/>
          <w:sz w:val="20"/>
          <w:szCs w:val="18"/>
        </w:rPr>
        <w:t xml:space="preserve">inherent </w:t>
      </w:r>
      <w:r w:rsidRPr="00CF1241">
        <w:rPr>
          <w:bCs/>
          <w:color w:val="000000" w:themeColor="text1"/>
          <w:sz w:val="20"/>
          <w:szCs w:val="18"/>
        </w:rPr>
        <w:t xml:space="preserve">challenges associated with this are described </w:t>
      </w:r>
      <w:r w:rsidR="00B64914" w:rsidRPr="00CF1241">
        <w:rPr>
          <w:bCs/>
          <w:color w:val="000000" w:themeColor="text1"/>
          <w:sz w:val="20"/>
          <w:szCs w:val="18"/>
        </w:rPr>
        <w:t xml:space="preserve">in Part B </w:t>
      </w:r>
      <w:r w:rsidRPr="00CF1241">
        <w:rPr>
          <w:bCs/>
          <w:color w:val="000000" w:themeColor="text1"/>
          <w:sz w:val="20"/>
          <w:szCs w:val="18"/>
        </w:rPr>
        <w:t>below.</w:t>
      </w:r>
      <w:r>
        <w:rPr>
          <w:bCs/>
          <w:color w:val="000000" w:themeColor="text1"/>
          <w:sz w:val="20"/>
          <w:szCs w:val="18"/>
        </w:rPr>
        <w:t xml:space="preserve"> </w:t>
      </w:r>
    </w:p>
    <w:p w:rsidR="00924609" w:rsidRPr="00924609" w:rsidRDefault="00924609" w:rsidP="00924609">
      <w:pPr>
        <w:spacing w:after="0" w:line="259" w:lineRule="auto"/>
        <w:rPr>
          <w:sz w:val="20"/>
          <w:szCs w:val="18"/>
        </w:rPr>
      </w:pPr>
    </w:p>
    <w:p w:rsidR="003828D7" w:rsidRDefault="00F562FF" w:rsidP="00924609">
      <w:pPr>
        <w:spacing w:after="0" w:line="259" w:lineRule="auto"/>
        <w:rPr>
          <w:sz w:val="20"/>
          <w:szCs w:val="18"/>
        </w:rPr>
      </w:pPr>
      <w:r>
        <w:rPr>
          <w:sz w:val="20"/>
          <w:szCs w:val="18"/>
        </w:rPr>
        <w:t xml:space="preserve">The NMHC should also retain and expand on its </w:t>
      </w:r>
      <w:r w:rsidR="000B4FF0">
        <w:rPr>
          <w:sz w:val="20"/>
          <w:szCs w:val="18"/>
        </w:rPr>
        <w:t>on</w:t>
      </w:r>
      <w:r>
        <w:rPr>
          <w:sz w:val="20"/>
          <w:szCs w:val="18"/>
        </w:rPr>
        <w:t xml:space="preserve">going role </w:t>
      </w:r>
      <w:r w:rsidRPr="00CE5388">
        <w:rPr>
          <w:b/>
          <w:sz w:val="20"/>
          <w:szCs w:val="18"/>
        </w:rPr>
        <w:t xml:space="preserve">consulting with the mental health </w:t>
      </w:r>
      <w:r w:rsidR="00CE5388" w:rsidRPr="00CE5388">
        <w:rPr>
          <w:b/>
          <w:sz w:val="20"/>
          <w:szCs w:val="18"/>
        </w:rPr>
        <w:t>system</w:t>
      </w:r>
      <w:r>
        <w:rPr>
          <w:sz w:val="20"/>
          <w:szCs w:val="18"/>
        </w:rPr>
        <w:t xml:space="preserve"> and particularly seeking and incorporating the view</w:t>
      </w:r>
      <w:r w:rsidR="00924609">
        <w:rPr>
          <w:sz w:val="20"/>
          <w:szCs w:val="18"/>
        </w:rPr>
        <w:t>s</w:t>
      </w:r>
      <w:r>
        <w:rPr>
          <w:sz w:val="20"/>
          <w:szCs w:val="18"/>
        </w:rPr>
        <w:t xml:space="preserve"> of consumers, carers and families. Execution of this role should involve strengthening relationships with existing </w:t>
      </w:r>
      <w:r w:rsidR="000B4FF0">
        <w:rPr>
          <w:sz w:val="20"/>
          <w:szCs w:val="18"/>
        </w:rPr>
        <w:t xml:space="preserve">stakeholder engagement structures, such as together with </w:t>
      </w:r>
      <w:r w:rsidR="000B4FF0" w:rsidRPr="000B4FF0">
        <w:rPr>
          <w:i/>
          <w:sz w:val="20"/>
          <w:szCs w:val="18"/>
        </w:rPr>
        <w:t xml:space="preserve">Mental Health Australia </w:t>
      </w:r>
      <w:r w:rsidR="000B4FF0">
        <w:rPr>
          <w:sz w:val="20"/>
          <w:szCs w:val="18"/>
        </w:rPr>
        <w:t xml:space="preserve">and other peak groups. This will serve to both deepen the NMHC’s role and influence across the sector, as well as guarding against the risk of duplicating the activities of other system actors. </w:t>
      </w:r>
    </w:p>
    <w:p w:rsidR="00C633D1" w:rsidRPr="00264435" w:rsidRDefault="00C633D1" w:rsidP="00C633D1">
      <w:pPr>
        <w:spacing w:after="0" w:line="240" w:lineRule="auto"/>
        <w:rPr>
          <w:rFonts w:eastAsia="Times New Roman" w:cs="Times New Roman"/>
          <w:sz w:val="20"/>
          <w:szCs w:val="20"/>
          <w:lang w:eastAsia="en-AU"/>
        </w:rPr>
      </w:pPr>
      <w:bookmarkStart w:id="5" w:name="_Toc482809622"/>
    </w:p>
    <w:p w:rsidR="00DF2EAC" w:rsidRPr="00264435" w:rsidRDefault="00B64F03" w:rsidP="00F916D6">
      <w:pPr>
        <w:pStyle w:val="Heading2"/>
      </w:pPr>
      <w:r>
        <w:t xml:space="preserve">B. </w:t>
      </w:r>
      <w:r w:rsidR="00DF2EAC" w:rsidRPr="00264435">
        <w:t>Scope</w:t>
      </w:r>
      <w:bookmarkEnd w:id="5"/>
    </w:p>
    <w:p w:rsidR="0008004C" w:rsidRDefault="0008004C" w:rsidP="00DF2EAC">
      <w:pPr>
        <w:spacing w:after="200" w:line="276" w:lineRule="auto"/>
        <w:rPr>
          <w:rFonts w:eastAsia="+mn-ea" w:cs="+mn-cs"/>
          <w:b/>
          <w:kern w:val="24"/>
          <w:sz w:val="20"/>
          <w:szCs w:val="36"/>
          <w:lang w:eastAsia="en-AU"/>
        </w:rPr>
      </w:pPr>
    </w:p>
    <w:p w:rsidR="00DF2EAC" w:rsidRPr="00245D67" w:rsidRDefault="009B4D0A" w:rsidP="00245D67">
      <w:pPr>
        <w:spacing w:after="200" w:line="240" w:lineRule="auto"/>
        <w:rPr>
          <w:rFonts w:eastAsia="+mn-ea" w:cs="+mn-cs"/>
          <w:b/>
          <w:color w:val="000000" w:themeColor="text1"/>
          <w:kern w:val="24"/>
          <w:sz w:val="20"/>
          <w:szCs w:val="36"/>
          <w:lang w:eastAsia="en-AU"/>
        </w:rPr>
      </w:pPr>
      <w:r w:rsidRPr="00245D67">
        <w:rPr>
          <w:rFonts w:eastAsia="+mn-ea" w:cs="+mn-cs"/>
          <w:b/>
          <w:color w:val="000000" w:themeColor="text1"/>
          <w:kern w:val="24"/>
          <w:sz w:val="20"/>
          <w:szCs w:val="36"/>
          <w:lang w:eastAsia="en-AU"/>
        </w:rPr>
        <w:t>Key finding</w:t>
      </w:r>
      <w:r w:rsidR="00B64F03" w:rsidRPr="00245D67">
        <w:rPr>
          <w:rFonts w:eastAsia="+mn-ea" w:cs="+mn-cs"/>
          <w:b/>
          <w:color w:val="000000" w:themeColor="text1"/>
          <w:kern w:val="24"/>
          <w:sz w:val="20"/>
          <w:szCs w:val="36"/>
          <w:lang w:eastAsia="en-AU"/>
        </w:rPr>
        <w:t xml:space="preserve"> 3</w:t>
      </w:r>
      <w:r w:rsidRPr="00245D67">
        <w:rPr>
          <w:rFonts w:eastAsia="+mn-ea" w:cs="+mn-cs"/>
          <w:b/>
          <w:color w:val="000000" w:themeColor="text1"/>
          <w:kern w:val="24"/>
          <w:sz w:val="20"/>
          <w:szCs w:val="36"/>
          <w:lang w:eastAsia="en-AU"/>
        </w:rPr>
        <w:t xml:space="preserve">: The NMHC has a scope of focus that extends both horizontally beyond ‘health’ and also vertically into the activities and outcomes of States and Territories. </w:t>
      </w:r>
      <w:r w:rsidR="0008004C" w:rsidRPr="00245D67">
        <w:rPr>
          <w:rFonts w:eastAsia="+mn-ea" w:cs="+mn-cs"/>
          <w:b/>
          <w:color w:val="000000" w:themeColor="text1"/>
          <w:kern w:val="24"/>
          <w:sz w:val="20"/>
          <w:szCs w:val="36"/>
          <w:lang w:eastAsia="en-AU"/>
        </w:rPr>
        <w:t>Delivering</w:t>
      </w:r>
      <w:r w:rsidRPr="00245D67">
        <w:rPr>
          <w:rFonts w:eastAsia="+mn-ea" w:cs="+mn-cs"/>
          <w:b/>
          <w:color w:val="000000" w:themeColor="text1"/>
          <w:kern w:val="24"/>
          <w:sz w:val="20"/>
          <w:szCs w:val="36"/>
          <w:lang w:eastAsia="en-AU"/>
        </w:rPr>
        <w:t xml:space="preserve"> against this scope can be challenging.</w:t>
      </w:r>
    </w:p>
    <w:p w:rsidR="00DF2EAC" w:rsidRPr="007819CC" w:rsidRDefault="00DF2EAC" w:rsidP="00DF2EAC">
      <w:pPr>
        <w:spacing w:after="0" w:line="240" w:lineRule="auto"/>
        <w:rPr>
          <w:rFonts w:eastAsia="+mn-ea" w:cs="+mn-cs"/>
          <w:b/>
          <w:bCs/>
          <w:color w:val="012169" w:themeColor="accent4"/>
          <w:kern w:val="24"/>
          <w:sz w:val="20"/>
          <w:szCs w:val="20"/>
          <w:lang w:eastAsia="en-AU"/>
        </w:rPr>
      </w:pPr>
      <w:r w:rsidRPr="007819CC">
        <w:rPr>
          <w:rFonts w:eastAsia="+mn-ea" w:cs="+mn-cs"/>
          <w:b/>
          <w:bCs/>
          <w:color w:val="012169" w:themeColor="accent4"/>
          <w:kern w:val="24"/>
          <w:sz w:val="20"/>
          <w:szCs w:val="20"/>
          <w:lang w:eastAsia="en-AU"/>
        </w:rPr>
        <w:t>The NMHC’s role is to look beyond health</w:t>
      </w:r>
    </w:p>
    <w:p w:rsidR="00DF2EAC" w:rsidRPr="00264435" w:rsidRDefault="00DF2EAC" w:rsidP="00DF2EAC">
      <w:pPr>
        <w:spacing w:after="0" w:line="240" w:lineRule="auto"/>
        <w:rPr>
          <w:rFonts w:eastAsia="Times New Roman" w:cs="Times New Roman"/>
          <w:sz w:val="20"/>
          <w:szCs w:val="20"/>
          <w:lang w:eastAsia="en-AU"/>
        </w:rPr>
      </w:pPr>
    </w:p>
    <w:p w:rsidR="00DF2EAC" w:rsidRPr="00264435" w:rsidRDefault="00DF2EAC" w:rsidP="00FA1801">
      <w:pPr>
        <w:spacing w:line="240" w:lineRule="auto"/>
        <w:rPr>
          <w:rFonts w:eastAsia="Times New Roman" w:cs="Times New Roman"/>
          <w:sz w:val="20"/>
          <w:szCs w:val="20"/>
          <w:lang w:eastAsia="en-AU"/>
        </w:rPr>
      </w:pPr>
      <w:r w:rsidRPr="00264435">
        <w:rPr>
          <w:rFonts w:eastAsia="+mn-ea" w:cs="+mn-cs"/>
          <w:color w:val="000000"/>
          <w:kern w:val="24"/>
          <w:sz w:val="20"/>
          <w:szCs w:val="20"/>
          <w:lang w:eastAsia="en-AU"/>
        </w:rPr>
        <w:t xml:space="preserve">In order to fully support people living with mental illnesses, and those at risk of or affected by suicide, the NMHC must be able to consider activity, data and perspectives from portfolio areas </w:t>
      </w:r>
      <w:r w:rsidRPr="00264435">
        <w:rPr>
          <w:rFonts w:eastAsia="+mn-ea" w:cs="+mn-cs"/>
          <w:b/>
          <w:bCs/>
          <w:color w:val="000000"/>
          <w:kern w:val="24"/>
          <w:sz w:val="20"/>
          <w:szCs w:val="20"/>
          <w:lang w:eastAsia="en-AU"/>
        </w:rPr>
        <w:t>beyond the traditional doma</w:t>
      </w:r>
      <w:r w:rsidR="00FA1801">
        <w:rPr>
          <w:rFonts w:eastAsia="+mn-ea" w:cs="+mn-cs"/>
          <w:b/>
          <w:bCs/>
          <w:color w:val="000000"/>
          <w:kern w:val="24"/>
          <w:sz w:val="20"/>
          <w:szCs w:val="20"/>
          <w:lang w:eastAsia="en-AU"/>
        </w:rPr>
        <w:t xml:space="preserve">ins of mental health or health. </w:t>
      </w:r>
      <w:r w:rsidRPr="00264435">
        <w:rPr>
          <w:rFonts w:eastAsia="+mn-ea" w:cs="+mn-cs"/>
          <w:color w:val="000000"/>
          <w:kern w:val="24"/>
          <w:sz w:val="20"/>
          <w:szCs w:val="20"/>
          <w:lang w:eastAsia="en-AU"/>
        </w:rPr>
        <w:t>This scope of focus would include:</w:t>
      </w:r>
    </w:p>
    <w:p w:rsidR="00DF2EAC" w:rsidRPr="00264435" w:rsidRDefault="00DF2EAC" w:rsidP="008A3CBB">
      <w:pPr>
        <w:numPr>
          <w:ilvl w:val="0"/>
          <w:numId w:val="11"/>
        </w:numPr>
        <w:spacing w:after="0" w:line="240" w:lineRule="auto"/>
        <w:contextualSpacing/>
        <w:rPr>
          <w:rFonts w:eastAsia="Times New Roman" w:cs="Times New Roman"/>
          <w:sz w:val="20"/>
          <w:szCs w:val="20"/>
          <w:lang w:eastAsia="en-AU"/>
        </w:rPr>
      </w:pPr>
      <w:r w:rsidRPr="00264435">
        <w:rPr>
          <w:rFonts w:eastAsia="+mn-ea" w:cs="+mn-cs"/>
          <w:color w:val="000000"/>
          <w:kern w:val="24"/>
          <w:sz w:val="20"/>
          <w:szCs w:val="20"/>
          <w:lang w:eastAsia="en-AU"/>
        </w:rPr>
        <w:lastRenderedPageBreak/>
        <w:t>Issues of physical health;</w:t>
      </w:r>
    </w:p>
    <w:p w:rsidR="00DF2EAC" w:rsidRPr="00264435" w:rsidRDefault="00DF2EAC" w:rsidP="008A3CBB">
      <w:pPr>
        <w:numPr>
          <w:ilvl w:val="0"/>
          <w:numId w:val="11"/>
        </w:numPr>
        <w:spacing w:after="0" w:line="240" w:lineRule="auto"/>
        <w:contextualSpacing/>
        <w:rPr>
          <w:rFonts w:eastAsia="Times New Roman" w:cs="Times New Roman"/>
          <w:sz w:val="20"/>
          <w:szCs w:val="20"/>
          <w:lang w:eastAsia="en-AU"/>
        </w:rPr>
      </w:pPr>
      <w:r w:rsidRPr="00264435">
        <w:rPr>
          <w:rFonts w:eastAsia="+mn-ea" w:cs="+mn-cs"/>
          <w:color w:val="000000"/>
          <w:kern w:val="24"/>
          <w:sz w:val="20"/>
          <w:szCs w:val="20"/>
          <w:lang w:eastAsia="en-AU"/>
        </w:rPr>
        <w:t>Matters relating to social services and welfare, particularly those around employment support and drug and alcohol policy;</w:t>
      </w:r>
    </w:p>
    <w:p w:rsidR="00DF2EAC" w:rsidRPr="00264435" w:rsidRDefault="00DF2EAC" w:rsidP="008A3CBB">
      <w:pPr>
        <w:numPr>
          <w:ilvl w:val="0"/>
          <w:numId w:val="11"/>
        </w:numPr>
        <w:spacing w:after="0" w:line="240" w:lineRule="auto"/>
        <w:contextualSpacing/>
        <w:rPr>
          <w:rFonts w:eastAsia="Times New Roman" w:cs="Times New Roman"/>
          <w:sz w:val="20"/>
          <w:szCs w:val="20"/>
          <w:lang w:eastAsia="en-AU"/>
        </w:rPr>
      </w:pPr>
      <w:r w:rsidRPr="00264435">
        <w:rPr>
          <w:rFonts w:eastAsia="+mn-ea" w:cs="+mn-cs"/>
          <w:color w:val="000000"/>
          <w:kern w:val="24"/>
          <w:sz w:val="20"/>
          <w:szCs w:val="20"/>
          <w:lang w:eastAsia="en-AU"/>
        </w:rPr>
        <w:t xml:space="preserve">Issues within the </w:t>
      </w:r>
      <w:r w:rsidR="00924609">
        <w:rPr>
          <w:rFonts w:eastAsia="+mn-ea" w:cs="+mn-cs"/>
          <w:color w:val="000000"/>
          <w:kern w:val="24"/>
          <w:sz w:val="20"/>
          <w:szCs w:val="20"/>
          <w:lang w:eastAsia="en-AU"/>
        </w:rPr>
        <w:t>justice and safety</w:t>
      </w:r>
      <w:r w:rsidRPr="00264435">
        <w:rPr>
          <w:rFonts w:eastAsia="+mn-ea" w:cs="+mn-cs"/>
          <w:color w:val="000000"/>
          <w:kern w:val="24"/>
          <w:sz w:val="20"/>
          <w:szCs w:val="20"/>
          <w:lang w:eastAsia="en-AU"/>
        </w:rPr>
        <w:t xml:space="preserve"> field, including family violence; and</w:t>
      </w:r>
    </w:p>
    <w:p w:rsidR="00DF2EAC" w:rsidRPr="00264435" w:rsidRDefault="00DF2EAC" w:rsidP="008A3CBB">
      <w:pPr>
        <w:numPr>
          <w:ilvl w:val="0"/>
          <w:numId w:val="11"/>
        </w:numPr>
        <w:spacing w:line="240" w:lineRule="auto"/>
        <w:contextualSpacing/>
        <w:rPr>
          <w:rFonts w:eastAsia="Times New Roman" w:cs="Times New Roman"/>
          <w:sz w:val="20"/>
          <w:szCs w:val="20"/>
          <w:lang w:eastAsia="en-AU"/>
        </w:rPr>
      </w:pPr>
      <w:r w:rsidRPr="00264435">
        <w:rPr>
          <w:rFonts w:eastAsia="+mn-ea" w:cs="+mn-cs"/>
          <w:color w:val="000000"/>
          <w:kern w:val="24"/>
          <w:sz w:val="20"/>
          <w:szCs w:val="20"/>
          <w:lang w:eastAsia="en-AU"/>
        </w:rPr>
        <w:t>Economic concerns, such as understanding the workforce implications a</w:t>
      </w:r>
      <w:r w:rsidR="00924609">
        <w:rPr>
          <w:rFonts w:eastAsia="+mn-ea" w:cs="+mn-cs"/>
          <w:color w:val="000000"/>
          <w:kern w:val="24"/>
          <w:sz w:val="20"/>
          <w:szCs w:val="20"/>
          <w:lang w:eastAsia="en-AU"/>
        </w:rPr>
        <w:t>nd dimensions of mental health and employment outcomes for people with mental health conditions.</w:t>
      </w:r>
    </w:p>
    <w:p w:rsidR="00FC6595" w:rsidRPr="00264435" w:rsidRDefault="00FC6595" w:rsidP="00FC6595">
      <w:pPr>
        <w:spacing w:line="240" w:lineRule="auto"/>
        <w:ind w:left="720"/>
        <w:contextualSpacing/>
        <w:rPr>
          <w:rFonts w:eastAsia="Times New Roman" w:cs="Times New Roman"/>
          <w:sz w:val="20"/>
          <w:szCs w:val="20"/>
          <w:lang w:eastAsia="en-AU"/>
        </w:rPr>
      </w:pPr>
    </w:p>
    <w:p w:rsidR="00DF2EAC" w:rsidRPr="00264435" w:rsidRDefault="00DF2EAC" w:rsidP="00DF2EAC">
      <w:pPr>
        <w:spacing w:after="0" w:line="240" w:lineRule="auto"/>
        <w:rPr>
          <w:rFonts w:eastAsia="Times New Roman" w:cs="Times New Roman"/>
          <w:sz w:val="20"/>
          <w:szCs w:val="20"/>
          <w:lang w:eastAsia="en-AU"/>
        </w:rPr>
      </w:pPr>
      <w:r w:rsidRPr="00264435">
        <w:rPr>
          <w:rFonts w:eastAsia="+mn-ea" w:cs="+mn-cs"/>
          <w:color w:val="000000"/>
          <w:kern w:val="24"/>
          <w:sz w:val="20"/>
          <w:szCs w:val="20"/>
          <w:lang w:eastAsia="en-AU"/>
        </w:rPr>
        <w:t xml:space="preserve">This cross-sector perspective was a key platform in </w:t>
      </w:r>
      <w:r w:rsidRPr="00264435">
        <w:rPr>
          <w:rFonts w:eastAsia="+mn-ea" w:cs="+mn-cs"/>
          <w:i/>
          <w:iCs/>
          <w:color w:val="000000"/>
          <w:kern w:val="24"/>
          <w:sz w:val="20"/>
          <w:szCs w:val="20"/>
          <w:lang w:eastAsia="en-AU"/>
        </w:rPr>
        <w:t xml:space="preserve">Contributing Lives, </w:t>
      </w:r>
      <w:r w:rsidRPr="00264435">
        <w:rPr>
          <w:rFonts w:eastAsia="+mn-ea" w:cs="+mn-cs"/>
          <w:color w:val="000000"/>
          <w:kern w:val="24"/>
          <w:sz w:val="20"/>
          <w:szCs w:val="20"/>
          <w:lang w:eastAsia="en-AU"/>
        </w:rPr>
        <w:t xml:space="preserve">and was strongly echoed in this review’s stakeholder consultations. The need for the NMHC to focus on the wide range of issues and levers around mental health was recognised at its inception, and again in the Government’s response to </w:t>
      </w:r>
      <w:r w:rsidRPr="00264435">
        <w:rPr>
          <w:rFonts w:eastAsia="+mn-ea" w:cs="+mn-cs"/>
          <w:i/>
          <w:iCs/>
          <w:color w:val="000000"/>
          <w:kern w:val="24"/>
          <w:sz w:val="20"/>
          <w:szCs w:val="20"/>
          <w:lang w:eastAsia="en-AU"/>
        </w:rPr>
        <w:t>Contributing Lives</w:t>
      </w:r>
      <w:r w:rsidRPr="00264435">
        <w:rPr>
          <w:rFonts w:eastAsia="+mn-ea" w:cs="+mn-cs"/>
          <w:color w:val="000000"/>
          <w:kern w:val="24"/>
          <w:sz w:val="20"/>
          <w:szCs w:val="20"/>
          <w:lang w:eastAsia="en-AU"/>
        </w:rPr>
        <w:t xml:space="preserve">. </w:t>
      </w:r>
    </w:p>
    <w:p w:rsidR="0008004C" w:rsidRDefault="0008004C" w:rsidP="00DF2EAC">
      <w:pPr>
        <w:spacing w:after="0" w:line="240" w:lineRule="auto"/>
        <w:rPr>
          <w:rFonts w:eastAsia="+mn-ea" w:cs="+mn-cs"/>
          <w:color w:val="000000"/>
          <w:kern w:val="24"/>
          <w:sz w:val="20"/>
          <w:szCs w:val="20"/>
          <w:lang w:eastAsia="en-AU"/>
        </w:rPr>
      </w:pPr>
    </w:p>
    <w:p w:rsidR="00DF2EAC" w:rsidRPr="00264435" w:rsidRDefault="00DF2EAC" w:rsidP="00DF2EAC">
      <w:pPr>
        <w:spacing w:after="0" w:line="240" w:lineRule="auto"/>
        <w:rPr>
          <w:rFonts w:eastAsia="+mn-ea" w:cs="+mn-cs"/>
          <w:color w:val="000000"/>
          <w:kern w:val="24"/>
          <w:sz w:val="20"/>
          <w:szCs w:val="20"/>
          <w:lang w:eastAsia="en-AU"/>
        </w:rPr>
      </w:pPr>
      <w:r w:rsidRPr="00264435">
        <w:rPr>
          <w:rFonts w:eastAsia="+mn-ea" w:cs="+mn-cs"/>
          <w:color w:val="000000"/>
          <w:kern w:val="24"/>
          <w:sz w:val="20"/>
          <w:szCs w:val="20"/>
          <w:lang w:eastAsia="en-AU"/>
        </w:rPr>
        <w:t>Some stakeholders believe, however, that generating engagement from other agencies – including seeking data</w:t>
      </w:r>
      <w:r w:rsidR="00CF1241">
        <w:rPr>
          <w:rFonts w:eastAsia="+mn-ea" w:cs="+mn-cs"/>
          <w:color w:val="000000"/>
          <w:kern w:val="24"/>
          <w:sz w:val="20"/>
          <w:szCs w:val="20"/>
          <w:lang w:eastAsia="en-AU"/>
        </w:rPr>
        <w:t xml:space="preserve"> and other inputs</w:t>
      </w:r>
      <w:r w:rsidRPr="00264435">
        <w:rPr>
          <w:rFonts w:eastAsia="+mn-ea" w:cs="+mn-cs"/>
          <w:color w:val="000000"/>
          <w:kern w:val="24"/>
          <w:sz w:val="20"/>
          <w:szCs w:val="20"/>
          <w:lang w:eastAsia="en-AU"/>
        </w:rPr>
        <w:t xml:space="preserve"> from other Departments – can be difficult at times. Some stakeholders attributed this to the NMHC’s </w:t>
      </w:r>
      <w:proofErr w:type="spellStart"/>
      <w:r w:rsidRPr="00264435">
        <w:rPr>
          <w:rFonts w:eastAsia="+mn-ea" w:cs="+mn-cs"/>
          <w:b/>
          <w:bCs/>
          <w:color w:val="000000"/>
          <w:kern w:val="24"/>
          <w:sz w:val="20"/>
          <w:szCs w:val="20"/>
          <w:lang w:eastAsia="en-AU"/>
        </w:rPr>
        <w:t>auspicing</w:t>
      </w:r>
      <w:proofErr w:type="spellEnd"/>
      <w:r w:rsidRPr="00264435">
        <w:rPr>
          <w:rFonts w:eastAsia="+mn-ea" w:cs="+mn-cs"/>
          <w:b/>
          <w:bCs/>
          <w:color w:val="000000"/>
          <w:kern w:val="24"/>
          <w:sz w:val="20"/>
          <w:szCs w:val="20"/>
          <w:lang w:eastAsia="en-AU"/>
        </w:rPr>
        <w:t xml:space="preserve"> arrangements </w:t>
      </w:r>
      <w:r w:rsidRPr="00264435">
        <w:rPr>
          <w:rFonts w:eastAsia="+mn-ea" w:cs="+mn-cs"/>
          <w:color w:val="000000"/>
          <w:kern w:val="24"/>
          <w:sz w:val="20"/>
          <w:szCs w:val="20"/>
          <w:lang w:eastAsia="en-AU"/>
        </w:rPr>
        <w:t xml:space="preserve">under the </w:t>
      </w:r>
      <w:proofErr w:type="spellStart"/>
      <w:r w:rsidR="00926BB1">
        <w:rPr>
          <w:rFonts w:eastAsia="+mn-ea" w:cs="+mn-cs"/>
          <w:color w:val="000000"/>
          <w:kern w:val="24"/>
          <w:sz w:val="20"/>
          <w:szCs w:val="20"/>
          <w:lang w:eastAsia="en-AU"/>
        </w:rPr>
        <w:t>DoH</w:t>
      </w:r>
      <w:proofErr w:type="spellEnd"/>
      <w:r w:rsidRPr="00264435">
        <w:rPr>
          <w:rFonts w:eastAsia="+mn-ea" w:cs="+mn-cs"/>
          <w:color w:val="000000"/>
          <w:kern w:val="24"/>
          <w:sz w:val="20"/>
          <w:szCs w:val="20"/>
          <w:lang w:eastAsia="en-AU"/>
        </w:rPr>
        <w:t xml:space="preserve">. </w:t>
      </w:r>
    </w:p>
    <w:p w:rsidR="00DF2EAC" w:rsidRPr="00264435" w:rsidRDefault="00DF2EAC" w:rsidP="00DF2EAC">
      <w:pPr>
        <w:spacing w:after="0" w:line="240" w:lineRule="auto"/>
        <w:rPr>
          <w:rFonts w:eastAsia="+mn-ea" w:cs="+mn-cs"/>
          <w:color w:val="000000"/>
          <w:kern w:val="24"/>
          <w:sz w:val="20"/>
          <w:szCs w:val="20"/>
          <w:lang w:eastAsia="en-AU"/>
        </w:rPr>
      </w:pPr>
    </w:p>
    <w:p w:rsidR="00DF2EAC" w:rsidRPr="007819CC" w:rsidRDefault="00DF2EAC" w:rsidP="00FC6595">
      <w:pPr>
        <w:spacing w:line="240" w:lineRule="auto"/>
        <w:rPr>
          <w:rFonts w:eastAsia="Times New Roman" w:cs="Times New Roman"/>
          <w:color w:val="012169" w:themeColor="accent4"/>
          <w:sz w:val="20"/>
          <w:szCs w:val="20"/>
          <w:lang w:eastAsia="en-AU"/>
        </w:rPr>
      </w:pPr>
      <w:r w:rsidRPr="007819CC">
        <w:rPr>
          <w:rFonts w:eastAsia="+mn-ea" w:cs="+mn-cs"/>
          <w:b/>
          <w:bCs/>
          <w:color w:val="012169" w:themeColor="accent4"/>
          <w:kern w:val="24"/>
          <w:sz w:val="20"/>
          <w:szCs w:val="20"/>
          <w:lang w:eastAsia="en-AU"/>
        </w:rPr>
        <w:t>Being a truly ‘national’ entity is challenging</w:t>
      </w:r>
    </w:p>
    <w:p w:rsidR="00DF2EAC" w:rsidRDefault="001F04A4" w:rsidP="00FC6595">
      <w:pPr>
        <w:spacing w:line="240" w:lineRule="auto"/>
        <w:rPr>
          <w:rFonts w:eastAsia="+mn-ea" w:cs="+mn-cs"/>
          <w:color w:val="000000"/>
          <w:kern w:val="24"/>
          <w:sz w:val="20"/>
          <w:szCs w:val="20"/>
          <w:lang w:eastAsia="en-AU"/>
        </w:rPr>
      </w:pPr>
      <w:r>
        <w:rPr>
          <w:rFonts w:eastAsia="+mn-ea" w:cs="+mn-cs"/>
          <w:color w:val="000000"/>
          <w:kern w:val="24"/>
          <w:sz w:val="20"/>
          <w:szCs w:val="20"/>
          <w:lang w:eastAsia="en-AU"/>
        </w:rPr>
        <w:t>Many important mental health activities and outcomes are governed, funded and delivered at a sub-national and sub-state and territory level. This includes acute mental health services, as well as primary / allied health functions. As a result, t</w:t>
      </w:r>
      <w:r w:rsidR="00DF2EAC" w:rsidRPr="00264435">
        <w:rPr>
          <w:rFonts w:eastAsia="+mn-ea" w:cs="+mn-cs"/>
          <w:color w:val="000000"/>
          <w:kern w:val="24"/>
          <w:sz w:val="20"/>
          <w:szCs w:val="20"/>
          <w:lang w:eastAsia="en-AU"/>
        </w:rPr>
        <w:t xml:space="preserve">here is some expectation that the NMHC will be able to take a </w:t>
      </w:r>
      <w:r w:rsidR="00DF2EAC" w:rsidRPr="00264435">
        <w:rPr>
          <w:rFonts w:eastAsia="+mn-ea" w:cs="+mn-cs"/>
          <w:b/>
          <w:bCs/>
          <w:color w:val="000000"/>
          <w:kern w:val="24"/>
          <w:sz w:val="20"/>
          <w:szCs w:val="20"/>
          <w:lang w:eastAsia="en-AU"/>
        </w:rPr>
        <w:t xml:space="preserve">national view </w:t>
      </w:r>
      <w:r w:rsidR="00DF2EAC" w:rsidRPr="00264435">
        <w:rPr>
          <w:rFonts w:eastAsia="+mn-ea" w:cs="+mn-cs"/>
          <w:color w:val="000000"/>
          <w:kern w:val="24"/>
          <w:sz w:val="20"/>
          <w:szCs w:val="20"/>
          <w:lang w:eastAsia="en-AU"/>
        </w:rPr>
        <w:t>in its functions. This mean</w:t>
      </w:r>
      <w:r>
        <w:rPr>
          <w:rFonts w:eastAsia="+mn-ea" w:cs="+mn-cs"/>
          <w:color w:val="000000"/>
          <w:kern w:val="24"/>
          <w:sz w:val="20"/>
          <w:szCs w:val="20"/>
          <w:lang w:eastAsia="en-AU"/>
        </w:rPr>
        <w:t>s</w:t>
      </w:r>
      <w:r w:rsidR="00DF2EAC" w:rsidRPr="00264435">
        <w:rPr>
          <w:rFonts w:eastAsia="+mn-ea" w:cs="+mn-cs"/>
          <w:color w:val="000000"/>
          <w:kern w:val="24"/>
          <w:sz w:val="20"/>
          <w:szCs w:val="20"/>
          <w:lang w:eastAsia="en-AU"/>
        </w:rPr>
        <w:t xml:space="preserve"> understanding, reporting on and contributing to not just Commonwealth Government mental health activity and policy, but also relevant aspects within </w:t>
      </w:r>
      <w:r w:rsidR="00DF2EAC" w:rsidRPr="00264435">
        <w:rPr>
          <w:rFonts w:eastAsia="+mn-ea" w:cs="+mn-cs"/>
          <w:b/>
          <w:bCs/>
          <w:color w:val="000000"/>
          <w:kern w:val="24"/>
          <w:sz w:val="20"/>
          <w:szCs w:val="20"/>
          <w:lang w:eastAsia="en-AU"/>
        </w:rPr>
        <w:t>States and Territories</w:t>
      </w:r>
      <w:r>
        <w:rPr>
          <w:rFonts w:eastAsia="+mn-ea" w:cs="+mn-cs"/>
          <w:b/>
          <w:bCs/>
          <w:color w:val="000000"/>
          <w:kern w:val="24"/>
          <w:sz w:val="20"/>
          <w:szCs w:val="20"/>
          <w:lang w:eastAsia="en-AU"/>
        </w:rPr>
        <w:t xml:space="preserve">, </w:t>
      </w:r>
      <w:r w:rsidRPr="001F04A4">
        <w:rPr>
          <w:rFonts w:eastAsia="+mn-ea" w:cs="+mn-cs"/>
          <w:bCs/>
          <w:color w:val="000000"/>
          <w:kern w:val="24"/>
          <w:sz w:val="20"/>
          <w:szCs w:val="20"/>
          <w:lang w:eastAsia="en-AU"/>
        </w:rPr>
        <w:t>and even at a regional level</w:t>
      </w:r>
      <w:r w:rsidR="00DF2EAC" w:rsidRPr="001F04A4">
        <w:rPr>
          <w:rFonts w:eastAsia="+mn-ea" w:cs="+mn-cs"/>
          <w:color w:val="000000"/>
          <w:kern w:val="24"/>
          <w:sz w:val="20"/>
          <w:szCs w:val="20"/>
          <w:lang w:eastAsia="en-AU"/>
        </w:rPr>
        <w:t>.</w:t>
      </w:r>
      <w:r w:rsidR="00DF2EAC" w:rsidRPr="00264435">
        <w:rPr>
          <w:rFonts w:eastAsia="+mn-ea" w:cs="+mn-cs"/>
          <w:color w:val="000000"/>
          <w:kern w:val="24"/>
          <w:sz w:val="20"/>
          <w:szCs w:val="20"/>
          <w:lang w:eastAsia="en-AU"/>
        </w:rPr>
        <w:t xml:space="preserve"> </w:t>
      </w:r>
    </w:p>
    <w:p w:rsidR="00DC7919" w:rsidRPr="00FA1801" w:rsidRDefault="00DC7919" w:rsidP="00FA1801">
      <w:pPr>
        <w:spacing w:line="240" w:lineRule="auto"/>
        <w:rPr>
          <w:rFonts w:eastAsia="+mn-ea" w:cs="+mn-cs"/>
          <w:color w:val="000000"/>
          <w:kern w:val="24"/>
          <w:sz w:val="20"/>
          <w:szCs w:val="20"/>
          <w:lang w:eastAsia="en-AU"/>
        </w:rPr>
      </w:pPr>
      <w:r w:rsidRPr="00FA1801">
        <w:rPr>
          <w:rFonts w:eastAsia="+mn-ea" w:cs="+mn-cs"/>
          <w:color w:val="000000"/>
          <w:kern w:val="24"/>
          <w:sz w:val="20"/>
          <w:szCs w:val="20"/>
          <w:lang w:eastAsia="en-AU"/>
        </w:rPr>
        <w:t>Recognising the federalist distribution of roles and responsibilities in health and mental health, the ability for the NMHC to directly influence States and Territories is limited. Nevertheless, its role clearly involves an expectation of some ability to work with the jurisdictions, as well as the Commonwealth.</w:t>
      </w:r>
      <w:r w:rsidR="00FA1801" w:rsidRPr="00FA1801">
        <w:rPr>
          <w:rFonts w:eastAsia="+mn-ea" w:cs="+mn-cs"/>
          <w:color w:val="000000"/>
          <w:kern w:val="24"/>
          <w:sz w:val="20"/>
          <w:szCs w:val="20"/>
          <w:lang w:eastAsia="en-AU"/>
        </w:rPr>
        <w:t xml:space="preserve"> The NMHC should be able to monitor relevant activity at below the national level, and should seek access to the necessary data to do so. Likewise, the NMHC should be able to </w:t>
      </w:r>
      <w:proofErr w:type="gramStart"/>
      <w:r w:rsidR="00FA1801" w:rsidRPr="00FA1801">
        <w:rPr>
          <w:rFonts w:eastAsia="+mn-ea" w:cs="+mn-cs"/>
          <w:color w:val="000000"/>
          <w:kern w:val="24"/>
          <w:sz w:val="20"/>
          <w:szCs w:val="20"/>
          <w:lang w:eastAsia="en-AU"/>
        </w:rPr>
        <w:t>advise</w:t>
      </w:r>
      <w:proofErr w:type="gramEnd"/>
      <w:r w:rsidR="00FA1801" w:rsidRPr="00FA1801">
        <w:rPr>
          <w:rFonts w:eastAsia="+mn-ea" w:cs="+mn-cs"/>
          <w:color w:val="000000"/>
          <w:kern w:val="24"/>
          <w:sz w:val="20"/>
          <w:szCs w:val="20"/>
          <w:lang w:eastAsia="en-AU"/>
        </w:rPr>
        <w:t xml:space="preserve"> and input to State and Territory policy where appropriate.</w:t>
      </w:r>
      <w:r w:rsidR="00CF1241">
        <w:rPr>
          <w:rFonts w:eastAsia="+mn-ea" w:cs="+mn-cs"/>
          <w:color w:val="000000"/>
          <w:kern w:val="24"/>
          <w:sz w:val="20"/>
          <w:szCs w:val="20"/>
          <w:lang w:eastAsia="en-AU"/>
        </w:rPr>
        <w:t xml:space="preserve">  A better resourced NMHC will be able to build the network of relationships at the State and Territory level and to engage with these colleagues in a way that</w:t>
      </w:r>
      <w:r w:rsidR="001211E3">
        <w:rPr>
          <w:rFonts w:eastAsia="+mn-ea" w:cs="+mn-cs"/>
          <w:color w:val="000000"/>
          <w:kern w:val="24"/>
          <w:sz w:val="20"/>
          <w:szCs w:val="20"/>
          <w:lang w:eastAsia="en-AU"/>
        </w:rPr>
        <w:t xml:space="preserve"> means that influence is real and collaboration across levels of government may be enhanced.</w:t>
      </w:r>
      <w:r w:rsidR="00FA1801" w:rsidRPr="00FA1801">
        <w:rPr>
          <w:rFonts w:eastAsia="+mn-ea" w:cs="+mn-cs"/>
          <w:color w:val="000000"/>
          <w:kern w:val="24"/>
          <w:sz w:val="20"/>
          <w:szCs w:val="20"/>
          <w:lang w:eastAsia="en-AU"/>
        </w:rPr>
        <w:t xml:space="preserve"> </w:t>
      </w:r>
    </w:p>
    <w:p w:rsidR="00DF2EAC" w:rsidRDefault="00FA1801" w:rsidP="00DF2EAC">
      <w:pPr>
        <w:spacing w:after="0" w:line="240" w:lineRule="auto"/>
        <w:rPr>
          <w:rFonts w:eastAsia="+mn-ea" w:cs="+mn-cs"/>
          <w:color w:val="000000"/>
          <w:kern w:val="24"/>
          <w:sz w:val="20"/>
          <w:szCs w:val="20"/>
          <w:lang w:eastAsia="en-AU"/>
        </w:rPr>
      </w:pPr>
      <w:r>
        <w:rPr>
          <w:rFonts w:eastAsia="+mn-ea" w:cs="+mn-cs"/>
          <w:color w:val="000000"/>
          <w:kern w:val="24"/>
          <w:sz w:val="20"/>
          <w:szCs w:val="20"/>
          <w:lang w:eastAsia="en-AU"/>
        </w:rPr>
        <w:t>In</w:t>
      </w:r>
      <w:r w:rsidR="00DF2EAC" w:rsidRPr="00264435">
        <w:rPr>
          <w:rFonts w:eastAsia="+mn-ea" w:cs="+mn-cs"/>
          <w:color w:val="000000"/>
          <w:kern w:val="24"/>
          <w:sz w:val="20"/>
          <w:szCs w:val="20"/>
          <w:lang w:eastAsia="en-AU"/>
        </w:rPr>
        <w:t xml:space="preserve"> practice</w:t>
      </w:r>
      <w:r>
        <w:rPr>
          <w:rFonts w:eastAsia="+mn-ea" w:cs="+mn-cs"/>
          <w:color w:val="000000"/>
          <w:kern w:val="24"/>
          <w:sz w:val="20"/>
          <w:szCs w:val="20"/>
          <w:lang w:eastAsia="en-AU"/>
        </w:rPr>
        <w:t xml:space="preserve"> however,</w:t>
      </w:r>
      <w:r w:rsidR="00DF2EAC" w:rsidRPr="00264435">
        <w:rPr>
          <w:rFonts w:eastAsia="+mn-ea" w:cs="+mn-cs"/>
          <w:color w:val="000000"/>
          <w:kern w:val="24"/>
          <w:sz w:val="20"/>
          <w:szCs w:val="20"/>
          <w:lang w:eastAsia="en-AU"/>
        </w:rPr>
        <w:t xml:space="preserve"> the work of the NMHC</w:t>
      </w:r>
      <w:r w:rsidR="00A44974">
        <w:rPr>
          <w:rFonts w:eastAsia="+mn-ea" w:cs="+mn-cs"/>
          <w:color w:val="000000"/>
          <w:kern w:val="24"/>
          <w:sz w:val="20"/>
          <w:szCs w:val="20"/>
          <w:lang w:eastAsia="en-AU"/>
        </w:rPr>
        <w:t xml:space="preserve"> </w:t>
      </w:r>
      <w:r w:rsidR="00DF2EAC" w:rsidRPr="00264435">
        <w:rPr>
          <w:rFonts w:eastAsia="+mn-ea" w:cs="+mn-cs"/>
          <w:color w:val="000000"/>
          <w:kern w:val="24"/>
          <w:sz w:val="20"/>
          <w:szCs w:val="20"/>
          <w:lang w:eastAsia="en-AU"/>
        </w:rPr>
        <w:t>mostly focus</w:t>
      </w:r>
      <w:r w:rsidR="00A44974">
        <w:rPr>
          <w:rFonts w:eastAsia="+mn-ea" w:cs="+mn-cs"/>
          <w:color w:val="000000"/>
          <w:kern w:val="24"/>
          <w:sz w:val="20"/>
          <w:szCs w:val="20"/>
          <w:lang w:eastAsia="en-AU"/>
        </w:rPr>
        <w:t>es</w:t>
      </w:r>
      <w:r w:rsidR="00DF2EAC" w:rsidRPr="00264435">
        <w:rPr>
          <w:rFonts w:eastAsia="+mn-ea" w:cs="+mn-cs"/>
          <w:color w:val="000000"/>
          <w:kern w:val="24"/>
          <w:sz w:val="20"/>
          <w:szCs w:val="20"/>
          <w:lang w:eastAsia="en-AU"/>
        </w:rPr>
        <w:t xml:space="preserve"> on Commonwealth activity. Stakeholders noted that seeking engagement and particularly </w:t>
      </w:r>
      <w:r w:rsidR="00DF2EAC" w:rsidRPr="00264435">
        <w:rPr>
          <w:rFonts w:eastAsia="+mn-ea" w:cs="+mn-cs"/>
          <w:b/>
          <w:bCs/>
          <w:color w:val="000000"/>
          <w:kern w:val="24"/>
          <w:sz w:val="20"/>
          <w:szCs w:val="20"/>
          <w:lang w:eastAsia="en-AU"/>
        </w:rPr>
        <w:t>data from jurisdictions</w:t>
      </w:r>
      <w:r w:rsidR="00DF2EAC" w:rsidRPr="00264435">
        <w:rPr>
          <w:rFonts w:eastAsia="+mn-ea" w:cs="+mn-cs"/>
          <w:color w:val="000000"/>
          <w:kern w:val="24"/>
          <w:sz w:val="20"/>
          <w:szCs w:val="20"/>
          <w:lang w:eastAsia="en-AU"/>
        </w:rPr>
        <w:t xml:space="preserve"> could be challenging.</w:t>
      </w:r>
    </w:p>
    <w:p w:rsidR="00DC7919" w:rsidRPr="00264435" w:rsidRDefault="00DC7919" w:rsidP="00DF2EAC">
      <w:pPr>
        <w:spacing w:after="0" w:line="240" w:lineRule="auto"/>
        <w:rPr>
          <w:rFonts w:eastAsia="Times New Roman" w:cs="Times New Roman"/>
          <w:sz w:val="20"/>
          <w:szCs w:val="20"/>
          <w:lang w:eastAsia="en-AU"/>
        </w:rPr>
      </w:pPr>
    </w:p>
    <w:p w:rsidR="00DF2EAC" w:rsidRPr="00264435" w:rsidRDefault="00DF2EAC" w:rsidP="00DF2EAC">
      <w:pPr>
        <w:spacing w:after="0" w:line="240" w:lineRule="auto"/>
        <w:rPr>
          <w:rFonts w:eastAsia="Times New Roman" w:cs="Times New Roman"/>
          <w:sz w:val="20"/>
          <w:szCs w:val="20"/>
          <w:lang w:eastAsia="en-AU"/>
        </w:rPr>
      </w:pPr>
      <w:r w:rsidRPr="00264435">
        <w:rPr>
          <w:rFonts w:eastAsia="+mn-ea" w:cs="+mn-cs"/>
          <w:color w:val="000000"/>
          <w:kern w:val="24"/>
          <w:sz w:val="20"/>
          <w:szCs w:val="20"/>
          <w:lang w:eastAsia="en-AU"/>
        </w:rPr>
        <w:t xml:space="preserve">This </w:t>
      </w:r>
      <w:r w:rsidR="00A44974">
        <w:rPr>
          <w:rFonts w:eastAsia="+mn-ea" w:cs="+mn-cs"/>
          <w:color w:val="000000"/>
          <w:kern w:val="24"/>
          <w:sz w:val="20"/>
          <w:szCs w:val="20"/>
          <w:lang w:eastAsia="en-AU"/>
        </w:rPr>
        <w:t>is likely to</w:t>
      </w:r>
      <w:r w:rsidRPr="00264435">
        <w:rPr>
          <w:rFonts w:eastAsia="+mn-ea" w:cs="+mn-cs"/>
          <w:color w:val="000000"/>
          <w:kern w:val="24"/>
          <w:sz w:val="20"/>
          <w:szCs w:val="20"/>
          <w:lang w:eastAsia="en-AU"/>
        </w:rPr>
        <w:t xml:space="preserve"> be a natural consequence of Australia’s federalist structure – many aspects of mental health are the domain of the States and Territories, while the NMHC is a Commonwealth entity without the explicit involvement of the jurisdictions. </w:t>
      </w:r>
    </w:p>
    <w:p w:rsidR="00DF2EAC" w:rsidRPr="00264435" w:rsidRDefault="000B4FF0" w:rsidP="00DF2EAC">
      <w:pPr>
        <w:spacing w:after="0" w:line="240" w:lineRule="auto"/>
        <w:rPr>
          <w:rFonts w:eastAsia="+mn-ea" w:cs="+mn-cs"/>
          <w:color w:val="000000"/>
          <w:kern w:val="24"/>
          <w:sz w:val="20"/>
          <w:szCs w:val="20"/>
          <w:lang w:eastAsia="en-AU"/>
        </w:rPr>
      </w:pPr>
      <w:r>
        <w:rPr>
          <w:rFonts w:eastAsia="+mn-ea" w:cs="+mn-cs"/>
          <w:color w:val="000000"/>
          <w:kern w:val="24"/>
          <w:sz w:val="20"/>
          <w:szCs w:val="20"/>
          <w:lang w:eastAsia="en-AU"/>
        </w:rPr>
        <w:t>There is an</w:t>
      </w:r>
      <w:r w:rsidR="00DF2EAC" w:rsidRPr="00264435">
        <w:rPr>
          <w:rFonts w:eastAsia="+mn-ea" w:cs="+mn-cs"/>
          <w:color w:val="000000"/>
          <w:kern w:val="24"/>
          <w:sz w:val="20"/>
          <w:szCs w:val="20"/>
          <w:lang w:eastAsia="en-AU"/>
        </w:rPr>
        <w:t xml:space="preserve"> increasing focus on </w:t>
      </w:r>
      <w:r w:rsidR="00DF2EAC" w:rsidRPr="00264435">
        <w:rPr>
          <w:rFonts w:eastAsia="+mn-ea" w:cs="+mn-cs"/>
          <w:b/>
          <w:bCs/>
          <w:color w:val="000000"/>
          <w:kern w:val="24"/>
          <w:sz w:val="20"/>
          <w:szCs w:val="20"/>
          <w:lang w:eastAsia="en-AU"/>
        </w:rPr>
        <w:t xml:space="preserve">place and community </w:t>
      </w:r>
      <w:r w:rsidR="00DF2EAC" w:rsidRPr="00264435">
        <w:rPr>
          <w:rFonts w:eastAsia="+mn-ea" w:cs="+mn-cs"/>
          <w:color w:val="000000"/>
          <w:kern w:val="24"/>
          <w:sz w:val="20"/>
          <w:szCs w:val="20"/>
          <w:lang w:eastAsia="en-AU"/>
        </w:rPr>
        <w:t>across health and mental health, including recent steps to consider</w:t>
      </w:r>
      <w:r>
        <w:rPr>
          <w:rFonts w:eastAsia="+mn-ea" w:cs="+mn-cs"/>
          <w:color w:val="000000"/>
          <w:kern w:val="24"/>
          <w:sz w:val="20"/>
          <w:szCs w:val="20"/>
          <w:lang w:eastAsia="en-AU"/>
        </w:rPr>
        <w:t xml:space="preserve"> mental health at the </w:t>
      </w:r>
      <w:r w:rsidR="006E1B10">
        <w:rPr>
          <w:rFonts w:eastAsia="+mn-ea" w:cs="+mn-cs"/>
          <w:color w:val="000000"/>
          <w:kern w:val="24"/>
          <w:sz w:val="20"/>
          <w:szCs w:val="20"/>
          <w:lang w:eastAsia="en-AU"/>
        </w:rPr>
        <w:t xml:space="preserve">Primary Health Network (PHN) </w:t>
      </w:r>
      <w:r>
        <w:rPr>
          <w:rFonts w:eastAsia="+mn-ea" w:cs="+mn-cs"/>
          <w:color w:val="000000"/>
          <w:kern w:val="24"/>
          <w:sz w:val="20"/>
          <w:szCs w:val="20"/>
          <w:lang w:eastAsia="en-AU"/>
        </w:rPr>
        <w:t xml:space="preserve">level and the national view being taken in the development of the </w:t>
      </w:r>
      <w:r w:rsidRPr="006E1B10">
        <w:rPr>
          <w:rFonts w:eastAsia="+mn-ea" w:cs="+mn-cs"/>
          <w:i/>
          <w:color w:val="000000"/>
          <w:kern w:val="24"/>
          <w:sz w:val="20"/>
          <w:szCs w:val="20"/>
          <w:lang w:eastAsia="en-AU"/>
        </w:rPr>
        <w:t xml:space="preserve">Fifth National Mental Health Plan. </w:t>
      </w:r>
      <w:r>
        <w:rPr>
          <w:rFonts w:eastAsia="+mn-ea" w:cs="+mn-cs"/>
          <w:color w:val="000000"/>
          <w:kern w:val="24"/>
          <w:sz w:val="20"/>
          <w:szCs w:val="20"/>
          <w:lang w:eastAsia="en-AU"/>
        </w:rPr>
        <w:t>Given this,</w:t>
      </w:r>
      <w:r w:rsidR="00DF2EAC" w:rsidRPr="00264435">
        <w:rPr>
          <w:rFonts w:eastAsia="+mn-ea" w:cs="+mn-cs"/>
          <w:color w:val="000000"/>
          <w:kern w:val="24"/>
          <w:sz w:val="20"/>
          <w:szCs w:val="20"/>
          <w:lang w:eastAsia="en-AU"/>
        </w:rPr>
        <w:t xml:space="preserve"> strengthening the NMHC’s ability to work with States and Territories </w:t>
      </w:r>
      <w:r>
        <w:rPr>
          <w:rFonts w:eastAsia="+mn-ea" w:cs="+mn-cs"/>
          <w:color w:val="000000"/>
          <w:kern w:val="24"/>
          <w:sz w:val="20"/>
          <w:szCs w:val="20"/>
          <w:lang w:eastAsia="en-AU"/>
        </w:rPr>
        <w:t>will be critically</w:t>
      </w:r>
      <w:r w:rsidR="00DF2EAC" w:rsidRPr="00264435">
        <w:rPr>
          <w:rFonts w:eastAsia="+mn-ea" w:cs="+mn-cs"/>
          <w:color w:val="000000"/>
          <w:kern w:val="24"/>
          <w:sz w:val="20"/>
          <w:szCs w:val="20"/>
          <w:lang w:eastAsia="en-AU"/>
        </w:rPr>
        <w:t xml:space="preserve"> important</w:t>
      </w:r>
      <w:r>
        <w:rPr>
          <w:rFonts w:eastAsia="+mn-ea" w:cs="+mn-cs"/>
          <w:color w:val="000000"/>
          <w:kern w:val="24"/>
          <w:sz w:val="20"/>
          <w:szCs w:val="20"/>
          <w:lang w:eastAsia="en-AU"/>
        </w:rPr>
        <w:t xml:space="preserve"> to strengthening its role.</w:t>
      </w:r>
      <w:r w:rsidR="001211E3">
        <w:rPr>
          <w:rFonts w:eastAsia="+mn-ea" w:cs="+mn-cs"/>
          <w:color w:val="000000"/>
          <w:kern w:val="24"/>
          <w:sz w:val="20"/>
          <w:szCs w:val="20"/>
          <w:lang w:eastAsia="en-AU"/>
        </w:rPr>
        <w:t xml:space="preserve">  This will rest in part with the </w:t>
      </w:r>
      <w:proofErr w:type="spellStart"/>
      <w:r w:rsidR="001211E3">
        <w:rPr>
          <w:rFonts w:eastAsia="+mn-ea" w:cs="+mn-cs"/>
          <w:color w:val="000000"/>
          <w:kern w:val="24"/>
          <w:sz w:val="20"/>
          <w:szCs w:val="20"/>
          <w:lang w:eastAsia="en-AU"/>
        </w:rPr>
        <w:t>auspicing</w:t>
      </w:r>
      <w:proofErr w:type="spellEnd"/>
      <w:r w:rsidR="001211E3">
        <w:rPr>
          <w:rFonts w:eastAsia="+mn-ea" w:cs="+mn-cs"/>
          <w:color w:val="000000"/>
          <w:kern w:val="24"/>
          <w:sz w:val="20"/>
          <w:szCs w:val="20"/>
          <w:lang w:eastAsia="en-AU"/>
        </w:rPr>
        <w:t xml:space="preserve"> provided by the Minister for Health and the perceived priority given to the NMHC and in part with the growth in influence supported by a better resourced NMHC that produced a valuable and valued commentary on Australia’s mental health system and its ongoing improvement.</w:t>
      </w:r>
      <w:r>
        <w:rPr>
          <w:rFonts w:eastAsia="+mn-ea" w:cs="+mn-cs"/>
          <w:color w:val="000000"/>
          <w:kern w:val="24"/>
          <w:sz w:val="20"/>
          <w:szCs w:val="20"/>
          <w:lang w:eastAsia="en-AU"/>
        </w:rPr>
        <w:t xml:space="preserve"> </w:t>
      </w:r>
    </w:p>
    <w:p w:rsidR="009B4D0A" w:rsidRDefault="009B4D0A" w:rsidP="00DF2EAC">
      <w:pPr>
        <w:spacing w:after="0" w:line="240" w:lineRule="auto"/>
        <w:rPr>
          <w:rFonts w:eastAsia="+mn-ea" w:cs="+mn-cs"/>
          <w:color w:val="000000"/>
          <w:kern w:val="24"/>
          <w:sz w:val="20"/>
          <w:szCs w:val="20"/>
          <w:lang w:eastAsia="en-AU"/>
        </w:rPr>
      </w:pPr>
    </w:p>
    <w:p w:rsidR="00B64914" w:rsidRPr="001211E3" w:rsidRDefault="00B64914" w:rsidP="00B64914">
      <w:pPr>
        <w:spacing w:after="0" w:line="240" w:lineRule="auto"/>
        <w:rPr>
          <w:rFonts w:eastAsia="+mn-ea" w:cs="+mn-cs"/>
          <w:b/>
          <w:bCs/>
          <w:color w:val="012169" w:themeColor="accent4"/>
          <w:kern w:val="24"/>
          <w:sz w:val="20"/>
          <w:szCs w:val="20"/>
          <w:lang w:eastAsia="en-AU"/>
        </w:rPr>
      </w:pPr>
      <w:r w:rsidRPr="001211E3">
        <w:rPr>
          <w:rFonts w:eastAsia="+mn-ea" w:cs="+mn-cs"/>
          <w:b/>
          <w:bCs/>
          <w:color w:val="012169" w:themeColor="accent4"/>
          <w:kern w:val="24"/>
          <w:sz w:val="20"/>
          <w:szCs w:val="20"/>
          <w:lang w:eastAsia="en-AU"/>
        </w:rPr>
        <w:t>Further considerations to deliver on th</w:t>
      </w:r>
      <w:r w:rsidR="00117DBD" w:rsidRPr="001211E3">
        <w:rPr>
          <w:rFonts w:eastAsia="+mn-ea" w:cs="+mn-cs"/>
          <w:b/>
          <w:bCs/>
          <w:color w:val="012169" w:themeColor="accent4"/>
          <w:kern w:val="24"/>
          <w:sz w:val="20"/>
          <w:szCs w:val="20"/>
          <w:lang w:eastAsia="en-AU"/>
        </w:rPr>
        <w:t>ese</w:t>
      </w:r>
      <w:r w:rsidRPr="001211E3">
        <w:rPr>
          <w:rFonts w:eastAsia="+mn-ea" w:cs="+mn-cs"/>
          <w:b/>
          <w:bCs/>
          <w:color w:val="012169" w:themeColor="accent4"/>
          <w:kern w:val="24"/>
          <w:sz w:val="20"/>
          <w:szCs w:val="20"/>
          <w:lang w:eastAsia="en-AU"/>
        </w:rPr>
        <w:t xml:space="preserve"> requirement</w:t>
      </w:r>
      <w:r w:rsidR="00117DBD" w:rsidRPr="001211E3">
        <w:rPr>
          <w:rFonts w:eastAsia="+mn-ea" w:cs="+mn-cs"/>
          <w:b/>
          <w:bCs/>
          <w:color w:val="012169" w:themeColor="accent4"/>
          <w:kern w:val="24"/>
          <w:sz w:val="20"/>
          <w:szCs w:val="20"/>
          <w:lang w:eastAsia="en-AU"/>
        </w:rPr>
        <w:t>s</w:t>
      </w:r>
    </w:p>
    <w:p w:rsidR="00B64914" w:rsidRPr="001211E3" w:rsidRDefault="00B64914" w:rsidP="00B64914">
      <w:pPr>
        <w:spacing w:after="0" w:line="240" w:lineRule="auto"/>
        <w:rPr>
          <w:rFonts w:eastAsia="+mn-ea" w:cs="+mn-cs"/>
          <w:b/>
          <w:bCs/>
          <w:color w:val="012169" w:themeColor="accent4"/>
          <w:kern w:val="24"/>
          <w:sz w:val="20"/>
          <w:szCs w:val="20"/>
          <w:lang w:eastAsia="en-AU"/>
        </w:rPr>
      </w:pPr>
    </w:p>
    <w:p w:rsidR="00B64914" w:rsidRPr="001211E3" w:rsidRDefault="00B64914" w:rsidP="00B64914">
      <w:pPr>
        <w:spacing w:after="0" w:line="240" w:lineRule="auto"/>
        <w:rPr>
          <w:rFonts w:eastAsia="+mn-ea" w:cs="+mn-cs"/>
          <w:color w:val="000000"/>
          <w:kern w:val="24"/>
          <w:sz w:val="20"/>
          <w:szCs w:val="20"/>
          <w:lang w:eastAsia="en-AU"/>
        </w:rPr>
      </w:pPr>
      <w:r w:rsidRPr="001211E3">
        <w:rPr>
          <w:rFonts w:eastAsia="+mn-ea" w:cs="+mn-cs"/>
          <w:color w:val="000000"/>
          <w:kern w:val="24"/>
          <w:sz w:val="20"/>
          <w:szCs w:val="20"/>
          <w:lang w:eastAsia="en-AU"/>
        </w:rPr>
        <w:t>As highlighted above, there is an important and growing role for the NMHC in improving the</w:t>
      </w:r>
      <w:r w:rsidR="00BE1221" w:rsidRPr="001211E3">
        <w:rPr>
          <w:rFonts w:eastAsia="+mn-ea" w:cs="+mn-cs"/>
          <w:color w:val="000000"/>
          <w:kern w:val="24"/>
          <w:sz w:val="20"/>
          <w:szCs w:val="20"/>
          <w:lang w:eastAsia="en-AU"/>
        </w:rPr>
        <w:t xml:space="preserve"> eminence of</w:t>
      </w:r>
      <w:r w:rsidRPr="001211E3">
        <w:rPr>
          <w:rFonts w:eastAsia="+mn-ea" w:cs="+mn-cs"/>
          <w:color w:val="000000"/>
          <w:kern w:val="24"/>
          <w:sz w:val="20"/>
          <w:szCs w:val="20"/>
          <w:lang w:eastAsia="en-AU"/>
        </w:rPr>
        <w:t xml:space="preserve"> cross-sector and inter-jurisdictional </w:t>
      </w:r>
      <w:r w:rsidR="00BE1221" w:rsidRPr="001211E3">
        <w:rPr>
          <w:rFonts w:eastAsia="+mn-ea" w:cs="+mn-cs"/>
          <w:color w:val="000000"/>
          <w:kern w:val="24"/>
          <w:sz w:val="20"/>
          <w:szCs w:val="20"/>
          <w:lang w:eastAsia="en-AU"/>
        </w:rPr>
        <w:t>initiatives. This places greater</w:t>
      </w:r>
      <w:r w:rsidRPr="001211E3">
        <w:rPr>
          <w:rFonts w:eastAsia="+mn-ea" w:cs="+mn-cs"/>
          <w:color w:val="000000"/>
          <w:kern w:val="24"/>
          <w:sz w:val="20"/>
          <w:szCs w:val="20"/>
          <w:lang w:eastAsia="en-AU"/>
        </w:rPr>
        <w:t xml:space="preserve"> importance on a collaborative approach to deliver the best experience and outcomes for consumers and their families, and measuring these outcomes in a consistent and regular way. </w:t>
      </w:r>
    </w:p>
    <w:p w:rsidR="00B64914" w:rsidRPr="001211E3" w:rsidRDefault="00B64914" w:rsidP="00B64914">
      <w:pPr>
        <w:spacing w:after="0" w:line="240" w:lineRule="auto"/>
        <w:rPr>
          <w:rFonts w:eastAsia="+mn-ea" w:cs="+mn-cs"/>
          <w:color w:val="000000"/>
          <w:kern w:val="24"/>
          <w:sz w:val="20"/>
          <w:szCs w:val="20"/>
          <w:lang w:eastAsia="en-AU"/>
        </w:rPr>
      </w:pPr>
    </w:p>
    <w:p w:rsidR="00B64914" w:rsidRPr="001211E3" w:rsidRDefault="00B64914" w:rsidP="00B64914">
      <w:pPr>
        <w:spacing w:after="0" w:line="240" w:lineRule="auto"/>
        <w:rPr>
          <w:rFonts w:eastAsia="+mn-ea" w:cs="+mn-cs"/>
          <w:color w:val="000000"/>
          <w:kern w:val="24"/>
          <w:sz w:val="20"/>
          <w:szCs w:val="20"/>
          <w:lang w:eastAsia="en-AU"/>
        </w:rPr>
      </w:pPr>
      <w:r w:rsidRPr="001211E3">
        <w:rPr>
          <w:rFonts w:eastAsia="+mn-ea" w:cs="+mn-cs"/>
          <w:color w:val="000000"/>
          <w:kern w:val="24"/>
          <w:sz w:val="20"/>
          <w:szCs w:val="20"/>
          <w:lang w:eastAsia="en-AU"/>
        </w:rPr>
        <w:t>The barriers around such approaches are identified above, however, there should continue to be emphasis placed on the importan</w:t>
      </w:r>
      <w:r w:rsidR="0093307C" w:rsidRPr="001211E3">
        <w:rPr>
          <w:rFonts w:eastAsia="+mn-ea" w:cs="+mn-cs"/>
          <w:color w:val="000000"/>
          <w:kern w:val="24"/>
          <w:sz w:val="20"/>
          <w:szCs w:val="20"/>
          <w:lang w:eastAsia="en-AU"/>
        </w:rPr>
        <w:t>ce of</w:t>
      </w:r>
      <w:r w:rsidRPr="001211E3">
        <w:rPr>
          <w:rFonts w:eastAsia="+mn-ea" w:cs="+mn-cs"/>
          <w:color w:val="000000"/>
          <w:kern w:val="24"/>
          <w:sz w:val="20"/>
          <w:szCs w:val="20"/>
          <w:lang w:eastAsia="en-AU"/>
        </w:rPr>
        <w:t xml:space="preserve"> strong relationships</w:t>
      </w:r>
      <w:r w:rsidR="0093307C" w:rsidRPr="001211E3">
        <w:rPr>
          <w:rFonts w:eastAsia="+mn-ea" w:cs="+mn-cs"/>
          <w:color w:val="000000"/>
          <w:kern w:val="24"/>
          <w:sz w:val="20"/>
          <w:szCs w:val="20"/>
          <w:lang w:eastAsia="en-AU"/>
        </w:rPr>
        <w:t xml:space="preserve"> in</w:t>
      </w:r>
      <w:r w:rsidRPr="001211E3">
        <w:rPr>
          <w:rFonts w:eastAsia="+mn-ea" w:cs="+mn-cs"/>
          <w:color w:val="000000"/>
          <w:kern w:val="24"/>
          <w:sz w:val="20"/>
          <w:szCs w:val="20"/>
          <w:lang w:eastAsia="en-AU"/>
        </w:rPr>
        <w:t xml:space="preserve"> build</w:t>
      </w:r>
      <w:r w:rsidR="0093307C" w:rsidRPr="001211E3">
        <w:rPr>
          <w:rFonts w:eastAsia="+mn-ea" w:cs="+mn-cs"/>
          <w:color w:val="000000"/>
          <w:kern w:val="24"/>
          <w:sz w:val="20"/>
          <w:szCs w:val="20"/>
          <w:lang w:eastAsia="en-AU"/>
        </w:rPr>
        <w:t>ing</w:t>
      </w:r>
      <w:r w:rsidRPr="001211E3">
        <w:rPr>
          <w:rFonts w:eastAsia="+mn-ea" w:cs="+mn-cs"/>
          <w:color w:val="000000"/>
          <w:kern w:val="24"/>
          <w:sz w:val="20"/>
          <w:szCs w:val="20"/>
          <w:lang w:eastAsia="en-AU"/>
        </w:rPr>
        <w:t xml:space="preserve"> greater collaboration</w:t>
      </w:r>
      <w:r w:rsidR="0093307C" w:rsidRPr="001211E3">
        <w:rPr>
          <w:rFonts w:eastAsia="+mn-ea" w:cs="+mn-cs"/>
          <w:color w:val="000000"/>
          <w:kern w:val="24"/>
          <w:sz w:val="20"/>
          <w:szCs w:val="20"/>
          <w:lang w:eastAsia="en-AU"/>
        </w:rPr>
        <w:t xml:space="preserve"> in policy development and service delivery</w:t>
      </w:r>
      <w:r w:rsidRPr="001211E3">
        <w:rPr>
          <w:rFonts w:eastAsia="+mn-ea" w:cs="+mn-cs"/>
          <w:color w:val="000000"/>
          <w:kern w:val="24"/>
          <w:sz w:val="20"/>
          <w:szCs w:val="20"/>
          <w:lang w:eastAsia="en-AU"/>
        </w:rPr>
        <w:t xml:space="preserve"> across the system. As the pre</w:t>
      </w:r>
      <w:r w:rsidR="009B6F38" w:rsidRPr="001211E3">
        <w:rPr>
          <w:rFonts w:eastAsia="+mn-ea" w:cs="+mn-cs"/>
          <w:color w:val="000000"/>
          <w:kern w:val="24"/>
          <w:sz w:val="20"/>
          <w:szCs w:val="20"/>
          <w:lang w:eastAsia="en-AU"/>
        </w:rPr>
        <w:t>-</w:t>
      </w:r>
      <w:r w:rsidRPr="001211E3">
        <w:rPr>
          <w:rFonts w:eastAsia="+mn-ea" w:cs="+mn-cs"/>
          <w:color w:val="000000"/>
          <w:kern w:val="24"/>
          <w:sz w:val="20"/>
          <w:szCs w:val="20"/>
          <w:lang w:eastAsia="en-AU"/>
        </w:rPr>
        <w:t>eminent advisor</w:t>
      </w:r>
      <w:r w:rsidR="00C1309C" w:rsidRPr="001211E3">
        <w:rPr>
          <w:rFonts w:eastAsia="+mn-ea" w:cs="+mn-cs"/>
          <w:color w:val="000000"/>
          <w:kern w:val="24"/>
          <w:sz w:val="20"/>
          <w:szCs w:val="20"/>
          <w:lang w:eastAsia="en-AU"/>
        </w:rPr>
        <w:t xml:space="preserve"> on the </w:t>
      </w:r>
      <w:r w:rsidR="009B6F38" w:rsidRPr="001211E3">
        <w:rPr>
          <w:rFonts w:eastAsia="+mn-ea" w:cs="+mn-cs"/>
          <w:color w:val="000000"/>
          <w:kern w:val="24"/>
          <w:sz w:val="20"/>
          <w:szCs w:val="20"/>
          <w:lang w:eastAsia="en-AU"/>
        </w:rPr>
        <w:t>strengthening the national mental health system,</w:t>
      </w:r>
      <w:r w:rsidR="001B15C4" w:rsidRPr="001211E3">
        <w:rPr>
          <w:rFonts w:eastAsia="+mn-ea" w:cs="+mn-cs"/>
          <w:color w:val="000000"/>
          <w:kern w:val="24"/>
          <w:sz w:val="20"/>
          <w:szCs w:val="20"/>
          <w:lang w:eastAsia="en-AU"/>
        </w:rPr>
        <w:t xml:space="preserve"> the NMHC should be the catalyst</w:t>
      </w:r>
      <w:r w:rsidRPr="001211E3">
        <w:rPr>
          <w:rFonts w:eastAsia="+mn-ea" w:cs="+mn-cs"/>
          <w:color w:val="000000"/>
          <w:kern w:val="24"/>
          <w:sz w:val="20"/>
          <w:szCs w:val="20"/>
          <w:lang w:eastAsia="en-AU"/>
        </w:rPr>
        <w:t xml:space="preserve"> in this approach. </w:t>
      </w:r>
      <w:r w:rsidR="0004396F" w:rsidRPr="001211E3">
        <w:rPr>
          <w:rFonts w:eastAsia="+mn-ea" w:cs="+mn-cs"/>
          <w:color w:val="000000"/>
          <w:kern w:val="24"/>
          <w:sz w:val="20"/>
          <w:szCs w:val="20"/>
          <w:lang w:eastAsia="en-AU"/>
        </w:rPr>
        <w:t xml:space="preserve">To effectively deliver on this role requires </w:t>
      </w:r>
      <w:proofErr w:type="gramStart"/>
      <w:r w:rsidR="0004396F" w:rsidRPr="001211E3">
        <w:rPr>
          <w:rFonts w:eastAsia="+mn-ea" w:cs="+mn-cs"/>
          <w:color w:val="000000"/>
          <w:kern w:val="24"/>
          <w:sz w:val="20"/>
          <w:szCs w:val="20"/>
          <w:lang w:eastAsia="en-AU"/>
        </w:rPr>
        <w:t>an uplift</w:t>
      </w:r>
      <w:proofErr w:type="gramEnd"/>
      <w:r w:rsidR="0004396F" w:rsidRPr="001211E3">
        <w:rPr>
          <w:rFonts w:eastAsia="+mn-ea" w:cs="+mn-cs"/>
          <w:color w:val="000000"/>
          <w:kern w:val="24"/>
          <w:sz w:val="20"/>
          <w:szCs w:val="20"/>
          <w:lang w:eastAsia="en-AU"/>
        </w:rPr>
        <w:t xml:space="preserve"> in capacity and capability across the NMHC</w:t>
      </w:r>
      <w:r w:rsidR="001211E3">
        <w:rPr>
          <w:rFonts w:eastAsia="+mn-ea" w:cs="+mn-cs"/>
          <w:color w:val="000000"/>
          <w:kern w:val="24"/>
          <w:sz w:val="20"/>
          <w:szCs w:val="20"/>
          <w:lang w:eastAsia="en-AU"/>
        </w:rPr>
        <w:t>, and in the very obvious priority and support given to the work of the NMHC by the Minister for Health</w:t>
      </w:r>
      <w:r w:rsidR="0004396F" w:rsidRPr="001211E3">
        <w:rPr>
          <w:rFonts w:eastAsia="+mn-ea" w:cs="+mn-cs"/>
          <w:color w:val="000000"/>
          <w:kern w:val="24"/>
          <w:sz w:val="20"/>
          <w:szCs w:val="20"/>
          <w:lang w:eastAsia="en-AU"/>
        </w:rPr>
        <w:t xml:space="preserve">. </w:t>
      </w:r>
    </w:p>
    <w:p w:rsidR="00C7789A" w:rsidRPr="00264435" w:rsidRDefault="00C7789A" w:rsidP="00DF2EAC">
      <w:pPr>
        <w:spacing w:after="0" w:line="240" w:lineRule="auto"/>
        <w:rPr>
          <w:rFonts w:eastAsia="+mn-ea" w:cs="+mn-cs"/>
          <w:color w:val="000000"/>
          <w:kern w:val="24"/>
          <w:sz w:val="20"/>
          <w:szCs w:val="20"/>
          <w:lang w:eastAsia="en-AU"/>
        </w:rPr>
      </w:pPr>
    </w:p>
    <w:p w:rsidR="009B4D0A" w:rsidRPr="00264435" w:rsidRDefault="009B4D0A">
      <w:pPr>
        <w:spacing w:after="200" w:line="276" w:lineRule="auto"/>
        <w:rPr>
          <w:rFonts w:eastAsia="+mn-ea" w:cs="+mn-cs"/>
          <w:color w:val="000000"/>
          <w:kern w:val="24"/>
          <w:sz w:val="20"/>
          <w:szCs w:val="20"/>
          <w:lang w:eastAsia="en-AU"/>
        </w:rPr>
      </w:pPr>
      <w:r w:rsidRPr="00264435">
        <w:rPr>
          <w:rFonts w:eastAsia="+mn-ea" w:cs="+mn-cs"/>
          <w:color w:val="000000"/>
          <w:kern w:val="24"/>
          <w:sz w:val="20"/>
          <w:szCs w:val="20"/>
          <w:lang w:eastAsia="en-AU"/>
        </w:rPr>
        <w:br w:type="page"/>
      </w:r>
    </w:p>
    <w:p w:rsidR="009B4D0A" w:rsidRPr="00264435" w:rsidRDefault="00B64F03" w:rsidP="009B4D0A">
      <w:pPr>
        <w:pStyle w:val="Heading1"/>
        <w:spacing w:after="0"/>
      </w:pPr>
      <w:bookmarkStart w:id="6" w:name="_Toc482809623"/>
      <w:r>
        <w:lastRenderedPageBreak/>
        <w:t xml:space="preserve">2. </w:t>
      </w:r>
      <w:r w:rsidR="009B4D0A" w:rsidRPr="00264435">
        <w:t>Capability and Capacity</w:t>
      </w:r>
      <w:bookmarkEnd w:id="6"/>
    </w:p>
    <w:p w:rsidR="009B4D0A" w:rsidRPr="00264435" w:rsidRDefault="009B4D0A" w:rsidP="009B4D0A">
      <w:pPr>
        <w:rPr>
          <w:bCs/>
          <w:sz w:val="20"/>
          <w:szCs w:val="18"/>
        </w:rPr>
      </w:pPr>
    </w:p>
    <w:p w:rsidR="009B4D0A" w:rsidRPr="007819CC" w:rsidRDefault="007819CC" w:rsidP="00DF2EAC">
      <w:pPr>
        <w:spacing w:after="0" w:line="240" w:lineRule="auto"/>
        <w:rPr>
          <w:rFonts w:eastAsia="+mn-ea" w:cs="+mn-cs"/>
          <w:i/>
          <w:color w:val="000000"/>
          <w:kern w:val="24"/>
          <w:sz w:val="20"/>
          <w:szCs w:val="20"/>
          <w:lang w:eastAsia="en-AU"/>
        </w:rPr>
      </w:pPr>
      <w:r w:rsidRPr="007819CC">
        <w:rPr>
          <w:bCs/>
          <w:i/>
          <w:color w:val="000000" w:themeColor="text1"/>
          <w:sz w:val="20"/>
          <w:szCs w:val="18"/>
        </w:rPr>
        <w:t xml:space="preserve">The NMHC has a significant scope, encompassing a broad range of issues and stakeholders, and it is expected to play an important role conducting monitoring and reporting, policy input and stakeholder engagement functions. Current resourcing does not support the NMHC to effectively have the impact it was designed to, and addressing this should be the primary avenue to achieving a strengthened NMHC. </w:t>
      </w:r>
    </w:p>
    <w:p w:rsidR="009B4D0A" w:rsidRPr="00264435" w:rsidRDefault="009B4D0A" w:rsidP="00DF2EAC">
      <w:pPr>
        <w:spacing w:after="0" w:line="240" w:lineRule="auto"/>
        <w:rPr>
          <w:rFonts w:eastAsia="+mn-ea" w:cs="+mn-cs"/>
          <w:color w:val="000000"/>
          <w:kern w:val="24"/>
          <w:sz w:val="20"/>
          <w:szCs w:val="20"/>
          <w:lang w:eastAsia="en-AU"/>
        </w:rPr>
      </w:pPr>
    </w:p>
    <w:p w:rsidR="00DF2EAC" w:rsidRPr="00264435" w:rsidRDefault="009B4D0A" w:rsidP="00DF2EAC">
      <w:pPr>
        <w:spacing w:after="200" w:line="240" w:lineRule="auto"/>
        <w:rPr>
          <w:rFonts w:eastAsia="+mn-ea" w:cs="+mn-cs"/>
          <w:b/>
          <w:kern w:val="24"/>
          <w:sz w:val="20"/>
          <w:lang w:eastAsia="en-AU"/>
        </w:rPr>
      </w:pPr>
      <w:r w:rsidRPr="00264435">
        <w:rPr>
          <w:rFonts w:eastAsia="+mn-ea" w:cs="+mn-cs"/>
          <w:b/>
          <w:kern w:val="24"/>
          <w:sz w:val="20"/>
          <w:lang w:eastAsia="en-AU"/>
        </w:rPr>
        <w:t>Key finding</w:t>
      </w:r>
      <w:r w:rsidR="008D25B7">
        <w:rPr>
          <w:rFonts w:eastAsia="+mn-ea" w:cs="+mn-cs"/>
          <w:b/>
          <w:kern w:val="24"/>
          <w:sz w:val="20"/>
          <w:lang w:eastAsia="en-AU"/>
        </w:rPr>
        <w:t xml:space="preserve"> 4</w:t>
      </w:r>
      <w:r w:rsidRPr="00264435">
        <w:rPr>
          <w:rFonts w:eastAsia="+mn-ea" w:cs="+mn-cs"/>
          <w:b/>
          <w:kern w:val="24"/>
          <w:sz w:val="20"/>
          <w:lang w:eastAsia="en-AU"/>
        </w:rPr>
        <w:t xml:space="preserve">: </w:t>
      </w:r>
      <w:r w:rsidR="00DF2EAC" w:rsidRPr="00264435">
        <w:rPr>
          <w:rFonts w:eastAsia="+mn-ea" w:cs="+mn-cs"/>
          <w:b/>
          <w:kern w:val="24"/>
          <w:sz w:val="20"/>
          <w:lang w:eastAsia="en-AU"/>
        </w:rPr>
        <w:t>Current capability and capacity does not appear sufficient to match the NMHC’s objectives.</w:t>
      </w:r>
    </w:p>
    <w:p w:rsidR="00DF2EAC" w:rsidRDefault="008D25B7" w:rsidP="00F916D6">
      <w:pPr>
        <w:pStyle w:val="Heading2"/>
        <w:rPr>
          <w:b w:val="0"/>
        </w:rPr>
      </w:pPr>
      <w:bookmarkStart w:id="7" w:name="_Toc482809624"/>
      <w:r>
        <w:t>A. Current Capacity and Capability</w:t>
      </w:r>
      <w:bookmarkEnd w:id="7"/>
    </w:p>
    <w:p w:rsidR="004A027D" w:rsidRDefault="004A027D" w:rsidP="0007354F">
      <w:pPr>
        <w:spacing w:after="0" w:line="259" w:lineRule="auto"/>
        <w:rPr>
          <w:sz w:val="20"/>
          <w:szCs w:val="18"/>
        </w:rPr>
      </w:pPr>
    </w:p>
    <w:p w:rsidR="0007354F" w:rsidRPr="00264435" w:rsidRDefault="0007354F" w:rsidP="0007354F">
      <w:pPr>
        <w:spacing w:after="0" w:line="259" w:lineRule="auto"/>
        <w:rPr>
          <w:sz w:val="20"/>
          <w:szCs w:val="18"/>
        </w:rPr>
      </w:pPr>
      <w:r w:rsidRPr="00264435">
        <w:rPr>
          <w:sz w:val="20"/>
          <w:szCs w:val="18"/>
        </w:rPr>
        <w:t xml:space="preserve">The </w:t>
      </w:r>
      <w:proofErr w:type="gramStart"/>
      <w:r w:rsidR="004A027D">
        <w:rPr>
          <w:sz w:val="20"/>
          <w:szCs w:val="18"/>
        </w:rPr>
        <w:t xml:space="preserve">staff within </w:t>
      </w:r>
      <w:r w:rsidRPr="00264435">
        <w:rPr>
          <w:sz w:val="20"/>
          <w:szCs w:val="18"/>
        </w:rPr>
        <w:t>NMHC</w:t>
      </w:r>
      <w:r w:rsidR="003F0B63">
        <w:rPr>
          <w:sz w:val="20"/>
          <w:szCs w:val="18"/>
        </w:rPr>
        <w:t xml:space="preserve"> </w:t>
      </w:r>
      <w:r w:rsidR="004A027D">
        <w:rPr>
          <w:sz w:val="20"/>
          <w:szCs w:val="18"/>
        </w:rPr>
        <w:t>are</w:t>
      </w:r>
      <w:proofErr w:type="gramEnd"/>
      <w:r w:rsidRPr="00264435">
        <w:rPr>
          <w:sz w:val="20"/>
          <w:szCs w:val="18"/>
        </w:rPr>
        <w:t xml:space="preserve"> expected to have sufficient </w:t>
      </w:r>
      <w:r w:rsidRPr="00264435">
        <w:rPr>
          <w:b/>
          <w:sz w:val="20"/>
          <w:szCs w:val="18"/>
        </w:rPr>
        <w:t>capability</w:t>
      </w:r>
      <w:r w:rsidRPr="00264435">
        <w:rPr>
          <w:sz w:val="20"/>
          <w:szCs w:val="18"/>
        </w:rPr>
        <w:t xml:space="preserve"> to credibly deliver its core functions. This includes experience and understanding of mental health, the ability to work with government processes and stakeholders, to engage successfully with mental health stakeholders, including consumers and providers, and the ability to analyse data and to distil and convey clear and meaningful findings. </w:t>
      </w:r>
    </w:p>
    <w:p w:rsidR="0007354F" w:rsidRPr="00264435" w:rsidRDefault="0007354F" w:rsidP="0007354F">
      <w:pPr>
        <w:spacing w:after="0" w:line="259" w:lineRule="auto"/>
        <w:rPr>
          <w:sz w:val="20"/>
          <w:szCs w:val="18"/>
        </w:rPr>
      </w:pPr>
    </w:p>
    <w:p w:rsidR="0007354F" w:rsidRPr="00264435" w:rsidRDefault="0007354F" w:rsidP="0007354F">
      <w:pPr>
        <w:spacing w:after="0" w:line="259" w:lineRule="auto"/>
        <w:rPr>
          <w:sz w:val="20"/>
          <w:szCs w:val="18"/>
        </w:rPr>
      </w:pPr>
      <w:r w:rsidRPr="00264435">
        <w:rPr>
          <w:sz w:val="20"/>
          <w:szCs w:val="18"/>
        </w:rPr>
        <w:t xml:space="preserve">There is an implied expectation that </w:t>
      </w:r>
      <w:r w:rsidR="004A027D">
        <w:rPr>
          <w:sz w:val="20"/>
          <w:szCs w:val="18"/>
        </w:rPr>
        <w:t>staff</w:t>
      </w:r>
      <w:r w:rsidRPr="00264435">
        <w:rPr>
          <w:sz w:val="20"/>
          <w:szCs w:val="18"/>
        </w:rPr>
        <w:t xml:space="preserve"> capability will be supported, if not directly mirrored, across the range of Commissioners.</w:t>
      </w:r>
      <w:r w:rsidRPr="00264435">
        <w:rPr>
          <w:bCs/>
          <w:sz w:val="20"/>
          <w:szCs w:val="20"/>
        </w:rPr>
        <w:t xml:space="preserve"> While not explicitly stated, a clearly implied requirement for the NMHC to have its desired impact is the ability of its staff – particularly its leaders – to </w:t>
      </w:r>
      <w:r w:rsidRPr="00264435">
        <w:rPr>
          <w:b/>
          <w:bCs/>
          <w:sz w:val="20"/>
          <w:szCs w:val="20"/>
        </w:rPr>
        <w:t>influence</w:t>
      </w:r>
      <w:r w:rsidRPr="00264435">
        <w:rPr>
          <w:bCs/>
          <w:sz w:val="20"/>
          <w:szCs w:val="20"/>
        </w:rPr>
        <w:t xml:space="preserve"> key decision-makers in Government, such as relevant Departmental executives, Ministers and the Prime Minister. This is a </w:t>
      </w:r>
      <w:r>
        <w:rPr>
          <w:bCs/>
          <w:sz w:val="20"/>
          <w:szCs w:val="20"/>
        </w:rPr>
        <w:t>nuanced requirement</w:t>
      </w:r>
      <w:r w:rsidRPr="00264435">
        <w:rPr>
          <w:bCs/>
          <w:sz w:val="20"/>
          <w:szCs w:val="20"/>
        </w:rPr>
        <w:t>, involving sufficient access coupled with understanding of motivations and an ability to communicate clearly and effectively.</w:t>
      </w:r>
    </w:p>
    <w:p w:rsidR="0007354F" w:rsidRPr="00264435" w:rsidRDefault="0007354F" w:rsidP="0007354F">
      <w:pPr>
        <w:spacing w:after="0" w:line="259" w:lineRule="auto"/>
        <w:rPr>
          <w:sz w:val="20"/>
          <w:szCs w:val="18"/>
        </w:rPr>
      </w:pPr>
    </w:p>
    <w:p w:rsidR="0007354F" w:rsidRPr="00264435" w:rsidRDefault="0007354F" w:rsidP="0007354F">
      <w:pPr>
        <w:spacing w:after="0" w:line="259" w:lineRule="auto"/>
        <w:rPr>
          <w:sz w:val="20"/>
          <w:szCs w:val="18"/>
        </w:rPr>
      </w:pPr>
      <w:r w:rsidRPr="00264435">
        <w:rPr>
          <w:sz w:val="20"/>
          <w:szCs w:val="18"/>
        </w:rPr>
        <w:t xml:space="preserve">This capability set is expected to be delivered by a workforce with sufficient </w:t>
      </w:r>
      <w:r w:rsidRPr="00264435">
        <w:rPr>
          <w:b/>
          <w:sz w:val="20"/>
          <w:szCs w:val="18"/>
        </w:rPr>
        <w:t>capacity</w:t>
      </w:r>
      <w:r w:rsidRPr="00264435">
        <w:rPr>
          <w:sz w:val="20"/>
          <w:szCs w:val="18"/>
        </w:rPr>
        <w:t xml:space="preserve"> to deliver the full range of activities and outputs expected of the NMHC and contained in its annual </w:t>
      </w:r>
      <w:proofErr w:type="spellStart"/>
      <w:r w:rsidRPr="00264435">
        <w:rPr>
          <w:sz w:val="20"/>
          <w:szCs w:val="18"/>
        </w:rPr>
        <w:t>workplans</w:t>
      </w:r>
      <w:proofErr w:type="spellEnd"/>
      <w:r w:rsidRPr="00264435">
        <w:rPr>
          <w:sz w:val="20"/>
          <w:szCs w:val="18"/>
        </w:rPr>
        <w:t xml:space="preserve">. This includes ongoing/regular monitoring and reporting, stakeholder engagement activities and targeted research as directed. </w:t>
      </w:r>
    </w:p>
    <w:p w:rsidR="0007354F" w:rsidRDefault="0007354F" w:rsidP="007819CC">
      <w:pPr>
        <w:spacing w:after="0" w:line="259" w:lineRule="auto"/>
        <w:rPr>
          <w:sz w:val="20"/>
          <w:szCs w:val="18"/>
        </w:rPr>
      </w:pPr>
    </w:p>
    <w:p w:rsidR="003F0B63" w:rsidRDefault="007819CC" w:rsidP="007819CC">
      <w:pPr>
        <w:spacing w:after="0" w:line="259" w:lineRule="auto"/>
        <w:rPr>
          <w:sz w:val="20"/>
          <w:szCs w:val="18"/>
        </w:rPr>
      </w:pPr>
      <w:r w:rsidRPr="007819CC">
        <w:rPr>
          <w:sz w:val="20"/>
          <w:szCs w:val="18"/>
        </w:rPr>
        <w:t>The</w:t>
      </w:r>
      <w:r>
        <w:rPr>
          <w:sz w:val="20"/>
          <w:szCs w:val="18"/>
        </w:rPr>
        <w:t xml:space="preserve"> NMHC is currently a small </w:t>
      </w:r>
      <w:r w:rsidR="00941294">
        <w:rPr>
          <w:sz w:val="20"/>
          <w:szCs w:val="18"/>
        </w:rPr>
        <w:t>entity</w:t>
      </w:r>
      <w:r>
        <w:rPr>
          <w:sz w:val="20"/>
          <w:szCs w:val="18"/>
        </w:rPr>
        <w:t>. It consists of a CEO and 1</w:t>
      </w:r>
      <w:r w:rsidR="00D30F34">
        <w:rPr>
          <w:sz w:val="20"/>
          <w:szCs w:val="18"/>
        </w:rPr>
        <w:t>4</w:t>
      </w:r>
      <w:r>
        <w:rPr>
          <w:sz w:val="20"/>
          <w:szCs w:val="18"/>
        </w:rPr>
        <w:t xml:space="preserve"> other roles, </w:t>
      </w:r>
      <w:r w:rsidR="001211E3">
        <w:rPr>
          <w:sz w:val="20"/>
          <w:szCs w:val="18"/>
        </w:rPr>
        <w:t xml:space="preserve">equivalent </w:t>
      </w:r>
      <w:r>
        <w:rPr>
          <w:sz w:val="20"/>
          <w:szCs w:val="18"/>
        </w:rPr>
        <w:t>to a total of 11 FTE (see Fig</w:t>
      </w:r>
      <w:r w:rsidR="009145ED">
        <w:rPr>
          <w:sz w:val="20"/>
          <w:szCs w:val="18"/>
        </w:rPr>
        <w:t>ure</w:t>
      </w:r>
      <w:r>
        <w:rPr>
          <w:sz w:val="20"/>
          <w:szCs w:val="18"/>
        </w:rPr>
        <w:t xml:space="preserve"> 2 below). This has grown only slightly since its inception in 2012. </w:t>
      </w:r>
      <w:r w:rsidR="00D30F34">
        <w:rPr>
          <w:sz w:val="20"/>
          <w:szCs w:val="18"/>
        </w:rPr>
        <w:t xml:space="preserve">Outside of the CEO, </w:t>
      </w:r>
      <w:r w:rsidR="00001BCF">
        <w:rPr>
          <w:sz w:val="20"/>
          <w:szCs w:val="18"/>
        </w:rPr>
        <w:t>almost half</w:t>
      </w:r>
      <w:r w:rsidR="00D30F34">
        <w:rPr>
          <w:sz w:val="20"/>
          <w:szCs w:val="18"/>
        </w:rPr>
        <w:t xml:space="preserve"> of the </w:t>
      </w:r>
      <w:proofErr w:type="gramStart"/>
      <w:r w:rsidR="00D30F34">
        <w:rPr>
          <w:sz w:val="20"/>
          <w:szCs w:val="18"/>
        </w:rPr>
        <w:t>workforce (</w:t>
      </w:r>
      <w:r w:rsidR="003F0B63">
        <w:rPr>
          <w:sz w:val="20"/>
          <w:szCs w:val="18"/>
        </w:rPr>
        <w:t>5</w:t>
      </w:r>
      <w:r w:rsidR="00D30F34">
        <w:rPr>
          <w:sz w:val="20"/>
          <w:szCs w:val="18"/>
        </w:rPr>
        <w:t xml:space="preserve"> FTE) </w:t>
      </w:r>
      <w:r w:rsidR="00A44974">
        <w:rPr>
          <w:sz w:val="20"/>
          <w:szCs w:val="18"/>
        </w:rPr>
        <w:t>are</w:t>
      </w:r>
      <w:proofErr w:type="gramEnd"/>
      <w:r w:rsidR="00D30F34">
        <w:rPr>
          <w:sz w:val="20"/>
          <w:szCs w:val="18"/>
        </w:rPr>
        <w:t xml:space="preserve"> devoted to corporate services fu</w:t>
      </w:r>
      <w:r w:rsidR="003F0B63">
        <w:rPr>
          <w:sz w:val="20"/>
          <w:szCs w:val="18"/>
        </w:rPr>
        <w:t>nctions, leaving approximately 6</w:t>
      </w:r>
      <w:r w:rsidR="00D30F34">
        <w:rPr>
          <w:sz w:val="20"/>
          <w:szCs w:val="18"/>
        </w:rPr>
        <w:t xml:space="preserve"> FTE to conduct more ‘content’ based work, developing or overseeing development of the NMHC’s reporting and policy advisory work, and conducting stakeholder engagement. </w:t>
      </w:r>
      <w:r w:rsidR="000B4FF0">
        <w:rPr>
          <w:sz w:val="20"/>
          <w:szCs w:val="18"/>
        </w:rPr>
        <w:t xml:space="preserve">Of these, notably only two staff </w:t>
      </w:r>
      <w:proofErr w:type="gramStart"/>
      <w:r w:rsidR="000B4FF0">
        <w:rPr>
          <w:sz w:val="20"/>
          <w:szCs w:val="18"/>
        </w:rPr>
        <w:t>are</w:t>
      </w:r>
      <w:proofErr w:type="gramEnd"/>
      <w:r w:rsidR="000B4FF0">
        <w:rPr>
          <w:sz w:val="20"/>
          <w:szCs w:val="18"/>
        </w:rPr>
        <w:t xml:space="preserve"> believed to currently have direct experience with mental health service delivery; the CEO (a practising psychiatrist) and a staff member with a background in mental health nursing. </w:t>
      </w:r>
    </w:p>
    <w:p w:rsidR="003F0B63" w:rsidRDefault="003F0B63" w:rsidP="007819CC">
      <w:pPr>
        <w:spacing w:after="0" w:line="259" w:lineRule="auto"/>
        <w:rPr>
          <w:sz w:val="20"/>
          <w:szCs w:val="18"/>
        </w:rPr>
      </w:pPr>
    </w:p>
    <w:p w:rsidR="007819CC" w:rsidRPr="009668E8" w:rsidRDefault="00941294" w:rsidP="007819CC">
      <w:pPr>
        <w:spacing w:after="0" w:line="259" w:lineRule="auto"/>
        <w:rPr>
          <w:sz w:val="20"/>
          <w:szCs w:val="18"/>
        </w:rPr>
      </w:pPr>
      <w:r w:rsidRPr="001211E3">
        <w:rPr>
          <w:sz w:val="20"/>
          <w:szCs w:val="18"/>
        </w:rPr>
        <w:t xml:space="preserve">In addition to this workforce </w:t>
      </w:r>
      <w:proofErr w:type="gramStart"/>
      <w:r w:rsidRPr="001211E3">
        <w:rPr>
          <w:sz w:val="20"/>
          <w:szCs w:val="18"/>
        </w:rPr>
        <w:t>is</w:t>
      </w:r>
      <w:proofErr w:type="gramEnd"/>
      <w:r w:rsidRPr="001211E3">
        <w:rPr>
          <w:sz w:val="20"/>
          <w:szCs w:val="18"/>
        </w:rPr>
        <w:t xml:space="preserve"> the Chair and six other Commissioners. As one of the key components of the NMHC, they contribute to a range of activities</w:t>
      </w:r>
      <w:r w:rsidR="00074C0E" w:rsidRPr="001211E3">
        <w:rPr>
          <w:sz w:val="20"/>
          <w:szCs w:val="18"/>
        </w:rPr>
        <w:t xml:space="preserve"> including the development of key outputs</w:t>
      </w:r>
      <w:r w:rsidRPr="001211E3">
        <w:rPr>
          <w:sz w:val="20"/>
          <w:szCs w:val="18"/>
        </w:rPr>
        <w:t>. Anecdotally, these capacity and capability constraints have meant that some Commissioners are undertaking a substantial level of work above what was initially intended.</w:t>
      </w:r>
    </w:p>
    <w:p w:rsidR="007819CC" w:rsidRPr="007819CC" w:rsidRDefault="007819CC" w:rsidP="007819CC">
      <w:pPr>
        <w:pStyle w:val="Caption"/>
        <w:spacing w:after="0"/>
        <w:rPr>
          <w:b/>
          <w:smallCaps/>
          <w:color w:val="auto"/>
          <w:sz w:val="16"/>
        </w:rPr>
      </w:pPr>
      <w:r w:rsidRPr="007819CC">
        <w:rPr>
          <w:b/>
          <w:smallCaps/>
          <w:color w:val="auto"/>
          <w:sz w:val="16"/>
        </w:rPr>
        <w:lastRenderedPageBreak/>
        <w:t xml:space="preserve">Figure </w:t>
      </w:r>
      <w:r w:rsidR="00203566" w:rsidRPr="007819CC">
        <w:rPr>
          <w:b/>
          <w:smallCaps/>
          <w:color w:val="auto"/>
          <w:sz w:val="16"/>
        </w:rPr>
        <w:fldChar w:fldCharType="begin"/>
      </w:r>
      <w:r w:rsidRPr="007819CC">
        <w:rPr>
          <w:b/>
          <w:smallCaps/>
          <w:color w:val="auto"/>
          <w:sz w:val="16"/>
        </w:rPr>
        <w:instrText xml:space="preserve"> SEQ Figure \* ARABIC </w:instrText>
      </w:r>
      <w:r w:rsidR="00203566" w:rsidRPr="007819CC">
        <w:rPr>
          <w:b/>
          <w:smallCaps/>
          <w:color w:val="auto"/>
          <w:sz w:val="16"/>
        </w:rPr>
        <w:fldChar w:fldCharType="separate"/>
      </w:r>
      <w:r w:rsidR="00281FC8">
        <w:rPr>
          <w:b/>
          <w:smallCaps/>
          <w:noProof/>
          <w:color w:val="auto"/>
          <w:sz w:val="16"/>
        </w:rPr>
        <w:t>2</w:t>
      </w:r>
      <w:r w:rsidR="00203566" w:rsidRPr="007819CC">
        <w:rPr>
          <w:b/>
          <w:smallCaps/>
          <w:color w:val="auto"/>
          <w:sz w:val="16"/>
        </w:rPr>
        <w:fldChar w:fldCharType="end"/>
      </w:r>
      <w:r w:rsidRPr="007819CC">
        <w:rPr>
          <w:b/>
          <w:smallCaps/>
          <w:color w:val="auto"/>
          <w:sz w:val="16"/>
        </w:rPr>
        <w:t>: Organisational structure of the NMHC</w:t>
      </w:r>
      <w:r>
        <w:rPr>
          <w:b/>
          <w:smallCaps/>
          <w:color w:val="auto"/>
          <w:sz w:val="16"/>
        </w:rPr>
        <w:br/>
      </w:r>
    </w:p>
    <w:p w:rsidR="00DF2EAC" w:rsidRPr="00264435" w:rsidRDefault="00DF2EAC" w:rsidP="00DF2EAC">
      <w:pPr>
        <w:spacing w:after="200" w:line="240" w:lineRule="auto"/>
        <w:rPr>
          <w:rFonts w:eastAsia="Times New Roman" w:cs="Times New Roman"/>
          <w:sz w:val="22"/>
          <w:lang w:eastAsia="en-AU"/>
        </w:rPr>
      </w:pPr>
      <w:r w:rsidRPr="00264435">
        <w:rPr>
          <w:rFonts w:eastAsia="Times New Roman" w:cs="Times New Roman"/>
          <w:noProof/>
          <w:sz w:val="22"/>
          <w:lang w:eastAsia="en-AU"/>
        </w:rPr>
        <w:drawing>
          <wp:inline distT="0" distB="0" distL="0" distR="0">
            <wp:extent cx="5008584" cy="2766604"/>
            <wp:effectExtent l="0" t="0" r="1905" b="0"/>
            <wp:docPr id="4" name="Picture 3" descr="This image shows the organisational structure of the National Mental Health Commission. It shows that the Commission reports to the CEO of the Commission, Dr Peggy Brown who in turn reports directly to the Minister for Health. The Commission's advisory board reports to the Minister for health and the CEO of the Commission." title="Figure 2 - Organisational Structure of the National Mental Health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5008584" cy="2766604"/>
                    </a:xfrm>
                    <a:prstGeom prst="rect">
                      <a:avLst/>
                    </a:prstGeom>
                  </pic:spPr>
                </pic:pic>
              </a:graphicData>
            </a:graphic>
          </wp:inline>
        </w:drawing>
      </w:r>
    </w:p>
    <w:p w:rsidR="0007354F" w:rsidRDefault="0007354F" w:rsidP="00DF2EAC">
      <w:pPr>
        <w:spacing w:after="200" w:line="240" w:lineRule="auto"/>
        <w:rPr>
          <w:rFonts w:eastAsia="Times New Roman" w:cs="Times New Roman"/>
          <w:sz w:val="22"/>
          <w:lang w:eastAsia="en-AU"/>
        </w:rPr>
      </w:pPr>
    </w:p>
    <w:p w:rsidR="00FC6595" w:rsidRPr="0007354F" w:rsidRDefault="009145ED" w:rsidP="0007354F">
      <w:pPr>
        <w:spacing w:after="0" w:line="259" w:lineRule="auto"/>
        <w:rPr>
          <w:sz w:val="20"/>
          <w:szCs w:val="18"/>
        </w:rPr>
      </w:pPr>
      <w:r>
        <w:rPr>
          <w:sz w:val="20"/>
          <w:szCs w:val="18"/>
        </w:rPr>
        <w:t>The NMHC’s finances</w:t>
      </w:r>
      <w:r w:rsidR="001211E3">
        <w:rPr>
          <w:sz w:val="20"/>
          <w:szCs w:val="18"/>
        </w:rPr>
        <w:t xml:space="preserve"> are consistent</w:t>
      </w:r>
      <w:r w:rsidR="0007354F" w:rsidRPr="0007354F">
        <w:rPr>
          <w:sz w:val="20"/>
          <w:szCs w:val="18"/>
        </w:rPr>
        <w:t xml:space="preserve"> with its current size. For the most recent financial year for which data was available, non-employee supplier expenses </w:t>
      </w:r>
      <w:r>
        <w:rPr>
          <w:sz w:val="20"/>
          <w:szCs w:val="18"/>
        </w:rPr>
        <w:t>totalled</w:t>
      </w:r>
      <w:r w:rsidR="0007354F" w:rsidRPr="0007354F">
        <w:rPr>
          <w:sz w:val="20"/>
          <w:szCs w:val="18"/>
        </w:rPr>
        <w:t xml:space="preserve"> approx</w:t>
      </w:r>
      <w:r w:rsidR="0007354F">
        <w:rPr>
          <w:sz w:val="20"/>
          <w:szCs w:val="18"/>
        </w:rPr>
        <w:t>imately</w:t>
      </w:r>
      <w:r w:rsidR="0007354F" w:rsidRPr="0007354F">
        <w:rPr>
          <w:sz w:val="20"/>
          <w:szCs w:val="18"/>
        </w:rPr>
        <w:t xml:space="preserve"> $980,000</w:t>
      </w:r>
      <w:r w:rsidR="0007354F">
        <w:rPr>
          <w:sz w:val="20"/>
          <w:szCs w:val="18"/>
        </w:rPr>
        <w:t xml:space="preserve">. This figure, like the NMHC’s FTE number, has remained relatively flat over time (See Fig 3 below). </w:t>
      </w:r>
    </w:p>
    <w:p w:rsidR="00DF2EAC" w:rsidRDefault="00DF2EAC" w:rsidP="00DF2EAC">
      <w:pPr>
        <w:spacing w:after="200" w:line="240" w:lineRule="auto"/>
        <w:rPr>
          <w:rFonts w:eastAsia="+mn-ea" w:cs="+mn-cs"/>
          <w:b/>
          <w:bCs/>
          <w:color w:val="0097A9" w:themeColor="accent5"/>
          <w:kern w:val="24"/>
          <w:sz w:val="20"/>
          <w:szCs w:val="24"/>
          <w:lang w:eastAsia="en-AU"/>
        </w:rPr>
      </w:pPr>
    </w:p>
    <w:p w:rsidR="0007354F" w:rsidRPr="007819CC" w:rsidRDefault="0007354F" w:rsidP="00DF2EAC">
      <w:pPr>
        <w:spacing w:after="200" w:line="240" w:lineRule="auto"/>
        <w:rPr>
          <w:rFonts w:eastAsia="+mn-ea" w:cs="+mn-cs"/>
          <w:b/>
          <w:bCs/>
          <w:color w:val="0097A9" w:themeColor="accent5"/>
          <w:kern w:val="24"/>
          <w:sz w:val="20"/>
          <w:szCs w:val="24"/>
          <w:lang w:eastAsia="en-AU"/>
        </w:rPr>
      </w:pPr>
      <w:r w:rsidRPr="007819CC">
        <w:rPr>
          <w:b/>
          <w:smallCaps/>
          <w:sz w:val="16"/>
        </w:rPr>
        <w:t xml:space="preserve">Figure </w:t>
      </w:r>
      <w:r>
        <w:rPr>
          <w:b/>
          <w:smallCaps/>
          <w:sz w:val="16"/>
        </w:rPr>
        <w:t>3</w:t>
      </w:r>
      <w:r w:rsidRPr="007819CC">
        <w:rPr>
          <w:b/>
          <w:smallCaps/>
          <w:sz w:val="16"/>
        </w:rPr>
        <w:t xml:space="preserve">: </w:t>
      </w:r>
      <w:r>
        <w:rPr>
          <w:b/>
          <w:smallCaps/>
          <w:sz w:val="16"/>
        </w:rPr>
        <w:t>NMHC finance and FTE change 2012-13 to present</w:t>
      </w:r>
      <w:r>
        <w:rPr>
          <w:rStyle w:val="FootnoteReference"/>
          <w:b/>
          <w:smallCaps/>
          <w:sz w:val="16"/>
        </w:rPr>
        <w:footnoteReference w:id="7"/>
      </w:r>
    </w:p>
    <w:tbl>
      <w:tblPr>
        <w:tblW w:w="9053" w:type="dxa"/>
        <w:tblCellMar>
          <w:left w:w="0" w:type="dxa"/>
          <w:right w:w="0" w:type="dxa"/>
        </w:tblCellMar>
        <w:tblLook w:val="0420" w:firstRow="1" w:lastRow="0" w:firstColumn="0" w:lastColumn="0" w:noHBand="0" w:noVBand="1"/>
      </w:tblPr>
      <w:tblGrid>
        <w:gridCol w:w="3146"/>
        <w:gridCol w:w="1969"/>
        <w:gridCol w:w="1969"/>
        <w:gridCol w:w="1969"/>
      </w:tblGrid>
      <w:tr w:rsidR="00DF2EAC" w:rsidRPr="007819CC">
        <w:trPr>
          <w:trHeight w:val="133"/>
        </w:trPr>
        <w:tc>
          <w:tcPr>
            <w:tcW w:w="3146" w:type="dxa"/>
            <w:tcBorders>
              <w:top w:val="single" w:sz="6" w:space="0" w:color="0097A9"/>
              <w:left w:val="single" w:sz="6" w:space="0" w:color="0097A9"/>
              <w:bottom w:val="single" w:sz="6" w:space="0" w:color="0097A9"/>
              <w:right w:val="nil"/>
            </w:tcBorders>
            <w:shd w:val="clear" w:color="auto" w:fill="0097A9"/>
            <w:tcMar>
              <w:top w:w="72" w:type="dxa"/>
              <w:left w:w="144" w:type="dxa"/>
              <w:bottom w:w="72" w:type="dxa"/>
              <w:right w:w="144" w:type="dxa"/>
            </w:tcMar>
          </w:tcPr>
          <w:p w:rsidR="00DF2EAC" w:rsidRPr="007819CC" w:rsidRDefault="00DF2EAC" w:rsidP="00DF2EAC">
            <w:pPr>
              <w:spacing w:after="0" w:line="240" w:lineRule="auto"/>
              <w:rPr>
                <w:rFonts w:eastAsia="Times New Roman" w:cs="Times New Roman"/>
                <w:sz w:val="20"/>
                <w:szCs w:val="24"/>
                <w:lang w:eastAsia="en-AU"/>
              </w:rPr>
            </w:pPr>
          </w:p>
        </w:tc>
        <w:tc>
          <w:tcPr>
            <w:tcW w:w="1969" w:type="dxa"/>
            <w:tcBorders>
              <w:top w:val="single" w:sz="6" w:space="0" w:color="0097A9"/>
              <w:left w:val="nil"/>
              <w:bottom w:val="single" w:sz="6" w:space="0" w:color="0097A9"/>
              <w:right w:val="nil"/>
            </w:tcBorders>
            <w:shd w:val="clear" w:color="auto" w:fill="0097A9"/>
            <w:tcMar>
              <w:top w:w="72" w:type="dxa"/>
              <w:left w:w="144" w:type="dxa"/>
              <w:bottom w:w="72" w:type="dxa"/>
              <w:right w:w="144" w:type="dxa"/>
            </w:tcMar>
            <w:vAlign w:val="center"/>
          </w:tcPr>
          <w:p w:rsidR="00DF2EAC" w:rsidRPr="007819CC" w:rsidRDefault="00DF2EAC" w:rsidP="00DF2EAC">
            <w:pPr>
              <w:spacing w:after="0" w:line="240" w:lineRule="auto"/>
              <w:jc w:val="center"/>
              <w:rPr>
                <w:rFonts w:eastAsia="Times New Roman" w:cs="Arial"/>
                <w:sz w:val="36"/>
                <w:szCs w:val="36"/>
                <w:lang w:eastAsia="en-AU"/>
              </w:rPr>
            </w:pPr>
            <w:r w:rsidRPr="007819CC">
              <w:rPr>
                <w:rFonts w:eastAsia="Times New Roman" w:cs="Arial"/>
                <w:b/>
                <w:bCs/>
                <w:color w:val="FFFFFF"/>
                <w:kern w:val="24"/>
                <w:sz w:val="20"/>
                <w:szCs w:val="20"/>
                <w:lang w:eastAsia="en-AU"/>
              </w:rPr>
              <w:t>2012-13</w:t>
            </w:r>
          </w:p>
        </w:tc>
        <w:tc>
          <w:tcPr>
            <w:tcW w:w="1969" w:type="dxa"/>
            <w:tcBorders>
              <w:top w:val="single" w:sz="6" w:space="0" w:color="0097A9"/>
              <w:left w:val="nil"/>
              <w:bottom w:val="single" w:sz="6" w:space="0" w:color="0097A9"/>
              <w:right w:val="nil"/>
            </w:tcBorders>
            <w:shd w:val="clear" w:color="auto" w:fill="0097A9"/>
            <w:tcMar>
              <w:top w:w="72" w:type="dxa"/>
              <w:left w:w="144" w:type="dxa"/>
              <w:bottom w:w="72" w:type="dxa"/>
              <w:right w:w="144" w:type="dxa"/>
            </w:tcMar>
            <w:vAlign w:val="center"/>
          </w:tcPr>
          <w:p w:rsidR="00DF2EAC" w:rsidRPr="007819CC" w:rsidRDefault="00DF2EAC" w:rsidP="00DF2EAC">
            <w:pPr>
              <w:spacing w:after="0" w:line="240" w:lineRule="auto"/>
              <w:jc w:val="center"/>
              <w:rPr>
                <w:rFonts w:eastAsia="Times New Roman" w:cs="Arial"/>
                <w:sz w:val="36"/>
                <w:szCs w:val="36"/>
                <w:lang w:eastAsia="en-AU"/>
              </w:rPr>
            </w:pPr>
            <w:r w:rsidRPr="007819CC">
              <w:rPr>
                <w:rFonts w:eastAsia="Times New Roman" w:cs="Arial"/>
                <w:b/>
                <w:bCs/>
                <w:color w:val="FFFFFF"/>
                <w:kern w:val="24"/>
                <w:sz w:val="20"/>
                <w:szCs w:val="20"/>
                <w:lang w:eastAsia="en-AU"/>
              </w:rPr>
              <w:t>2015-16</w:t>
            </w:r>
          </w:p>
        </w:tc>
        <w:tc>
          <w:tcPr>
            <w:tcW w:w="1969" w:type="dxa"/>
            <w:tcBorders>
              <w:top w:val="single" w:sz="6" w:space="0" w:color="0097A9"/>
              <w:left w:val="nil"/>
              <w:bottom w:val="single" w:sz="6" w:space="0" w:color="0097A9"/>
              <w:right w:val="single" w:sz="6" w:space="0" w:color="0097A9"/>
            </w:tcBorders>
            <w:shd w:val="clear" w:color="auto" w:fill="0097A9"/>
            <w:tcMar>
              <w:top w:w="72" w:type="dxa"/>
              <w:left w:w="144" w:type="dxa"/>
              <w:bottom w:w="72" w:type="dxa"/>
              <w:right w:w="144" w:type="dxa"/>
            </w:tcMar>
            <w:vAlign w:val="center"/>
          </w:tcPr>
          <w:p w:rsidR="00DF2EAC" w:rsidRPr="007819CC" w:rsidRDefault="00DF2EAC" w:rsidP="00DF2EAC">
            <w:pPr>
              <w:spacing w:after="0" w:line="240" w:lineRule="auto"/>
              <w:jc w:val="center"/>
              <w:rPr>
                <w:rFonts w:eastAsia="Times New Roman" w:cs="Arial"/>
                <w:sz w:val="36"/>
                <w:szCs w:val="36"/>
                <w:lang w:eastAsia="en-AU"/>
              </w:rPr>
            </w:pPr>
            <w:r w:rsidRPr="007819CC">
              <w:rPr>
                <w:rFonts w:eastAsia="Times New Roman" w:cs="Arial"/>
                <w:b/>
                <w:bCs/>
                <w:color w:val="FFFFFF"/>
                <w:kern w:val="24"/>
                <w:sz w:val="20"/>
                <w:szCs w:val="20"/>
                <w:lang w:eastAsia="en-AU"/>
              </w:rPr>
              <w:t>% growth</w:t>
            </w:r>
          </w:p>
        </w:tc>
      </w:tr>
      <w:tr w:rsidR="00DF2EAC" w:rsidRPr="00264435">
        <w:trPr>
          <w:trHeight w:val="297"/>
        </w:trPr>
        <w:tc>
          <w:tcPr>
            <w:tcW w:w="3146" w:type="dxa"/>
            <w:tcBorders>
              <w:top w:val="single" w:sz="6" w:space="0" w:color="0097A9"/>
              <w:left w:val="single" w:sz="6" w:space="0" w:color="0097A9"/>
              <w:bottom w:val="single" w:sz="6" w:space="0" w:color="0097A9"/>
              <w:right w:val="nil"/>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rPr>
                <w:rFonts w:eastAsia="Times New Roman" w:cs="Arial"/>
                <w:sz w:val="36"/>
                <w:szCs w:val="36"/>
                <w:lang w:eastAsia="en-AU"/>
              </w:rPr>
            </w:pPr>
            <w:r w:rsidRPr="00264435">
              <w:rPr>
                <w:rFonts w:eastAsia="Times New Roman" w:cs="Arial"/>
                <w:b/>
                <w:bCs/>
                <w:color w:val="000000"/>
                <w:kern w:val="24"/>
                <w:sz w:val="20"/>
                <w:szCs w:val="20"/>
                <w:lang w:eastAsia="en-AU"/>
              </w:rPr>
              <w:t>Employee expenses</w:t>
            </w:r>
          </w:p>
        </w:tc>
        <w:tc>
          <w:tcPr>
            <w:tcW w:w="1969" w:type="dxa"/>
            <w:tcBorders>
              <w:top w:val="single" w:sz="6" w:space="0" w:color="0097A9"/>
              <w:left w:val="nil"/>
              <w:bottom w:val="single" w:sz="6" w:space="0" w:color="0097A9"/>
              <w:right w:val="nil"/>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jc w:val="center"/>
              <w:rPr>
                <w:rFonts w:eastAsia="Times New Roman" w:cs="Arial"/>
                <w:sz w:val="36"/>
                <w:szCs w:val="36"/>
                <w:lang w:eastAsia="en-AU"/>
              </w:rPr>
            </w:pPr>
            <w:r w:rsidRPr="00264435">
              <w:rPr>
                <w:rFonts w:eastAsia="Times New Roman" w:cs="Arial"/>
                <w:color w:val="000000"/>
                <w:kern w:val="24"/>
                <w:sz w:val="20"/>
                <w:szCs w:val="20"/>
                <w:lang w:eastAsia="en-AU"/>
              </w:rPr>
              <w:t>$1.57m</w:t>
            </w:r>
          </w:p>
        </w:tc>
        <w:tc>
          <w:tcPr>
            <w:tcW w:w="1969" w:type="dxa"/>
            <w:tcBorders>
              <w:top w:val="single" w:sz="6" w:space="0" w:color="0097A9"/>
              <w:left w:val="nil"/>
              <w:bottom w:val="single" w:sz="6" w:space="0" w:color="0097A9"/>
              <w:right w:val="nil"/>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jc w:val="center"/>
              <w:rPr>
                <w:rFonts w:eastAsia="Times New Roman" w:cs="Arial"/>
                <w:sz w:val="36"/>
                <w:szCs w:val="36"/>
                <w:lang w:eastAsia="en-AU"/>
              </w:rPr>
            </w:pPr>
            <w:r w:rsidRPr="00264435">
              <w:rPr>
                <w:rFonts w:eastAsia="Times New Roman" w:cs="Arial"/>
                <w:color w:val="000000"/>
                <w:kern w:val="24"/>
                <w:sz w:val="20"/>
                <w:szCs w:val="20"/>
                <w:lang w:eastAsia="en-AU"/>
              </w:rPr>
              <w:t>$1.85m</w:t>
            </w:r>
          </w:p>
        </w:tc>
        <w:tc>
          <w:tcPr>
            <w:tcW w:w="1969" w:type="dxa"/>
            <w:tcBorders>
              <w:top w:val="single" w:sz="6" w:space="0" w:color="0097A9"/>
              <w:left w:val="nil"/>
              <w:bottom w:val="single" w:sz="6" w:space="0" w:color="0097A9"/>
              <w:right w:val="single" w:sz="6" w:space="0" w:color="0097A9"/>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jc w:val="center"/>
              <w:rPr>
                <w:rFonts w:eastAsia="Times New Roman" w:cs="Arial"/>
                <w:sz w:val="36"/>
                <w:szCs w:val="36"/>
                <w:lang w:eastAsia="en-AU"/>
              </w:rPr>
            </w:pPr>
            <w:r w:rsidRPr="00264435">
              <w:rPr>
                <w:rFonts w:eastAsia="Times New Roman" w:cs="Arial"/>
                <w:color w:val="000000"/>
                <w:kern w:val="24"/>
                <w:sz w:val="20"/>
                <w:szCs w:val="20"/>
                <w:lang w:eastAsia="en-AU"/>
              </w:rPr>
              <w:t>17.8%</w:t>
            </w:r>
          </w:p>
        </w:tc>
      </w:tr>
      <w:tr w:rsidR="00DF2EAC" w:rsidRPr="00264435">
        <w:trPr>
          <w:trHeight w:val="297"/>
        </w:trPr>
        <w:tc>
          <w:tcPr>
            <w:tcW w:w="3146" w:type="dxa"/>
            <w:tcBorders>
              <w:top w:val="single" w:sz="6" w:space="0" w:color="0097A9"/>
              <w:left w:val="single" w:sz="6" w:space="0" w:color="0097A9"/>
              <w:bottom w:val="single" w:sz="6" w:space="0" w:color="0097A9"/>
              <w:right w:val="nil"/>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rPr>
                <w:rFonts w:eastAsia="Times New Roman" w:cs="Arial"/>
                <w:sz w:val="36"/>
                <w:szCs w:val="36"/>
                <w:lang w:eastAsia="en-AU"/>
              </w:rPr>
            </w:pPr>
            <w:r w:rsidRPr="00264435">
              <w:rPr>
                <w:rFonts w:eastAsia="Times New Roman" w:cs="Arial"/>
                <w:b/>
                <w:bCs/>
                <w:color w:val="000000"/>
                <w:kern w:val="24"/>
                <w:sz w:val="20"/>
                <w:szCs w:val="20"/>
                <w:lang w:eastAsia="en-AU"/>
              </w:rPr>
              <w:t>Supplier expenses</w:t>
            </w:r>
          </w:p>
        </w:tc>
        <w:tc>
          <w:tcPr>
            <w:tcW w:w="1969" w:type="dxa"/>
            <w:tcBorders>
              <w:top w:val="single" w:sz="6" w:space="0" w:color="0097A9"/>
              <w:left w:val="nil"/>
              <w:bottom w:val="single" w:sz="6" w:space="0" w:color="0097A9"/>
              <w:right w:val="nil"/>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jc w:val="center"/>
              <w:rPr>
                <w:rFonts w:eastAsia="Times New Roman" w:cs="Arial"/>
                <w:sz w:val="36"/>
                <w:szCs w:val="36"/>
                <w:lang w:eastAsia="en-AU"/>
              </w:rPr>
            </w:pPr>
            <w:r w:rsidRPr="00264435">
              <w:rPr>
                <w:rFonts w:eastAsia="Times New Roman" w:cs="Arial"/>
                <w:color w:val="000000"/>
                <w:kern w:val="24"/>
                <w:sz w:val="20"/>
                <w:szCs w:val="20"/>
                <w:lang w:eastAsia="en-AU"/>
              </w:rPr>
              <w:t>$1.02m</w:t>
            </w:r>
          </w:p>
        </w:tc>
        <w:tc>
          <w:tcPr>
            <w:tcW w:w="1969" w:type="dxa"/>
            <w:tcBorders>
              <w:top w:val="single" w:sz="6" w:space="0" w:color="0097A9"/>
              <w:left w:val="nil"/>
              <w:bottom w:val="single" w:sz="6" w:space="0" w:color="0097A9"/>
              <w:right w:val="nil"/>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jc w:val="center"/>
              <w:rPr>
                <w:rFonts w:eastAsia="Times New Roman" w:cs="Arial"/>
                <w:sz w:val="36"/>
                <w:szCs w:val="36"/>
                <w:lang w:eastAsia="en-AU"/>
              </w:rPr>
            </w:pPr>
            <w:r w:rsidRPr="00264435">
              <w:rPr>
                <w:rFonts w:eastAsia="Times New Roman" w:cs="Arial"/>
                <w:color w:val="000000"/>
                <w:kern w:val="24"/>
                <w:sz w:val="20"/>
                <w:szCs w:val="20"/>
                <w:lang w:eastAsia="en-AU"/>
              </w:rPr>
              <w:t>$0.98m</w:t>
            </w:r>
          </w:p>
        </w:tc>
        <w:tc>
          <w:tcPr>
            <w:tcW w:w="1969" w:type="dxa"/>
            <w:tcBorders>
              <w:top w:val="single" w:sz="6" w:space="0" w:color="0097A9"/>
              <w:left w:val="nil"/>
              <w:bottom w:val="single" w:sz="6" w:space="0" w:color="0097A9"/>
              <w:right w:val="single" w:sz="6" w:space="0" w:color="0097A9"/>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jc w:val="center"/>
              <w:rPr>
                <w:rFonts w:eastAsia="Times New Roman" w:cs="Arial"/>
                <w:sz w:val="36"/>
                <w:szCs w:val="36"/>
                <w:lang w:eastAsia="en-AU"/>
              </w:rPr>
            </w:pPr>
            <w:r w:rsidRPr="00264435">
              <w:rPr>
                <w:rFonts w:eastAsia="Times New Roman" w:cs="Arial"/>
                <w:color w:val="000000"/>
                <w:kern w:val="24"/>
                <w:sz w:val="20"/>
                <w:szCs w:val="20"/>
                <w:lang w:eastAsia="en-AU"/>
              </w:rPr>
              <w:t>-4%</w:t>
            </w:r>
          </w:p>
        </w:tc>
      </w:tr>
      <w:tr w:rsidR="00DF2EAC" w:rsidRPr="00264435">
        <w:trPr>
          <w:trHeight w:val="297"/>
        </w:trPr>
        <w:tc>
          <w:tcPr>
            <w:tcW w:w="3146" w:type="dxa"/>
            <w:tcBorders>
              <w:top w:val="single" w:sz="6" w:space="0" w:color="0097A9"/>
              <w:left w:val="single" w:sz="6" w:space="0" w:color="0097A9"/>
              <w:bottom w:val="single" w:sz="6" w:space="0" w:color="0097A9"/>
              <w:right w:val="nil"/>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rPr>
                <w:rFonts w:eastAsia="Times New Roman" w:cs="Arial"/>
                <w:sz w:val="36"/>
                <w:szCs w:val="36"/>
                <w:lang w:eastAsia="en-AU"/>
              </w:rPr>
            </w:pPr>
            <w:r w:rsidRPr="00264435">
              <w:rPr>
                <w:rFonts w:eastAsia="Times New Roman" w:cs="Arial"/>
                <w:b/>
                <w:bCs/>
                <w:color w:val="000000"/>
                <w:kern w:val="24"/>
                <w:sz w:val="20"/>
                <w:szCs w:val="20"/>
                <w:lang w:eastAsia="en-AU"/>
              </w:rPr>
              <w:t>FTE</w:t>
            </w:r>
          </w:p>
        </w:tc>
        <w:tc>
          <w:tcPr>
            <w:tcW w:w="1969" w:type="dxa"/>
            <w:tcBorders>
              <w:top w:val="single" w:sz="6" w:space="0" w:color="0097A9"/>
              <w:left w:val="nil"/>
              <w:bottom w:val="single" w:sz="6" w:space="0" w:color="0097A9"/>
              <w:right w:val="nil"/>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jc w:val="center"/>
              <w:rPr>
                <w:rFonts w:eastAsia="Times New Roman" w:cs="Arial"/>
                <w:sz w:val="36"/>
                <w:szCs w:val="36"/>
                <w:lang w:eastAsia="en-AU"/>
              </w:rPr>
            </w:pPr>
            <w:r w:rsidRPr="00264435">
              <w:rPr>
                <w:rFonts w:eastAsia="Times New Roman" w:cs="Arial"/>
                <w:color w:val="000000"/>
                <w:kern w:val="24"/>
                <w:sz w:val="20"/>
                <w:szCs w:val="20"/>
                <w:lang w:eastAsia="en-AU"/>
              </w:rPr>
              <w:t>10.4</w:t>
            </w:r>
          </w:p>
        </w:tc>
        <w:tc>
          <w:tcPr>
            <w:tcW w:w="1969" w:type="dxa"/>
            <w:tcBorders>
              <w:top w:val="single" w:sz="6" w:space="0" w:color="0097A9"/>
              <w:left w:val="nil"/>
              <w:bottom w:val="single" w:sz="6" w:space="0" w:color="0097A9"/>
              <w:right w:val="nil"/>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jc w:val="center"/>
              <w:rPr>
                <w:rFonts w:eastAsia="Times New Roman" w:cs="Arial"/>
                <w:sz w:val="36"/>
                <w:szCs w:val="36"/>
                <w:lang w:eastAsia="en-AU"/>
              </w:rPr>
            </w:pPr>
            <w:r w:rsidRPr="00264435">
              <w:rPr>
                <w:rFonts w:eastAsia="Times New Roman" w:cs="Arial"/>
                <w:color w:val="000000"/>
                <w:kern w:val="24"/>
                <w:sz w:val="20"/>
                <w:szCs w:val="20"/>
                <w:lang w:eastAsia="en-AU"/>
              </w:rPr>
              <w:t>11</w:t>
            </w:r>
          </w:p>
        </w:tc>
        <w:tc>
          <w:tcPr>
            <w:tcW w:w="1969" w:type="dxa"/>
            <w:tcBorders>
              <w:top w:val="single" w:sz="6" w:space="0" w:color="0097A9"/>
              <w:left w:val="nil"/>
              <w:bottom w:val="single" w:sz="6" w:space="0" w:color="0097A9"/>
              <w:right w:val="single" w:sz="6" w:space="0" w:color="0097A9"/>
            </w:tcBorders>
            <w:shd w:val="clear" w:color="auto" w:fill="auto"/>
            <w:tcMar>
              <w:top w:w="72" w:type="dxa"/>
              <w:left w:w="144" w:type="dxa"/>
              <w:bottom w:w="72" w:type="dxa"/>
              <w:right w:w="144" w:type="dxa"/>
            </w:tcMar>
            <w:vAlign w:val="center"/>
          </w:tcPr>
          <w:p w:rsidR="00DF2EAC" w:rsidRPr="00264435" w:rsidRDefault="00DF2EAC" w:rsidP="00DF2EAC">
            <w:pPr>
              <w:spacing w:after="0" w:line="240" w:lineRule="auto"/>
              <w:jc w:val="center"/>
              <w:rPr>
                <w:rFonts w:eastAsia="Times New Roman" w:cs="Arial"/>
                <w:sz w:val="36"/>
                <w:szCs w:val="36"/>
                <w:lang w:eastAsia="en-AU"/>
              </w:rPr>
            </w:pPr>
            <w:r w:rsidRPr="00264435">
              <w:rPr>
                <w:rFonts w:eastAsia="Times New Roman" w:cs="Arial"/>
                <w:color w:val="000000"/>
                <w:kern w:val="24"/>
                <w:sz w:val="20"/>
                <w:szCs w:val="20"/>
                <w:lang w:eastAsia="en-AU"/>
              </w:rPr>
              <w:t>5.7%</w:t>
            </w:r>
          </w:p>
        </w:tc>
      </w:tr>
    </w:tbl>
    <w:p w:rsidR="00DC7919" w:rsidRDefault="00DC7919" w:rsidP="00DC7919">
      <w:pPr>
        <w:spacing w:after="0" w:line="259" w:lineRule="auto"/>
        <w:rPr>
          <w:sz w:val="20"/>
          <w:szCs w:val="18"/>
        </w:rPr>
      </w:pPr>
    </w:p>
    <w:p w:rsidR="008D25B7" w:rsidRPr="008D25B7" w:rsidRDefault="008D25B7" w:rsidP="00F916D6">
      <w:pPr>
        <w:pStyle w:val="Heading2"/>
        <w:rPr>
          <w:b w:val="0"/>
        </w:rPr>
      </w:pPr>
      <w:bookmarkStart w:id="8" w:name="_Toc482809625"/>
      <w:r>
        <w:t>B. Additional capacity and capability is required</w:t>
      </w:r>
      <w:bookmarkEnd w:id="8"/>
    </w:p>
    <w:p w:rsidR="008D25B7" w:rsidRPr="00264435" w:rsidRDefault="008D25B7" w:rsidP="00DC7919">
      <w:pPr>
        <w:spacing w:after="0" w:line="259" w:lineRule="auto"/>
        <w:rPr>
          <w:sz w:val="20"/>
          <w:szCs w:val="18"/>
        </w:rPr>
      </w:pPr>
    </w:p>
    <w:p w:rsidR="0007354F" w:rsidRDefault="0007354F" w:rsidP="00DC7919">
      <w:pPr>
        <w:spacing w:after="0" w:line="259" w:lineRule="auto"/>
        <w:rPr>
          <w:b/>
          <w:sz w:val="20"/>
          <w:szCs w:val="18"/>
        </w:rPr>
      </w:pPr>
      <w:r>
        <w:rPr>
          <w:b/>
          <w:sz w:val="20"/>
          <w:szCs w:val="18"/>
        </w:rPr>
        <w:t>Current capability and capacity are not sufficient to enable the NMHC to have the desired impact.</w:t>
      </w:r>
    </w:p>
    <w:p w:rsidR="0007354F" w:rsidRDefault="0007354F" w:rsidP="00DC7919">
      <w:pPr>
        <w:spacing w:after="0" w:line="259" w:lineRule="auto"/>
        <w:rPr>
          <w:b/>
          <w:sz w:val="20"/>
          <w:szCs w:val="18"/>
        </w:rPr>
      </w:pPr>
    </w:p>
    <w:p w:rsidR="0007354F" w:rsidRDefault="00DC7919" w:rsidP="00DC7919">
      <w:pPr>
        <w:spacing w:after="0" w:line="259" w:lineRule="auto"/>
        <w:rPr>
          <w:sz w:val="20"/>
          <w:szCs w:val="18"/>
        </w:rPr>
      </w:pPr>
      <w:r w:rsidRPr="00264435">
        <w:rPr>
          <w:b/>
          <w:sz w:val="20"/>
          <w:szCs w:val="18"/>
        </w:rPr>
        <w:t>The NMHC does not have enough staff</w:t>
      </w:r>
      <w:r w:rsidR="00941294">
        <w:rPr>
          <w:b/>
          <w:sz w:val="20"/>
          <w:szCs w:val="18"/>
        </w:rPr>
        <w:t xml:space="preserve"> to deliver on its requirements</w:t>
      </w:r>
      <w:r w:rsidRPr="00264435">
        <w:rPr>
          <w:sz w:val="20"/>
          <w:szCs w:val="18"/>
        </w:rPr>
        <w:t xml:space="preserve">. The current workforce of approximately 14 FTE (plus the CEO), of which around </w:t>
      </w:r>
      <w:r w:rsidR="00F91265">
        <w:rPr>
          <w:sz w:val="20"/>
          <w:szCs w:val="18"/>
        </w:rPr>
        <w:t>five</w:t>
      </w:r>
      <w:r w:rsidRPr="00264435">
        <w:rPr>
          <w:sz w:val="20"/>
          <w:szCs w:val="18"/>
        </w:rPr>
        <w:t xml:space="preserve"> are devoted to corporate services functions, does not leave enough capacity to deliver on the suite of reporting, engagement and policy input roles expected. Furthermore, the </w:t>
      </w:r>
      <w:r w:rsidRPr="00264435">
        <w:rPr>
          <w:b/>
          <w:sz w:val="20"/>
          <w:szCs w:val="18"/>
        </w:rPr>
        <w:t>capability</w:t>
      </w:r>
      <w:r w:rsidRPr="00264435">
        <w:rPr>
          <w:sz w:val="20"/>
          <w:szCs w:val="18"/>
        </w:rPr>
        <w:t xml:space="preserve"> </w:t>
      </w:r>
      <w:r w:rsidRPr="00264435">
        <w:rPr>
          <w:b/>
          <w:sz w:val="20"/>
          <w:szCs w:val="18"/>
        </w:rPr>
        <w:t>mix of staff</w:t>
      </w:r>
      <w:r w:rsidRPr="00264435">
        <w:rPr>
          <w:sz w:val="20"/>
          <w:szCs w:val="18"/>
        </w:rPr>
        <w:t xml:space="preserve"> does not appear to be optimal. As noted above, close to half of the </w:t>
      </w:r>
      <w:proofErr w:type="gramStart"/>
      <w:r w:rsidRPr="00264435">
        <w:rPr>
          <w:sz w:val="20"/>
          <w:szCs w:val="18"/>
        </w:rPr>
        <w:t>workforce perform</w:t>
      </w:r>
      <w:proofErr w:type="gramEnd"/>
      <w:r w:rsidRPr="00264435">
        <w:rPr>
          <w:sz w:val="20"/>
          <w:szCs w:val="18"/>
        </w:rPr>
        <w:t xml:space="preserve"> corporate services functions, and 6 FTE are below the </w:t>
      </w:r>
      <w:r w:rsidR="009145ED">
        <w:rPr>
          <w:sz w:val="20"/>
          <w:szCs w:val="18"/>
        </w:rPr>
        <w:t>‘EL’ grade</w:t>
      </w:r>
      <w:r w:rsidRPr="00264435">
        <w:rPr>
          <w:sz w:val="20"/>
          <w:szCs w:val="18"/>
        </w:rPr>
        <w:t xml:space="preserve">. </w:t>
      </w:r>
    </w:p>
    <w:p w:rsidR="00644ABF" w:rsidRDefault="00644ABF" w:rsidP="00DC7919">
      <w:pPr>
        <w:spacing w:after="0" w:line="259" w:lineRule="auto"/>
        <w:rPr>
          <w:sz w:val="20"/>
          <w:szCs w:val="18"/>
        </w:rPr>
      </w:pPr>
    </w:p>
    <w:p w:rsidR="00644ABF" w:rsidRDefault="00644ABF" w:rsidP="00DC7919">
      <w:pPr>
        <w:spacing w:after="0" w:line="259" w:lineRule="auto"/>
        <w:rPr>
          <w:sz w:val="20"/>
          <w:szCs w:val="18"/>
        </w:rPr>
      </w:pPr>
      <w:r w:rsidRPr="008C57EC">
        <w:rPr>
          <w:sz w:val="20"/>
          <w:szCs w:val="18"/>
        </w:rPr>
        <w:t xml:space="preserve">In addition, there appears to be limited breadth of in the existing mental health capability across the staff within the NMHC. Consultation indicates that those experience in mental health delivery are from health backgrounds and, in line with the broader lived </w:t>
      </w:r>
      <w:r w:rsidRPr="008C57EC">
        <w:rPr>
          <w:sz w:val="20"/>
          <w:szCs w:val="18"/>
        </w:rPr>
        <w:lastRenderedPageBreak/>
        <w:t>experience, there is a need to incorporate those with economic, welfare, housing and employment experience.</w:t>
      </w:r>
      <w:r>
        <w:rPr>
          <w:sz w:val="20"/>
          <w:szCs w:val="18"/>
        </w:rPr>
        <w:t xml:space="preserve"> </w:t>
      </w:r>
    </w:p>
    <w:p w:rsidR="0007354F" w:rsidRDefault="0007354F" w:rsidP="00DC7919">
      <w:pPr>
        <w:spacing w:after="0" w:line="259" w:lineRule="auto"/>
        <w:rPr>
          <w:sz w:val="20"/>
          <w:szCs w:val="18"/>
        </w:rPr>
      </w:pPr>
    </w:p>
    <w:p w:rsidR="00B75245" w:rsidRDefault="00DC7919" w:rsidP="0007354F">
      <w:pPr>
        <w:spacing w:after="0" w:line="259" w:lineRule="auto"/>
        <w:rPr>
          <w:sz w:val="20"/>
          <w:szCs w:val="18"/>
        </w:rPr>
      </w:pPr>
      <w:r w:rsidRPr="00264435">
        <w:rPr>
          <w:sz w:val="20"/>
          <w:szCs w:val="18"/>
        </w:rPr>
        <w:t xml:space="preserve">Comparatively, benchmark organisations such as the </w:t>
      </w:r>
      <w:r w:rsidR="006D4493">
        <w:rPr>
          <w:sz w:val="20"/>
          <w:szCs w:val="18"/>
        </w:rPr>
        <w:t>Australian Institute for Health and Welfare (AIHW)</w:t>
      </w:r>
      <w:r w:rsidRPr="00264435">
        <w:rPr>
          <w:sz w:val="20"/>
          <w:szCs w:val="18"/>
        </w:rPr>
        <w:t xml:space="preserve">, the NSW Mental Health Commissioner and the former </w:t>
      </w:r>
      <w:r w:rsidR="006D4493">
        <w:rPr>
          <w:sz w:val="20"/>
          <w:szCs w:val="18"/>
        </w:rPr>
        <w:t>National Health Performance Authority (</w:t>
      </w:r>
      <w:r w:rsidRPr="00264435">
        <w:rPr>
          <w:sz w:val="20"/>
          <w:szCs w:val="18"/>
        </w:rPr>
        <w:t>NHPA</w:t>
      </w:r>
      <w:r w:rsidR="006D4493">
        <w:rPr>
          <w:sz w:val="20"/>
          <w:szCs w:val="18"/>
        </w:rPr>
        <w:t>)</w:t>
      </w:r>
      <w:r w:rsidRPr="00264435">
        <w:rPr>
          <w:sz w:val="20"/>
          <w:szCs w:val="18"/>
        </w:rPr>
        <w:t xml:space="preserve"> have (or had) larger workforces </w:t>
      </w:r>
      <w:r w:rsidR="006D4493">
        <w:rPr>
          <w:sz w:val="20"/>
          <w:szCs w:val="18"/>
        </w:rPr>
        <w:t>than the NMHC. They also evi</w:t>
      </w:r>
      <w:r w:rsidR="008C57EC">
        <w:rPr>
          <w:sz w:val="20"/>
          <w:szCs w:val="18"/>
        </w:rPr>
        <w:t>de</w:t>
      </w:r>
      <w:r w:rsidR="006D4493">
        <w:rPr>
          <w:sz w:val="20"/>
          <w:szCs w:val="18"/>
        </w:rPr>
        <w:t xml:space="preserve">nce </w:t>
      </w:r>
      <w:r w:rsidRPr="00264435">
        <w:rPr>
          <w:sz w:val="20"/>
          <w:szCs w:val="18"/>
        </w:rPr>
        <w:t>a ‘diamond’ shaped workforce profile – including a larger proportion of staff at the EL-level and above</w:t>
      </w:r>
      <w:r w:rsidR="000B4FF0">
        <w:rPr>
          <w:sz w:val="20"/>
          <w:szCs w:val="18"/>
        </w:rPr>
        <w:t>, as depicted below</w:t>
      </w:r>
      <w:r w:rsidRPr="00264435">
        <w:rPr>
          <w:sz w:val="20"/>
          <w:szCs w:val="18"/>
        </w:rPr>
        <w:t>.</w:t>
      </w:r>
      <w:r w:rsidR="008C57EC">
        <w:rPr>
          <w:sz w:val="20"/>
          <w:szCs w:val="18"/>
        </w:rPr>
        <w:t xml:space="preserve">  This reflects the nature of their work and role, and where deep and specialist expertise and/or external engagement to influence behaviours </w:t>
      </w:r>
      <w:proofErr w:type="gramStart"/>
      <w:r w:rsidR="008C57EC">
        <w:rPr>
          <w:sz w:val="20"/>
          <w:szCs w:val="18"/>
        </w:rPr>
        <w:t>is</w:t>
      </w:r>
      <w:proofErr w:type="gramEnd"/>
      <w:r w:rsidR="008C57EC">
        <w:rPr>
          <w:sz w:val="20"/>
          <w:szCs w:val="18"/>
        </w:rPr>
        <w:t xml:space="preserve"> a strong feature.</w:t>
      </w:r>
      <w:r w:rsidRPr="00264435">
        <w:rPr>
          <w:sz w:val="20"/>
          <w:szCs w:val="18"/>
        </w:rPr>
        <w:t xml:space="preserve"> </w:t>
      </w:r>
    </w:p>
    <w:p w:rsidR="00B75245" w:rsidRDefault="00B75245" w:rsidP="0007354F">
      <w:pPr>
        <w:spacing w:after="0" w:line="259" w:lineRule="auto"/>
        <w:rPr>
          <w:sz w:val="20"/>
          <w:szCs w:val="18"/>
        </w:rPr>
      </w:pPr>
    </w:p>
    <w:tbl>
      <w:tblPr>
        <w:tblW w:w="9210" w:type="dxa"/>
        <w:tblCellMar>
          <w:left w:w="0" w:type="dxa"/>
          <w:right w:w="0" w:type="dxa"/>
        </w:tblCellMar>
        <w:tblLook w:val="0420" w:firstRow="1" w:lastRow="0" w:firstColumn="0" w:lastColumn="0" w:noHBand="0" w:noVBand="1"/>
      </w:tblPr>
      <w:tblGrid>
        <w:gridCol w:w="1983"/>
        <w:gridCol w:w="812"/>
        <w:gridCol w:w="2586"/>
        <w:gridCol w:w="1319"/>
        <w:gridCol w:w="2510"/>
      </w:tblGrid>
      <w:tr w:rsidR="00204D56" w:rsidRPr="000B4FF0">
        <w:trPr>
          <w:trHeight w:val="495"/>
        </w:trPr>
        <w:tc>
          <w:tcPr>
            <w:tcW w:w="1985" w:type="dxa"/>
            <w:tcBorders>
              <w:top w:val="single" w:sz="6" w:space="0" w:color="5CB2E3"/>
              <w:left w:val="single" w:sz="6" w:space="0" w:color="5CB2E3"/>
              <w:bottom w:val="single" w:sz="6" w:space="0" w:color="5CB2E3"/>
              <w:right w:val="nil"/>
            </w:tcBorders>
            <w:shd w:val="clear" w:color="auto" w:fill="62B5E5"/>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b/>
                <w:bCs/>
                <w:color w:val="FFFFFF" w:themeColor="background1"/>
                <w:kern w:val="24"/>
                <w:szCs w:val="18"/>
                <w:lang w:eastAsia="en-AU"/>
              </w:rPr>
              <w:t>Comparison Organisation</w:t>
            </w:r>
          </w:p>
        </w:tc>
        <w:tc>
          <w:tcPr>
            <w:tcW w:w="800" w:type="dxa"/>
            <w:tcBorders>
              <w:top w:val="single" w:sz="6" w:space="0" w:color="5CB2E3"/>
              <w:left w:val="nil"/>
              <w:bottom w:val="single" w:sz="6" w:space="0" w:color="5CB2E3"/>
              <w:right w:val="nil"/>
            </w:tcBorders>
            <w:shd w:val="clear" w:color="auto" w:fill="62B5E5"/>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b/>
                <w:bCs/>
                <w:color w:val="FFFFFF" w:themeColor="background1"/>
                <w:kern w:val="24"/>
                <w:szCs w:val="18"/>
                <w:lang w:eastAsia="en-AU"/>
              </w:rPr>
              <w:t>Total FTE</w:t>
            </w:r>
          </w:p>
        </w:tc>
        <w:tc>
          <w:tcPr>
            <w:tcW w:w="2591" w:type="dxa"/>
            <w:tcBorders>
              <w:top w:val="single" w:sz="6" w:space="0" w:color="5CB2E3"/>
              <w:left w:val="nil"/>
              <w:bottom w:val="single" w:sz="6" w:space="0" w:color="5CB2E3"/>
              <w:right w:val="nil"/>
            </w:tcBorders>
            <w:shd w:val="clear" w:color="auto" w:fill="62B5E5"/>
            <w:tcMar>
              <w:top w:w="72" w:type="dxa"/>
              <w:left w:w="144" w:type="dxa"/>
              <w:bottom w:w="72" w:type="dxa"/>
              <w:right w:w="144" w:type="dxa"/>
            </w:tcMar>
            <w:vAlign w:val="center"/>
          </w:tcPr>
          <w:p w:rsidR="000F31F0" w:rsidRPr="000B4FF0" w:rsidRDefault="009145ED" w:rsidP="000F31F0">
            <w:pPr>
              <w:spacing w:after="0" w:line="240" w:lineRule="auto"/>
              <w:rPr>
                <w:rFonts w:ascii="Arial" w:eastAsia="Times New Roman" w:hAnsi="Arial" w:cs="Arial"/>
                <w:szCs w:val="18"/>
                <w:lang w:eastAsia="en-AU"/>
              </w:rPr>
            </w:pPr>
            <w:r>
              <w:rPr>
                <w:rFonts w:ascii="Verdana" w:eastAsia="Times New Roman" w:hAnsi="Verdana" w:cs="Arial"/>
                <w:b/>
                <w:bCs/>
                <w:color w:val="FFFFFF" w:themeColor="background1"/>
                <w:kern w:val="24"/>
                <w:szCs w:val="18"/>
                <w:lang w:eastAsia="en-AU"/>
              </w:rPr>
              <w:t>Workforce Shape</w:t>
            </w:r>
          </w:p>
        </w:tc>
        <w:tc>
          <w:tcPr>
            <w:tcW w:w="1319" w:type="dxa"/>
            <w:tcBorders>
              <w:top w:val="single" w:sz="6" w:space="0" w:color="5CB2E3"/>
              <w:left w:val="nil"/>
              <w:bottom w:val="single" w:sz="6" w:space="0" w:color="5CB2E3"/>
              <w:right w:val="nil"/>
            </w:tcBorders>
            <w:shd w:val="clear" w:color="auto" w:fill="62B5E5"/>
            <w:tcMar>
              <w:top w:w="72" w:type="dxa"/>
              <w:left w:w="144" w:type="dxa"/>
              <w:bottom w:w="72" w:type="dxa"/>
              <w:right w:w="144" w:type="dxa"/>
            </w:tcMar>
            <w:vAlign w:val="center"/>
          </w:tcPr>
          <w:p w:rsidR="000F31F0" w:rsidRPr="000B4FF0" w:rsidRDefault="000F31F0" w:rsidP="000B4FF0">
            <w:pPr>
              <w:spacing w:after="0" w:line="240" w:lineRule="auto"/>
              <w:rPr>
                <w:rFonts w:ascii="Arial" w:eastAsia="Times New Roman" w:hAnsi="Arial" w:cs="Arial"/>
                <w:szCs w:val="18"/>
                <w:lang w:eastAsia="en-AU"/>
              </w:rPr>
            </w:pPr>
            <w:r w:rsidRPr="000B4FF0">
              <w:rPr>
                <w:rFonts w:ascii="Verdana" w:eastAsia="Times New Roman" w:hAnsi="Verdana" w:cs="Arial"/>
                <w:b/>
                <w:bCs/>
                <w:color w:val="FFFFFF" w:themeColor="background1"/>
                <w:kern w:val="24"/>
                <w:szCs w:val="18"/>
                <w:lang w:eastAsia="en-AU"/>
              </w:rPr>
              <w:t>% EL or above</w:t>
            </w:r>
            <w:r w:rsidR="000B4FF0">
              <w:rPr>
                <w:rStyle w:val="FootnoteReference"/>
                <w:rFonts w:ascii="Verdana" w:eastAsia="Times New Roman" w:hAnsi="Verdana" w:cs="Arial"/>
                <w:b/>
                <w:bCs/>
                <w:color w:val="FFFFFF" w:themeColor="background1"/>
                <w:kern w:val="24"/>
                <w:szCs w:val="18"/>
                <w:lang w:eastAsia="en-AU"/>
              </w:rPr>
              <w:footnoteReference w:id="8"/>
            </w:r>
          </w:p>
        </w:tc>
        <w:tc>
          <w:tcPr>
            <w:tcW w:w="2514" w:type="dxa"/>
            <w:tcBorders>
              <w:top w:val="single" w:sz="6" w:space="0" w:color="5CB2E3"/>
              <w:left w:val="nil"/>
              <w:bottom w:val="single" w:sz="6" w:space="0" w:color="5CB2E3"/>
              <w:right w:val="single" w:sz="6" w:space="0" w:color="5CB2E3"/>
            </w:tcBorders>
            <w:shd w:val="clear" w:color="auto" w:fill="62B5E5"/>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b/>
                <w:bCs/>
                <w:color w:val="FFFFFF" w:themeColor="background1"/>
                <w:kern w:val="24"/>
                <w:szCs w:val="18"/>
                <w:lang w:eastAsia="en-AU"/>
              </w:rPr>
              <w:t>Budget</w:t>
            </w:r>
          </w:p>
        </w:tc>
      </w:tr>
      <w:tr w:rsidR="000F31F0" w:rsidRPr="000B4FF0">
        <w:trPr>
          <w:trHeight w:val="976"/>
        </w:trPr>
        <w:tc>
          <w:tcPr>
            <w:tcW w:w="1985" w:type="dxa"/>
            <w:tcBorders>
              <w:top w:val="single" w:sz="6" w:space="0" w:color="5CB2E3"/>
              <w:left w:val="single" w:sz="6" w:space="0" w:color="5CB2E3"/>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b/>
                <w:bCs/>
                <w:color w:val="000000" w:themeColor="text1"/>
                <w:kern w:val="24"/>
                <w:szCs w:val="18"/>
                <w:lang w:eastAsia="en-AU"/>
              </w:rPr>
              <w:t>Australian Institute of Health and Welfare</w:t>
            </w:r>
          </w:p>
        </w:tc>
        <w:tc>
          <w:tcPr>
            <w:tcW w:w="800"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288.5</w:t>
            </w:r>
          </w:p>
        </w:tc>
        <w:tc>
          <w:tcPr>
            <w:tcW w:w="2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APS: 159.9</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Executive Level: 122.6</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Senior Executive Level: 5</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Director Level: 1</w:t>
            </w:r>
          </w:p>
        </w:tc>
        <w:tc>
          <w:tcPr>
            <w:tcW w:w="1319"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45%</w:t>
            </w:r>
          </w:p>
        </w:tc>
        <w:tc>
          <w:tcPr>
            <w:tcW w:w="2514"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Employee Expenditure: $33.8m</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Other Expenditure: $14.3m</w:t>
            </w:r>
          </w:p>
        </w:tc>
      </w:tr>
      <w:tr w:rsidR="000F31F0" w:rsidRPr="000B4FF0">
        <w:trPr>
          <w:trHeight w:val="976"/>
        </w:trPr>
        <w:tc>
          <w:tcPr>
            <w:tcW w:w="1985" w:type="dxa"/>
            <w:tcBorders>
              <w:top w:val="single" w:sz="6" w:space="0" w:color="5CB2E3"/>
              <w:left w:val="single" w:sz="6" w:space="0" w:color="5CB2E3"/>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B4FF0">
            <w:pPr>
              <w:spacing w:after="0" w:line="240" w:lineRule="auto"/>
              <w:rPr>
                <w:rFonts w:ascii="Arial" w:eastAsia="Times New Roman" w:hAnsi="Arial" w:cs="Arial"/>
                <w:szCs w:val="18"/>
                <w:lang w:eastAsia="en-AU"/>
              </w:rPr>
            </w:pPr>
            <w:r w:rsidRPr="000B4FF0">
              <w:rPr>
                <w:rFonts w:ascii="Verdana" w:eastAsia="Times New Roman" w:hAnsi="Verdana" w:cs="Arial"/>
                <w:b/>
                <w:bCs/>
                <w:color w:val="000000" w:themeColor="text1"/>
                <w:kern w:val="24"/>
                <w:szCs w:val="18"/>
                <w:lang w:eastAsia="en-AU"/>
              </w:rPr>
              <w:t>National Health Performance Authority</w:t>
            </w:r>
            <w:r w:rsidR="000B4FF0">
              <w:rPr>
                <w:rStyle w:val="FootnoteReference"/>
                <w:rFonts w:ascii="Verdana" w:eastAsia="Times New Roman" w:hAnsi="Verdana" w:cs="Arial"/>
                <w:b/>
                <w:bCs/>
                <w:color w:val="000000" w:themeColor="text1"/>
                <w:kern w:val="24"/>
                <w:szCs w:val="18"/>
                <w:lang w:eastAsia="en-AU"/>
              </w:rPr>
              <w:footnoteReference w:id="9"/>
            </w:r>
          </w:p>
        </w:tc>
        <w:tc>
          <w:tcPr>
            <w:tcW w:w="800"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46</w:t>
            </w:r>
          </w:p>
        </w:tc>
        <w:tc>
          <w:tcPr>
            <w:tcW w:w="2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APS: 13</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Executive Level: 30</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Senior Executive Level: 2</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Chief Executive Officer: 1</w:t>
            </w:r>
          </w:p>
        </w:tc>
        <w:tc>
          <w:tcPr>
            <w:tcW w:w="1319"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72%</w:t>
            </w:r>
          </w:p>
        </w:tc>
        <w:tc>
          <w:tcPr>
            <w:tcW w:w="2514"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Employee Expenditure: $7.7m</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Other Expenditure: $26.2m</w:t>
            </w:r>
          </w:p>
        </w:tc>
      </w:tr>
      <w:tr w:rsidR="000F31F0" w:rsidRPr="000B4FF0">
        <w:trPr>
          <w:trHeight w:val="976"/>
        </w:trPr>
        <w:tc>
          <w:tcPr>
            <w:tcW w:w="1985" w:type="dxa"/>
            <w:tcBorders>
              <w:top w:val="single" w:sz="6" w:space="0" w:color="5CB2E3"/>
              <w:left w:val="single" w:sz="6" w:space="0" w:color="5CB2E3"/>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b/>
                <w:bCs/>
                <w:color w:val="000000" w:themeColor="text1"/>
                <w:kern w:val="24"/>
                <w:szCs w:val="18"/>
                <w:lang w:eastAsia="en-AU"/>
              </w:rPr>
              <w:t>Australian Commission for Safety and Quality in Healthcare</w:t>
            </w:r>
          </w:p>
        </w:tc>
        <w:tc>
          <w:tcPr>
            <w:tcW w:w="800"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88.6</w:t>
            </w:r>
          </w:p>
        </w:tc>
        <w:tc>
          <w:tcPr>
            <w:tcW w:w="2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APS: 25.6</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Executive Level: 59.6</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Senior Executive Level: 2.4</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Chief Executive Officer: 1</w:t>
            </w:r>
          </w:p>
        </w:tc>
        <w:tc>
          <w:tcPr>
            <w:tcW w:w="1319"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71%</w:t>
            </w:r>
          </w:p>
        </w:tc>
        <w:tc>
          <w:tcPr>
            <w:tcW w:w="2514"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Employee Expenditure: $12.1m</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Other Expenditure: $15m</w:t>
            </w:r>
          </w:p>
        </w:tc>
      </w:tr>
      <w:tr w:rsidR="000F31F0" w:rsidRPr="000B4FF0">
        <w:trPr>
          <w:trHeight w:val="1404"/>
        </w:trPr>
        <w:tc>
          <w:tcPr>
            <w:tcW w:w="1985" w:type="dxa"/>
            <w:tcBorders>
              <w:top w:val="single" w:sz="6" w:space="0" w:color="5CB2E3"/>
              <w:left w:val="single" w:sz="6" w:space="0" w:color="5CB2E3"/>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b/>
                <w:bCs/>
                <w:color w:val="000000" w:themeColor="text1"/>
                <w:kern w:val="24"/>
                <w:szCs w:val="18"/>
                <w:lang w:eastAsia="en-AU"/>
              </w:rPr>
              <w:t>NSW Mental Health Commission</w:t>
            </w:r>
          </w:p>
        </w:tc>
        <w:tc>
          <w:tcPr>
            <w:tcW w:w="800"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23</w:t>
            </w:r>
          </w:p>
        </w:tc>
        <w:tc>
          <w:tcPr>
            <w:tcW w:w="2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Clerk 3/4: 1</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Clerk 5/6: 2</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Clerk 7/8: 2</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Clerk 9/10: 12</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Clerk 11/12: 5</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Senior Executive: 1</w:t>
            </w:r>
          </w:p>
        </w:tc>
        <w:tc>
          <w:tcPr>
            <w:tcW w:w="1319"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 xml:space="preserve">78% </w:t>
            </w:r>
          </w:p>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br/>
            </w:r>
            <w:r w:rsidRPr="000B4FF0">
              <w:rPr>
                <w:rFonts w:ascii="Verdana" w:eastAsia="Times New Roman" w:hAnsi="Verdana" w:cs="Arial"/>
                <w:i/>
                <w:iCs/>
                <w:color w:val="000000" w:themeColor="text1"/>
                <w:kern w:val="24"/>
                <w:szCs w:val="18"/>
                <w:lang w:eastAsia="en-AU"/>
              </w:rPr>
              <w:t xml:space="preserve">(Clerk 9/10 </w:t>
            </w:r>
            <w:r w:rsidRPr="000B4FF0">
              <w:rPr>
                <w:rFonts w:ascii="Verdana" w:eastAsia="Times New Roman" w:hAnsi="Verdana" w:cs="Arial"/>
                <w:i/>
                <w:iCs/>
                <w:color w:val="000000" w:themeColor="text1"/>
                <w:kern w:val="24"/>
                <w:szCs w:val="18"/>
                <w:lang w:eastAsia="en-AU"/>
              </w:rPr>
              <w:br/>
              <w:t>and above)</w:t>
            </w:r>
          </w:p>
        </w:tc>
        <w:tc>
          <w:tcPr>
            <w:tcW w:w="2514"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Employee Expenditure: $3.7m</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Other Expenditure: $6.6m</w:t>
            </w:r>
          </w:p>
        </w:tc>
      </w:tr>
      <w:tr w:rsidR="000F31F0" w:rsidRPr="000B4FF0">
        <w:trPr>
          <w:trHeight w:val="778"/>
        </w:trPr>
        <w:tc>
          <w:tcPr>
            <w:tcW w:w="1985" w:type="dxa"/>
            <w:tcBorders>
              <w:top w:val="single" w:sz="6" w:space="0" w:color="5CB2E3"/>
              <w:left w:val="single" w:sz="6" w:space="0" w:color="5CB2E3"/>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b/>
                <w:bCs/>
                <w:color w:val="000000" w:themeColor="text1"/>
                <w:kern w:val="24"/>
                <w:szCs w:val="18"/>
                <w:lang w:eastAsia="en-AU"/>
              </w:rPr>
              <w:t>Mental Health Commission of Canada</w:t>
            </w:r>
          </w:p>
        </w:tc>
        <w:tc>
          <w:tcPr>
            <w:tcW w:w="4711" w:type="dxa"/>
            <w:gridSpan w:val="3"/>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jc w:val="center"/>
              <w:rPr>
                <w:rFonts w:ascii="Arial" w:eastAsia="Times New Roman" w:hAnsi="Arial" w:cs="Arial"/>
                <w:szCs w:val="18"/>
                <w:lang w:eastAsia="en-AU"/>
              </w:rPr>
            </w:pPr>
            <w:r w:rsidRPr="000B4FF0">
              <w:rPr>
                <w:rFonts w:eastAsiaTheme="minorEastAsia" w:hAnsi="Verdana"/>
                <w:i/>
                <w:iCs/>
                <w:color w:val="000000" w:themeColor="text1"/>
                <w:kern w:val="24"/>
                <w:szCs w:val="18"/>
                <w:lang w:eastAsia="en-AU"/>
              </w:rPr>
              <w:t>Workforce details not available</w:t>
            </w:r>
          </w:p>
        </w:tc>
        <w:tc>
          <w:tcPr>
            <w:tcW w:w="2514"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vAlign w:val="center"/>
          </w:tcPr>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Employee Expenditure: $8.0m</w:t>
            </w:r>
          </w:p>
          <w:p w:rsidR="000F31F0" w:rsidRPr="000B4FF0" w:rsidRDefault="000F31F0" w:rsidP="000F31F0">
            <w:pPr>
              <w:spacing w:after="0" w:line="240" w:lineRule="auto"/>
              <w:rPr>
                <w:rFonts w:ascii="Arial" w:eastAsia="Times New Roman" w:hAnsi="Arial" w:cs="Arial"/>
                <w:szCs w:val="18"/>
                <w:lang w:eastAsia="en-AU"/>
              </w:rPr>
            </w:pPr>
            <w:r w:rsidRPr="000B4FF0">
              <w:rPr>
                <w:rFonts w:ascii="Verdana" w:eastAsia="Times New Roman" w:hAnsi="Verdana" w:cs="Arial"/>
                <w:color w:val="000000" w:themeColor="text1"/>
                <w:kern w:val="24"/>
                <w:szCs w:val="18"/>
                <w:lang w:eastAsia="en-AU"/>
              </w:rPr>
              <w:t>Other Expenditure: $6.6m</w:t>
            </w:r>
          </w:p>
        </w:tc>
      </w:tr>
    </w:tbl>
    <w:p w:rsidR="000F31F0" w:rsidRDefault="000F31F0" w:rsidP="0007354F">
      <w:pPr>
        <w:spacing w:after="0" w:line="259" w:lineRule="auto"/>
        <w:rPr>
          <w:sz w:val="20"/>
          <w:szCs w:val="18"/>
        </w:rPr>
      </w:pPr>
    </w:p>
    <w:p w:rsidR="000F31F0" w:rsidRDefault="000F31F0" w:rsidP="0007354F">
      <w:pPr>
        <w:spacing w:after="0" w:line="259" w:lineRule="auto"/>
        <w:rPr>
          <w:sz w:val="20"/>
          <w:szCs w:val="18"/>
        </w:rPr>
      </w:pPr>
    </w:p>
    <w:p w:rsidR="0007354F" w:rsidRDefault="0007354F" w:rsidP="0007354F">
      <w:pPr>
        <w:spacing w:after="0" w:line="259" w:lineRule="auto"/>
        <w:rPr>
          <w:sz w:val="20"/>
          <w:szCs w:val="18"/>
        </w:rPr>
      </w:pPr>
      <w:r>
        <w:rPr>
          <w:sz w:val="20"/>
          <w:szCs w:val="18"/>
        </w:rPr>
        <w:t>Whilst not determinative, these comparisons indicate that additional capacity – at sufficiently senior levels, may be appropriate. While differences between the NMHC and these organisations should be acknowledge</w:t>
      </w:r>
      <w:r w:rsidR="009145ED">
        <w:rPr>
          <w:sz w:val="20"/>
          <w:szCs w:val="18"/>
        </w:rPr>
        <w:t>d</w:t>
      </w:r>
      <w:r>
        <w:rPr>
          <w:sz w:val="20"/>
          <w:szCs w:val="18"/>
        </w:rPr>
        <w:t xml:space="preserve">, these size and workforce </w:t>
      </w:r>
      <w:r w:rsidR="009145ED">
        <w:rPr>
          <w:sz w:val="20"/>
          <w:szCs w:val="18"/>
        </w:rPr>
        <w:t>shape</w:t>
      </w:r>
      <w:r>
        <w:rPr>
          <w:sz w:val="20"/>
          <w:szCs w:val="18"/>
        </w:rPr>
        <w:t xml:space="preserve"> differences illustrate the current capacity and capability issues facing the NMHC. </w:t>
      </w:r>
      <w:r w:rsidR="00B75245">
        <w:rPr>
          <w:sz w:val="20"/>
          <w:szCs w:val="18"/>
        </w:rPr>
        <w:t xml:space="preserve">Further information on resourcing arrangements of comparator bodies is provided at </w:t>
      </w:r>
      <w:r w:rsidR="00B75245" w:rsidRPr="00B75245">
        <w:rPr>
          <w:sz w:val="20"/>
          <w:szCs w:val="18"/>
          <w:u w:val="single"/>
        </w:rPr>
        <w:t>Appendix B</w:t>
      </w:r>
      <w:r w:rsidR="00B75245">
        <w:rPr>
          <w:sz w:val="20"/>
          <w:szCs w:val="18"/>
        </w:rPr>
        <w:t>.</w:t>
      </w:r>
    </w:p>
    <w:p w:rsidR="0007354F" w:rsidRDefault="0007354F" w:rsidP="00DC7919">
      <w:pPr>
        <w:spacing w:after="0" w:line="259" w:lineRule="auto"/>
        <w:rPr>
          <w:sz w:val="20"/>
          <w:szCs w:val="18"/>
        </w:rPr>
      </w:pPr>
    </w:p>
    <w:p w:rsidR="006D4493" w:rsidRPr="00264435" w:rsidRDefault="006D4493" w:rsidP="006D4493">
      <w:pPr>
        <w:spacing w:after="0" w:line="259" w:lineRule="auto"/>
        <w:rPr>
          <w:sz w:val="20"/>
          <w:szCs w:val="18"/>
        </w:rPr>
      </w:pPr>
      <w:r>
        <w:rPr>
          <w:sz w:val="20"/>
          <w:szCs w:val="18"/>
        </w:rPr>
        <w:t>Further, s</w:t>
      </w:r>
      <w:r w:rsidR="0007354F">
        <w:rPr>
          <w:sz w:val="20"/>
          <w:szCs w:val="18"/>
        </w:rPr>
        <w:t xml:space="preserve">takeholder consultations uniformly reveal a belief that resourcing inhibits the NMHC from making the kind of impact desired. </w:t>
      </w:r>
      <w:r>
        <w:rPr>
          <w:sz w:val="20"/>
          <w:szCs w:val="18"/>
        </w:rPr>
        <w:t xml:space="preserve">For example, the NMHC’s recent work providing advice on the mental health of </w:t>
      </w:r>
      <w:r w:rsidR="00644ABF">
        <w:rPr>
          <w:sz w:val="20"/>
          <w:szCs w:val="18"/>
        </w:rPr>
        <w:t xml:space="preserve">the Australian Defence Force members and </w:t>
      </w:r>
      <w:r w:rsidR="00644ABF">
        <w:rPr>
          <w:sz w:val="20"/>
          <w:szCs w:val="18"/>
        </w:rPr>
        <w:lastRenderedPageBreak/>
        <w:t>veterans</w:t>
      </w:r>
      <w:r>
        <w:rPr>
          <w:sz w:val="20"/>
          <w:szCs w:val="18"/>
        </w:rPr>
        <w:t xml:space="preserve"> was reportedly quite challenging to pursue within expected timeframes, requiring rapid sourcing of external support.</w:t>
      </w:r>
      <w:r w:rsidRPr="00264435">
        <w:rPr>
          <w:sz w:val="20"/>
          <w:szCs w:val="18"/>
        </w:rPr>
        <w:t xml:space="preserve"> </w:t>
      </w:r>
    </w:p>
    <w:p w:rsidR="006D4493" w:rsidRDefault="006D4493" w:rsidP="006D4493">
      <w:pPr>
        <w:spacing w:after="0" w:line="259" w:lineRule="auto"/>
        <w:rPr>
          <w:sz w:val="20"/>
          <w:szCs w:val="18"/>
        </w:rPr>
      </w:pPr>
    </w:p>
    <w:p w:rsidR="006D4493" w:rsidRPr="00264435" w:rsidRDefault="008C57EC" w:rsidP="006D4493">
      <w:pPr>
        <w:spacing w:after="0" w:line="259" w:lineRule="auto"/>
        <w:rPr>
          <w:sz w:val="20"/>
          <w:szCs w:val="18"/>
        </w:rPr>
      </w:pPr>
      <w:r w:rsidRPr="008C57EC">
        <w:rPr>
          <w:sz w:val="20"/>
          <w:szCs w:val="18"/>
        </w:rPr>
        <w:t>These</w:t>
      </w:r>
      <w:r w:rsidR="006D4493" w:rsidRPr="008C57EC">
        <w:rPr>
          <w:sz w:val="20"/>
          <w:szCs w:val="18"/>
        </w:rPr>
        <w:t xml:space="preserve"> capacity constraints have led to the </w:t>
      </w:r>
      <w:r w:rsidRPr="008C57EC">
        <w:rPr>
          <w:sz w:val="20"/>
          <w:szCs w:val="18"/>
        </w:rPr>
        <w:t>CEO and Commissioners taking</w:t>
      </w:r>
      <w:r w:rsidR="006D4493" w:rsidRPr="008C57EC">
        <w:rPr>
          <w:sz w:val="20"/>
          <w:szCs w:val="18"/>
        </w:rPr>
        <w:t xml:space="preserve"> quite active roles in the conduct and delivery of the NMHC’s work. While certainly a close involvement is desirable, when organisational leaders must step in to </w:t>
      </w:r>
      <w:proofErr w:type="gramStart"/>
      <w:r w:rsidR="006D4493" w:rsidRPr="008C57EC">
        <w:rPr>
          <w:sz w:val="20"/>
          <w:szCs w:val="18"/>
        </w:rPr>
        <w:t>do</w:t>
      </w:r>
      <w:r w:rsidR="009145ED" w:rsidRPr="008C57EC">
        <w:rPr>
          <w:sz w:val="20"/>
          <w:szCs w:val="18"/>
        </w:rPr>
        <w:t xml:space="preserve"> delivery</w:t>
      </w:r>
      <w:proofErr w:type="gramEnd"/>
      <w:r w:rsidR="006D4493" w:rsidRPr="008C57EC">
        <w:rPr>
          <w:sz w:val="20"/>
          <w:szCs w:val="18"/>
        </w:rPr>
        <w:t xml:space="preserve"> </w:t>
      </w:r>
      <w:r w:rsidR="009145ED" w:rsidRPr="008C57EC">
        <w:rPr>
          <w:sz w:val="20"/>
          <w:szCs w:val="18"/>
        </w:rPr>
        <w:t>work, t</w:t>
      </w:r>
      <w:r w:rsidR="006D4493" w:rsidRPr="008C57EC">
        <w:rPr>
          <w:sz w:val="20"/>
          <w:szCs w:val="18"/>
        </w:rPr>
        <w:t xml:space="preserve">his can limit their capacity to focus on more strategic functions, such as proactive </w:t>
      </w:r>
      <w:r w:rsidR="00074C0E" w:rsidRPr="008C57EC">
        <w:rPr>
          <w:sz w:val="20"/>
          <w:szCs w:val="18"/>
        </w:rPr>
        <w:t>shaping</w:t>
      </w:r>
      <w:r w:rsidR="006D4493" w:rsidRPr="008C57EC">
        <w:rPr>
          <w:sz w:val="20"/>
          <w:szCs w:val="18"/>
        </w:rPr>
        <w:t xml:space="preserve"> of future priorities</w:t>
      </w:r>
      <w:r w:rsidR="00074C0E" w:rsidRPr="008C57EC">
        <w:rPr>
          <w:sz w:val="20"/>
          <w:szCs w:val="18"/>
        </w:rPr>
        <w:t>, strategic input into key deliverables,</w:t>
      </w:r>
      <w:r w:rsidR="006D4493" w:rsidRPr="008C57EC">
        <w:rPr>
          <w:sz w:val="20"/>
          <w:szCs w:val="18"/>
        </w:rPr>
        <w:t xml:space="preserve"> or engagement with stakeholders.</w:t>
      </w:r>
      <w:r w:rsidR="006D4493" w:rsidRPr="00264435">
        <w:rPr>
          <w:sz w:val="20"/>
          <w:szCs w:val="18"/>
        </w:rPr>
        <w:t xml:space="preserve"> </w:t>
      </w:r>
    </w:p>
    <w:p w:rsidR="006D4493" w:rsidRDefault="006D4493" w:rsidP="00DC7919">
      <w:pPr>
        <w:spacing w:after="0" w:line="259" w:lineRule="auto"/>
        <w:rPr>
          <w:sz w:val="20"/>
          <w:szCs w:val="18"/>
        </w:rPr>
      </w:pPr>
    </w:p>
    <w:p w:rsidR="006D4493" w:rsidRDefault="006D4493" w:rsidP="00DC7919">
      <w:pPr>
        <w:spacing w:after="0" w:line="259" w:lineRule="auto"/>
        <w:rPr>
          <w:sz w:val="20"/>
          <w:szCs w:val="18"/>
        </w:rPr>
      </w:pPr>
      <w:r>
        <w:rPr>
          <w:sz w:val="20"/>
          <w:szCs w:val="18"/>
        </w:rPr>
        <w:t>A range of expertise is to be expected of the NMHC’s staff – even looking within only ‘mental health’ the range of sub-issues is quite broad. Whilst it is not reasonable to expect the NMHC to have in-house expertise on all aspects of its portfolio of work, sufficient internal expertise is needed to be able to frame issues, engage with stakeholders and external experts and, if necessary</w:t>
      </w:r>
      <w:r w:rsidR="009145ED">
        <w:rPr>
          <w:sz w:val="20"/>
          <w:szCs w:val="18"/>
        </w:rPr>
        <w:t>,</w:t>
      </w:r>
      <w:r>
        <w:rPr>
          <w:sz w:val="20"/>
          <w:szCs w:val="18"/>
        </w:rPr>
        <w:t xml:space="preserve"> procure external support. Importantly, </w:t>
      </w:r>
      <w:r w:rsidRPr="00264435">
        <w:rPr>
          <w:sz w:val="20"/>
          <w:szCs w:val="18"/>
        </w:rPr>
        <w:t xml:space="preserve">constrained capability is likely to inhibit the NMHC’s ability to be an </w:t>
      </w:r>
      <w:r w:rsidRPr="00941294">
        <w:rPr>
          <w:sz w:val="20"/>
          <w:szCs w:val="18"/>
        </w:rPr>
        <w:t>effective procurer of external</w:t>
      </w:r>
      <w:r w:rsidRPr="00264435">
        <w:rPr>
          <w:sz w:val="20"/>
          <w:szCs w:val="18"/>
        </w:rPr>
        <w:t xml:space="preserve"> services, such as research or consulting services.</w:t>
      </w:r>
    </w:p>
    <w:p w:rsidR="009668E8" w:rsidRDefault="009668E8" w:rsidP="00DC7919">
      <w:pPr>
        <w:spacing w:after="0" w:line="259" w:lineRule="auto"/>
        <w:rPr>
          <w:sz w:val="20"/>
          <w:szCs w:val="18"/>
        </w:rPr>
      </w:pPr>
    </w:p>
    <w:p w:rsidR="0007354F" w:rsidRDefault="006D4493" w:rsidP="00DC7919">
      <w:pPr>
        <w:spacing w:after="0" w:line="259" w:lineRule="auto"/>
        <w:rPr>
          <w:sz w:val="20"/>
          <w:szCs w:val="18"/>
        </w:rPr>
      </w:pPr>
      <w:r>
        <w:rPr>
          <w:sz w:val="20"/>
          <w:szCs w:val="18"/>
        </w:rPr>
        <w:t>In sum</w:t>
      </w:r>
      <w:r w:rsidR="000F31F0">
        <w:rPr>
          <w:sz w:val="20"/>
          <w:szCs w:val="18"/>
        </w:rPr>
        <w:t>mary</w:t>
      </w:r>
      <w:r>
        <w:rPr>
          <w:sz w:val="20"/>
          <w:szCs w:val="18"/>
        </w:rPr>
        <w:t xml:space="preserve">, the current state </w:t>
      </w:r>
      <w:r w:rsidR="009145ED">
        <w:rPr>
          <w:sz w:val="20"/>
          <w:szCs w:val="18"/>
        </w:rPr>
        <w:t xml:space="preserve">of the organisation </w:t>
      </w:r>
      <w:r>
        <w:rPr>
          <w:sz w:val="20"/>
          <w:szCs w:val="18"/>
        </w:rPr>
        <w:t>means that t</w:t>
      </w:r>
      <w:r w:rsidR="00DC7919" w:rsidRPr="00264435">
        <w:rPr>
          <w:sz w:val="20"/>
          <w:szCs w:val="18"/>
        </w:rPr>
        <w:t>he seniority and expertise required in mental health, data analysis and reporting and sophisticated stakeholder engagement may not be reliably found</w:t>
      </w:r>
      <w:r w:rsidR="008C57EC">
        <w:rPr>
          <w:sz w:val="20"/>
          <w:szCs w:val="18"/>
        </w:rPr>
        <w:t xml:space="preserve"> at a sufficient level</w:t>
      </w:r>
      <w:r w:rsidR="00DC7919" w:rsidRPr="00264435">
        <w:rPr>
          <w:sz w:val="20"/>
          <w:szCs w:val="18"/>
        </w:rPr>
        <w:t xml:space="preserve"> within the NMHC. </w:t>
      </w:r>
    </w:p>
    <w:p w:rsidR="009B4D0A" w:rsidRPr="00264435" w:rsidRDefault="009B4D0A" w:rsidP="00DF2EAC">
      <w:pPr>
        <w:spacing w:after="200" w:line="240" w:lineRule="auto"/>
        <w:rPr>
          <w:rFonts w:eastAsia="Times New Roman" w:cs="Times New Roman"/>
          <w:sz w:val="20"/>
          <w:szCs w:val="24"/>
          <w:lang w:eastAsia="en-AU"/>
        </w:rPr>
      </w:pPr>
    </w:p>
    <w:p w:rsidR="009B4D0A" w:rsidRPr="00264435" w:rsidRDefault="009B4D0A">
      <w:pPr>
        <w:spacing w:after="200" w:line="276" w:lineRule="auto"/>
        <w:rPr>
          <w:rFonts w:eastAsia="Times New Roman" w:cs="Times New Roman"/>
          <w:sz w:val="20"/>
          <w:szCs w:val="24"/>
          <w:lang w:eastAsia="en-AU"/>
        </w:rPr>
      </w:pPr>
      <w:r w:rsidRPr="00264435">
        <w:rPr>
          <w:rFonts w:eastAsia="Times New Roman" w:cs="Times New Roman"/>
          <w:sz w:val="20"/>
          <w:szCs w:val="24"/>
          <w:lang w:eastAsia="en-AU"/>
        </w:rPr>
        <w:br w:type="page"/>
      </w:r>
    </w:p>
    <w:p w:rsidR="00E35778" w:rsidRPr="00264435" w:rsidRDefault="00B64F03" w:rsidP="00E35778">
      <w:pPr>
        <w:pStyle w:val="Heading1"/>
        <w:spacing w:after="0"/>
      </w:pPr>
      <w:bookmarkStart w:id="9" w:name="_Toc482809626"/>
      <w:r>
        <w:lastRenderedPageBreak/>
        <w:t xml:space="preserve">3. </w:t>
      </w:r>
      <w:r w:rsidR="00E35778" w:rsidRPr="00264435">
        <w:t>Governance</w:t>
      </w:r>
      <w:bookmarkEnd w:id="9"/>
    </w:p>
    <w:p w:rsidR="00E35778" w:rsidRPr="00264435" w:rsidRDefault="00E35778" w:rsidP="00E35778">
      <w:pPr>
        <w:rPr>
          <w:bCs/>
          <w:sz w:val="20"/>
          <w:szCs w:val="18"/>
        </w:rPr>
      </w:pPr>
    </w:p>
    <w:p w:rsidR="00E35778" w:rsidRPr="006D4493" w:rsidRDefault="006D4493" w:rsidP="00E35778">
      <w:pPr>
        <w:spacing w:after="0" w:line="240" w:lineRule="auto"/>
        <w:rPr>
          <w:rFonts w:eastAsia="+mn-ea" w:cs="+mn-cs"/>
          <w:i/>
          <w:color w:val="000000"/>
          <w:kern w:val="24"/>
          <w:sz w:val="20"/>
          <w:szCs w:val="20"/>
          <w:lang w:eastAsia="en-AU"/>
        </w:rPr>
      </w:pPr>
      <w:r w:rsidRPr="006D4493">
        <w:rPr>
          <w:bCs/>
          <w:i/>
          <w:color w:val="000000" w:themeColor="text1"/>
          <w:sz w:val="20"/>
          <w:szCs w:val="18"/>
        </w:rPr>
        <w:t>There are aspects of the NMHC’s current governance</w:t>
      </w:r>
      <w:r w:rsidR="00432842">
        <w:rPr>
          <w:bCs/>
          <w:i/>
          <w:color w:val="000000" w:themeColor="text1"/>
          <w:sz w:val="20"/>
          <w:szCs w:val="18"/>
        </w:rPr>
        <w:t xml:space="preserve"> arrangements that</w:t>
      </w:r>
      <w:r w:rsidRPr="006D4493">
        <w:rPr>
          <w:bCs/>
          <w:i/>
          <w:color w:val="000000" w:themeColor="text1"/>
          <w:sz w:val="20"/>
          <w:szCs w:val="18"/>
        </w:rPr>
        <w:t xml:space="preserve"> need to be refined, although wholesale change such as adopting a different institutional form does not appear to be warranted.</w:t>
      </w:r>
      <w:r w:rsidR="008C57EC">
        <w:rPr>
          <w:bCs/>
          <w:i/>
          <w:color w:val="000000" w:themeColor="text1"/>
          <w:sz w:val="20"/>
          <w:szCs w:val="18"/>
        </w:rPr>
        <w:t xml:space="preserve">  The role and activities of the NMHC are consistent with those described as meeting the requirements for establishment as an Executive Agency.</w:t>
      </w:r>
      <w:r w:rsidRPr="006D4493">
        <w:rPr>
          <w:bCs/>
          <w:i/>
          <w:color w:val="000000" w:themeColor="text1"/>
          <w:sz w:val="20"/>
          <w:szCs w:val="18"/>
        </w:rPr>
        <w:t xml:space="preserve"> Ensuring clarity around the roles and responsibilities of the Commissioners shou</w:t>
      </w:r>
      <w:r w:rsidR="009668E8">
        <w:rPr>
          <w:bCs/>
          <w:i/>
          <w:color w:val="000000" w:themeColor="text1"/>
          <w:sz w:val="20"/>
          <w:szCs w:val="18"/>
        </w:rPr>
        <w:t>ld be a priority going forward.</w:t>
      </w:r>
    </w:p>
    <w:p w:rsidR="00E35778" w:rsidRPr="00264435" w:rsidRDefault="00E35778" w:rsidP="00E35778">
      <w:pPr>
        <w:spacing w:after="0" w:line="240" w:lineRule="auto"/>
        <w:rPr>
          <w:rFonts w:eastAsia="+mn-ea" w:cs="+mn-cs"/>
          <w:color w:val="000000"/>
          <w:kern w:val="24"/>
          <w:sz w:val="20"/>
          <w:szCs w:val="20"/>
          <w:lang w:eastAsia="en-AU"/>
        </w:rPr>
      </w:pPr>
    </w:p>
    <w:p w:rsidR="0044325C" w:rsidRDefault="00F916D6" w:rsidP="00F916D6">
      <w:pPr>
        <w:pStyle w:val="Heading2"/>
        <w:rPr>
          <w:b w:val="0"/>
        </w:rPr>
      </w:pPr>
      <w:bookmarkStart w:id="10" w:name="_Toc482809627"/>
      <w:r w:rsidRPr="00F916D6">
        <w:t xml:space="preserve">A. </w:t>
      </w:r>
      <w:r w:rsidR="0044325C">
        <w:t>Current institutional form</w:t>
      </w:r>
      <w:bookmarkEnd w:id="10"/>
    </w:p>
    <w:p w:rsidR="00262BF3" w:rsidRPr="00655AA1" w:rsidRDefault="00FC62BA" w:rsidP="00262BF3">
      <w:pPr>
        <w:spacing w:before="120" w:after="0" w:line="240" w:lineRule="auto"/>
        <w:rPr>
          <w:rFonts w:eastAsia="+mn-ea" w:cs="+mn-cs"/>
          <w:color w:val="000000"/>
          <w:kern w:val="24"/>
          <w:sz w:val="20"/>
          <w:szCs w:val="20"/>
          <w:lang w:eastAsia="en-AU"/>
        </w:rPr>
      </w:pPr>
      <w:r w:rsidRPr="00655AA1">
        <w:rPr>
          <w:rFonts w:eastAsia="+mn-ea" w:cs="+mn-cs"/>
          <w:color w:val="000000"/>
          <w:kern w:val="24"/>
          <w:sz w:val="20"/>
          <w:szCs w:val="20"/>
          <w:lang w:eastAsia="en-AU"/>
        </w:rPr>
        <w:t xml:space="preserve">The NMHC is defined as an Executive Agency under the </w:t>
      </w:r>
      <w:r w:rsidRPr="00655AA1">
        <w:rPr>
          <w:rFonts w:eastAsia="+mn-ea" w:cs="+mn-cs"/>
          <w:i/>
          <w:color w:val="000000"/>
          <w:kern w:val="24"/>
          <w:sz w:val="20"/>
          <w:szCs w:val="20"/>
          <w:lang w:eastAsia="en-AU"/>
        </w:rPr>
        <w:t>Public Services Act 1999</w:t>
      </w:r>
      <w:r w:rsidRPr="00655AA1">
        <w:rPr>
          <w:rFonts w:eastAsia="+mn-ea" w:cs="+mn-cs"/>
          <w:color w:val="000000"/>
          <w:kern w:val="24"/>
          <w:sz w:val="20"/>
          <w:szCs w:val="20"/>
          <w:lang w:eastAsia="en-AU"/>
        </w:rPr>
        <w:t xml:space="preserve">. </w:t>
      </w:r>
      <w:r w:rsidR="00262BF3" w:rsidRPr="00655AA1">
        <w:rPr>
          <w:rFonts w:eastAsia="+mn-ea" w:cs="+mn-cs"/>
          <w:color w:val="000000"/>
          <w:kern w:val="24"/>
          <w:sz w:val="20"/>
          <w:szCs w:val="20"/>
          <w:lang w:eastAsia="en-AU"/>
        </w:rPr>
        <w:t>The Department of Finance defines an Executive Agency as “an agency declared as separate from the Department, for staffing and accountability/reporting purposes, under the Public Service Act.” This structure is noted to “provide a degree of independence from departmental management where that is appropriate to an agency’s functions.”</w:t>
      </w:r>
      <w:r w:rsidR="00262BF3" w:rsidRPr="00655AA1">
        <w:rPr>
          <w:rStyle w:val="FootnoteReference"/>
          <w:rFonts w:eastAsia="+mn-ea" w:cs="+mn-cs"/>
          <w:color w:val="000000"/>
          <w:kern w:val="24"/>
          <w:sz w:val="20"/>
          <w:szCs w:val="20"/>
          <w:lang w:eastAsia="en-AU"/>
        </w:rPr>
        <w:footnoteReference w:id="10"/>
      </w:r>
    </w:p>
    <w:p w:rsidR="00262BF3" w:rsidRPr="00655AA1" w:rsidRDefault="00262BF3" w:rsidP="00262BF3">
      <w:pPr>
        <w:spacing w:before="120" w:after="0" w:line="240" w:lineRule="auto"/>
        <w:rPr>
          <w:rFonts w:eastAsia="+mn-ea" w:cs="+mn-cs"/>
          <w:color w:val="000000"/>
          <w:kern w:val="24"/>
          <w:sz w:val="20"/>
          <w:szCs w:val="20"/>
          <w:lang w:eastAsia="en-AU"/>
        </w:rPr>
      </w:pPr>
      <w:r w:rsidRPr="00655AA1">
        <w:rPr>
          <w:rFonts w:eastAsia="+mn-ea" w:cs="+mn-cs"/>
          <w:color w:val="000000"/>
          <w:kern w:val="24"/>
          <w:sz w:val="20"/>
          <w:szCs w:val="20"/>
          <w:lang w:eastAsia="en-AU"/>
        </w:rPr>
        <w:t xml:space="preserve">Advice from the Department of Finance indicates that there are four situations in which an Executive Agency form </w:t>
      </w:r>
      <w:r w:rsidR="001B3978" w:rsidRPr="00655AA1">
        <w:rPr>
          <w:rFonts w:eastAsia="+mn-ea" w:cs="+mn-cs"/>
          <w:color w:val="000000"/>
          <w:kern w:val="24"/>
          <w:sz w:val="20"/>
          <w:szCs w:val="20"/>
          <w:lang w:eastAsia="en-AU"/>
        </w:rPr>
        <w:t>is</w:t>
      </w:r>
      <w:r w:rsidRPr="00655AA1">
        <w:rPr>
          <w:rFonts w:eastAsia="+mn-ea" w:cs="+mn-cs"/>
          <w:color w:val="000000"/>
          <w:kern w:val="24"/>
          <w:sz w:val="20"/>
          <w:szCs w:val="20"/>
          <w:lang w:eastAsia="en-AU"/>
        </w:rPr>
        <w:t xml:space="preserve"> appropriate. This includes where:</w:t>
      </w:r>
    </w:p>
    <w:p w:rsidR="00262BF3" w:rsidRPr="00655AA1" w:rsidRDefault="00262BF3" w:rsidP="00D8278D">
      <w:pPr>
        <w:pStyle w:val="ListParagraph"/>
        <w:numPr>
          <w:ilvl w:val="0"/>
          <w:numId w:val="27"/>
        </w:numPr>
        <w:spacing w:before="120" w:after="0" w:line="240" w:lineRule="auto"/>
        <w:rPr>
          <w:rFonts w:eastAsia="+mn-ea" w:cs="+mn-cs"/>
          <w:color w:val="000000"/>
          <w:kern w:val="24"/>
          <w:sz w:val="20"/>
          <w:szCs w:val="20"/>
          <w:lang w:eastAsia="en-AU"/>
        </w:rPr>
      </w:pPr>
      <w:r w:rsidRPr="00655AA1">
        <w:rPr>
          <w:rFonts w:eastAsia="+mn-ea" w:cs="+mn-cs"/>
          <w:color w:val="000000"/>
          <w:kern w:val="24"/>
          <w:sz w:val="20"/>
          <w:szCs w:val="20"/>
          <w:lang w:eastAsia="en-AU"/>
        </w:rPr>
        <w:t xml:space="preserve">the functions of the agency may </w:t>
      </w:r>
      <w:r w:rsidRPr="00655AA1">
        <w:rPr>
          <w:rFonts w:eastAsia="+mn-ea" w:cs="+mn-cs"/>
          <w:color w:val="000000"/>
          <w:kern w:val="24"/>
          <w:sz w:val="20"/>
          <w:szCs w:val="20"/>
          <w:u w:val="single"/>
          <w:lang w:eastAsia="en-AU"/>
        </w:rPr>
        <w:t>cross portfolio lines</w:t>
      </w:r>
      <w:r w:rsidRPr="00655AA1">
        <w:rPr>
          <w:rFonts w:eastAsia="+mn-ea" w:cs="+mn-cs"/>
          <w:color w:val="000000"/>
          <w:kern w:val="24"/>
          <w:sz w:val="20"/>
          <w:szCs w:val="20"/>
          <w:lang w:eastAsia="en-AU"/>
        </w:rPr>
        <w:t>, making it inappropriate to place it in a Department;</w:t>
      </w:r>
    </w:p>
    <w:p w:rsidR="00262BF3" w:rsidRPr="00655AA1" w:rsidRDefault="00262BF3" w:rsidP="00D8278D">
      <w:pPr>
        <w:pStyle w:val="ListParagraph"/>
        <w:numPr>
          <w:ilvl w:val="0"/>
          <w:numId w:val="27"/>
        </w:numPr>
        <w:spacing w:before="120" w:after="0" w:line="240" w:lineRule="auto"/>
        <w:rPr>
          <w:rFonts w:eastAsia="+mn-ea" w:cs="+mn-cs"/>
          <w:color w:val="000000"/>
          <w:kern w:val="24"/>
          <w:sz w:val="20"/>
          <w:szCs w:val="20"/>
          <w:lang w:eastAsia="en-AU"/>
        </w:rPr>
      </w:pPr>
      <w:r w:rsidRPr="00655AA1">
        <w:rPr>
          <w:rFonts w:eastAsia="+mn-ea" w:cs="+mn-cs"/>
          <w:color w:val="000000"/>
          <w:kern w:val="24"/>
          <w:sz w:val="20"/>
          <w:szCs w:val="20"/>
          <w:lang w:eastAsia="en-AU"/>
        </w:rPr>
        <w:t xml:space="preserve">it is desirable to </w:t>
      </w:r>
      <w:r w:rsidRPr="00655AA1">
        <w:rPr>
          <w:rFonts w:eastAsia="+mn-ea" w:cs="+mn-cs"/>
          <w:color w:val="000000"/>
          <w:kern w:val="24"/>
          <w:sz w:val="20"/>
          <w:szCs w:val="20"/>
          <w:u w:val="single"/>
          <w:lang w:eastAsia="en-AU"/>
        </w:rPr>
        <w:t>separate substantial service delivery functions</w:t>
      </w:r>
      <w:r w:rsidRPr="00655AA1">
        <w:rPr>
          <w:rFonts w:eastAsia="+mn-ea" w:cs="+mn-cs"/>
          <w:color w:val="000000"/>
          <w:kern w:val="24"/>
          <w:sz w:val="20"/>
          <w:szCs w:val="20"/>
          <w:lang w:eastAsia="en-AU"/>
        </w:rPr>
        <w:t xml:space="preserve"> to allow a policy department to focus on primary business;</w:t>
      </w:r>
    </w:p>
    <w:p w:rsidR="00262BF3" w:rsidRPr="00655AA1" w:rsidRDefault="00262BF3" w:rsidP="00D8278D">
      <w:pPr>
        <w:pStyle w:val="ListParagraph"/>
        <w:numPr>
          <w:ilvl w:val="0"/>
          <w:numId w:val="27"/>
        </w:numPr>
        <w:spacing w:before="120" w:after="0" w:line="240" w:lineRule="auto"/>
        <w:rPr>
          <w:rFonts w:eastAsia="+mn-ea" w:cs="+mn-cs"/>
          <w:color w:val="000000"/>
          <w:kern w:val="24"/>
          <w:sz w:val="20"/>
          <w:szCs w:val="20"/>
          <w:lang w:eastAsia="en-AU"/>
        </w:rPr>
      </w:pPr>
      <w:r w:rsidRPr="00655AA1">
        <w:rPr>
          <w:rFonts w:eastAsia="+mn-ea" w:cs="+mn-cs"/>
          <w:color w:val="000000"/>
          <w:kern w:val="24"/>
          <w:sz w:val="20"/>
          <w:szCs w:val="20"/>
          <w:lang w:eastAsia="en-AU"/>
        </w:rPr>
        <w:t xml:space="preserve">an identity separate from the parent department would </w:t>
      </w:r>
      <w:r w:rsidRPr="00655AA1">
        <w:rPr>
          <w:rFonts w:eastAsia="+mn-ea" w:cs="+mn-cs"/>
          <w:color w:val="000000"/>
          <w:kern w:val="24"/>
          <w:sz w:val="20"/>
          <w:szCs w:val="20"/>
          <w:u w:val="single"/>
          <w:lang w:eastAsia="en-AU"/>
        </w:rPr>
        <w:t>assist sponsorship</w:t>
      </w:r>
      <w:r w:rsidRPr="00655AA1">
        <w:rPr>
          <w:rFonts w:eastAsia="+mn-ea" w:cs="+mn-cs"/>
          <w:color w:val="000000"/>
          <w:kern w:val="24"/>
          <w:sz w:val="20"/>
          <w:szCs w:val="20"/>
          <w:lang w:eastAsia="en-AU"/>
        </w:rPr>
        <w:t xml:space="preserve"> or external funding; or</w:t>
      </w:r>
    </w:p>
    <w:p w:rsidR="00262BF3" w:rsidRPr="00655AA1" w:rsidRDefault="00262BF3" w:rsidP="00D8278D">
      <w:pPr>
        <w:pStyle w:val="ListParagraph"/>
        <w:numPr>
          <w:ilvl w:val="0"/>
          <w:numId w:val="27"/>
        </w:numPr>
        <w:spacing w:before="120" w:after="0" w:line="240" w:lineRule="auto"/>
        <w:rPr>
          <w:rFonts w:eastAsia="+mn-ea" w:cs="+mn-cs"/>
          <w:color w:val="000000"/>
          <w:kern w:val="24"/>
          <w:sz w:val="20"/>
          <w:szCs w:val="20"/>
          <w:lang w:eastAsia="en-AU"/>
        </w:rPr>
      </w:pPr>
      <w:proofErr w:type="gramStart"/>
      <w:r w:rsidRPr="00655AA1">
        <w:rPr>
          <w:rFonts w:eastAsia="+mn-ea" w:cs="+mn-cs"/>
          <w:color w:val="000000"/>
          <w:kern w:val="24"/>
          <w:sz w:val="20"/>
          <w:szCs w:val="20"/>
          <w:lang w:eastAsia="en-AU"/>
        </w:rPr>
        <w:t>a</w:t>
      </w:r>
      <w:proofErr w:type="gramEnd"/>
      <w:r w:rsidRPr="00655AA1">
        <w:rPr>
          <w:rFonts w:eastAsia="+mn-ea" w:cs="+mn-cs"/>
          <w:color w:val="000000"/>
          <w:kern w:val="24"/>
          <w:sz w:val="20"/>
          <w:szCs w:val="20"/>
          <w:lang w:eastAsia="en-AU"/>
        </w:rPr>
        <w:t xml:space="preserve"> separate agency is desirable to administer a </w:t>
      </w:r>
      <w:r w:rsidRPr="00655AA1">
        <w:rPr>
          <w:rFonts w:eastAsia="+mn-ea" w:cs="+mn-cs"/>
          <w:color w:val="000000"/>
          <w:kern w:val="24"/>
          <w:sz w:val="20"/>
          <w:szCs w:val="20"/>
          <w:u w:val="single"/>
          <w:lang w:eastAsia="en-AU"/>
        </w:rPr>
        <w:t>whole-of-government</w:t>
      </w:r>
      <w:r w:rsidRPr="00655AA1">
        <w:rPr>
          <w:rFonts w:eastAsia="+mn-ea" w:cs="+mn-cs"/>
          <w:color w:val="000000"/>
          <w:kern w:val="24"/>
          <w:sz w:val="20"/>
          <w:szCs w:val="20"/>
          <w:lang w:eastAsia="en-AU"/>
        </w:rPr>
        <w:t xml:space="preserve"> or joint Commonwealth-State initiative.</w:t>
      </w:r>
      <w:r w:rsidRPr="00655AA1">
        <w:rPr>
          <w:rStyle w:val="FootnoteReference"/>
          <w:rFonts w:eastAsia="+mn-ea" w:cs="+mn-cs"/>
          <w:color w:val="000000"/>
          <w:kern w:val="24"/>
          <w:sz w:val="20"/>
          <w:szCs w:val="20"/>
          <w:lang w:eastAsia="en-AU"/>
        </w:rPr>
        <w:footnoteReference w:id="11"/>
      </w:r>
    </w:p>
    <w:p w:rsidR="00262BF3" w:rsidRPr="00655AA1" w:rsidRDefault="00262BF3" w:rsidP="00262BF3">
      <w:pPr>
        <w:spacing w:before="120" w:after="0" w:line="240" w:lineRule="auto"/>
        <w:rPr>
          <w:rFonts w:eastAsia="+mn-ea" w:cs="+mn-cs"/>
          <w:color w:val="000000"/>
          <w:kern w:val="24"/>
          <w:sz w:val="20"/>
          <w:szCs w:val="20"/>
          <w:lang w:eastAsia="en-AU"/>
        </w:rPr>
      </w:pPr>
      <w:r w:rsidRPr="00655AA1">
        <w:rPr>
          <w:rFonts w:eastAsia="+mn-ea" w:cs="+mn-cs"/>
          <w:color w:val="000000"/>
          <w:kern w:val="24"/>
          <w:sz w:val="20"/>
          <w:szCs w:val="20"/>
          <w:lang w:eastAsia="en-AU"/>
        </w:rPr>
        <w:t xml:space="preserve">Based on the stated role, purpose, functions and scope of the NMHC </w:t>
      </w:r>
      <w:r w:rsidR="00655AA1" w:rsidRPr="00655AA1">
        <w:rPr>
          <w:rFonts w:eastAsia="+mn-ea" w:cs="+mn-cs"/>
          <w:color w:val="000000"/>
          <w:kern w:val="24"/>
          <w:sz w:val="20"/>
          <w:szCs w:val="20"/>
          <w:lang w:eastAsia="en-AU"/>
        </w:rPr>
        <w:t>meets several of the above options</w:t>
      </w:r>
      <w:r w:rsidRPr="00655AA1">
        <w:rPr>
          <w:rFonts w:eastAsia="+mn-ea" w:cs="+mn-cs"/>
          <w:color w:val="000000"/>
          <w:kern w:val="24"/>
          <w:sz w:val="20"/>
          <w:szCs w:val="20"/>
          <w:lang w:eastAsia="en-AU"/>
        </w:rPr>
        <w:t xml:space="preserve">. Its cross-sectoral and national scope matches points 1 and 4 above, while the desire to separate out mental health reporting from funding and delivery matches the rationale identified in point 2. </w:t>
      </w:r>
    </w:p>
    <w:p w:rsidR="004C7A14" w:rsidRPr="00655AA1" w:rsidRDefault="004C7A14" w:rsidP="004C7A14">
      <w:pPr>
        <w:spacing w:before="120" w:after="0" w:line="240" w:lineRule="auto"/>
        <w:rPr>
          <w:sz w:val="20"/>
          <w:szCs w:val="18"/>
        </w:rPr>
      </w:pPr>
      <w:r w:rsidRPr="00655AA1">
        <w:rPr>
          <w:rFonts w:eastAsia="+mn-ea" w:cs="+mn-cs"/>
          <w:color w:val="000000"/>
          <w:kern w:val="24"/>
          <w:sz w:val="20"/>
          <w:szCs w:val="20"/>
          <w:lang w:eastAsia="en-AU"/>
        </w:rPr>
        <w:t xml:space="preserve">In executing on its requirements as an Executive Agency, </w:t>
      </w:r>
      <w:r w:rsidRPr="00655AA1">
        <w:rPr>
          <w:sz w:val="20"/>
          <w:szCs w:val="18"/>
        </w:rPr>
        <w:t>Under Schedule 1 - Section 15</w:t>
      </w:r>
      <w:r w:rsidR="0093307C" w:rsidRPr="00655AA1">
        <w:rPr>
          <w:sz w:val="20"/>
          <w:szCs w:val="18"/>
        </w:rPr>
        <w:t xml:space="preserve"> (a)</w:t>
      </w:r>
      <w:r w:rsidRPr="00655AA1">
        <w:rPr>
          <w:sz w:val="20"/>
          <w:szCs w:val="18"/>
        </w:rPr>
        <w:t xml:space="preserve"> of the PGPA, the NMHC is considered a listed entity when comprising the following group:</w:t>
      </w:r>
    </w:p>
    <w:p w:rsidR="004C7A14" w:rsidRPr="00655AA1" w:rsidRDefault="004C7A14" w:rsidP="00D8278D">
      <w:pPr>
        <w:pStyle w:val="ListParagraph"/>
        <w:numPr>
          <w:ilvl w:val="0"/>
          <w:numId w:val="39"/>
        </w:numPr>
        <w:spacing w:after="0" w:line="259" w:lineRule="auto"/>
        <w:rPr>
          <w:sz w:val="20"/>
          <w:szCs w:val="18"/>
        </w:rPr>
      </w:pPr>
      <w:r w:rsidRPr="00655AA1">
        <w:rPr>
          <w:sz w:val="20"/>
          <w:szCs w:val="18"/>
        </w:rPr>
        <w:t xml:space="preserve">the </w:t>
      </w:r>
      <w:r w:rsidR="0093307C" w:rsidRPr="00655AA1">
        <w:rPr>
          <w:sz w:val="20"/>
          <w:szCs w:val="18"/>
        </w:rPr>
        <w:t>C</w:t>
      </w:r>
      <w:r w:rsidRPr="00655AA1">
        <w:rPr>
          <w:sz w:val="20"/>
          <w:szCs w:val="18"/>
        </w:rPr>
        <w:t>ommissioners of the NMHC;</w:t>
      </w:r>
    </w:p>
    <w:p w:rsidR="004C7A14" w:rsidRPr="00655AA1" w:rsidRDefault="004C7A14" w:rsidP="00D8278D">
      <w:pPr>
        <w:pStyle w:val="ListParagraph"/>
        <w:numPr>
          <w:ilvl w:val="0"/>
          <w:numId w:val="39"/>
        </w:numPr>
        <w:spacing w:after="0" w:line="259" w:lineRule="auto"/>
        <w:rPr>
          <w:sz w:val="20"/>
          <w:szCs w:val="18"/>
        </w:rPr>
      </w:pPr>
      <w:r w:rsidRPr="00655AA1">
        <w:rPr>
          <w:sz w:val="20"/>
          <w:szCs w:val="18"/>
        </w:rPr>
        <w:t>the Chief Executive Officer of the NMHC; and</w:t>
      </w:r>
    </w:p>
    <w:p w:rsidR="004C7A14" w:rsidRPr="00655AA1" w:rsidRDefault="004C7A14" w:rsidP="00D8278D">
      <w:pPr>
        <w:pStyle w:val="ListParagraph"/>
        <w:numPr>
          <w:ilvl w:val="0"/>
          <w:numId w:val="39"/>
        </w:numPr>
        <w:spacing w:after="0" w:line="259" w:lineRule="auto"/>
        <w:rPr>
          <w:sz w:val="20"/>
          <w:szCs w:val="18"/>
        </w:rPr>
      </w:pPr>
      <w:proofErr w:type="gramStart"/>
      <w:r w:rsidRPr="00655AA1">
        <w:rPr>
          <w:sz w:val="20"/>
          <w:szCs w:val="18"/>
        </w:rPr>
        <w:t>persons</w:t>
      </w:r>
      <w:proofErr w:type="gramEnd"/>
      <w:r w:rsidRPr="00655AA1">
        <w:rPr>
          <w:sz w:val="20"/>
          <w:szCs w:val="18"/>
        </w:rPr>
        <w:t xml:space="preserve"> engaged under the Public Service Act 1999 to assist the Chief Executive Officer.</w:t>
      </w:r>
    </w:p>
    <w:p w:rsidR="004C7A14" w:rsidRPr="00655AA1" w:rsidRDefault="0093307C" w:rsidP="004C7A14">
      <w:pPr>
        <w:spacing w:after="0" w:line="259" w:lineRule="auto"/>
        <w:rPr>
          <w:sz w:val="20"/>
          <w:szCs w:val="18"/>
        </w:rPr>
      </w:pPr>
      <w:r w:rsidRPr="00655AA1">
        <w:rPr>
          <w:sz w:val="20"/>
          <w:szCs w:val="18"/>
        </w:rPr>
        <w:t xml:space="preserve">Section 15 (d) identifies that the individuals listed in 15(a) are considered officials of the listed entity, with the CEO being the </w:t>
      </w:r>
      <w:proofErr w:type="gramStart"/>
      <w:r w:rsidRPr="00655AA1">
        <w:rPr>
          <w:sz w:val="20"/>
          <w:szCs w:val="18"/>
        </w:rPr>
        <w:t>accountable</w:t>
      </w:r>
      <w:proofErr w:type="gramEnd"/>
      <w:r w:rsidRPr="00655AA1">
        <w:rPr>
          <w:sz w:val="20"/>
          <w:szCs w:val="18"/>
        </w:rPr>
        <w:t xml:space="preserve"> authority. </w:t>
      </w:r>
    </w:p>
    <w:p w:rsidR="00BE1221" w:rsidRPr="00655AA1" w:rsidRDefault="00BE1221" w:rsidP="004C7A14">
      <w:pPr>
        <w:spacing w:after="0" w:line="259" w:lineRule="auto"/>
        <w:rPr>
          <w:sz w:val="20"/>
          <w:szCs w:val="18"/>
        </w:rPr>
      </w:pPr>
    </w:p>
    <w:p w:rsidR="009668E8" w:rsidRDefault="00432842" w:rsidP="009668E8">
      <w:pPr>
        <w:spacing w:after="0" w:line="259" w:lineRule="auto"/>
        <w:rPr>
          <w:sz w:val="20"/>
          <w:szCs w:val="18"/>
        </w:rPr>
      </w:pPr>
      <w:r w:rsidRPr="00655AA1">
        <w:rPr>
          <w:sz w:val="20"/>
          <w:szCs w:val="18"/>
        </w:rPr>
        <w:t>The current institutional form presents two</w:t>
      </w:r>
      <w:r w:rsidR="00BE1221" w:rsidRPr="00655AA1">
        <w:rPr>
          <w:sz w:val="20"/>
          <w:szCs w:val="18"/>
        </w:rPr>
        <w:t xml:space="preserve"> issues for consideration</w:t>
      </w:r>
      <w:r w:rsidRPr="00655AA1">
        <w:rPr>
          <w:sz w:val="20"/>
          <w:szCs w:val="18"/>
        </w:rPr>
        <w:t xml:space="preserve">, one around the perceived level of independence from department management in respect of its current alignment with the </w:t>
      </w:r>
      <w:proofErr w:type="spellStart"/>
      <w:r w:rsidRPr="00655AA1">
        <w:rPr>
          <w:sz w:val="20"/>
          <w:szCs w:val="18"/>
        </w:rPr>
        <w:t>DoH</w:t>
      </w:r>
      <w:proofErr w:type="spellEnd"/>
      <w:r w:rsidRPr="00655AA1">
        <w:rPr>
          <w:sz w:val="20"/>
          <w:szCs w:val="18"/>
        </w:rPr>
        <w:t xml:space="preserve"> and the roles of the </w:t>
      </w:r>
      <w:r w:rsidR="00C41A9E" w:rsidRPr="00655AA1">
        <w:rPr>
          <w:sz w:val="20"/>
          <w:szCs w:val="18"/>
        </w:rPr>
        <w:t>officials (in particular, the Commissioners and CEO)</w:t>
      </w:r>
      <w:r w:rsidRPr="00655AA1">
        <w:rPr>
          <w:sz w:val="20"/>
          <w:szCs w:val="18"/>
        </w:rPr>
        <w:t xml:space="preserve">. </w:t>
      </w:r>
    </w:p>
    <w:p w:rsidR="0044325C" w:rsidRPr="009668E8" w:rsidRDefault="009668E8" w:rsidP="009668E8">
      <w:pPr>
        <w:spacing w:after="200" w:line="276" w:lineRule="auto"/>
        <w:rPr>
          <w:sz w:val="20"/>
          <w:szCs w:val="18"/>
        </w:rPr>
      </w:pPr>
      <w:r>
        <w:rPr>
          <w:sz w:val="20"/>
          <w:szCs w:val="18"/>
        </w:rPr>
        <w:br w:type="page"/>
      </w:r>
    </w:p>
    <w:p w:rsidR="00432842" w:rsidRPr="00264435" w:rsidRDefault="00F916D6" w:rsidP="00F916D6">
      <w:pPr>
        <w:pStyle w:val="Heading2"/>
        <w:rPr>
          <w:b w:val="0"/>
        </w:rPr>
      </w:pPr>
      <w:r w:rsidRPr="00F916D6">
        <w:lastRenderedPageBreak/>
        <w:t>B.</w:t>
      </w:r>
      <w:r w:rsidR="00432842" w:rsidRPr="00F916D6">
        <w:t xml:space="preserve"> </w:t>
      </w:r>
      <w:bookmarkStart w:id="11" w:name="_Toc482809628"/>
      <w:r w:rsidR="00432842">
        <w:t>Independence</w:t>
      </w:r>
      <w:r w:rsidR="00BE1221">
        <w:t xml:space="preserve"> of the NMHC</w:t>
      </w:r>
      <w:bookmarkEnd w:id="11"/>
      <w:r w:rsidR="00432842">
        <w:t xml:space="preserve"> </w:t>
      </w:r>
    </w:p>
    <w:p w:rsidR="00432842" w:rsidRPr="00404549" w:rsidRDefault="00432842" w:rsidP="00432842">
      <w:pPr>
        <w:spacing w:after="200" w:line="240" w:lineRule="auto"/>
        <w:rPr>
          <w:rFonts w:eastAsia="+mn-ea" w:cs="+mn-cs"/>
          <w:b/>
          <w:kern w:val="24"/>
          <w:sz w:val="20"/>
          <w:szCs w:val="20"/>
          <w:lang w:eastAsia="en-AU"/>
        </w:rPr>
      </w:pPr>
      <w:r w:rsidRPr="00404549">
        <w:rPr>
          <w:rFonts w:eastAsia="+mn-ea" w:cs="+mn-cs"/>
          <w:b/>
          <w:kern w:val="24"/>
          <w:sz w:val="20"/>
          <w:szCs w:val="20"/>
          <w:lang w:eastAsia="en-AU"/>
        </w:rPr>
        <w:t>Key finding</w:t>
      </w:r>
      <w:r>
        <w:rPr>
          <w:rFonts w:eastAsia="+mn-ea" w:cs="+mn-cs"/>
          <w:b/>
          <w:kern w:val="24"/>
          <w:sz w:val="20"/>
          <w:szCs w:val="20"/>
          <w:lang w:eastAsia="en-AU"/>
        </w:rPr>
        <w:t xml:space="preserve"> 5</w:t>
      </w:r>
      <w:r w:rsidRPr="00404549">
        <w:rPr>
          <w:rFonts w:eastAsia="+mn-ea" w:cs="+mn-cs"/>
          <w:b/>
          <w:kern w:val="24"/>
          <w:sz w:val="20"/>
          <w:szCs w:val="20"/>
          <w:lang w:eastAsia="en-AU"/>
        </w:rPr>
        <w:t>: some stakeholders indicated a desire for greater ‘independence’ for the NMHC</w:t>
      </w:r>
      <w:r>
        <w:rPr>
          <w:rFonts w:eastAsia="+mn-ea" w:cs="+mn-cs"/>
          <w:b/>
          <w:kern w:val="24"/>
          <w:sz w:val="20"/>
          <w:szCs w:val="20"/>
          <w:lang w:eastAsia="en-AU"/>
        </w:rPr>
        <w:t xml:space="preserve">, </w:t>
      </w:r>
      <w:r w:rsidRPr="00404549">
        <w:rPr>
          <w:rFonts w:eastAsia="+mn-ea" w:cs="+mn-cs"/>
          <w:b/>
          <w:kern w:val="24"/>
          <w:sz w:val="20"/>
          <w:szCs w:val="20"/>
          <w:lang w:eastAsia="en-AU"/>
        </w:rPr>
        <w:t>though this has multiple meanings to different stakeholders. Current institutional form</w:t>
      </w:r>
      <w:r w:rsidR="00BE1221">
        <w:rPr>
          <w:rFonts w:eastAsia="+mn-ea" w:cs="+mn-cs"/>
          <w:b/>
          <w:kern w:val="24"/>
          <w:sz w:val="20"/>
          <w:szCs w:val="20"/>
          <w:lang w:eastAsia="en-AU"/>
        </w:rPr>
        <w:t xml:space="preserve"> is</w:t>
      </w:r>
      <w:r w:rsidRPr="00404549">
        <w:rPr>
          <w:rFonts w:eastAsia="+mn-ea" w:cs="+mn-cs"/>
          <w:b/>
          <w:kern w:val="24"/>
          <w:sz w:val="20"/>
          <w:szCs w:val="20"/>
          <w:lang w:eastAsia="en-AU"/>
        </w:rPr>
        <w:t xml:space="preserve"> sufficient to enable the degree of independence necessary for the NMHC to perform its role. </w:t>
      </w:r>
    </w:p>
    <w:p w:rsidR="00432842" w:rsidRPr="00264435" w:rsidRDefault="00432842" w:rsidP="00432842">
      <w:pPr>
        <w:spacing w:after="0" w:line="259" w:lineRule="auto"/>
        <w:rPr>
          <w:bCs/>
          <w:sz w:val="20"/>
          <w:szCs w:val="20"/>
        </w:rPr>
      </w:pPr>
      <w:r w:rsidRPr="00264435">
        <w:rPr>
          <w:sz w:val="20"/>
          <w:szCs w:val="18"/>
        </w:rPr>
        <w:t xml:space="preserve">To enable commentary and policy input that is free from the risk or perception of bias or capture, the NMHC requires a sufficient degree of </w:t>
      </w:r>
      <w:r w:rsidRPr="00264435">
        <w:rPr>
          <w:b/>
          <w:sz w:val="20"/>
          <w:szCs w:val="18"/>
        </w:rPr>
        <w:t>independence</w:t>
      </w:r>
      <w:r w:rsidRPr="00264435">
        <w:rPr>
          <w:sz w:val="20"/>
          <w:szCs w:val="18"/>
        </w:rPr>
        <w:t xml:space="preserve"> to enable it to work without ‘fear or favour’. This was recognised in the Prime Minister’s statement that the NMHC was established as an executive agency “</w:t>
      </w:r>
      <w:r w:rsidRPr="00264435">
        <w:rPr>
          <w:bCs/>
          <w:sz w:val="20"/>
          <w:szCs w:val="20"/>
        </w:rPr>
        <w:t xml:space="preserve">to provide </w:t>
      </w:r>
      <w:r w:rsidRPr="007C77CF">
        <w:rPr>
          <w:bCs/>
          <w:sz w:val="20"/>
          <w:szCs w:val="20"/>
          <w:u w:val="single"/>
        </w:rPr>
        <w:t>independence</w:t>
      </w:r>
      <w:r w:rsidRPr="00264435">
        <w:rPr>
          <w:bCs/>
          <w:sz w:val="20"/>
          <w:szCs w:val="20"/>
        </w:rPr>
        <w:t xml:space="preserve"> from the agencies that administer mental health funding and programs.”</w:t>
      </w:r>
      <w:r w:rsidRPr="00264435">
        <w:rPr>
          <w:rStyle w:val="FootnoteReference"/>
          <w:bCs/>
          <w:sz w:val="20"/>
          <w:szCs w:val="20"/>
        </w:rPr>
        <w:footnoteReference w:id="12"/>
      </w:r>
      <w:r w:rsidRPr="00264435">
        <w:rPr>
          <w:bCs/>
          <w:sz w:val="20"/>
          <w:szCs w:val="20"/>
        </w:rPr>
        <w:t xml:space="preserve"> </w:t>
      </w:r>
    </w:p>
    <w:p w:rsidR="00432842" w:rsidRPr="00264435" w:rsidRDefault="00432842" w:rsidP="00432842">
      <w:pPr>
        <w:spacing w:before="120" w:after="0" w:line="240" w:lineRule="auto"/>
        <w:rPr>
          <w:rFonts w:eastAsia="Times New Roman" w:cs="Times New Roman"/>
          <w:sz w:val="24"/>
          <w:szCs w:val="24"/>
          <w:lang w:eastAsia="en-AU"/>
        </w:rPr>
      </w:pPr>
      <w:r>
        <w:rPr>
          <w:rFonts w:eastAsia="+mn-ea" w:cs="+mn-cs"/>
          <w:color w:val="000000"/>
          <w:kern w:val="24"/>
          <w:sz w:val="20"/>
          <w:szCs w:val="20"/>
          <w:lang w:eastAsia="en-AU"/>
        </w:rPr>
        <w:t>Its current institutional</w:t>
      </w:r>
      <w:r w:rsidRPr="00264435">
        <w:rPr>
          <w:rFonts w:eastAsia="+mn-ea" w:cs="+mn-cs"/>
          <w:color w:val="000000"/>
          <w:kern w:val="24"/>
          <w:sz w:val="20"/>
          <w:szCs w:val="20"/>
          <w:lang w:eastAsia="en-AU"/>
        </w:rPr>
        <w:t xml:space="preserve"> form grants the NMHC </w:t>
      </w:r>
      <w:r>
        <w:rPr>
          <w:rFonts w:eastAsia="+mn-ea" w:cs="+mn-cs"/>
          <w:color w:val="000000"/>
          <w:kern w:val="24"/>
          <w:sz w:val="20"/>
          <w:szCs w:val="20"/>
          <w:lang w:eastAsia="en-AU"/>
        </w:rPr>
        <w:t>a degree of</w:t>
      </w:r>
      <w:r w:rsidRPr="00264435">
        <w:rPr>
          <w:rFonts w:eastAsia="+mn-ea" w:cs="+mn-cs"/>
          <w:color w:val="000000"/>
          <w:kern w:val="24"/>
          <w:sz w:val="20"/>
          <w:szCs w:val="20"/>
          <w:lang w:eastAsia="en-AU"/>
        </w:rPr>
        <w:t xml:space="preserve"> independence from the </w:t>
      </w:r>
      <w:proofErr w:type="spellStart"/>
      <w:r w:rsidRPr="00264435">
        <w:rPr>
          <w:rFonts w:eastAsia="+mn-ea" w:cs="+mn-cs"/>
          <w:color w:val="000000"/>
          <w:kern w:val="24"/>
          <w:sz w:val="20"/>
          <w:szCs w:val="20"/>
          <w:lang w:eastAsia="en-AU"/>
        </w:rPr>
        <w:t>DoH</w:t>
      </w:r>
      <w:proofErr w:type="spellEnd"/>
      <w:r w:rsidRPr="00264435">
        <w:rPr>
          <w:rFonts w:eastAsia="+mn-ea" w:cs="+mn-cs"/>
          <w:color w:val="000000"/>
          <w:kern w:val="24"/>
          <w:sz w:val="20"/>
          <w:szCs w:val="20"/>
          <w:lang w:eastAsia="en-AU"/>
        </w:rPr>
        <w:t xml:space="preserve"> because:</w:t>
      </w:r>
    </w:p>
    <w:p w:rsidR="00432842" w:rsidRPr="00264435" w:rsidRDefault="00432842" w:rsidP="00432842">
      <w:pPr>
        <w:numPr>
          <w:ilvl w:val="0"/>
          <w:numId w:val="12"/>
        </w:numPr>
        <w:spacing w:after="0" w:line="240" w:lineRule="auto"/>
        <w:contextualSpacing/>
        <w:rPr>
          <w:rFonts w:eastAsia="Times New Roman" w:cs="Times New Roman"/>
          <w:sz w:val="20"/>
          <w:szCs w:val="24"/>
          <w:lang w:eastAsia="en-AU"/>
        </w:rPr>
      </w:pPr>
      <w:r w:rsidRPr="00264435">
        <w:rPr>
          <w:rFonts w:eastAsia="+mn-ea" w:cs="+mn-cs"/>
          <w:color w:val="000000"/>
          <w:kern w:val="24"/>
          <w:sz w:val="20"/>
          <w:szCs w:val="20"/>
          <w:lang w:eastAsia="en-AU"/>
        </w:rPr>
        <w:t xml:space="preserve">There is no requirement that </w:t>
      </w:r>
      <w:proofErr w:type="spellStart"/>
      <w:r w:rsidRPr="00264435">
        <w:rPr>
          <w:rFonts w:eastAsia="+mn-ea" w:cs="+mn-cs"/>
          <w:color w:val="000000"/>
          <w:kern w:val="24"/>
          <w:sz w:val="20"/>
          <w:szCs w:val="20"/>
          <w:lang w:eastAsia="en-AU"/>
        </w:rPr>
        <w:t>DoH</w:t>
      </w:r>
      <w:proofErr w:type="spellEnd"/>
      <w:r w:rsidRPr="00264435">
        <w:rPr>
          <w:rFonts w:eastAsia="+mn-ea" w:cs="+mn-cs"/>
          <w:color w:val="000000"/>
          <w:kern w:val="24"/>
          <w:sz w:val="20"/>
          <w:szCs w:val="20"/>
          <w:lang w:eastAsia="en-AU"/>
        </w:rPr>
        <w:t xml:space="preserve"> approve the NMHC’s outputs/ reports; and</w:t>
      </w:r>
    </w:p>
    <w:p w:rsidR="00432842" w:rsidRPr="00432842" w:rsidRDefault="00432842" w:rsidP="00432842">
      <w:pPr>
        <w:numPr>
          <w:ilvl w:val="0"/>
          <w:numId w:val="12"/>
        </w:numPr>
        <w:spacing w:after="0" w:line="240" w:lineRule="auto"/>
        <w:contextualSpacing/>
        <w:rPr>
          <w:rFonts w:eastAsia="Times New Roman" w:cs="Times New Roman"/>
          <w:sz w:val="20"/>
          <w:szCs w:val="24"/>
          <w:lang w:eastAsia="en-AU"/>
        </w:rPr>
      </w:pPr>
      <w:r w:rsidRPr="00264435">
        <w:rPr>
          <w:rFonts w:eastAsia="+mn-ea" w:cs="+mn-cs"/>
          <w:color w:val="000000"/>
          <w:kern w:val="24"/>
          <w:sz w:val="20"/>
          <w:szCs w:val="20"/>
          <w:lang w:eastAsia="en-AU"/>
        </w:rPr>
        <w:t xml:space="preserve">The CEO and Commissioners are appointed by the Minister (not the </w:t>
      </w:r>
      <w:proofErr w:type="spellStart"/>
      <w:r w:rsidRPr="00264435">
        <w:rPr>
          <w:rFonts w:eastAsia="+mn-ea" w:cs="+mn-cs"/>
          <w:color w:val="000000"/>
          <w:kern w:val="24"/>
          <w:sz w:val="20"/>
          <w:szCs w:val="20"/>
          <w:lang w:eastAsia="en-AU"/>
        </w:rPr>
        <w:t>DoH</w:t>
      </w:r>
      <w:proofErr w:type="spellEnd"/>
      <w:r w:rsidRPr="00264435">
        <w:rPr>
          <w:rFonts w:eastAsia="+mn-ea" w:cs="+mn-cs"/>
          <w:color w:val="000000"/>
          <w:kern w:val="24"/>
          <w:sz w:val="20"/>
          <w:szCs w:val="20"/>
          <w:lang w:eastAsia="en-AU"/>
        </w:rPr>
        <w:t xml:space="preserve"> Secretary) and are </w:t>
      </w:r>
      <w:r>
        <w:rPr>
          <w:rFonts w:eastAsia="+mn-ea" w:cs="+mn-cs"/>
          <w:color w:val="000000"/>
          <w:kern w:val="24"/>
          <w:sz w:val="20"/>
          <w:szCs w:val="20"/>
          <w:lang w:eastAsia="en-AU"/>
        </w:rPr>
        <w:t>not Australian Public Sector Employees</w:t>
      </w:r>
      <w:r w:rsidR="00074C0E">
        <w:rPr>
          <w:rFonts w:eastAsia="+mn-ea" w:cs="+mn-cs"/>
          <w:color w:val="000000"/>
          <w:kern w:val="24"/>
          <w:sz w:val="20"/>
          <w:szCs w:val="20"/>
          <w:lang w:eastAsia="en-AU"/>
        </w:rPr>
        <w:t>; and</w:t>
      </w:r>
    </w:p>
    <w:p w:rsidR="00432842" w:rsidRPr="00264435" w:rsidRDefault="00432842" w:rsidP="00432842">
      <w:pPr>
        <w:numPr>
          <w:ilvl w:val="0"/>
          <w:numId w:val="12"/>
        </w:numPr>
        <w:spacing w:after="0" w:line="240" w:lineRule="auto"/>
        <w:contextualSpacing/>
        <w:rPr>
          <w:rFonts w:eastAsia="Times New Roman" w:cs="Times New Roman"/>
          <w:sz w:val="20"/>
          <w:szCs w:val="24"/>
          <w:lang w:eastAsia="en-AU"/>
        </w:rPr>
      </w:pPr>
      <w:r>
        <w:rPr>
          <w:rFonts w:eastAsia="+mn-ea" w:cs="+mn-cs"/>
          <w:color w:val="000000"/>
          <w:kern w:val="24"/>
          <w:sz w:val="20"/>
          <w:szCs w:val="20"/>
          <w:lang w:eastAsia="en-AU"/>
        </w:rPr>
        <w:t>The CEO reports to the Minister</w:t>
      </w:r>
      <w:r w:rsidR="00074C0E">
        <w:rPr>
          <w:rFonts w:eastAsia="+mn-ea" w:cs="+mn-cs"/>
          <w:color w:val="000000"/>
          <w:kern w:val="24"/>
          <w:sz w:val="20"/>
          <w:szCs w:val="20"/>
          <w:lang w:eastAsia="en-AU"/>
        </w:rPr>
        <w:t>.</w:t>
      </w:r>
    </w:p>
    <w:p w:rsidR="00432842" w:rsidRDefault="00432842" w:rsidP="00432842">
      <w:pPr>
        <w:spacing w:before="120" w:after="0" w:line="240" w:lineRule="auto"/>
        <w:rPr>
          <w:rFonts w:eastAsia="Times New Roman" w:cs="Times New Roman"/>
          <w:sz w:val="20"/>
          <w:szCs w:val="24"/>
          <w:lang w:eastAsia="en-AU"/>
        </w:rPr>
      </w:pPr>
      <w:r w:rsidRPr="00264435">
        <w:rPr>
          <w:rFonts w:eastAsia="+mn-ea" w:cs="+mn-cs"/>
          <w:color w:val="000000"/>
          <w:kern w:val="24"/>
          <w:sz w:val="20"/>
          <w:szCs w:val="20"/>
          <w:lang w:eastAsia="en-AU"/>
        </w:rPr>
        <w:t xml:space="preserve">In this way, the NMHC can provide reporting and policy advice to Government, free from </w:t>
      </w:r>
      <w:r>
        <w:rPr>
          <w:rFonts w:eastAsia="+mn-ea" w:cs="+mn-cs"/>
          <w:color w:val="000000"/>
          <w:kern w:val="24"/>
          <w:sz w:val="20"/>
          <w:szCs w:val="20"/>
          <w:lang w:eastAsia="en-AU"/>
        </w:rPr>
        <w:t xml:space="preserve">direction, other than the confines of scope and government policy. </w:t>
      </w:r>
      <w:r>
        <w:rPr>
          <w:rFonts w:eastAsia="Times New Roman" w:cs="Times New Roman"/>
          <w:sz w:val="20"/>
          <w:szCs w:val="24"/>
          <w:lang w:eastAsia="en-AU"/>
        </w:rPr>
        <w:t>As such, the Executive Agency form</w:t>
      </w:r>
      <w:r w:rsidR="00BE1221">
        <w:rPr>
          <w:rFonts w:eastAsia="Times New Roman" w:cs="Times New Roman"/>
          <w:sz w:val="20"/>
          <w:szCs w:val="24"/>
          <w:lang w:eastAsia="en-AU"/>
        </w:rPr>
        <w:t xml:space="preserve"> is</w:t>
      </w:r>
      <w:r>
        <w:rPr>
          <w:rFonts w:eastAsia="Times New Roman" w:cs="Times New Roman"/>
          <w:sz w:val="20"/>
          <w:szCs w:val="24"/>
          <w:lang w:eastAsia="en-AU"/>
        </w:rPr>
        <w:t xml:space="preserve"> appropriate for the NMHC. </w:t>
      </w:r>
    </w:p>
    <w:p w:rsidR="00655AA1" w:rsidRDefault="00432842" w:rsidP="00432842">
      <w:p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Consultation conducted for this review has identified that </w:t>
      </w:r>
      <w:r w:rsidRPr="00264435">
        <w:rPr>
          <w:rFonts w:eastAsia="+mn-ea" w:cs="+mn-cs"/>
          <w:color w:val="000000"/>
          <w:kern w:val="24"/>
          <w:sz w:val="20"/>
          <w:szCs w:val="20"/>
          <w:lang w:eastAsia="en-AU"/>
        </w:rPr>
        <w:t>a number of stakeholder</w:t>
      </w:r>
      <w:r>
        <w:rPr>
          <w:rFonts w:eastAsia="+mn-ea" w:cs="+mn-cs"/>
          <w:color w:val="000000"/>
          <w:kern w:val="24"/>
          <w:sz w:val="20"/>
          <w:szCs w:val="20"/>
          <w:lang w:eastAsia="en-AU"/>
        </w:rPr>
        <w:t>s</w:t>
      </w:r>
      <w:r w:rsidRPr="00264435">
        <w:rPr>
          <w:rFonts w:eastAsia="+mn-ea" w:cs="+mn-cs"/>
          <w:color w:val="000000"/>
          <w:kern w:val="24"/>
          <w:sz w:val="20"/>
          <w:szCs w:val="20"/>
          <w:lang w:eastAsia="en-AU"/>
        </w:rPr>
        <w:t xml:space="preserve"> hold a view that the independence of the NMHC should be ‘</w:t>
      </w:r>
      <w:r w:rsidRPr="007C77CF">
        <w:rPr>
          <w:rFonts w:eastAsia="+mn-ea" w:cs="+mn-cs"/>
          <w:b/>
          <w:color w:val="000000"/>
          <w:kern w:val="24"/>
          <w:sz w:val="20"/>
          <w:szCs w:val="20"/>
          <w:lang w:eastAsia="en-AU"/>
        </w:rPr>
        <w:t>increased’</w:t>
      </w:r>
      <w:r w:rsidRPr="00264435">
        <w:rPr>
          <w:rFonts w:eastAsia="+mn-ea" w:cs="+mn-cs"/>
          <w:color w:val="000000"/>
          <w:kern w:val="24"/>
          <w:sz w:val="20"/>
          <w:szCs w:val="20"/>
          <w:lang w:eastAsia="en-AU"/>
        </w:rPr>
        <w:t>, and some belief that this should be achieved via changing institutional form so that the NMHC is a Statutory Auth</w:t>
      </w:r>
      <w:r>
        <w:rPr>
          <w:rFonts w:eastAsia="+mn-ea" w:cs="+mn-cs"/>
          <w:color w:val="000000"/>
          <w:kern w:val="24"/>
          <w:sz w:val="20"/>
          <w:szCs w:val="20"/>
          <w:lang w:eastAsia="en-AU"/>
        </w:rPr>
        <w:t xml:space="preserve">ority, as this is perceived to be more independent. </w:t>
      </w:r>
      <w:r w:rsidR="00655AA1">
        <w:rPr>
          <w:rFonts w:eastAsia="+mn-ea" w:cs="+mn-cs"/>
          <w:color w:val="000000"/>
          <w:kern w:val="24"/>
          <w:sz w:val="20"/>
          <w:szCs w:val="20"/>
          <w:lang w:eastAsia="en-AU"/>
        </w:rPr>
        <w:t>The desire for this independence rests on two main propositions:</w:t>
      </w:r>
    </w:p>
    <w:p w:rsidR="00655AA1" w:rsidRDefault="00655AA1" w:rsidP="00D8278D">
      <w:pPr>
        <w:pStyle w:val="ListParagraph"/>
        <w:numPr>
          <w:ilvl w:val="0"/>
          <w:numId w:val="42"/>
        </w:num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Too close an alignment with the Department of Health impedes the cross-portfolio aspect of the Commission’s role; and</w:t>
      </w:r>
    </w:p>
    <w:p w:rsidR="00432842" w:rsidRPr="00655AA1" w:rsidRDefault="00655AA1" w:rsidP="00D8278D">
      <w:pPr>
        <w:pStyle w:val="ListParagraph"/>
        <w:numPr>
          <w:ilvl w:val="0"/>
          <w:numId w:val="42"/>
        </w:num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The Commissioners do not have sufficient </w:t>
      </w:r>
      <w:r w:rsidR="00C162B3">
        <w:rPr>
          <w:rFonts w:eastAsia="+mn-ea" w:cs="+mn-cs"/>
          <w:color w:val="000000"/>
          <w:kern w:val="24"/>
          <w:sz w:val="20"/>
          <w:szCs w:val="20"/>
          <w:lang w:eastAsia="en-AU"/>
        </w:rPr>
        <w:t>control over the work of and appointment (or dismissal) of staff to the Commission</w:t>
      </w:r>
    </w:p>
    <w:p w:rsidR="00432842" w:rsidRDefault="00432842" w:rsidP="00432842">
      <w:p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Importantly, however, there is not a unanimous and shared definition of what ‘greater independence’ a</w:t>
      </w:r>
      <w:r w:rsidR="00C162B3">
        <w:rPr>
          <w:rFonts w:eastAsia="+mn-ea" w:cs="+mn-cs"/>
          <w:color w:val="000000"/>
          <w:kern w:val="24"/>
          <w:sz w:val="20"/>
          <w:szCs w:val="20"/>
          <w:lang w:eastAsia="en-AU"/>
        </w:rPr>
        <w:t>ctually means for the NMHC. Three</w:t>
      </w:r>
      <w:r>
        <w:rPr>
          <w:rFonts w:eastAsia="+mn-ea" w:cs="+mn-cs"/>
          <w:color w:val="000000"/>
          <w:kern w:val="24"/>
          <w:sz w:val="20"/>
          <w:szCs w:val="20"/>
          <w:lang w:eastAsia="en-AU"/>
        </w:rPr>
        <w:t xml:space="preserve"> possible definitions of ‘greater independence’ have been identified, and will be addressed in turn. </w:t>
      </w:r>
    </w:p>
    <w:p w:rsidR="00432842" w:rsidRDefault="00432842" w:rsidP="00432842">
      <w:pPr>
        <w:spacing w:after="0" w:line="259" w:lineRule="auto"/>
        <w:rPr>
          <w:b/>
          <w:color w:val="012169" w:themeColor="accent4"/>
          <w:sz w:val="20"/>
          <w:szCs w:val="18"/>
        </w:rPr>
      </w:pPr>
    </w:p>
    <w:p w:rsidR="00432842" w:rsidRPr="00EE04D9" w:rsidRDefault="00432842" w:rsidP="00432842">
      <w:pPr>
        <w:spacing w:after="0" w:line="259" w:lineRule="auto"/>
        <w:rPr>
          <w:b/>
          <w:color w:val="012169" w:themeColor="accent4"/>
          <w:sz w:val="20"/>
          <w:szCs w:val="18"/>
        </w:rPr>
      </w:pPr>
      <w:r>
        <w:rPr>
          <w:b/>
          <w:color w:val="012169" w:themeColor="accent4"/>
          <w:sz w:val="20"/>
          <w:szCs w:val="18"/>
        </w:rPr>
        <w:t>Definition 1</w:t>
      </w:r>
      <w:r w:rsidRPr="00EE04D9">
        <w:rPr>
          <w:b/>
          <w:color w:val="012169" w:themeColor="accent4"/>
          <w:sz w:val="20"/>
          <w:szCs w:val="18"/>
        </w:rPr>
        <w:t xml:space="preserve">: </w:t>
      </w:r>
      <w:r>
        <w:rPr>
          <w:b/>
          <w:color w:val="012169" w:themeColor="accent4"/>
          <w:sz w:val="20"/>
          <w:szCs w:val="18"/>
        </w:rPr>
        <w:t>entirely autonomous operation of the NMHC</w:t>
      </w:r>
    </w:p>
    <w:p w:rsidR="00432842" w:rsidRDefault="00432842" w:rsidP="00432842">
      <w:pPr>
        <w:spacing w:before="120" w:after="0" w:line="240" w:lineRule="auto"/>
        <w:rPr>
          <w:rFonts w:eastAsia="+mn-ea" w:cs="+mn-cs"/>
          <w:kern w:val="24"/>
          <w:sz w:val="20"/>
          <w:szCs w:val="20"/>
          <w:lang w:eastAsia="en-AU"/>
        </w:rPr>
      </w:pPr>
      <w:r>
        <w:rPr>
          <w:rFonts w:eastAsia="+mn-ea" w:cs="+mn-cs"/>
          <w:color w:val="000000"/>
          <w:kern w:val="24"/>
          <w:sz w:val="20"/>
          <w:szCs w:val="20"/>
          <w:lang w:eastAsia="en-AU"/>
        </w:rPr>
        <w:t xml:space="preserve">At its most extreme, this viewpoint could seek that the work of the NMHC could not be influenced – through direction, funding or appointment of roles – by Government. </w:t>
      </w:r>
      <w:r w:rsidRPr="007C77CF">
        <w:rPr>
          <w:rFonts w:eastAsia="+mn-ea" w:cs="+mn-cs"/>
          <w:kern w:val="24"/>
          <w:sz w:val="20"/>
          <w:szCs w:val="20"/>
          <w:lang w:eastAsia="en-AU"/>
        </w:rPr>
        <w:t xml:space="preserve">This is </w:t>
      </w:r>
      <w:r>
        <w:rPr>
          <w:rFonts w:eastAsia="+mn-ea" w:cs="+mn-cs"/>
          <w:kern w:val="24"/>
          <w:sz w:val="20"/>
          <w:szCs w:val="20"/>
          <w:lang w:eastAsia="en-AU"/>
        </w:rPr>
        <w:t xml:space="preserve">obviously </w:t>
      </w:r>
      <w:r w:rsidRPr="007C77CF">
        <w:rPr>
          <w:rFonts w:eastAsia="+mn-ea" w:cs="+mn-cs"/>
          <w:kern w:val="24"/>
          <w:sz w:val="20"/>
          <w:szCs w:val="20"/>
          <w:lang w:eastAsia="en-AU"/>
        </w:rPr>
        <w:t>not a feature of the current state, nor is it a plausible feature of any government</w:t>
      </w:r>
      <w:r w:rsidR="00655AA1">
        <w:rPr>
          <w:rFonts w:eastAsia="+mn-ea" w:cs="+mn-cs"/>
          <w:kern w:val="24"/>
          <w:sz w:val="20"/>
          <w:szCs w:val="20"/>
          <w:lang w:eastAsia="en-AU"/>
        </w:rPr>
        <w:t xml:space="preserve"> established</w:t>
      </w:r>
      <w:r w:rsidRPr="007C77CF">
        <w:rPr>
          <w:rFonts w:eastAsia="+mn-ea" w:cs="+mn-cs"/>
          <w:kern w:val="24"/>
          <w:sz w:val="20"/>
          <w:szCs w:val="20"/>
          <w:lang w:eastAsia="en-AU"/>
        </w:rPr>
        <w:t xml:space="preserve"> entity.</w:t>
      </w:r>
      <w:r>
        <w:rPr>
          <w:rFonts w:eastAsia="+mn-ea" w:cs="+mn-cs"/>
          <w:kern w:val="24"/>
          <w:sz w:val="20"/>
          <w:szCs w:val="20"/>
          <w:lang w:eastAsia="en-AU"/>
        </w:rPr>
        <w:t xml:space="preserve"> </w:t>
      </w:r>
    </w:p>
    <w:p w:rsidR="00C162B3" w:rsidRDefault="00432842" w:rsidP="00432842">
      <w:pPr>
        <w:spacing w:before="120" w:after="0" w:line="240" w:lineRule="auto"/>
        <w:rPr>
          <w:rFonts w:eastAsia="+mn-ea" w:cs="+mn-cs"/>
          <w:kern w:val="24"/>
          <w:sz w:val="20"/>
          <w:szCs w:val="20"/>
          <w:lang w:eastAsia="en-AU"/>
        </w:rPr>
      </w:pPr>
      <w:r>
        <w:rPr>
          <w:rFonts w:eastAsia="+mn-ea" w:cs="+mn-cs"/>
          <w:kern w:val="24"/>
          <w:sz w:val="20"/>
          <w:szCs w:val="20"/>
          <w:lang w:eastAsia="en-AU"/>
        </w:rPr>
        <w:t>Achieving this definition of independence could only occur if the NMHC were a c</w:t>
      </w:r>
      <w:r w:rsidRPr="007C77CF">
        <w:rPr>
          <w:rFonts w:eastAsia="+mn-ea" w:cs="+mn-cs"/>
          <w:kern w:val="24"/>
          <w:sz w:val="20"/>
          <w:szCs w:val="20"/>
          <w:lang w:eastAsia="en-AU"/>
        </w:rPr>
        <w:t>omplete</w:t>
      </w:r>
      <w:r>
        <w:rPr>
          <w:rFonts w:eastAsia="+mn-ea" w:cs="+mn-cs"/>
          <w:kern w:val="24"/>
          <w:sz w:val="20"/>
          <w:szCs w:val="20"/>
          <w:lang w:eastAsia="en-AU"/>
        </w:rPr>
        <w:t>ly</w:t>
      </w:r>
      <w:r w:rsidRPr="007C77CF">
        <w:rPr>
          <w:rFonts w:eastAsia="+mn-ea" w:cs="+mn-cs"/>
          <w:kern w:val="24"/>
          <w:sz w:val="20"/>
          <w:szCs w:val="20"/>
          <w:lang w:eastAsia="en-AU"/>
        </w:rPr>
        <w:t xml:space="preserve"> non-governmental </w:t>
      </w:r>
      <w:r>
        <w:rPr>
          <w:rFonts w:eastAsia="+mn-ea" w:cs="+mn-cs"/>
          <w:kern w:val="24"/>
          <w:sz w:val="20"/>
          <w:szCs w:val="20"/>
          <w:lang w:eastAsia="en-AU"/>
        </w:rPr>
        <w:t xml:space="preserve">entity. That is so far beyond the initial purpose and construct of the NMHC, and there is </w:t>
      </w:r>
      <w:proofErr w:type="spellStart"/>
      <w:r>
        <w:rPr>
          <w:rFonts w:eastAsia="+mn-ea" w:cs="+mn-cs"/>
          <w:kern w:val="24"/>
          <w:sz w:val="20"/>
          <w:szCs w:val="20"/>
          <w:lang w:eastAsia="en-AU"/>
        </w:rPr>
        <w:t>not</w:t>
      </w:r>
      <w:proofErr w:type="spellEnd"/>
      <w:r>
        <w:rPr>
          <w:rFonts w:eastAsia="+mn-ea" w:cs="+mn-cs"/>
          <w:kern w:val="24"/>
          <w:sz w:val="20"/>
          <w:szCs w:val="20"/>
          <w:lang w:eastAsia="en-AU"/>
        </w:rPr>
        <w:t xml:space="preserve"> evidence that it would be necessary to achieving its purpose, hence it is not contemplated further as future option. </w:t>
      </w:r>
    </w:p>
    <w:p w:rsidR="00CF6B91" w:rsidRDefault="00C162B3" w:rsidP="00CF6B91">
      <w:pPr>
        <w:spacing w:after="200" w:line="276" w:lineRule="auto"/>
        <w:rPr>
          <w:rFonts w:eastAsia="+mn-ea" w:cs="+mn-cs"/>
          <w:kern w:val="24"/>
          <w:sz w:val="20"/>
          <w:szCs w:val="20"/>
          <w:lang w:eastAsia="en-AU"/>
        </w:rPr>
      </w:pPr>
      <w:r>
        <w:rPr>
          <w:rFonts w:eastAsia="+mn-ea" w:cs="+mn-cs"/>
          <w:kern w:val="24"/>
          <w:sz w:val="20"/>
          <w:szCs w:val="20"/>
          <w:lang w:eastAsia="en-AU"/>
        </w:rPr>
        <w:t>There is a view amongst some stakeholders that this level of independence would be achieved if the NMHC were converted from an Executive Agency to a Statutory Authority.  This is fostered by a view that Commonwealth Statutory Authorities operate with an high level of independenc</w:t>
      </w:r>
      <w:r w:rsidR="00CF6B91">
        <w:rPr>
          <w:rFonts w:eastAsia="+mn-ea" w:cs="+mn-cs"/>
          <w:kern w:val="24"/>
          <w:sz w:val="20"/>
          <w:szCs w:val="20"/>
          <w:lang w:eastAsia="en-AU"/>
        </w:rPr>
        <w:t xml:space="preserve">e from Government, and have governance structures where the Commissioners or their equivalent have a control of the operations of the organisation.  </w:t>
      </w:r>
    </w:p>
    <w:p w:rsidR="00CF6B91" w:rsidRPr="00CF6B91" w:rsidRDefault="00CF6B91" w:rsidP="00CF6B91">
      <w:pPr>
        <w:spacing w:after="200" w:line="276" w:lineRule="auto"/>
        <w:rPr>
          <w:rFonts w:ascii="Times" w:hAnsi="Times"/>
          <w:sz w:val="20"/>
          <w:szCs w:val="20"/>
        </w:rPr>
      </w:pPr>
      <w:r>
        <w:rPr>
          <w:rFonts w:eastAsia="+mn-ea" w:cs="+mn-cs"/>
          <w:kern w:val="24"/>
          <w:sz w:val="20"/>
          <w:szCs w:val="20"/>
          <w:lang w:eastAsia="en-AU"/>
        </w:rPr>
        <w:t>The Commonwealth defines the basis of creation of a Statutory Authority as “</w:t>
      </w:r>
      <w:r w:rsidRPr="00CF6B91">
        <w:rPr>
          <w:color w:val="000000"/>
          <w:sz w:val="20"/>
          <w:szCs w:val="13"/>
          <w:shd w:val="clear" w:color="auto" w:fill="FFFFFF"/>
        </w:rPr>
        <w:t xml:space="preserve">A statutory Commonwealth entity is generally appropriate where there is a need for the enabling </w:t>
      </w:r>
      <w:r w:rsidRPr="00CF6B91">
        <w:rPr>
          <w:color w:val="000000"/>
          <w:sz w:val="20"/>
          <w:szCs w:val="13"/>
          <w:shd w:val="clear" w:color="auto" w:fill="FFFFFF"/>
        </w:rPr>
        <w:lastRenderedPageBreak/>
        <w:t>legislation to specify the powers and functions of the body, its level of independence and its accountability to the Parliament. This is particularly relevant for bodies that have a regulatory role or scrutinise public sector activities.”</w:t>
      </w:r>
      <w:r>
        <w:rPr>
          <w:color w:val="000000"/>
          <w:sz w:val="20"/>
          <w:szCs w:val="13"/>
          <w:shd w:val="clear" w:color="auto" w:fill="FFFFFF"/>
        </w:rPr>
        <w:t xml:space="preserve"> </w:t>
      </w:r>
      <w:r w:rsidR="00915E71">
        <w:rPr>
          <w:color w:val="000000"/>
          <w:sz w:val="20"/>
          <w:szCs w:val="13"/>
          <w:shd w:val="clear" w:color="auto" w:fill="FFFFFF"/>
        </w:rPr>
        <w:t xml:space="preserve">(Department of Finance. </w:t>
      </w:r>
      <w:r w:rsidR="00915E71" w:rsidRPr="00915E71">
        <w:rPr>
          <w:color w:val="000000"/>
          <w:sz w:val="20"/>
          <w:szCs w:val="13"/>
          <w:shd w:val="clear" w:color="auto" w:fill="FFFFFF"/>
        </w:rPr>
        <w:t>http://www.finance.gov.au/resource-management/governance/policy/structure-types</w:t>
      </w:r>
      <w:proofErr w:type="gramStart"/>
      <w:r w:rsidR="00915E71" w:rsidRPr="00915E71">
        <w:rPr>
          <w:color w:val="000000"/>
          <w:sz w:val="20"/>
          <w:szCs w:val="13"/>
          <w:shd w:val="clear" w:color="auto" w:fill="FFFFFF"/>
        </w:rPr>
        <w:t>/</w:t>
      </w:r>
      <w:r w:rsidR="00915E71">
        <w:rPr>
          <w:color w:val="000000"/>
          <w:sz w:val="20"/>
          <w:szCs w:val="13"/>
          <w:shd w:val="clear" w:color="auto" w:fill="FFFFFF"/>
        </w:rPr>
        <w:t xml:space="preserve"> )</w:t>
      </w:r>
      <w:proofErr w:type="gramEnd"/>
      <w:r>
        <w:rPr>
          <w:color w:val="000000"/>
          <w:sz w:val="20"/>
          <w:szCs w:val="13"/>
          <w:shd w:val="clear" w:color="auto" w:fill="FFFFFF"/>
        </w:rPr>
        <w:t xml:space="preserve">  </w:t>
      </w:r>
    </w:p>
    <w:p w:rsidR="00432842" w:rsidRPr="007C77CF" w:rsidRDefault="00CF6B91" w:rsidP="00432842">
      <w:pPr>
        <w:spacing w:before="120" w:after="0" w:line="240" w:lineRule="auto"/>
        <w:rPr>
          <w:rFonts w:eastAsia="+mn-ea" w:cs="+mn-cs"/>
          <w:kern w:val="24"/>
          <w:sz w:val="20"/>
          <w:szCs w:val="20"/>
          <w:lang w:eastAsia="en-AU"/>
        </w:rPr>
      </w:pPr>
      <w:r>
        <w:rPr>
          <w:rFonts w:eastAsia="+mn-ea" w:cs="+mn-cs"/>
          <w:kern w:val="24"/>
          <w:sz w:val="20"/>
          <w:szCs w:val="20"/>
          <w:lang w:eastAsia="en-AU"/>
        </w:rPr>
        <w:t xml:space="preserve">Apart from providing independence, there is no obvious need for the Commonwealth to create enabling legislation to assist the </w:t>
      </w:r>
      <w:r w:rsidR="00915E71">
        <w:rPr>
          <w:rFonts w:eastAsia="+mn-ea" w:cs="+mn-cs"/>
          <w:kern w:val="24"/>
          <w:sz w:val="20"/>
          <w:szCs w:val="20"/>
          <w:lang w:eastAsia="en-AU"/>
        </w:rPr>
        <w:t>NMHC to carry out its functions, in effect because the NMHC does not have to exercise a level of regulatory or other form of intervention on the activities of individuals, private or other government entities.  Its current role and functions are sufficiently encapsulated by the intentions of Executive Agencies.</w:t>
      </w:r>
    </w:p>
    <w:p w:rsidR="00432842" w:rsidRDefault="00432842" w:rsidP="00432842">
      <w:pPr>
        <w:spacing w:before="120" w:after="0" w:line="240" w:lineRule="auto"/>
        <w:rPr>
          <w:rFonts w:eastAsia="+mn-ea" w:cs="+mn-cs"/>
          <w:color w:val="000000"/>
          <w:kern w:val="24"/>
          <w:sz w:val="20"/>
          <w:szCs w:val="20"/>
          <w:lang w:eastAsia="en-AU"/>
        </w:rPr>
      </w:pPr>
    </w:p>
    <w:p w:rsidR="00432842" w:rsidRPr="00EE04D9" w:rsidRDefault="00432842" w:rsidP="00432842">
      <w:pPr>
        <w:spacing w:after="0" w:line="259" w:lineRule="auto"/>
        <w:rPr>
          <w:b/>
          <w:color w:val="012169" w:themeColor="accent4"/>
          <w:sz w:val="20"/>
          <w:szCs w:val="18"/>
        </w:rPr>
      </w:pPr>
      <w:r>
        <w:rPr>
          <w:b/>
          <w:color w:val="012169" w:themeColor="accent4"/>
          <w:sz w:val="20"/>
          <w:szCs w:val="18"/>
        </w:rPr>
        <w:t xml:space="preserve">Definition </w:t>
      </w:r>
      <w:r w:rsidR="00D41E2E">
        <w:rPr>
          <w:b/>
          <w:color w:val="012169" w:themeColor="accent4"/>
          <w:sz w:val="20"/>
          <w:szCs w:val="18"/>
        </w:rPr>
        <w:t>2</w:t>
      </w:r>
      <w:r w:rsidRPr="00EE04D9">
        <w:rPr>
          <w:b/>
          <w:color w:val="012169" w:themeColor="accent4"/>
          <w:sz w:val="20"/>
          <w:szCs w:val="18"/>
        </w:rPr>
        <w:t xml:space="preserve">: </w:t>
      </w:r>
      <w:r>
        <w:rPr>
          <w:b/>
          <w:color w:val="012169" w:themeColor="accent4"/>
          <w:sz w:val="20"/>
          <w:szCs w:val="18"/>
        </w:rPr>
        <w:t xml:space="preserve">a stronger form of separation from the NMHC’s </w:t>
      </w:r>
      <w:proofErr w:type="spellStart"/>
      <w:r>
        <w:rPr>
          <w:b/>
          <w:color w:val="012169" w:themeColor="accent4"/>
          <w:sz w:val="20"/>
          <w:szCs w:val="18"/>
        </w:rPr>
        <w:t>auspicing</w:t>
      </w:r>
      <w:proofErr w:type="spellEnd"/>
      <w:r>
        <w:rPr>
          <w:b/>
          <w:color w:val="012169" w:themeColor="accent4"/>
          <w:sz w:val="20"/>
          <w:szCs w:val="18"/>
        </w:rPr>
        <w:t xml:space="preserve"> portfolio</w:t>
      </w:r>
    </w:p>
    <w:p w:rsidR="00432842" w:rsidRDefault="00432842" w:rsidP="00432842">
      <w:p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Some stakeholders may desire greater separation from the NMHC’s </w:t>
      </w:r>
      <w:proofErr w:type="spellStart"/>
      <w:r>
        <w:rPr>
          <w:rFonts w:eastAsia="+mn-ea" w:cs="+mn-cs"/>
          <w:color w:val="000000"/>
          <w:kern w:val="24"/>
          <w:sz w:val="20"/>
          <w:szCs w:val="20"/>
          <w:lang w:eastAsia="en-AU"/>
        </w:rPr>
        <w:t>auspicing</w:t>
      </w:r>
      <w:proofErr w:type="spellEnd"/>
      <w:r>
        <w:rPr>
          <w:rFonts w:eastAsia="+mn-ea" w:cs="+mn-cs"/>
          <w:color w:val="000000"/>
          <w:kern w:val="24"/>
          <w:sz w:val="20"/>
          <w:szCs w:val="20"/>
          <w:lang w:eastAsia="en-AU"/>
        </w:rPr>
        <w:t xml:space="preserve"> portfolio, to address their actual or perceived issues around independence. In this way, changing the institutional form of the NMHC would create greater separation from the </w:t>
      </w:r>
      <w:r w:rsidR="00AF647F">
        <w:rPr>
          <w:rFonts w:eastAsia="+mn-ea" w:cs="+mn-cs"/>
          <w:color w:val="000000"/>
          <w:kern w:val="24"/>
          <w:sz w:val="20"/>
          <w:szCs w:val="20"/>
          <w:lang w:eastAsia="en-AU"/>
        </w:rPr>
        <w:t xml:space="preserve">Health portfolio and the </w:t>
      </w:r>
      <w:proofErr w:type="spellStart"/>
      <w:r w:rsidR="00AF647F">
        <w:rPr>
          <w:rFonts w:eastAsia="+mn-ea" w:cs="+mn-cs"/>
          <w:color w:val="000000"/>
          <w:kern w:val="24"/>
          <w:sz w:val="20"/>
          <w:szCs w:val="20"/>
          <w:lang w:eastAsia="en-AU"/>
        </w:rPr>
        <w:t>DoH</w:t>
      </w:r>
      <w:proofErr w:type="spellEnd"/>
      <w:r>
        <w:rPr>
          <w:rFonts w:eastAsia="+mn-ea" w:cs="+mn-cs"/>
          <w:color w:val="000000"/>
          <w:kern w:val="24"/>
          <w:sz w:val="20"/>
          <w:szCs w:val="20"/>
          <w:lang w:eastAsia="en-AU"/>
        </w:rPr>
        <w:t xml:space="preserve">. However, outside of operating as a non-governmental entity, the NMHC would still operate subject to Ministerial direction.  </w:t>
      </w:r>
    </w:p>
    <w:p w:rsidR="00432842" w:rsidRDefault="00432842" w:rsidP="00432842">
      <w:p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As noted above, however, the current arrangements appear to provide for sufficient independence for the NMHC to achieve its objectives. Whilst needing to work closely with the </w:t>
      </w:r>
      <w:proofErr w:type="spellStart"/>
      <w:r w:rsidR="00AF647F">
        <w:rPr>
          <w:rFonts w:eastAsia="+mn-ea" w:cs="+mn-cs"/>
          <w:color w:val="000000"/>
          <w:kern w:val="24"/>
          <w:sz w:val="20"/>
          <w:szCs w:val="20"/>
          <w:lang w:eastAsia="en-AU"/>
        </w:rPr>
        <w:t>DoH</w:t>
      </w:r>
      <w:proofErr w:type="spellEnd"/>
      <w:r>
        <w:rPr>
          <w:rFonts w:eastAsia="+mn-ea" w:cs="+mn-cs"/>
          <w:color w:val="000000"/>
          <w:kern w:val="24"/>
          <w:sz w:val="20"/>
          <w:szCs w:val="20"/>
          <w:lang w:eastAsia="en-AU"/>
        </w:rPr>
        <w:t xml:space="preserve">, the NMHC cannot be censored, and leaders within the NMHC can act independently of the </w:t>
      </w:r>
      <w:proofErr w:type="spellStart"/>
      <w:r w:rsidR="00AF647F">
        <w:rPr>
          <w:rFonts w:eastAsia="+mn-ea" w:cs="+mn-cs"/>
          <w:color w:val="000000"/>
          <w:kern w:val="24"/>
          <w:sz w:val="20"/>
          <w:szCs w:val="20"/>
          <w:lang w:eastAsia="en-AU"/>
        </w:rPr>
        <w:t>DoH</w:t>
      </w:r>
      <w:r>
        <w:rPr>
          <w:rFonts w:eastAsia="+mn-ea" w:cs="+mn-cs"/>
          <w:color w:val="000000"/>
          <w:kern w:val="24"/>
          <w:sz w:val="20"/>
          <w:szCs w:val="20"/>
          <w:lang w:eastAsia="en-AU"/>
        </w:rPr>
        <w:t>’s</w:t>
      </w:r>
      <w:proofErr w:type="spellEnd"/>
      <w:r>
        <w:rPr>
          <w:rFonts w:eastAsia="+mn-ea" w:cs="+mn-cs"/>
          <w:color w:val="000000"/>
          <w:kern w:val="24"/>
          <w:sz w:val="20"/>
          <w:szCs w:val="20"/>
          <w:lang w:eastAsia="en-AU"/>
        </w:rPr>
        <w:t xml:space="preserve"> executives. While the </w:t>
      </w:r>
      <w:proofErr w:type="spellStart"/>
      <w:r w:rsidR="00AF647F">
        <w:rPr>
          <w:rFonts w:eastAsia="+mn-ea" w:cs="+mn-cs"/>
          <w:color w:val="000000"/>
          <w:kern w:val="24"/>
          <w:sz w:val="20"/>
          <w:szCs w:val="20"/>
          <w:lang w:eastAsia="en-AU"/>
        </w:rPr>
        <w:t>DoH</w:t>
      </w:r>
      <w:proofErr w:type="spellEnd"/>
      <w:r w:rsidR="00AF647F">
        <w:rPr>
          <w:rFonts w:eastAsia="+mn-ea" w:cs="+mn-cs"/>
          <w:color w:val="000000"/>
          <w:kern w:val="24"/>
          <w:sz w:val="20"/>
          <w:szCs w:val="20"/>
          <w:lang w:eastAsia="en-AU"/>
        </w:rPr>
        <w:t xml:space="preserve"> </w:t>
      </w:r>
      <w:r>
        <w:rPr>
          <w:rFonts w:eastAsia="+mn-ea" w:cs="+mn-cs"/>
          <w:color w:val="000000"/>
          <w:kern w:val="24"/>
          <w:sz w:val="20"/>
          <w:szCs w:val="20"/>
          <w:lang w:eastAsia="en-AU"/>
        </w:rPr>
        <w:t xml:space="preserve">may disagree with the advice or directions of the NMHC, this is not the same as censorship, hence current arrangements appear to provide sufficient independence.  </w:t>
      </w:r>
    </w:p>
    <w:p w:rsidR="00432842" w:rsidRPr="00655AA1" w:rsidRDefault="00432842" w:rsidP="00432842">
      <w:pPr>
        <w:spacing w:before="120" w:after="0" w:line="240" w:lineRule="auto"/>
        <w:rPr>
          <w:rFonts w:eastAsia="+mn-ea" w:cs="+mn-cs"/>
          <w:color w:val="000000"/>
          <w:kern w:val="24"/>
          <w:sz w:val="20"/>
          <w:szCs w:val="20"/>
          <w:lang w:eastAsia="en-AU"/>
        </w:rPr>
      </w:pPr>
      <w:r w:rsidRPr="00655AA1">
        <w:rPr>
          <w:rFonts w:eastAsia="+mn-ea" w:cs="+mn-cs"/>
          <w:color w:val="000000"/>
          <w:kern w:val="24"/>
          <w:sz w:val="20"/>
          <w:szCs w:val="20"/>
          <w:lang w:eastAsia="en-AU"/>
        </w:rPr>
        <w:t xml:space="preserve">Current independence could be strengthened through clarification from the Minister that part of the NMHC’s valuable role is providing an independent voice within the mental health system. </w:t>
      </w:r>
    </w:p>
    <w:p w:rsidR="00432842" w:rsidRDefault="00432842" w:rsidP="00432842">
      <w:pPr>
        <w:spacing w:before="120" w:after="0" w:line="240" w:lineRule="auto"/>
        <w:rPr>
          <w:rFonts w:eastAsia="+mn-ea" w:cs="+mn-cs"/>
          <w:color w:val="000000"/>
          <w:kern w:val="24"/>
          <w:sz w:val="20"/>
          <w:szCs w:val="20"/>
          <w:lang w:eastAsia="en-AU"/>
        </w:rPr>
      </w:pPr>
    </w:p>
    <w:p w:rsidR="00432842" w:rsidRPr="00EE04D9" w:rsidRDefault="00432842" w:rsidP="00432842">
      <w:pPr>
        <w:spacing w:after="0" w:line="259" w:lineRule="auto"/>
        <w:rPr>
          <w:b/>
          <w:color w:val="012169" w:themeColor="accent4"/>
          <w:sz w:val="20"/>
          <w:szCs w:val="18"/>
        </w:rPr>
      </w:pPr>
      <w:r>
        <w:rPr>
          <w:b/>
          <w:color w:val="012169" w:themeColor="accent4"/>
          <w:sz w:val="20"/>
          <w:szCs w:val="18"/>
        </w:rPr>
        <w:t xml:space="preserve">Definition </w:t>
      </w:r>
      <w:r w:rsidR="00D41E2E">
        <w:rPr>
          <w:b/>
          <w:color w:val="012169" w:themeColor="accent4"/>
          <w:sz w:val="20"/>
          <w:szCs w:val="18"/>
        </w:rPr>
        <w:t>3</w:t>
      </w:r>
      <w:r w:rsidRPr="00EE04D9">
        <w:rPr>
          <w:b/>
          <w:color w:val="012169" w:themeColor="accent4"/>
          <w:sz w:val="20"/>
          <w:szCs w:val="18"/>
        </w:rPr>
        <w:t xml:space="preserve">: </w:t>
      </w:r>
      <w:r>
        <w:rPr>
          <w:b/>
          <w:color w:val="012169" w:themeColor="accent4"/>
          <w:sz w:val="20"/>
          <w:szCs w:val="18"/>
        </w:rPr>
        <w:t>a stronger form of separation from the health portfolio</w:t>
      </w:r>
    </w:p>
    <w:p w:rsidR="00432842" w:rsidRDefault="00432842" w:rsidP="00432842">
      <w:p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The final possible interpretation of independence would involve a greater degree of separation from the health portfolio, in recognition that mental health involves a number of cross-sectoral elements that must be considered in a whole-of-government context. This could be achieved, for example, by shifting which agency auspices the NMHC. Some stakeholders express this as a desire to return to the Department of Prime Minister and Cabinet as the NMHC’s </w:t>
      </w:r>
      <w:proofErr w:type="spellStart"/>
      <w:r>
        <w:rPr>
          <w:rFonts w:eastAsia="+mn-ea" w:cs="+mn-cs"/>
          <w:color w:val="000000"/>
          <w:kern w:val="24"/>
          <w:sz w:val="20"/>
          <w:szCs w:val="20"/>
          <w:lang w:eastAsia="en-AU"/>
        </w:rPr>
        <w:t>auspicing</w:t>
      </w:r>
      <w:proofErr w:type="spellEnd"/>
      <w:r>
        <w:rPr>
          <w:rFonts w:eastAsia="+mn-ea" w:cs="+mn-cs"/>
          <w:color w:val="000000"/>
          <w:kern w:val="24"/>
          <w:sz w:val="20"/>
          <w:szCs w:val="20"/>
          <w:lang w:eastAsia="en-AU"/>
        </w:rPr>
        <w:t xml:space="preserve"> agency. </w:t>
      </w:r>
    </w:p>
    <w:p w:rsidR="00432842" w:rsidRDefault="00432842" w:rsidP="00432842">
      <w:p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As explored above, it is important that the work of the NMHC should have a purview beyond the traditional boundaries that define the ‘health’ portfolio. However, this can be enabled within current </w:t>
      </w:r>
      <w:proofErr w:type="spellStart"/>
      <w:r>
        <w:rPr>
          <w:rFonts w:eastAsia="+mn-ea" w:cs="+mn-cs"/>
          <w:color w:val="000000"/>
          <w:kern w:val="24"/>
          <w:sz w:val="20"/>
          <w:szCs w:val="20"/>
          <w:lang w:eastAsia="en-AU"/>
        </w:rPr>
        <w:t>auspicing</w:t>
      </w:r>
      <w:proofErr w:type="spellEnd"/>
      <w:r>
        <w:rPr>
          <w:rFonts w:eastAsia="+mn-ea" w:cs="+mn-cs"/>
          <w:color w:val="000000"/>
          <w:kern w:val="24"/>
          <w:sz w:val="20"/>
          <w:szCs w:val="20"/>
          <w:lang w:eastAsia="en-AU"/>
        </w:rPr>
        <w:t xml:space="preserve"> arrangements. Developing collaborative arrangements with other ag</w:t>
      </w:r>
      <w:r w:rsidR="00AF647F">
        <w:rPr>
          <w:rFonts w:eastAsia="+mn-ea" w:cs="+mn-cs"/>
          <w:color w:val="000000"/>
          <w:kern w:val="24"/>
          <w:sz w:val="20"/>
          <w:szCs w:val="20"/>
          <w:lang w:eastAsia="en-AU"/>
        </w:rPr>
        <w:t xml:space="preserve">encies – both other Departments </w:t>
      </w:r>
      <w:r>
        <w:rPr>
          <w:rFonts w:eastAsia="+mn-ea" w:cs="+mn-cs"/>
          <w:color w:val="000000"/>
          <w:kern w:val="24"/>
          <w:sz w:val="20"/>
          <w:szCs w:val="20"/>
          <w:lang w:eastAsia="en-AU"/>
        </w:rPr>
        <w:t xml:space="preserve">and other entities such as the AIHW – should be a key role for the NMHC’s CEO, and should be supported by </w:t>
      </w:r>
      <w:r w:rsidR="00AF647F">
        <w:rPr>
          <w:rFonts w:eastAsia="+mn-ea" w:cs="+mn-cs"/>
          <w:color w:val="000000"/>
          <w:kern w:val="24"/>
          <w:sz w:val="20"/>
          <w:szCs w:val="20"/>
          <w:lang w:eastAsia="en-AU"/>
        </w:rPr>
        <w:t xml:space="preserve">the Minister for Health and </w:t>
      </w:r>
      <w:proofErr w:type="spellStart"/>
      <w:r w:rsidR="00AF647F">
        <w:rPr>
          <w:rFonts w:eastAsia="+mn-ea" w:cs="+mn-cs"/>
          <w:color w:val="000000"/>
          <w:kern w:val="24"/>
          <w:sz w:val="20"/>
          <w:szCs w:val="20"/>
          <w:lang w:eastAsia="en-AU"/>
        </w:rPr>
        <w:t>DoH</w:t>
      </w:r>
      <w:proofErr w:type="spellEnd"/>
      <w:r>
        <w:rPr>
          <w:rFonts w:eastAsia="+mn-ea" w:cs="+mn-cs"/>
          <w:color w:val="000000"/>
          <w:kern w:val="24"/>
          <w:sz w:val="20"/>
          <w:szCs w:val="20"/>
          <w:lang w:eastAsia="en-AU"/>
        </w:rPr>
        <w:t xml:space="preserve"> executives as well. </w:t>
      </w:r>
    </w:p>
    <w:p w:rsidR="00432842" w:rsidRDefault="00432842" w:rsidP="00432842">
      <w:p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Importantly, a potential shift in </w:t>
      </w:r>
      <w:proofErr w:type="spellStart"/>
      <w:r>
        <w:rPr>
          <w:rFonts w:eastAsia="+mn-ea" w:cs="+mn-cs"/>
          <w:color w:val="000000"/>
          <w:kern w:val="24"/>
          <w:sz w:val="20"/>
          <w:szCs w:val="20"/>
          <w:lang w:eastAsia="en-AU"/>
        </w:rPr>
        <w:t>auspicing</w:t>
      </w:r>
      <w:proofErr w:type="spellEnd"/>
      <w:r>
        <w:rPr>
          <w:rFonts w:eastAsia="+mn-ea" w:cs="+mn-cs"/>
          <w:color w:val="000000"/>
          <w:kern w:val="24"/>
          <w:sz w:val="20"/>
          <w:szCs w:val="20"/>
          <w:lang w:eastAsia="en-AU"/>
        </w:rPr>
        <w:t xml:space="preserve"> arrangements would not necessarily lead to a net benefit for the NMHC. While certainly needing to think beyond just health, the expertise and relationships contained within the </w:t>
      </w:r>
      <w:proofErr w:type="spellStart"/>
      <w:r w:rsidR="00926BB1">
        <w:rPr>
          <w:rFonts w:eastAsia="+mn-ea" w:cs="+mn-cs"/>
          <w:color w:val="000000"/>
          <w:kern w:val="24"/>
          <w:sz w:val="20"/>
          <w:szCs w:val="20"/>
          <w:lang w:eastAsia="en-AU"/>
        </w:rPr>
        <w:t>DoH</w:t>
      </w:r>
      <w:proofErr w:type="spellEnd"/>
      <w:r>
        <w:rPr>
          <w:rFonts w:eastAsia="+mn-ea" w:cs="+mn-cs"/>
          <w:color w:val="000000"/>
          <w:kern w:val="24"/>
          <w:sz w:val="20"/>
          <w:szCs w:val="20"/>
          <w:lang w:eastAsia="en-AU"/>
        </w:rPr>
        <w:t xml:space="preserve"> are still the most relevant to the NMHC’s work. Close accessibility to these should, if used correctly, be a powerful support to achievement of the NMHC’s objectives. </w:t>
      </w:r>
      <w:proofErr w:type="gramStart"/>
      <w:r>
        <w:rPr>
          <w:rFonts w:eastAsia="+mn-ea" w:cs="+mn-cs"/>
          <w:color w:val="000000"/>
          <w:kern w:val="24"/>
          <w:sz w:val="20"/>
          <w:szCs w:val="20"/>
          <w:lang w:eastAsia="en-AU"/>
        </w:rPr>
        <w:t>Shifting to another agency risks diminishing this link.</w:t>
      </w:r>
      <w:proofErr w:type="gramEnd"/>
      <w:r>
        <w:rPr>
          <w:rFonts w:eastAsia="+mn-ea" w:cs="+mn-cs"/>
          <w:color w:val="000000"/>
          <w:kern w:val="24"/>
          <w:sz w:val="20"/>
          <w:szCs w:val="20"/>
          <w:lang w:eastAsia="en-AU"/>
        </w:rPr>
        <w:t xml:space="preserve"> </w:t>
      </w:r>
    </w:p>
    <w:p w:rsidR="00432842" w:rsidRDefault="00432842" w:rsidP="00432842">
      <w:pPr>
        <w:spacing w:before="120"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Further, to the extent that mental health is not a core responsibility of any other agency, there is a risk that the NMHC would need to compete for attention and resources with a range of other priorities. This risk is particularly acute if it were shifted to PM&amp;C, where the NMHC would have to compete with all other government priorities to be heard. </w:t>
      </w:r>
    </w:p>
    <w:p w:rsidR="00432842" w:rsidRDefault="00432842" w:rsidP="00432842">
      <w:pPr>
        <w:spacing w:before="120" w:after="0" w:line="240" w:lineRule="auto"/>
        <w:rPr>
          <w:rFonts w:eastAsia="+mn-ea" w:cs="+mn-cs"/>
          <w:color w:val="000000"/>
          <w:kern w:val="24"/>
          <w:sz w:val="20"/>
          <w:szCs w:val="20"/>
          <w:lang w:eastAsia="en-AU"/>
        </w:rPr>
      </w:pPr>
    </w:p>
    <w:p w:rsidR="00432842" w:rsidRDefault="00432842" w:rsidP="00432842">
      <w:pPr>
        <w:spacing w:after="0" w:line="259" w:lineRule="auto"/>
        <w:rPr>
          <w:b/>
          <w:color w:val="012169" w:themeColor="accent4"/>
          <w:sz w:val="20"/>
          <w:szCs w:val="18"/>
        </w:rPr>
      </w:pPr>
      <w:r>
        <w:rPr>
          <w:b/>
          <w:color w:val="012169" w:themeColor="accent4"/>
          <w:sz w:val="20"/>
          <w:szCs w:val="18"/>
        </w:rPr>
        <w:lastRenderedPageBreak/>
        <w:t xml:space="preserve">Sufficient independence can be achieved within current institutional arrangements </w:t>
      </w:r>
    </w:p>
    <w:p w:rsidR="00432842" w:rsidRPr="00264435" w:rsidRDefault="00432842" w:rsidP="00432842">
      <w:pPr>
        <w:spacing w:after="0" w:line="259" w:lineRule="auto"/>
        <w:rPr>
          <w:sz w:val="20"/>
          <w:szCs w:val="18"/>
        </w:rPr>
      </w:pPr>
    </w:p>
    <w:p w:rsidR="00432842" w:rsidRDefault="00432842" w:rsidP="00432842">
      <w:pPr>
        <w:spacing w:after="0" w:line="259" w:lineRule="auto"/>
        <w:rPr>
          <w:sz w:val="20"/>
          <w:szCs w:val="18"/>
        </w:rPr>
      </w:pPr>
      <w:r w:rsidRPr="00264435">
        <w:rPr>
          <w:sz w:val="20"/>
          <w:szCs w:val="18"/>
        </w:rPr>
        <w:t>The NMHC</w:t>
      </w:r>
      <w:r w:rsidR="00915E71">
        <w:rPr>
          <w:sz w:val="20"/>
          <w:szCs w:val="18"/>
        </w:rPr>
        <w:t xml:space="preserve"> was clearly established as an Executive A</w:t>
      </w:r>
      <w:r w:rsidRPr="00264435">
        <w:rPr>
          <w:sz w:val="20"/>
          <w:szCs w:val="18"/>
        </w:rPr>
        <w:t xml:space="preserve">gency with the intention that it would have some degree of </w:t>
      </w:r>
      <w:r w:rsidRPr="00264435">
        <w:rPr>
          <w:b/>
          <w:sz w:val="20"/>
          <w:szCs w:val="18"/>
        </w:rPr>
        <w:t>independence</w:t>
      </w:r>
      <w:r w:rsidRPr="00264435">
        <w:rPr>
          <w:sz w:val="20"/>
          <w:szCs w:val="18"/>
        </w:rPr>
        <w:t xml:space="preserve">, so it could credibly comment on national mental health policy and activity without the real or perceived risk of bias. This review has not found evidence that, in its current form, the NMHC’s work or independence </w:t>
      </w:r>
      <w:r w:rsidR="00915E71">
        <w:rPr>
          <w:sz w:val="20"/>
          <w:szCs w:val="18"/>
        </w:rPr>
        <w:t>is insufficient to provide that level of comment.</w:t>
      </w:r>
      <w:r w:rsidRPr="00264435">
        <w:rPr>
          <w:sz w:val="20"/>
          <w:szCs w:val="18"/>
        </w:rPr>
        <w:t xml:space="preserve"> </w:t>
      </w:r>
    </w:p>
    <w:p w:rsidR="00432842" w:rsidRDefault="00432842" w:rsidP="00432842">
      <w:pPr>
        <w:spacing w:after="0" w:line="259" w:lineRule="auto"/>
        <w:rPr>
          <w:sz w:val="20"/>
          <w:szCs w:val="18"/>
        </w:rPr>
      </w:pPr>
    </w:p>
    <w:p w:rsidR="00432842" w:rsidRPr="00264435" w:rsidRDefault="00AE49BA" w:rsidP="00432842">
      <w:pPr>
        <w:spacing w:after="0" w:line="259" w:lineRule="auto"/>
        <w:rPr>
          <w:sz w:val="20"/>
          <w:szCs w:val="18"/>
        </w:rPr>
      </w:pPr>
      <w:r w:rsidRPr="00915E71">
        <w:rPr>
          <w:sz w:val="20"/>
          <w:szCs w:val="18"/>
        </w:rPr>
        <w:t>I</w:t>
      </w:r>
      <w:r w:rsidR="00432842" w:rsidRPr="00915E71">
        <w:rPr>
          <w:sz w:val="20"/>
          <w:szCs w:val="18"/>
        </w:rPr>
        <w:t>t is important to note that the both the CEO and the Commissioner roles are appointed by the Minister</w:t>
      </w:r>
      <w:r w:rsidRPr="00915E71">
        <w:rPr>
          <w:sz w:val="20"/>
          <w:szCs w:val="18"/>
        </w:rPr>
        <w:t xml:space="preserve"> for Health.</w:t>
      </w:r>
      <w:r w:rsidR="00432842" w:rsidRPr="00915E71">
        <w:rPr>
          <w:sz w:val="20"/>
          <w:szCs w:val="18"/>
        </w:rPr>
        <w:t xml:space="preserve"> </w:t>
      </w:r>
      <w:r w:rsidRPr="00915E71">
        <w:rPr>
          <w:sz w:val="20"/>
          <w:szCs w:val="18"/>
        </w:rPr>
        <w:t>A</w:t>
      </w:r>
      <w:r w:rsidR="00915E71" w:rsidRPr="00915E71">
        <w:rPr>
          <w:sz w:val="20"/>
          <w:szCs w:val="18"/>
        </w:rPr>
        <w:t>s the primary advisor to the government on all</w:t>
      </w:r>
      <w:r w:rsidRPr="00915E71">
        <w:rPr>
          <w:sz w:val="20"/>
          <w:szCs w:val="18"/>
        </w:rPr>
        <w:t xml:space="preserve"> health</w:t>
      </w:r>
      <w:r w:rsidR="00915E71" w:rsidRPr="00915E71">
        <w:rPr>
          <w:sz w:val="20"/>
          <w:szCs w:val="18"/>
        </w:rPr>
        <w:t xml:space="preserve"> issues including mental health</w:t>
      </w:r>
      <w:r w:rsidRPr="00915E71">
        <w:rPr>
          <w:sz w:val="20"/>
          <w:szCs w:val="18"/>
        </w:rPr>
        <w:t xml:space="preserve">, the </w:t>
      </w:r>
      <w:r w:rsidR="00432842" w:rsidRPr="00915E71">
        <w:rPr>
          <w:sz w:val="20"/>
          <w:szCs w:val="18"/>
        </w:rPr>
        <w:t>advice of the Secretary</w:t>
      </w:r>
      <w:r w:rsidRPr="00915E71">
        <w:rPr>
          <w:sz w:val="20"/>
          <w:szCs w:val="18"/>
        </w:rPr>
        <w:t xml:space="preserve"> of </w:t>
      </w:r>
      <w:proofErr w:type="spellStart"/>
      <w:r w:rsidRPr="00915E71">
        <w:rPr>
          <w:sz w:val="20"/>
          <w:szCs w:val="18"/>
        </w:rPr>
        <w:t>DoH</w:t>
      </w:r>
      <w:proofErr w:type="spellEnd"/>
      <w:r w:rsidR="00432842" w:rsidRPr="00915E71">
        <w:rPr>
          <w:sz w:val="20"/>
          <w:szCs w:val="18"/>
        </w:rPr>
        <w:t xml:space="preserve"> </w:t>
      </w:r>
      <w:r w:rsidRPr="00915E71">
        <w:rPr>
          <w:sz w:val="20"/>
          <w:szCs w:val="18"/>
        </w:rPr>
        <w:t>is</w:t>
      </w:r>
      <w:r w:rsidR="00432842" w:rsidRPr="00915E71">
        <w:rPr>
          <w:sz w:val="20"/>
          <w:szCs w:val="18"/>
        </w:rPr>
        <w:t xml:space="preserve"> sought</w:t>
      </w:r>
      <w:r w:rsidR="00644ABF" w:rsidRPr="00915E71">
        <w:rPr>
          <w:sz w:val="20"/>
          <w:szCs w:val="18"/>
        </w:rPr>
        <w:t>. T</w:t>
      </w:r>
      <w:r w:rsidR="00432842" w:rsidRPr="00915E71">
        <w:rPr>
          <w:sz w:val="20"/>
          <w:szCs w:val="18"/>
        </w:rPr>
        <w:t xml:space="preserve">his is likely to be the case regardless of the NMHC’s institutional form. </w:t>
      </w:r>
      <w:r w:rsidRPr="00915E71">
        <w:rPr>
          <w:sz w:val="20"/>
          <w:szCs w:val="18"/>
        </w:rPr>
        <w:t>As such, e</w:t>
      </w:r>
      <w:r w:rsidR="00432842" w:rsidRPr="00915E71">
        <w:rPr>
          <w:sz w:val="20"/>
          <w:szCs w:val="18"/>
        </w:rPr>
        <w:t>ven if it were a statutory authority, a f</w:t>
      </w:r>
      <w:r w:rsidRPr="00915E71">
        <w:rPr>
          <w:sz w:val="20"/>
          <w:szCs w:val="18"/>
        </w:rPr>
        <w:t xml:space="preserve">unctional relationship with both the Minister for Health and </w:t>
      </w:r>
      <w:proofErr w:type="spellStart"/>
      <w:r w:rsidR="00432842" w:rsidRPr="00915E71">
        <w:rPr>
          <w:sz w:val="20"/>
          <w:szCs w:val="18"/>
        </w:rPr>
        <w:t>DoH</w:t>
      </w:r>
      <w:proofErr w:type="spellEnd"/>
      <w:r w:rsidR="00432842" w:rsidRPr="00915E71">
        <w:rPr>
          <w:sz w:val="20"/>
          <w:szCs w:val="18"/>
        </w:rPr>
        <w:t xml:space="preserve"> would be critical to the NMHC’s success. Therefore, a desire for ‘independence’ that meant complete separation from interaction with and influence from </w:t>
      </w:r>
      <w:proofErr w:type="spellStart"/>
      <w:r w:rsidR="00432842" w:rsidRPr="00915E71">
        <w:rPr>
          <w:sz w:val="20"/>
          <w:szCs w:val="18"/>
        </w:rPr>
        <w:t>DoH</w:t>
      </w:r>
      <w:proofErr w:type="spellEnd"/>
      <w:r w:rsidR="00432842" w:rsidRPr="00915E71">
        <w:rPr>
          <w:sz w:val="20"/>
          <w:szCs w:val="18"/>
        </w:rPr>
        <w:t xml:space="preserve"> leaders would not be </w:t>
      </w:r>
      <w:r w:rsidR="001F2D18" w:rsidRPr="00915E71">
        <w:rPr>
          <w:sz w:val="20"/>
          <w:szCs w:val="18"/>
        </w:rPr>
        <w:t>unlikely</w:t>
      </w:r>
      <w:r w:rsidR="00432842" w:rsidRPr="00915E71">
        <w:rPr>
          <w:sz w:val="20"/>
          <w:szCs w:val="18"/>
        </w:rPr>
        <w:t>, regardless of form.</w:t>
      </w:r>
    </w:p>
    <w:p w:rsidR="00432842" w:rsidRPr="00264435" w:rsidRDefault="00432842" w:rsidP="00432842">
      <w:pPr>
        <w:spacing w:after="0" w:line="259" w:lineRule="auto"/>
        <w:rPr>
          <w:sz w:val="20"/>
          <w:szCs w:val="18"/>
        </w:rPr>
      </w:pPr>
    </w:p>
    <w:p w:rsidR="00AF73BA" w:rsidRDefault="008A2C1F" w:rsidP="00432842">
      <w:pPr>
        <w:spacing w:after="0" w:line="259" w:lineRule="auto"/>
        <w:rPr>
          <w:sz w:val="20"/>
          <w:szCs w:val="18"/>
        </w:rPr>
      </w:pPr>
      <w:r>
        <w:rPr>
          <w:sz w:val="20"/>
          <w:szCs w:val="18"/>
        </w:rPr>
        <w:t>This</w:t>
      </w:r>
      <w:r w:rsidR="00432842" w:rsidRPr="00264435">
        <w:rPr>
          <w:sz w:val="20"/>
          <w:szCs w:val="18"/>
        </w:rPr>
        <w:t xml:space="preserve"> review has found that a significant degree of stakeholder </w:t>
      </w:r>
      <w:r w:rsidR="00432842" w:rsidRPr="00026723">
        <w:rPr>
          <w:sz w:val="20"/>
          <w:szCs w:val="18"/>
        </w:rPr>
        <w:t>perceptions</w:t>
      </w:r>
      <w:r w:rsidR="00432842" w:rsidRPr="00264435">
        <w:rPr>
          <w:sz w:val="20"/>
          <w:szCs w:val="18"/>
        </w:rPr>
        <w:t xml:space="preserve"> around governance or independence are, in reality, driven by issues </w:t>
      </w:r>
      <w:r w:rsidR="00915E71">
        <w:rPr>
          <w:sz w:val="20"/>
          <w:szCs w:val="18"/>
        </w:rPr>
        <w:t>of</w:t>
      </w:r>
      <w:r w:rsidR="00432842" w:rsidRPr="00264435">
        <w:rPr>
          <w:sz w:val="20"/>
          <w:szCs w:val="18"/>
        </w:rPr>
        <w:t xml:space="preserve"> organisational capacity</w:t>
      </w:r>
      <w:r w:rsidR="00432842">
        <w:rPr>
          <w:sz w:val="20"/>
          <w:szCs w:val="18"/>
        </w:rPr>
        <w:t xml:space="preserve"> and capability of the NMHC</w:t>
      </w:r>
      <w:r>
        <w:rPr>
          <w:sz w:val="20"/>
          <w:szCs w:val="18"/>
        </w:rPr>
        <w:t xml:space="preserve">, </w:t>
      </w:r>
      <w:r w:rsidRPr="00264435">
        <w:rPr>
          <w:sz w:val="20"/>
          <w:szCs w:val="18"/>
        </w:rPr>
        <w:t>individual role clarity</w:t>
      </w:r>
      <w:r>
        <w:rPr>
          <w:sz w:val="20"/>
          <w:szCs w:val="18"/>
        </w:rPr>
        <w:t xml:space="preserve">, </w:t>
      </w:r>
      <w:r w:rsidR="00432842">
        <w:rPr>
          <w:sz w:val="20"/>
          <w:szCs w:val="18"/>
        </w:rPr>
        <w:t>and an at-times unclear authorising environment</w:t>
      </w:r>
      <w:r w:rsidR="00432842" w:rsidRPr="00264435">
        <w:rPr>
          <w:sz w:val="20"/>
          <w:szCs w:val="18"/>
        </w:rPr>
        <w:t xml:space="preserve">. </w:t>
      </w:r>
      <w:r w:rsidR="004D584A">
        <w:rPr>
          <w:sz w:val="20"/>
          <w:szCs w:val="18"/>
        </w:rPr>
        <w:t>The review found that w</w:t>
      </w:r>
      <w:r w:rsidR="00432842" w:rsidRPr="00264435">
        <w:rPr>
          <w:sz w:val="20"/>
          <w:szCs w:val="18"/>
        </w:rPr>
        <w:t xml:space="preserve">hen there is insufficient capacity and capability to reliably deliver high-quality work as desired, this can </w:t>
      </w:r>
      <w:r>
        <w:rPr>
          <w:sz w:val="20"/>
          <w:szCs w:val="18"/>
        </w:rPr>
        <w:t>create a perception</w:t>
      </w:r>
      <w:r w:rsidR="00432842" w:rsidRPr="00264435">
        <w:rPr>
          <w:sz w:val="20"/>
          <w:szCs w:val="18"/>
        </w:rPr>
        <w:t xml:space="preserve"> that</w:t>
      </w:r>
      <w:r>
        <w:rPr>
          <w:sz w:val="20"/>
          <w:szCs w:val="18"/>
        </w:rPr>
        <w:t xml:space="preserve"> the</w:t>
      </w:r>
      <w:r w:rsidR="00432842" w:rsidRPr="00264435">
        <w:rPr>
          <w:sz w:val="20"/>
          <w:szCs w:val="18"/>
        </w:rPr>
        <w:t xml:space="preserve"> current levels of independence are hampering the NMHC from delivering critical outputs</w:t>
      </w:r>
      <w:r w:rsidR="00432842" w:rsidRPr="00915E71">
        <w:rPr>
          <w:sz w:val="20"/>
          <w:szCs w:val="18"/>
        </w:rPr>
        <w:t xml:space="preserve">. </w:t>
      </w:r>
      <w:r w:rsidR="004D584A" w:rsidRPr="00915E71">
        <w:rPr>
          <w:sz w:val="20"/>
          <w:szCs w:val="18"/>
        </w:rPr>
        <w:t>The lack of capacity within the NMHC also impacts the ability to credibly influence key stakeholders across the system. Further</w:t>
      </w:r>
      <w:r w:rsidR="00432842" w:rsidRPr="00915E71">
        <w:rPr>
          <w:sz w:val="20"/>
          <w:szCs w:val="18"/>
        </w:rPr>
        <w:t xml:space="preserve">, when the roles </w:t>
      </w:r>
      <w:r w:rsidRPr="00915E71">
        <w:rPr>
          <w:sz w:val="20"/>
          <w:szCs w:val="18"/>
        </w:rPr>
        <w:t xml:space="preserve">of </w:t>
      </w:r>
      <w:r w:rsidR="00196BD3" w:rsidRPr="00915E71">
        <w:rPr>
          <w:sz w:val="20"/>
          <w:szCs w:val="18"/>
        </w:rPr>
        <w:t>key individuals</w:t>
      </w:r>
      <w:r w:rsidR="00432842" w:rsidRPr="00264435">
        <w:rPr>
          <w:sz w:val="20"/>
          <w:szCs w:val="18"/>
        </w:rPr>
        <w:t xml:space="preserve"> are not clear, this can lead to a </w:t>
      </w:r>
      <w:r w:rsidR="00432842" w:rsidRPr="008A2C1F">
        <w:rPr>
          <w:sz w:val="20"/>
          <w:szCs w:val="18"/>
        </w:rPr>
        <w:t>perception that institutional form changes may be warranted – when in fact the strengths and</w:t>
      </w:r>
      <w:r w:rsidR="00432842" w:rsidRPr="00264435">
        <w:rPr>
          <w:sz w:val="20"/>
          <w:szCs w:val="18"/>
        </w:rPr>
        <w:t xml:space="preserve"> weaknesses of the current form may not even be well-known.</w:t>
      </w:r>
      <w:r w:rsidR="00432842">
        <w:rPr>
          <w:sz w:val="20"/>
          <w:szCs w:val="18"/>
        </w:rPr>
        <w:t xml:space="preserve"> A view that the NMHC has an insufficient authorising environment may also contribute to this perception. </w:t>
      </w:r>
    </w:p>
    <w:p w:rsidR="00AF73BA" w:rsidRDefault="00AF73BA" w:rsidP="00432842">
      <w:pPr>
        <w:spacing w:after="0" w:line="259" w:lineRule="auto"/>
        <w:rPr>
          <w:sz w:val="20"/>
          <w:szCs w:val="18"/>
        </w:rPr>
      </w:pPr>
    </w:p>
    <w:p w:rsidR="00432842" w:rsidRDefault="00432842" w:rsidP="00432842">
      <w:pPr>
        <w:spacing w:after="0" w:line="259" w:lineRule="auto"/>
        <w:rPr>
          <w:sz w:val="20"/>
          <w:szCs w:val="18"/>
        </w:rPr>
      </w:pPr>
      <w:r w:rsidRPr="00B50499">
        <w:rPr>
          <w:sz w:val="20"/>
          <w:szCs w:val="18"/>
        </w:rPr>
        <w:t>Actions taken to build this authorising enviro</w:t>
      </w:r>
      <w:r w:rsidR="00196BD3" w:rsidRPr="00B50499">
        <w:rPr>
          <w:sz w:val="20"/>
          <w:szCs w:val="18"/>
        </w:rPr>
        <w:t xml:space="preserve">nment, such as a clear statement outlining this </w:t>
      </w:r>
      <w:r w:rsidRPr="00B50499">
        <w:rPr>
          <w:sz w:val="20"/>
          <w:szCs w:val="18"/>
        </w:rPr>
        <w:t xml:space="preserve">from the </w:t>
      </w:r>
      <w:r w:rsidR="00AF73BA" w:rsidRPr="00B50499">
        <w:rPr>
          <w:sz w:val="20"/>
          <w:szCs w:val="18"/>
        </w:rPr>
        <w:t>Governor General</w:t>
      </w:r>
      <w:r w:rsidR="004C0269" w:rsidRPr="00B50499">
        <w:rPr>
          <w:sz w:val="20"/>
          <w:szCs w:val="18"/>
        </w:rPr>
        <w:t xml:space="preserve"> via an Executive Order, prepared by the Department of Health and in close consultation with the Office of Parliamentary Counsel (OPC) and requiring approval from the </w:t>
      </w:r>
      <w:r w:rsidRPr="00B50499">
        <w:rPr>
          <w:sz w:val="20"/>
          <w:szCs w:val="18"/>
        </w:rPr>
        <w:t>Minister</w:t>
      </w:r>
      <w:r w:rsidR="00196BD3" w:rsidRPr="00B50499">
        <w:rPr>
          <w:sz w:val="20"/>
          <w:szCs w:val="18"/>
        </w:rPr>
        <w:t xml:space="preserve"> for Health</w:t>
      </w:r>
      <w:r w:rsidRPr="00B50499">
        <w:rPr>
          <w:sz w:val="20"/>
          <w:szCs w:val="18"/>
        </w:rPr>
        <w:t xml:space="preserve"> </w:t>
      </w:r>
      <w:r w:rsidR="004C0269" w:rsidRPr="00B50499">
        <w:rPr>
          <w:sz w:val="20"/>
          <w:szCs w:val="18"/>
        </w:rPr>
        <w:t>and Prime Minister.  This</w:t>
      </w:r>
      <w:r w:rsidR="004C0269">
        <w:rPr>
          <w:sz w:val="20"/>
          <w:szCs w:val="18"/>
        </w:rPr>
        <w:t xml:space="preserve"> i</w:t>
      </w:r>
      <w:r w:rsidR="008A2C1F">
        <w:rPr>
          <w:sz w:val="20"/>
          <w:szCs w:val="18"/>
        </w:rPr>
        <w:t xml:space="preserve">s likely to help to improve the </w:t>
      </w:r>
      <w:r>
        <w:rPr>
          <w:sz w:val="20"/>
          <w:szCs w:val="18"/>
        </w:rPr>
        <w:t xml:space="preserve">perceptions of the NMHC’s independent and valued role. </w:t>
      </w:r>
    </w:p>
    <w:p w:rsidR="00BE1221" w:rsidRPr="00264435" w:rsidRDefault="00BE1221" w:rsidP="00432842">
      <w:pPr>
        <w:spacing w:after="0" w:line="259" w:lineRule="auto"/>
        <w:rPr>
          <w:rFonts w:eastAsia="+mn-ea" w:cs="+mn-cs"/>
          <w:color w:val="000000"/>
          <w:kern w:val="24"/>
          <w:sz w:val="20"/>
          <w:szCs w:val="20"/>
          <w:lang w:eastAsia="en-AU"/>
        </w:rPr>
      </w:pPr>
    </w:p>
    <w:p w:rsidR="001E1957" w:rsidRPr="00264435" w:rsidRDefault="00F916D6" w:rsidP="00F916D6">
      <w:pPr>
        <w:pStyle w:val="Heading2"/>
        <w:rPr>
          <w:b w:val="0"/>
        </w:rPr>
      </w:pPr>
      <w:bookmarkStart w:id="12" w:name="_Toc482809629"/>
      <w:r w:rsidRPr="00F916D6">
        <w:t xml:space="preserve">A. </w:t>
      </w:r>
      <w:r w:rsidR="00C41A9E">
        <w:t xml:space="preserve">CEO and Commissioner </w:t>
      </w:r>
      <w:r w:rsidR="009249C8" w:rsidRPr="00264435">
        <w:t>Roles</w:t>
      </w:r>
      <w:r w:rsidR="00196BD3">
        <w:t xml:space="preserve"> and Responsibilities</w:t>
      </w:r>
      <w:bookmarkEnd w:id="12"/>
      <w:r w:rsidR="00196BD3">
        <w:t xml:space="preserve"> </w:t>
      </w:r>
    </w:p>
    <w:p w:rsidR="001E1957" w:rsidRDefault="006D4493" w:rsidP="001E1957">
      <w:pPr>
        <w:spacing w:after="200" w:line="240" w:lineRule="auto"/>
        <w:rPr>
          <w:rFonts w:eastAsia="+mn-ea" w:cs="+mn-cs"/>
          <w:b/>
          <w:kern w:val="24"/>
          <w:sz w:val="20"/>
          <w:szCs w:val="20"/>
          <w:lang w:eastAsia="en-AU"/>
        </w:rPr>
      </w:pPr>
      <w:r>
        <w:rPr>
          <w:rFonts w:eastAsia="+mn-ea" w:cs="+mn-cs"/>
          <w:b/>
          <w:kern w:val="24"/>
          <w:sz w:val="20"/>
          <w:szCs w:val="20"/>
          <w:lang w:eastAsia="en-AU"/>
        </w:rPr>
        <w:br/>
      </w:r>
      <w:r w:rsidR="00E35778" w:rsidRPr="00264435">
        <w:rPr>
          <w:rFonts w:eastAsia="+mn-ea" w:cs="+mn-cs"/>
          <w:b/>
          <w:kern w:val="24"/>
          <w:sz w:val="20"/>
          <w:szCs w:val="20"/>
          <w:lang w:eastAsia="en-AU"/>
        </w:rPr>
        <w:t>Key finding</w:t>
      </w:r>
      <w:r w:rsidR="00404549">
        <w:rPr>
          <w:rFonts w:eastAsia="+mn-ea" w:cs="+mn-cs"/>
          <w:b/>
          <w:kern w:val="24"/>
          <w:sz w:val="20"/>
          <w:szCs w:val="20"/>
          <w:lang w:eastAsia="en-AU"/>
        </w:rPr>
        <w:t xml:space="preserve"> </w:t>
      </w:r>
      <w:r w:rsidR="00196BD3">
        <w:rPr>
          <w:rFonts w:eastAsia="+mn-ea" w:cs="+mn-cs"/>
          <w:b/>
          <w:kern w:val="24"/>
          <w:sz w:val="20"/>
          <w:szCs w:val="20"/>
          <w:lang w:eastAsia="en-AU"/>
        </w:rPr>
        <w:t>6</w:t>
      </w:r>
      <w:r w:rsidR="00E35778" w:rsidRPr="00264435">
        <w:rPr>
          <w:rFonts w:eastAsia="+mn-ea" w:cs="+mn-cs"/>
          <w:b/>
          <w:kern w:val="24"/>
          <w:sz w:val="20"/>
          <w:szCs w:val="20"/>
          <w:lang w:eastAsia="en-AU"/>
        </w:rPr>
        <w:t xml:space="preserve">: </w:t>
      </w:r>
      <w:r w:rsidR="001E1957" w:rsidRPr="00264435">
        <w:rPr>
          <w:rFonts w:eastAsia="+mn-ea" w:cs="+mn-cs"/>
          <w:b/>
          <w:kern w:val="24"/>
          <w:sz w:val="20"/>
          <w:szCs w:val="20"/>
          <w:lang w:eastAsia="en-AU"/>
        </w:rPr>
        <w:t>The roles and responsibilities of the NMHC’s Commissioners are not sufficiently clear.</w:t>
      </w:r>
    </w:p>
    <w:p w:rsidR="00196BD3" w:rsidRDefault="00E0345F" w:rsidP="00196BD3">
      <w:pPr>
        <w:spacing w:after="0" w:line="240" w:lineRule="auto"/>
        <w:rPr>
          <w:sz w:val="20"/>
          <w:szCs w:val="18"/>
        </w:rPr>
      </w:pPr>
      <w:r>
        <w:rPr>
          <w:sz w:val="20"/>
          <w:szCs w:val="18"/>
        </w:rPr>
        <w:t>As highlighted above, t</w:t>
      </w:r>
      <w:r w:rsidR="00196BD3" w:rsidRPr="00196BD3">
        <w:rPr>
          <w:sz w:val="20"/>
          <w:szCs w:val="18"/>
        </w:rPr>
        <w:t>he PGPA Rule outlines that the CEO of the NMHC is the ‘accountable authority’ of the entity (</w:t>
      </w:r>
      <w:r w:rsidR="00196BD3">
        <w:rPr>
          <w:sz w:val="20"/>
          <w:szCs w:val="18"/>
        </w:rPr>
        <w:t xml:space="preserve">Schedule 1, </w:t>
      </w:r>
      <w:r w:rsidR="00196BD3" w:rsidRPr="00196BD3">
        <w:rPr>
          <w:sz w:val="20"/>
          <w:szCs w:val="18"/>
        </w:rPr>
        <w:t>s. 15(c)) and that together, the CEO and Commissioners are ‘officials’ of the NMHC (</w:t>
      </w:r>
      <w:r w:rsidR="00196BD3">
        <w:rPr>
          <w:sz w:val="20"/>
          <w:szCs w:val="18"/>
        </w:rPr>
        <w:t xml:space="preserve">Schedule 1, </w:t>
      </w:r>
      <w:proofErr w:type="gramStart"/>
      <w:r w:rsidR="00196BD3" w:rsidRPr="00196BD3">
        <w:rPr>
          <w:sz w:val="20"/>
          <w:szCs w:val="18"/>
        </w:rPr>
        <w:t>s.15(</w:t>
      </w:r>
      <w:proofErr w:type="gramEnd"/>
      <w:r w:rsidR="00196BD3" w:rsidRPr="00196BD3">
        <w:rPr>
          <w:sz w:val="20"/>
          <w:szCs w:val="18"/>
        </w:rPr>
        <w:t>d)).</w:t>
      </w:r>
    </w:p>
    <w:p w:rsidR="00196BD3" w:rsidRPr="00196BD3" w:rsidRDefault="00196BD3" w:rsidP="00196BD3">
      <w:pPr>
        <w:spacing w:after="0" w:line="240" w:lineRule="auto"/>
        <w:rPr>
          <w:sz w:val="20"/>
          <w:szCs w:val="18"/>
        </w:rPr>
      </w:pPr>
    </w:p>
    <w:p w:rsidR="00196BD3" w:rsidRDefault="00196BD3" w:rsidP="00196BD3">
      <w:pPr>
        <w:spacing w:after="0" w:line="240" w:lineRule="auto"/>
        <w:rPr>
          <w:sz w:val="20"/>
          <w:szCs w:val="18"/>
        </w:rPr>
      </w:pPr>
      <w:r w:rsidRPr="00196BD3">
        <w:rPr>
          <w:sz w:val="20"/>
          <w:szCs w:val="18"/>
        </w:rPr>
        <w:t>Division 2, section 15 (1) of the PGPA Act states:</w:t>
      </w:r>
    </w:p>
    <w:p w:rsidR="00196BD3" w:rsidRPr="00196BD3" w:rsidRDefault="00196BD3" w:rsidP="00196BD3">
      <w:pPr>
        <w:spacing w:after="0" w:line="240" w:lineRule="auto"/>
        <w:rPr>
          <w:sz w:val="20"/>
          <w:szCs w:val="18"/>
          <w:u w:val="single"/>
        </w:rPr>
      </w:pPr>
      <w:proofErr w:type="gramStart"/>
      <w:r w:rsidRPr="00196BD3">
        <w:rPr>
          <w:sz w:val="20"/>
          <w:szCs w:val="18"/>
          <w:u w:val="single"/>
        </w:rPr>
        <w:t>15  Duty</w:t>
      </w:r>
      <w:proofErr w:type="gramEnd"/>
      <w:r w:rsidRPr="00196BD3">
        <w:rPr>
          <w:sz w:val="20"/>
          <w:szCs w:val="18"/>
          <w:u w:val="single"/>
        </w:rPr>
        <w:t xml:space="preserve"> to govern the Commonwealth entity</w:t>
      </w:r>
    </w:p>
    <w:p w:rsidR="00196BD3" w:rsidRPr="00153D28" w:rsidRDefault="00196BD3" w:rsidP="00D8278D">
      <w:pPr>
        <w:pStyle w:val="ListParagraph"/>
        <w:numPr>
          <w:ilvl w:val="0"/>
          <w:numId w:val="41"/>
        </w:numPr>
        <w:spacing w:after="0" w:line="240" w:lineRule="auto"/>
        <w:rPr>
          <w:sz w:val="20"/>
          <w:szCs w:val="18"/>
        </w:rPr>
      </w:pPr>
      <w:r w:rsidRPr="00153D28">
        <w:rPr>
          <w:sz w:val="20"/>
          <w:szCs w:val="18"/>
        </w:rPr>
        <w:t>The accountable authority of a Commonwealth entity must govern the entity in a way that:</w:t>
      </w:r>
    </w:p>
    <w:p w:rsidR="00196BD3" w:rsidRPr="00196BD3" w:rsidRDefault="00196BD3" w:rsidP="00D8278D">
      <w:pPr>
        <w:pStyle w:val="ListParagraph"/>
        <w:numPr>
          <w:ilvl w:val="0"/>
          <w:numId w:val="40"/>
        </w:numPr>
        <w:spacing w:after="0" w:line="240" w:lineRule="auto"/>
        <w:rPr>
          <w:sz w:val="20"/>
          <w:szCs w:val="18"/>
        </w:rPr>
      </w:pPr>
      <w:r w:rsidRPr="00196BD3">
        <w:rPr>
          <w:sz w:val="20"/>
          <w:szCs w:val="18"/>
        </w:rPr>
        <w:t>promotes the proper use and management of public resources for which the authority is responsible; and</w:t>
      </w:r>
    </w:p>
    <w:p w:rsidR="00196BD3" w:rsidRPr="00196BD3" w:rsidRDefault="00196BD3" w:rsidP="00D8278D">
      <w:pPr>
        <w:pStyle w:val="ListParagraph"/>
        <w:numPr>
          <w:ilvl w:val="0"/>
          <w:numId w:val="40"/>
        </w:numPr>
        <w:spacing w:after="0" w:line="240" w:lineRule="auto"/>
        <w:rPr>
          <w:sz w:val="20"/>
          <w:szCs w:val="18"/>
        </w:rPr>
      </w:pPr>
      <w:r w:rsidRPr="00196BD3">
        <w:rPr>
          <w:sz w:val="20"/>
          <w:szCs w:val="18"/>
        </w:rPr>
        <w:t>promotes the achievement of the purposes of the entity; and</w:t>
      </w:r>
    </w:p>
    <w:p w:rsidR="00196BD3" w:rsidRPr="00196BD3" w:rsidRDefault="00196BD3" w:rsidP="00D8278D">
      <w:pPr>
        <w:pStyle w:val="ListParagraph"/>
        <w:numPr>
          <w:ilvl w:val="0"/>
          <w:numId w:val="40"/>
        </w:numPr>
        <w:spacing w:after="0" w:line="240" w:lineRule="auto"/>
        <w:rPr>
          <w:sz w:val="20"/>
          <w:szCs w:val="18"/>
        </w:rPr>
      </w:pPr>
      <w:proofErr w:type="gramStart"/>
      <w:r w:rsidRPr="00196BD3">
        <w:rPr>
          <w:sz w:val="20"/>
          <w:szCs w:val="18"/>
        </w:rPr>
        <w:t>promotes</w:t>
      </w:r>
      <w:proofErr w:type="gramEnd"/>
      <w:r w:rsidRPr="00196BD3">
        <w:rPr>
          <w:sz w:val="20"/>
          <w:szCs w:val="18"/>
        </w:rPr>
        <w:t xml:space="preserve"> the financial sustainability of the entity.</w:t>
      </w:r>
    </w:p>
    <w:p w:rsidR="00196BD3" w:rsidRDefault="00196BD3" w:rsidP="00196BD3">
      <w:pPr>
        <w:spacing w:after="0" w:line="240" w:lineRule="auto"/>
        <w:rPr>
          <w:sz w:val="20"/>
          <w:szCs w:val="18"/>
        </w:rPr>
      </w:pPr>
    </w:p>
    <w:p w:rsidR="00196BD3" w:rsidRPr="00196BD3" w:rsidRDefault="00196BD3" w:rsidP="00196BD3">
      <w:pPr>
        <w:spacing w:after="0" w:line="240" w:lineRule="auto"/>
        <w:rPr>
          <w:sz w:val="20"/>
          <w:szCs w:val="18"/>
        </w:rPr>
      </w:pPr>
      <w:r w:rsidRPr="00196BD3">
        <w:rPr>
          <w:sz w:val="20"/>
          <w:szCs w:val="18"/>
        </w:rPr>
        <w:t>The Act’s discussion of the roles of ‘Officials’ (Division 3) is limited to duties of officials (conflicts of interest, good faith dealing etc.</w:t>
      </w:r>
      <w:r>
        <w:rPr>
          <w:sz w:val="20"/>
          <w:szCs w:val="18"/>
        </w:rPr>
        <w:t xml:space="preserve">), rather than explaining their </w:t>
      </w:r>
      <w:r w:rsidRPr="00196BD3">
        <w:rPr>
          <w:sz w:val="20"/>
          <w:szCs w:val="18"/>
        </w:rPr>
        <w:t xml:space="preserve">roles and responsibilities. </w:t>
      </w:r>
    </w:p>
    <w:p w:rsidR="00196BD3" w:rsidRDefault="00196BD3" w:rsidP="006D4493">
      <w:pPr>
        <w:spacing w:after="0" w:line="259" w:lineRule="auto"/>
        <w:rPr>
          <w:sz w:val="20"/>
          <w:szCs w:val="18"/>
        </w:rPr>
      </w:pPr>
    </w:p>
    <w:p w:rsidR="00196BD3" w:rsidRDefault="00196BD3" w:rsidP="00196BD3">
      <w:pPr>
        <w:spacing w:after="0" w:line="259" w:lineRule="auto"/>
        <w:rPr>
          <w:sz w:val="20"/>
          <w:szCs w:val="18"/>
        </w:rPr>
      </w:pPr>
      <w:r>
        <w:rPr>
          <w:sz w:val="20"/>
          <w:szCs w:val="18"/>
        </w:rPr>
        <w:t xml:space="preserve">While the role of the CEO is relatively clearly articulated, the roles and responsibilities of the Commissioners are not clear – and as a result a set of differing, and potentially competing, viewpoints about this aspect of the NMHC’s governance have emerged. </w:t>
      </w:r>
    </w:p>
    <w:p w:rsidR="00196BD3" w:rsidRDefault="00196BD3" w:rsidP="00196BD3">
      <w:pPr>
        <w:spacing w:after="0" w:line="259" w:lineRule="auto"/>
        <w:rPr>
          <w:sz w:val="20"/>
          <w:szCs w:val="18"/>
        </w:rPr>
      </w:pPr>
    </w:p>
    <w:p w:rsidR="000260E5" w:rsidRDefault="00196BD3" w:rsidP="006D4493">
      <w:pPr>
        <w:spacing w:after="0" w:line="259" w:lineRule="auto"/>
        <w:rPr>
          <w:sz w:val="20"/>
          <w:szCs w:val="18"/>
        </w:rPr>
      </w:pPr>
      <w:r>
        <w:rPr>
          <w:sz w:val="20"/>
          <w:szCs w:val="18"/>
        </w:rPr>
        <w:t xml:space="preserve">As Officials of the NMHC, the Commissioners play a critical role in ensuring the success of the NMHC. </w:t>
      </w:r>
      <w:r w:rsidR="00A21FB4">
        <w:rPr>
          <w:sz w:val="20"/>
          <w:szCs w:val="18"/>
        </w:rPr>
        <w:t xml:space="preserve">This review considered </w:t>
      </w:r>
      <w:r w:rsidR="000260E5">
        <w:rPr>
          <w:sz w:val="20"/>
          <w:szCs w:val="18"/>
        </w:rPr>
        <w:t xml:space="preserve">the </w:t>
      </w:r>
      <w:r w:rsidR="00A21FB4">
        <w:rPr>
          <w:sz w:val="20"/>
          <w:szCs w:val="18"/>
        </w:rPr>
        <w:t>Commissioner</w:t>
      </w:r>
      <w:r w:rsidR="000260E5">
        <w:rPr>
          <w:sz w:val="20"/>
          <w:szCs w:val="18"/>
        </w:rPr>
        <w:t>’s</w:t>
      </w:r>
      <w:r w:rsidR="00A21FB4">
        <w:rPr>
          <w:sz w:val="20"/>
          <w:szCs w:val="18"/>
        </w:rPr>
        <w:t xml:space="preserve"> roles through examination of the </w:t>
      </w:r>
      <w:r w:rsidR="00923CD0">
        <w:rPr>
          <w:sz w:val="20"/>
          <w:szCs w:val="18"/>
        </w:rPr>
        <w:t xml:space="preserve">NMHC’s </w:t>
      </w:r>
      <w:r w:rsidR="00A21FB4">
        <w:rPr>
          <w:sz w:val="20"/>
          <w:szCs w:val="18"/>
        </w:rPr>
        <w:t xml:space="preserve">formal </w:t>
      </w:r>
      <w:r w:rsidR="00923CD0">
        <w:rPr>
          <w:sz w:val="20"/>
          <w:szCs w:val="18"/>
        </w:rPr>
        <w:t xml:space="preserve">governance </w:t>
      </w:r>
      <w:r w:rsidR="00A21FB4">
        <w:rPr>
          <w:sz w:val="20"/>
          <w:szCs w:val="18"/>
        </w:rPr>
        <w:t>documentation</w:t>
      </w:r>
      <w:r w:rsidR="00923CD0">
        <w:rPr>
          <w:sz w:val="20"/>
          <w:szCs w:val="18"/>
        </w:rPr>
        <w:t xml:space="preserve"> </w:t>
      </w:r>
      <w:r w:rsidR="00A21FB4">
        <w:rPr>
          <w:sz w:val="20"/>
          <w:szCs w:val="18"/>
        </w:rPr>
        <w:t xml:space="preserve">– including its enabling instruments and Letter of Expectation from the Prime Minister, as well as consultation with a number of stakeholders including the Chair and all NMHC Commissioners. As a result, </w:t>
      </w:r>
      <w:r w:rsidR="00EE04D9">
        <w:rPr>
          <w:sz w:val="20"/>
          <w:szCs w:val="18"/>
        </w:rPr>
        <w:t>three broad ‘positions’</w:t>
      </w:r>
      <w:r w:rsidR="003C1C44">
        <w:rPr>
          <w:sz w:val="20"/>
          <w:szCs w:val="18"/>
        </w:rPr>
        <w:t xml:space="preserve"> of the Commissioners</w:t>
      </w:r>
      <w:r w:rsidR="000260E5">
        <w:rPr>
          <w:sz w:val="20"/>
          <w:szCs w:val="18"/>
        </w:rPr>
        <w:t xml:space="preserve"> have been identified:</w:t>
      </w:r>
    </w:p>
    <w:p w:rsidR="000260E5" w:rsidRDefault="000260E5" w:rsidP="006D4493">
      <w:pPr>
        <w:spacing w:after="0" w:line="259" w:lineRule="auto"/>
        <w:rPr>
          <w:sz w:val="20"/>
          <w:szCs w:val="18"/>
        </w:rPr>
      </w:pPr>
    </w:p>
    <w:p w:rsidR="000260E5" w:rsidRDefault="000260E5" w:rsidP="00D8278D">
      <w:pPr>
        <w:pStyle w:val="ListParagraph"/>
        <w:numPr>
          <w:ilvl w:val="0"/>
          <w:numId w:val="34"/>
        </w:numPr>
        <w:spacing w:after="0" w:line="259" w:lineRule="auto"/>
        <w:rPr>
          <w:sz w:val="20"/>
          <w:szCs w:val="18"/>
        </w:rPr>
      </w:pPr>
      <w:r>
        <w:rPr>
          <w:sz w:val="20"/>
          <w:szCs w:val="18"/>
        </w:rPr>
        <w:t>Position 1: the Com</w:t>
      </w:r>
      <w:r w:rsidR="00915E71">
        <w:rPr>
          <w:sz w:val="20"/>
          <w:szCs w:val="18"/>
        </w:rPr>
        <w:t xml:space="preserve">missioners are </w:t>
      </w:r>
      <w:r>
        <w:rPr>
          <w:sz w:val="20"/>
          <w:szCs w:val="18"/>
        </w:rPr>
        <w:t>individual expert advisors</w:t>
      </w:r>
    </w:p>
    <w:p w:rsidR="000260E5" w:rsidRDefault="000260E5" w:rsidP="00D8278D">
      <w:pPr>
        <w:pStyle w:val="ListParagraph"/>
        <w:numPr>
          <w:ilvl w:val="0"/>
          <w:numId w:val="34"/>
        </w:numPr>
        <w:spacing w:after="0" w:line="259" w:lineRule="auto"/>
        <w:rPr>
          <w:sz w:val="20"/>
          <w:szCs w:val="18"/>
        </w:rPr>
      </w:pPr>
      <w:r>
        <w:rPr>
          <w:sz w:val="20"/>
          <w:szCs w:val="18"/>
        </w:rPr>
        <w:t xml:space="preserve">Position 2: the Commissioners are a collective </w:t>
      </w:r>
      <w:r w:rsidR="00915E71">
        <w:rPr>
          <w:sz w:val="20"/>
          <w:szCs w:val="18"/>
        </w:rPr>
        <w:t xml:space="preserve">expert </w:t>
      </w:r>
      <w:r>
        <w:rPr>
          <w:sz w:val="20"/>
          <w:szCs w:val="18"/>
        </w:rPr>
        <w:t>advisory group</w:t>
      </w:r>
    </w:p>
    <w:p w:rsidR="000260E5" w:rsidRPr="000260E5" w:rsidRDefault="000260E5" w:rsidP="00D8278D">
      <w:pPr>
        <w:pStyle w:val="ListParagraph"/>
        <w:numPr>
          <w:ilvl w:val="0"/>
          <w:numId w:val="34"/>
        </w:numPr>
        <w:spacing w:after="0" w:line="259" w:lineRule="auto"/>
        <w:rPr>
          <w:sz w:val="20"/>
          <w:szCs w:val="18"/>
        </w:rPr>
      </w:pPr>
      <w:r>
        <w:rPr>
          <w:sz w:val="20"/>
          <w:szCs w:val="18"/>
        </w:rPr>
        <w:t xml:space="preserve">Position 3: </w:t>
      </w:r>
      <w:r w:rsidRPr="000260E5">
        <w:rPr>
          <w:sz w:val="20"/>
          <w:szCs w:val="18"/>
        </w:rPr>
        <w:t>the Commissioners have governing (decision-making) roles</w:t>
      </w:r>
      <w:r>
        <w:rPr>
          <w:sz w:val="20"/>
          <w:szCs w:val="18"/>
        </w:rPr>
        <w:t>.</w:t>
      </w:r>
    </w:p>
    <w:p w:rsidR="000260E5" w:rsidRDefault="000260E5" w:rsidP="006D4493">
      <w:pPr>
        <w:spacing w:after="0" w:line="259" w:lineRule="auto"/>
        <w:rPr>
          <w:sz w:val="20"/>
          <w:szCs w:val="18"/>
        </w:rPr>
      </w:pPr>
    </w:p>
    <w:p w:rsidR="006D4493" w:rsidRDefault="000260E5" w:rsidP="006D4493">
      <w:pPr>
        <w:spacing w:after="0" w:line="259" w:lineRule="auto"/>
        <w:rPr>
          <w:sz w:val="20"/>
          <w:szCs w:val="18"/>
        </w:rPr>
      </w:pPr>
      <w:r>
        <w:rPr>
          <w:sz w:val="20"/>
          <w:szCs w:val="18"/>
        </w:rPr>
        <w:t xml:space="preserve">Given current ambiguity, these positions represent potential interpretations of the roles of the NMHC’s Commissioners, and each </w:t>
      </w:r>
      <w:proofErr w:type="gramStart"/>
      <w:r>
        <w:rPr>
          <w:sz w:val="20"/>
          <w:szCs w:val="18"/>
        </w:rPr>
        <w:t>are</w:t>
      </w:r>
      <w:proofErr w:type="gramEnd"/>
      <w:r>
        <w:rPr>
          <w:sz w:val="20"/>
          <w:szCs w:val="18"/>
        </w:rPr>
        <w:t xml:space="preserve"> explored in turn. </w:t>
      </w:r>
    </w:p>
    <w:p w:rsidR="00EE04D9" w:rsidRDefault="00EE04D9" w:rsidP="006D4493">
      <w:pPr>
        <w:spacing w:after="0" w:line="259" w:lineRule="auto"/>
        <w:rPr>
          <w:sz w:val="20"/>
          <w:szCs w:val="18"/>
        </w:rPr>
      </w:pPr>
    </w:p>
    <w:p w:rsidR="00EE04D9" w:rsidRPr="00EE04D9" w:rsidRDefault="00EE04D9" w:rsidP="006D4493">
      <w:pPr>
        <w:spacing w:after="0" w:line="259" w:lineRule="auto"/>
        <w:rPr>
          <w:b/>
          <w:color w:val="012169" w:themeColor="accent4"/>
          <w:sz w:val="20"/>
          <w:szCs w:val="18"/>
        </w:rPr>
      </w:pPr>
      <w:r w:rsidRPr="00EE04D9">
        <w:rPr>
          <w:b/>
          <w:color w:val="012169" w:themeColor="accent4"/>
          <w:sz w:val="20"/>
          <w:szCs w:val="18"/>
        </w:rPr>
        <w:t xml:space="preserve">Position </w:t>
      </w:r>
      <w:r>
        <w:rPr>
          <w:b/>
          <w:color w:val="012169" w:themeColor="accent4"/>
          <w:sz w:val="20"/>
          <w:szCs w:val="18"/>
        </w:rPr>
        <w:t>1</w:t>
      </w:r>
      <w:r w:rsidR="00915E71">
        <w:rPr>
          <w:b/>
          <w:color w:val="012169" w:themeColor="accent4"/>
          <w:sz w:val="20"/>
          <w:szCs w:val="18"/>
        </w:rPr>
        <w:t>: the Commissioners are</w:t>
      </w:r>
      <w:r w:rsidRPr="00EE04D9">
        <w:rPr>
          <w:b/>
          <w:color w:val="012169" w:themeColor="accent4"/>
          <w:sz w:val="20"/>
          <w:szCs w:val="18"/>
        </w:rPr>
        <w:t xml:space="preserve"> individual expert advisors</w:t>
      </w:r>
    </w:p>
    <w:p w:rsidR="00EE04D9" w:rsidRDefault="00EE04D9" w:rsidP="006D4493">
      <w:pPr>
        <w:spacing w:after="0" w:line="259" w:lineRule="auto"/>
        <w:rPr>
          <w:sz w:val="20"/>
          <w:szCs w:val="18"/>
        </w:rPr>
      </w:pPr>
    </w:p>
    <w:p w:rsidR="00F64374" w:rsidRDefault="00F64374" w:rsidP="00EE04D9">
      <w:pPr>
        <w:spacing w:after="0" w:line="259" w:lineRule="auto"/>
        <w:rPr>
          <w:sz w:val="20"/>
          <w:szCs w:val="18"/>
        </w:rPr>
      </w:pPr>
      <w:r>
        <w:rPr>
          <w:sz w:val="20"/>
          <w:szCs w:val="18"/>
        </w:rPr>
        <w:t xml:space="preserve">The Commissioners could be conceived of as individual experts, who advise the NMHC/Government only on areas in which they have particular expertise. The Commissioners could be thought of as a pool of experts, whose input is sought on projects or matters relating to their domain of expertise. </w:t>
      </w:r>
    </w:p>
    <w:p w:rsidR="00F64374" w:rsidRDefault="00F64374" w:rsidP="00EE04D9">
      <w:pPr>
        <w:spacing w:after="0" w:line="259" w:lineRule="auto"/>
        <w:rPr>
          <w:sz w:val="20"/>
          <w:szCs w:val="18"/>
        </w:rPr>
      </w:pPr>
    </w:p>
    <w:p w:rsidR="003C1C44" w:rsidRDefault="003C1C44" w:rsidP="003C1C44">
      <w:pPr>
        <w:spacing w:after="0" w:line="259" w:lineRule="auto"/>
        <w:rPr>
          <w:sz w:val="20"/>
          <w:szCs w:val="18"/>
        </w:rPr>
      </w:pPr>
      <w:r>
        <w:rPr>
          <w:sz w:val="20"/>
          <w:szCs w:val="18"/>
        </w:rPr>
        <w:t>There is some evidence that some stakeholder</w:t>
      </w:r>
      <w:r w:rsidR="000260E5">
        <w:rPr>
          <w:sz w:val="20"/>
          <w:szCs w:val="18"/>
        </w:rPr>
        <w:t>s</w:t>
      </w:r>
      <w:r>
        <w:rPr>
          <w:sz w:val="20"/>
          <w:szCs w:val="18"/>
        </w:rPr>
        <w:t xml:space="preserve"> currently conceive of </w:t>
      </w:r>
      <w:r w:rsidR="00261C71">
        <w:rPr>
          <w:sz w:val="20"/>
          <w:szCs w:val="18"/>
        </w:rPr>
        <w:t>the Commissioner role</w:t>
      </w:r>
      <w:r>
        <w:rPr>
          <w:sz w:val="20"/>
          <w:szCs w:val="18"/>
        </w:rPr>
        <w:t xml:space="preserve"> in this way. </w:t>
      </w:r>
    </w:p>
    <w:p w:rsidR="003C1C44" w:rsidRDefault="003C1C44" w:rsidP="003C1C44">
      <w:pPr>
        <w:spacing w:after="0" w:line="259" w:lineRule="auto"/>
        <w:rPr>
          <w:sz w:val="20"/>
          <w:szCs w:val="18"/>
        </w:rPr>
      </w:pPr>
    </w:p>
    <w:p w:rsidR="00F64374" w:rsidRDefault="003C1C44" w:rsidP="00EE04D9">
      <w:pPr>
        <w:spacing w:after="0" w:line="259" w:lineRule="auto"/>
        <w:rPr>
          <w:sz w:val="20"/>
          <w:szCs w:val="18"/>
        </w:rPr>
      </w:pPr>
      <w:r>
        <w:rPr>
          <w:sz w:val="20"/>
          <w:szCs w:val="18"/>
        </w:rPr>
        <w:t xml:space="preserve">If this was true, </w:t>
      </w:r>
      <w:r w:rsidR="00F64374">
        <w:rPr>
          <w:sz w:val="20"/>
          <w:szCs w:val="18"/>
        </w:rPr>
        <w:t>whilst achieving a consensus view of the Commissioners in the NMHC’s advice</w:t>
      </w:r>
      <w:r>
        <w:rPr>
          <w:sz w:val="20"/>
          <w:szCs w:val="18"/>
        </w:rPr>
        <w:t xml:space="preserve"> would be desirable</w:t>
      </w:r>
      <w:r w:rsidR="00F64374">
        <w:rPr>
          <w:sz w:val="20"/>
          <w:szCs w:val="18"/>
        </w:rPr>
        <w:t xml:space="preserve">, it is </w:t>
      </w:r>
      <w:r w:rsidR="008C5723">
        <w:rPr>
          <w:sz w:val="20"/>
          <w:szCs w:val="18"/>
        </w:rPr>
        <w:t>not necessary to achieve</w:t>
      </w:r>
      <w:r w:rsidR="008C5723" w:rsidRPr="00915E71">
        <w:rPr>
          <w:sz w:val="20"/>
          <w:szCs w:val="18"/>
        </w:rPr>
        <w:t xml:space="preserve">. Hence, </w:t>
      </w:r>
      <w:r w:rsidR="00F64374" w:rsidRPr="00915E71">
        <w:rPr>
          <w:sz w:val="20"/>
          <w:szCs w:val="18"/>
        </w:rPr>
        <w:t xml:space="preserve">the Commissioners </w:t>
      </w:r>
      <w:r w:rsidR="008C5723" w:rsidRPr="00915E71">
        <w:rPr>
          <w:sz w:val="20"/>
          <w:szCs w:val="18"/>
        </w:rPr>
        <w:t xml:space="preserve">would not </w:t>
      </w:r>
      <w:r w:rsidR="00F64374" w:rsidRPr="00915E71">
        <w:rPr>
          <w:sz w:val="20"/>
          <w:szCs w:val="18"/>
        </w:rPr>
        <w:t xml:space="preserve">be expected to </w:t>
      </w:r>
      <w:r w:rsidR="00FC227E" w:rsidRPr="00915E71">
        <w:rPr>
          <w:sz w:val="20"/>
          <w:szCs w:val="18"/>
        </w:rPr>
        <w:t>collectively provide input, review and agree the</w:t>
      </w:r>
      <w:r w:rsidR="00F64374" w:rsidRPr="00915E71">
        <w:rPr>
          <w:sz w:val="20"/>
          <w:szCs w:val="18"/>
        </w:rPr>
        <w:t xml:space="preserve"> ou</w:t>
      </w:r>
      <w:r w:rsidR="008C5723" w:rsidRPr="00915E71">
        <w:rPr>
          <w:sz w:val="20"/>
          <w:szCs w:val="18"/>
        </w:rPr>
        <w:t>tputs or work plan of the NMHC, rather they co</w:t>
      </w:r>
      <w:r w:rsidR="00C41A9E" w:rsidRPr="00915E71">
        <w:rPr>
          <w:sz w:val="20"/>
          <w:szCs w:val="18"/>
        </w:rPr>
        <w:t xml:space="preserve">uld provide selective input and direction </w:t>
      </w:r>
      <w:r w:rsidR="00B13645" w:rsidRPr="00915E71">
        <w:rPr>
          <w:sz w:val="20"/>
          <w:szCs w:val="18"/>
        </w:rPr>
        <w:t>on the</w:t>
      </w:r>
      <w:r w:rsidR="008C5723" w:rsidRPr="00915E71">
        <w:rPr>
          <w:sz w:val="20"/>
          <w:szCs w:val="18"/>
        </w:rPr>
        <w:t xml:space="preserve"> </w:t>
      </w:r>
      <w:r w:rsidR="00F64374" w:rsidRPr="00915E71">
        <w:rPr>
          <w:sz w:val="20"/>
          <w:szCs w:val="18"/>
        </w:rPr>
        <w:t>p</w:t>
      </w:r>
      <w:r w:rsidR="008C5723" w:rsidRPr="00915E71">
        <w:rPr>
          <w:sz w:val="20"/>
          <w:szCs w:val="18"/>
        </w:rPr>
        <w:t>roducts they have</w:t>
      </w:r>
      <w:r w:rsidR="00F64374" w:rsidRPr="00915E71">
        <w:rPr>
          <w:sz w:val="20"/>
          <w:szCs w:val="18"/>
        </w:rPr>
        <w:t xml:space="preserve"> carriage over or involvement with.</w:t>
      </w:r>
      <w:r w:rsidR="00F64374">
        <w:rPr>
          <w:sz w:val="20"/>
          <w:szCs w:val="18"/>
        </w:rPr>
        <w:t xml:space="preserve"> </w:t>
      </w:r>
    </w:p>
    <w:p w:rsidR="003C1C44" w:rsidRDefault="003C1C44" w:rsidP="00EE04D9">
      <w:pPr>
        <w:spacing w:after="0" w:line="259" w:lineRule="auto"/>
        <w:rPr>
          <w:sz w:val="20"/>
          <w:szCs w:val="18"/>
        </w:rPr>
      </w:pPr>
    </w:p>
    <w:p w:rsidR="00F64374" w:rsidRDefault="003C1C44" w:rsidP="00EE04D9">
      <w:pPr>
        <w:spacing w:after="0" w:line="259" w:lineRule="auto"/>
        <w:rPr>
          <w:sz w:val="20"/>
          <w:szCs w:val="18"/>
        </w:rPr>
      </w:pPr>
      <w:r>
        <w:rPr>
          <w:sz w:val="20"/>
          <w:szCs w:val="18"/>
        </w:rPr>
        <w:t xml:space="preserve">This position is unlikely to be supported by a straightforward reading of current enabling instruments and governance documents. </w:t>
      </w:r>
    </w:p>
    <w:p w:rsidR="000260E5" w:rsidRDefault="000260E5" w:rsidP="006D4493">
      <w:pPr>
        <w:spacing w:after="0" w:line="259" w:lineRule="auto"/>
        <w:rPr>
          <w:b/>
          <w:color w:val="012169" w:themeColor="accent4"/>
          <w:sz w:val="20"/>
          <w:szCs w:val="18"/>
        </w:rPr>
      </w:pPr>
    </w:p>
    <w:p w:rsidR="006D4493" w:rsidRPr="00EE04D9" w:rsidRDefault="00EE04D9" w:rsidP="006D4493">
      <w:pPr>
        <w:spacing w:after="0" w:line="259" w:lineRule="auto"/>
        <w:rPr>
          <w:b/>
          <w:color w:val="012169" w:themeColor="accent4"/>
          <w:sz w:val="20"/>
          <w:szCs w:val="18"/>
        </w:rPr>
      </w:pPr>
      <w:r w:rsidRPr="00EE04D9">
        <w:rPr>
          <w:b/>
          <w:color w:val="012169" w:themeColor="accent4"/>
          <w:sz w:val="20"/>
          <w:szCs w:val="18"/>
        </w:rPr>
        <w:t>Position 2: the Commissioner</w:t>
      </w:r>
      <w:r>
        <w:rPr>
          <w:b/>
          <w:color w:val="012169" w:themeColor="accent4"/>
          <w:sz w:val="20"/>
          <w:szCs w:val="18"/>
        </w:rPr>
        <w:t>s</w:t>
      </w:r>
      <w:r w:rsidRPr="00EE04D9">
        <w:rPr>
          <w:b/>
          <w:color w:val="012169" w:themeColor="accent4"/>
          <w:sz w:val="20"/>
          <w:szCs w:val="18"/>
        </w:rPr>
        <w:t xml:space="preserve"> are a collective advisory group</w:t>
      </w:r>
    </w:p>
    <w:p w:rsidR="00EE04D9" w:rsidRDefault="00EE04D9" w:rsidP="00EE04D9">
      <w:pPr>
        <w:spacing w:after="0" w:line="240" w:lineRule="auto"/>
        <w:contextualSpacing/>
        <w:rPr>
          <w:rFonts w:eastAsia="Times New Roman" w:cs="Arial"/>
          <w:color w:val="000000"/>
          <w:kern w:val="24"/>
          <w:sz w:val="20"/>
          <w:szCs w:val="20"/>
          <w:lang w:eastAsia="en-AU"/>
        </w:rPr>
      </w:pPr>
    </w:p>
    <w:p w:rsidR="00F64374" w:rsidRDefault="00F64374" w:rsidP="00EE04D9">
      <w:pPr>
        <w:spacing w:after="0" w:line="240" w:lineRule="auto"/>
        <w:contextualSpacing/>
        <w:rPr>
          <w:rFonts w:eastAsia="Times New Roman" w:cs="Arial"/>
          <w:color w:val="000000"/>
          <w:kern w:val="24"/>
          <w:sz w:val="20"/>
          <w:szCs w:val="20"/>
          <w:lang w:eastAsia="en-AU"/>
        </w:rPr>
      </w:pPr>
      <w:r>
        <w:rPr>
          <w:rFonts w:eastAsia="Times New Roman" w:cs="Arial"/>
          <w:color w:val="000000"/>
          <w:kern w:val="24"/>
          <w:sz w:val="20"/>
          <w:szCs w:val="20"/>
          <w:lang w:eastAsia="en-AU"/>
        </w:rPr>
        <w:t xml:space="preserve">Alternatively, the Commissioners could be conceived of </w:t>
      </w:r>
      <w:r w:rsidR="000260E5">
        <w:rPr>
          <w:rFonts w:eastAsia="Times New Roman" w:cs="Arial"/>
          <w:color w:val="000000"/>
          <w:kern w:val="24"/>
          <w:sz w:val="20"/>
          <w:szCs w:val="20"/>
          <w:lang w:eastAsia="en-AU"/>
        </w:rPr>
        <w:t xml:space="preserve">as </w:t>
      </w:r>
      <w:r>
        <w:rPr>
          <w:rFonts w:eastAsia="Times New Roman" w:cs="Arial"/>
          <w:color w:val="000000"/>
          <w:kern w:val="24"/>
          <w:sz w:val="20"/>
          <w:szCs w:val="20"/>
          <w:lang w:eastAsia="en-AU"/>
        </w:rPr>
        <w:t xml:space="preserve">a group who collectively advise the NMHC/Government, while obviously bringing the specific expertise the each have </w:t>
      </w:r>
      <w:r w:rsidR="007746B3">
        <w:rPr>
          <w:rFonts w:eastAsia="Times New Roman" w:cs="Arial"/>
          <w:color w:val="000000"/>
          <w:kern w:val="24"/>
          <w:sz w:val="20"/>
          <w:szCs w:val="20"/>
          <w:lang w:eastAsia="en-AU"/>
        </w:rPr>
        <w:t>to relevant aspects of the NMHC’s work</w:t>
      </w:r>
      <w:r>
        <w:rPr>
          <w:rFonts w:eastAsia="Times New Roman" w:cs="Arial"/>
          <w:color w:val="000000"/>
          <w:kern w:val="24"/>
          <w:sz w:val="20"/>
          <w:szCs w:val="20"/>
          <w:lang w:eastAsia="en-AU"/>
        </w:rPr>
        <w:t xml:space="preserve">. </w:t>
      </w:r>
    </w:p>
    <w:p w:rsidR="007746B3" w:rsidRDefault="007746B3" w:rsidP="00EE04D9">
      <w:pPr>
        <w:spacing w:after="0" w:line="240" w:lineRule="auto"/>
        <w:contextualSpacing/>
        <w:rPr>
          <w:rFonts w:eastAsia="Times New Roman" w:cs="Arial"/>
          <w:color w:val="000000"/>
          <w:kern w:val="24"/>
          <w:sz w:val="20"/>
          <w:szCs w:val="20"/>
          <w:lang w:eastAsia="en-AU"/>
        </w:rPr>
      </w:pPr>
    </w:p>
    <w:p w:rsidR="00FC227E" w:rsidRDefault="003C1C44" w:rsidP="00EE04D9">
      <w:pPr>
        <w:spacing w:after="0" w:line="240" w:lineRule="auto"/>
        <w:contextualSpacing/>
        <w:rPr>
          <w:rFonts w:eastAsia="Times New Roman" w:cs="Arial"/>
          <w:color w:val="000000"/>
          <w:kern w:val="24"/>
          <w:sz w:val="20"/>
          <w:szCs w:val="20"/>
          <w:lang w:eastAsia="en-AU"/>
        </w:rPr>
      </w:pPr>
      <w:r>
        <w:rPr>
          <w:rFonts w:eastAsia="Times New Roman" w:cs="Arial"/>
          <w:color w:val="000000"/>
          <w:kern w:val="24"/>
          <w:sz w:val="20"/>
          <w:szCs w:val="20"/>
          <w:lang w:eastAsia="en-AU"/>
        </w:rPr>
        <w:t>If this scenario were true</w:t>
      </w:r>
      <w:r w:rsidR="007746B3">
        <w:rPr>
          <w:rFonts w:eastAsia="Times New Roman" w:cs="Arial"/>
          <w:color w:val="000000"/>
          <w:kern w:val="24"/>
          <w:sz w:val="20"/>
          <w:szCs w:val="20"/>
          <w:lang w:eastAsia="en-AU"/>
        </w:rPr>
        <w:t xml:space="preserve">, </w:t>
      </w:r>
      <w:r w:rsidR="00B13645" w:rsidRPr="00915E71">
        <w:rPr>
          <w:rFonts w:eastAsia="Times New Roman" w:cs="Arial"/>
          <w:color w:val="000000"/>
          <w:kern w:val="24"/>
          <w:sz w:val="20"/>
          <w:szCs w:val="20"/>
          <w:lang w:eastAsia="en-AU"/>
        </w:rPr>
        <w:t>the</w:t>
      </w:r>
      <w:r w:rsidR="007746B3" w:rsidRPr="00915E71">
        <w:rPr>
          <w:rFonts w:eastAsia="Times New Roman" w:cs="Arial"/>
          <w:color w:val="000000"/>
          <w:kern w:val="24"/>
          <w:sz w:val="20"/>
          <w:szCs w:val="20"/>
          <w:lang w:eastAsia="en-AU"/>
        </w:rPr>
        <w:t xml:space="preserve"> Commissioners</w:t>
      </w:r>
      <w:r w:rsidR="007214CF" w:rsidRPr="00915E71">
        <w:rPr>
          <w:rFonts w:eastAsia="Times New Roman" w:cs="Arial"/>
          <w:color w:val="000000"/>
          <w:kern w:val="24"/>
          <w:sz w:val="20"/>
          <w:szCs w:val="20"/>
          <w:lang w:eastAsia="en-AU"/>
        </w:rPr>
        <w:t xml:space="preserve"> would </w:t>
      </w:r>
      <w:r w:rsidR="00B13645" w:rsidRPr="00915E71">
        <w:rPr>
          <w:rFonts w:eastAsia="Times New Roman" w:cs="Arial"/>
          <w:color w:val="000000"/>
          <w:kern w:val="24"/>
          <w:sz w:val="20"/>
          <w:szCs w:val="20"/>
          <w:lang w:eastAsia="en-AU"/>
        </w:rPr>
        <w:t>collectively</w:t>
      </w:r>
      <w:r w:rsidR="008C5723" w:rsidRPr="00915E71">
        <w:rPr>
          <w:rFonts w:eastAsia="Times New Roman" w:cs="Arial"/>
          <w:color w:val="000000"/>
          <w:kern w:val="24"/>
          <w:sz w:val="20"/>
          <w:szCs w:val="20"/>
          <w:lang w:eastAsia="en-AU"/>
        </w:rPr>
        <w:t xml:space="preserve"> </w:t>
      </w:r>
      <w:r w:rsidR="007214CF" w:rsidRPr="00915E71">
        <w:rPr>
          <w:rFonts w:eastAsia="Times New Roman" w:cs="Arial"/>
          <w:color w:val="000000"/>
          <w:kern w:val="24"/>
          <w:sz w:val="20"/>
          <w:szCs w:val="20"/>
          <w:lang w:eastAsia="en-AU"/>
        </w:rPr>
        <w:t xml:space="preserve">review, </w:t>
      </w:r>
      <w:r w:rsidR="00B13645" w:rsidRPr="00915E71">
        <w:rPr>
          <w:rFonts w:eastAsia="Times New Roman" w:cs="Arial"/>
          <w:color w:val="000000"/>
          <w:kern w:val="24"/>
          <w:sz w:val="20"/>
          <w:szCs w:val="20"/>
          <w:lang w:eastAsia="en-AU"/>
        </w:rPr>
        <w:t>provide strategic advice</w:t>
      </w:r>
      <w:r w:rsidR="007214CF" w:rsidRPr="00915E71">
        <w:rPr>
          <w:rFonts w:eastAsia="Times New Roman" w:cs="Arial"/>
          <w:color w:val="000000"/>
          <w:kern w:val="24"/>
          <w:sz w:val="20"/>
          <w:szCs w:val="20"/>
          <w:lang w:eastAsia="en-AU"/>
        </w:rPr>
        <w:t xml:space="preserve"> to and where possible collectively agree on</w:t>
      </w:r>
      <w:r w:rsidR="007746B3" w:rsidRPr="00915E71">
        <w:rPr>
          <w:rFonts w:eastAsia="Times New Roman" w:cs="Arial"/>
          <w:color w:val="000000"/>
          <w:kern w:val="24"/>
          <w:sz w:val="20"/>
          <w:szCs w:val="20"/>
          <w:lang w:eastAsia="en-AU"/>
        </w:rPr>
        <w:t xml:space="preserve"> the work of the NMHC, regardless of their personal involvement or expertise</w:t>
      </w:r>
      <w:r w:rsidR="00FC227E" w:rsidRPr="00915E71">
        <w:rPr>
          <w:rFonts w:eastAsia="Times New Roman" w:cs="Arial"/>
          <w:color w:val="000000"/>
          <w:kern w:val="24"/>
          <w:sz w:val="20"/>
          <w:szCs w:val="20"/>
          <w:lang w:eastAsia="en-AU"/>
        </w:rPr>
        <w:t xml:space="preserve">. </w:t>
      </w:r>
    </w:p>
    <w:p w:rsidR="007746B3" w:rsidRDefault="007746B3" w:rsidP="00EE04D9">
      <w:pPr>
        <w:spacing w:after="0" w:line="240" w:lineRule="auto"/>
        <w:contextualSpacing/>
        <w:rPr>
          <w:rFonts w:eastAsia="Times New Roman" w:cs="Arial"/>
          <w:color w:val="000000"/>
          <w:kern w:val="24"/>
          <w:sz w:val="20"/>
          <w:szCs w:val="20"/>
          <w:lang w:eastAsia="en-AU"/>
        </w:rPr>
      </w:pPr>
    </w:p>
    <w:p w:rsidR="00FC227E" w:rsidRPr="00915E71" w:rsidRDefault="00FB5EFC" w:rsidP="0039004E">
      <w:pPr>
        <w:spacing w:after="0" w:line="259" w:lineRule="auto"/>
        <w:rPr>
          <w:rFonts w:eastAsia="Times New Roman" w:cs="Times New Roman"/>
          <w:sz w:val="20"/>
          <w:szCs w:val="20"/>
          <w:lang w:eastAsia="en-AU"/>
        </w:rPr>
      </w:pPr>
      <w:r>
        <w:rPr>
          <w:rFonts w:eastAsia="Times New Roman" w:cs="Arial"/>
          <w:color w:val="000000"/>
          <w:kern w:val="24"/>
          <w:sz w:val="20"/>
          <w:szCs w:val="20"/>
          <w:lang w:eastAsia="en-AU"/>
        </w:rPr>
        <w:t>Ev</w:t>
      </w:r>
      <w:r w:rsidR="007746B3">
        <w:rPr>
          <w:rFonts w:eastAsia="Times New Roman" w:cs="Arial"/>
          <w:color w:val="000000"/>
          <w:kern w:val="24"/>
          <w:sz w:val="20"/>
          <w:szCs w:val="20"/>
          <w:lang w:eastAsia="en-AU"/>
        </w:rPr>
        <w:t xml:space="preserve">idence </w:t>
      </w:r>
      <w:r w:rsidR="00304B37">
        <w:rPr>
          <w:rFonts w:eastAsia="Times New Roman" w:cs="Arial"/>
          <w:color w:val="000000"/>
          <w:kern w:val="24"/>
          <w:sz w:val="20"/>
          <w:szCs w:val="20"/>
          <w:lang w:eastAsia="en-AU"/>
        </w:rPr>
        <w:t>indicates</w:t>
      </w:r>
      <w:r>
        <w:rPr>
          <w:rFonts w:eastAsia="Times New Roman" w:cs="Arial"/>
          <w:color w:val="000000"/>
          <w:kern w:val="24"/>
          <w:sz w:val="20"/>
          <w:szCs w:val="20"/>
          <w:lang w:eastAsia="en-AU"/>
        </w:rPr>
        <w:t xml:space="preserve"> </w:t>
      </w:r>
      <w:r w:rsidR="007746B3">
        <w:rPr>
          <w:rFonts w:eastAsia="Times New Roman" w:cs="Arial"/>
          <w:color w:val="000000"/>
          <w:kern w:val="24"/>
          <w:sz w:val="20"/>
          <w:szCs w:val="20"/>
          <w:lang w:eastAsia="en-AU"/>
        </w:rPr>
        <w:t xml:space="preserve">that </w:t>
      </w:r>
      <w:r>
        <w:rPr>
          <w:rFonts w:eastAsia="Times New Roman" w:cs="Arial"/>
          <w:color w:val="000000"/>
          <w:kern w:val="24"/>
          <w:sz w:val="20"/>
          <w:szCs w:val="20"/>
          <w:lang w:eastAsia="en-AU"/>
        </w:rPr>
        <w:t xml:space="preserve">the </w:t>
      </w:r>
      <w:r w:rsidR="007746B3">
        <w:rPr>
          <w:rFonts w:eastAsia="Times New Roman" w:cs="Arial"/>
          <w:color w:val="000000"/>
          <w:kern w:val="24"/>
          <w:sz w:val="20"/>
          <w:szCs w:val="20"/>
          <w:lang w:eastAsia="en-AU"/>
        </w:rPr>
        <w:t>enabling documents envisioned such a role for the Commissioners. For example, t</w:t>
      </w:r>
      <w:r w:rsidR="007746B3" w:rsidRPr="00264435">
        <w:rPr>
          <w:rFonts w:eastAsia="Times New Roman" w:cs="Times New Roman"/>
          <w:sz w:val="20"/>
          <w:szCs w:val="20"/>
          <w:lang w:eastAsia="en-AU"/>
        </w:rPr>
        <w:t>he Prime</w:t>
      </w:r>
      <w:r w:rsidR="00D552BD">
        <w:rPr>
          <w:rFonts w:eastAsia="Times New Roman" w:cs="Times New Roman"/>
          <w:sz w:val="20"/>
          <w:szCs w:val="20"/>
          <w:lang w:eastAsia="en-AU"/>
        </w:rPr>
        <w:t xml:space="preserve"> </w:t>
      </w:r>
      <w:r w:rsidR="007746B3" w:rsidRPr="00264435">
        <w:rPr>
          <w:rFonts w:eastAsia="Times New Roman" w:cs="Times New Roman"/>
          <w:sz w:val="20"/>
          <w:szCs w:val="20"/>
          <w:lang w:eastAsia="en-AU"/>
        </w:rPr>
        <w:t xml:space="preserve">Minister’s original Letter of Expectation states </w:t>
      </w:r>
      <w:r w:rsidR="007746B3" w:rsidRPr="00264435">
        <w:rPr>
          <w:rFonts w:eastAsia="Times New Roman" w:cs="Times New Roman"/>
          <w:sz w:val="20"/>
          <w:szCs w:val="20"/>
          <w:lang w:eastAsia="en-AU"/>
        </w:rPr>
        <w:lastRenderedPageBreak/>
        <w:t xml:space="preserve">that the Commissioners are appointed to “operate as an </w:t>
      </w:r>
      <w:r w:rsidR="007746B3" w:rsidRPr="00264435">
        <w:rPr>
          <w:rFonts w:eastAsia="Times New Roman" w:cs="Times New Roman"/>
          <w:sz w:val="20"/>
          <w:szCs w:val="20"/>
          <w:u w:val="single"/>
          <w:lang w:eastAsia="en-AU"/>
        </w:rPr>
        <w:t>Advisory Board</w:t>
      </w:r>
      <w:r w:rsidR="007746B3" w:rsidRPr="00264435">
        <w:rPr>
          <w:rFonts w:eastAsia="Times New Roman" w:cs="Times New Roman"/>
          <w:sz w:val="20"/>
          <w:szCs w:val="20"/>
          <w:lang w:eastAsia="en-AU"/>
        </w:rPr>
        <w:t>… The Role of the Advisory Board will be to provide advice … and shape the strategic direction of the Commission.”</w:t>
      </w:r>
      <w:r w:rsidR="0039004E">
        <w:rPr>
          <w:rFonts w:eastAsia="Times New Roman" w:cs="Times New Roman"/>
          <w:sz w:val="20"/>
          <w:szCs w:val="20"/>
          <w:lang w:eastAsia="en-AU"/>
        </w:rPr>
        <w:t xml:space="preserve"> </w:t>
      </w:r>
      <w:r w:rsidR="0039004E" w:rsidRPr="00915E71">
        <w:rPr>
          <w:rFonts w:eastAsia="Times New Roman" w:cs="Times New Roman"/>
          <w:sz w:val="20"/>
          <w:szCs w:val="20"/>
          <w:lang w:eastAsia="en-AU"/>
        </w:rPr>
        <w:t xml:space="preserve">and </w:t>
      </w:r>
      <w:r w:rsidR="002C2A53" w:rsidRPr="00915E71">
        <w:rPr>
          <w:rFonts w:eastAsia="Times New Roman" w:cs="Times New Roman"/>
          <w:sz w:val="20"/>
          <w:szCs w:val="20"/>
          <w:lang w:eastAsia="en-AU"/>
        </w:rPr>
        <w:t xml:space="preserve">“the CEO </w:t>
      </w:r>
      <w:r w:rsidR="002C2A53" w:rsidRPr="00915E71">
        <w:rPr>
          <w:rFonts w:eastAsia="Times New Roman" w:cs="Times New Roman"/>
          <w:sz w:val="20"/>
          <w:szCs w:val="20"/>
          <w:u w:val="single"/>
          <w:lang w:eastAsia="en-AU"/>
        </w:rPr>
        <w:t xml:space="preserve">must consult </w:t>
      </w:r>
      <w:r w:rsidR="002C2A53" w:rsidRPr="00915E71">
        <w:rPr>
          <w:rFonts w:eastAsia="Times New Roman" w:cs="Times New Roman"/>
          <w:sz w:val="20"/>
          <w:szCs w:val="20"/>
          <w:lang w:eastAsia="en-AU"/>
        </w:rPr>
        <w:t xml:space="preserve">the Advisory Board … when developing and preparing the strategic and annual operation plans.” </w:t>
      </w:r>
      <w:r w:rsidR="0039004E" w:rsidRPr="00915E71">
        <w:rPr>
          <w:rFonts w:eastAsia="Times New Roman" w:cs="Times New Roman"/>
          <w:sz w:val="20"/>
          <w:szCs w:val="20"/>
          <w:lang w:eastAsia="en-AU"/>
        </w:rPr>
        <w:t xml:space="preserve"> </w:t>
      </w:r>
      <w:r w:rsidRPr="00915E71">
        <w:rPr>
          <w:rFonts w:eastAsia="Times New Roman" w:cs="Times New Roman"/>
          <w:sz w:val="20"/>
          <w:szCs w:val="20"/>
          <w:lang w:eastAsia="en-AU"/>
        </w:rPr>
        <w:t>T</w:t>
      </w:r>
      <w:r w:rsidR="0039004E" w:rsidRPr="00915E71">
        <w:rPr>
          <w:rFonts w:eastAsia="Times New Roman" w:cs="Times New Roman"/>
          <w:sz w:val="20"/>
          <w:szCs w:val="20"/>
          <w:lang w:eastAsia="en-AU"/>
        </w:rPr>
        <w:t xml:space="preserve">he reference of an </w:t>
      </w:r>
      <w:r w:rsidRPr="00915E71">
        <w:rPr>
          <w:rFonts w:eastAsia="Times New Roman" w:cs="Times New Roman"/>
          <w:sz w:val="20"/>
          <w:szCs w:val="20"/>
          <w:lang w:eastAsia="en-AU"/>
        </w:rPr>
        <w:t>‘</w:t>
      </w:r>
      <w:r w:rsidR="0039004E" w:rsidRPr="00915E71">
        <w:rPr>
          <w:rFonts w:eastAsia="Times New Roman" w:cs="Times New Roman"/>
          <w:sz w:val="20"/>
          <w:szCs w:val="20"/>
          <w:lang w:eastAsia="en-AU"/>
        </w:rPr>
        <w:t>advisory board</w:t>
      </w:r>
      <w:r w:rsidRPr="00915E71">
        <w:rPr>
          <w:rFonts w:eastAsia="Times New Roman" w:cs="Times New Roman"/>
          <w:sz w:val="20"/>
          <w:szCs w:val="20"/>
          <w:lang w:eastAsia="en-AU"/>
        </w:rPr>
        <w:t>’</w:t>
      </w:r>
      <w:r w:rsidR="00FC227E" w:rsidRPr="00915E71">
        <w:rPr>
          <w:rFonts w:eastAsia="Times New Roman" w:cs="Times New Roman"/>
          <w:sz w:val="20"/>
          <w:szCs w:val="20"/>
          <w:lang w:eastAsia="en-AU"/>
        </w:rPr>
        <w:t xml:space="preserve"> suggest that there should be a deg</w:t>
      </w:r>
      <w:r w:rsidR="007214CF" w:rsidRPr="00915E71">
        <w:rPr>
          <w:rFonts w:eastAsia="Times New Roman" w:cs="Times New Roman"/>
          <w:sz w:val="20"/>
          <w:szCs w:val="20"/>
          <w:lang w:eastAsia="en-AU"/>
        </w:rPr>
        <w:t>ree of collective input</w:t>
      </w:r>
      <w:r w:rsidR="0039004E" w:rsidRPr="00915E71">
        <w:rPr>
          <w:rFonts w:eastAsia="Times New Roman" w:cs="Times New Roman"/>
          <w:sz w:val="20"/>
          <w:szCs w:val="20"/>
          <w:lang w:eastAsia="en-AU"/>
        </w:rPr>
        <w:t xml:space="preserve"> amongst the Commissioners themselves</w:t>
      </w:r>
      <w:r w:rsidR="007214CF" w:rsidRPr="00915E71">
        <w:rPr>
          <w:rFonts w:eastAsia="Times New Roman" w:cs="Times New Roman"/>
          <w:sz w:val="20"/>
          <w:szCs w:val="20"/>
          <w:lang w:eastAsia="en-AU"/>
        </w:rPr>
        <w:t xml:space="preserve"> in shaping the NMHC’s s</w:t>
      </w:r>
      <w:r w:rsidR="00FC227E" w:rsidRPr="00915E71">
        <w:rPr>
          <w:rFonts w:eastAsia="Times New Roman" w:cs="Times New Roman"/>
          <w:sz w:val="20"/>
          <w:szCs w:val="20"/>
          <w:lang w:eastAsia="en-AU"/>
        </w:rPr>
        <w:t>trategic direction</w:t>
      </w:r>
      <w:r w:rsidR="007214CF" w:rsidRPr="00915E71">
        <w:rPr>
          <w:rFonts w:eastAsia="Times New Roman" w:cs="Times New Roman"/>
          <w:sz w:val="20"/>
          <w:szCs w:val="20"/>
          <w:lang w:eastAsia="en-AU"/>
        </w:rPr>
        <w:t xml:space="preserve"> and key outputs</w:t>
      </w:r>
      <w:r w:rsidR="009668E8">
        <w:rPr>
          <w:rFonts w:eastAsia="Times New Roman" w:cs="Times New Roman"/>
          <w:sz w:val="20"/>
          <w:szCs w:val="20"/>
          <w:lang w:eastAsia="en-AU"/>
        </w:rPr>
        <w:t>.</w:t>
      </w:r>
    </w:p>
    <w:p w:rsidR="0039004E" w:rsidRPr="00915E71" w:rsidRDefault="0039004E" w:rsidP="0039004E">
      <w:pPr>
        <w:spacing w:after="0" w:line="259" w:lineRule="auto"/>
        <w:rPr>
          <w:rFonts w:eastAsia="Times New Roman" w:cs="Times New Roman"/>
          <w:sz w:val="20"/>
          <w:szCs w:val="20"/>
          <w:lang w:eastAsia="en-AU"/>
        </w:rPr>
      </w:pPr>
    </w:p>
    <w:p w:rsidR="00915E71" w:rsidRDefault="003E42D5" w:rsidP="007214CF">
      <w:pPr>
        <w:spacing w:after="200" w:line="276" w:lineRule="auto"/>
        <w:rPr>
          <w:rFonts w:eastAsia="Times New Roman" w:cs="Arial"/>
          <w:color w:val="000000"/>
          <w:kern w:val="24"/>
          <w:sz w:val="20"/>
          <w:szCs w:val="20"/>
          <w:lang w:eastAsia="en-AU"/>
        </w:rPr>
      </w:pPr>
      <w:r w:rsidRPr="00915E71">
        <w:rPr>
          <w:sz w:val="20"/>
          <w:szCs w:val="18"/>
        </w:rPr>
        <w:t>Under this arrangement, it is</w:t>
      </w:r>
      <w:r w:rsidR="00644ABF" w:rsidRPr="00915E71">
        <w:rPr>
          <w:sz w:val="20"/>
          <w:szCs w:val="18"/>
        </w:rPr>
        <w:t xml:space="preserve"> important that the CEO consult and, where relevant, work</w:t>
      </w:r>
      <w:r w:rsidR="00644ABF" w:rsidRPr="00915E71">
        <w:rPr>
          <w:color w:val="FF0000"/>
          <w:sz w:val="20"/>
          <w:szCs w:val="18"/>
        </w:rPr>
        <w:t xml:space="preserve"> </w:t>
      </w:r>
      <w:r w:rsidRPr="00915E71">
        <w:rPr>
          <w:sz w:val="20"/>
          <w:szCs w:val="18"/>
        </w:rPr>
        <w:t xml:space="preserve">closely with all the Commissioners on significant decisions. This would include strategy and work-plan setting, and any significant external communications or outputs, such as advice to be released. </w:t>
      </w:r>
      <w:r w:rsidRPr="00915E71">
        <w:rPr>
          <w:rFonts w:eastAsia="Times New Roman" w:cs="Times New Roman"/>
          <w:sz w:val="20"/>
          <w:szCs w:val="20"/>
          <w:lang w:eastAsia="en-AU"/>
        </w:rPr>
        <w:t xml:space="preserve">As part of this arrangement, </w:t>
      </w:r>
      <w:r w:rsidRPr="00915E71">
        <w:rPr>
          <w:rFonts w:eastAsia="Times New Roman" w:cs="Arial"/>
          <w:color w:val="000000"/>
          <w:kern w:val="24"/>
          <w:sz w:val="20"/>
          <w:szCs w:val="20"/>
          <w:lang w:eastAsia="en-AU"/>
        </w:rPr>
        <w:t>if the advice of the Commissioners was not taken by the NMHC a reasonable explanation should be provided by the CEO.</w:t>
      </w:r>
      <w:r>
        <w:rPr>
          <w:rFonts w:eastAsia="Times New Roman" w:cs="Arial"/>
          <w:color w:val="000000"/>
          <w:kern w:val="24"/>
          <w:sz w:val="20"/>
          <w:szCs w:val="20"/>
          <w:lang w:eastAsia="en-AU"/>
        </w:rPr>
        <w:t xml:space="preserve"> </w:t>
      </w:r>
    </w:p>
    <w:p w:rsidR="007214CF" w:rsidRPr="00264435" w:rsidRDefault="00915E71" w:rsidP="007214CF">
      <w:pPr>
        <w:spacing w:after="200" w:line="276" w:lineRule="auto"/>
        <w:rPr>
          <w:rFonts w:eastAsia="Times New Roman" w:cs="Times New Roman"/>
          <w:sz w:val="20"/>
          <w:szCs w:val="20"/>
          <w:lang w:eastAsia="en-AU"/>
        </w:rPr>
      </w:pPr>
      <w:r>
        <w:rPr>
          <w:rFonts w:eastAsia="Times New Roman" w:cs="Arial"/>
          <w:color w:val="000000"/>
          <w:kern w:val="24"/>
          <w:sz w:val="20"/>
          <w:szCs w:val="20"/>
          <w:lang w:eastAsia="en-AU"/>
        </w:rPr>
        <w:t>It is also reasonably clear from this outline of expectations that the Commissioners were not expected to play a full governance role beyond involvement in</w:t>
      </w:r>
      <w:r w:rsidR="00CB30B0">
        <w:rPr>
          <w:rFonts w:eastAsia="Times New Roman" w:cs="Arial"/>
          <w:color w:val="000000"/>
          <w:kern w:val="24"/>
          <w:sz w:val="20"/>
          <w:szCs w:val="20"/>
          <w:lang w:eastAsia="en-AU"/>
        </w:rPr>
        <w:t xml:space="preserve"> the shaping of the strategic direction and input into the strategic and annual operating plans.</w:t>
      </w:r>
    </w:p>
    <w:p w:rsidR="00CC4965" w:rsidRDefault="00CC4965" w:rsidP="006D4493">
      <w:pPr>
        <w:spacing w:after="0" w:line="259" w:lineRule="auto"/>
        <w:rPr>
          <w:b/>
          <w:color w:val="012169" w:themeColor="accent4"/>
          <w:sz w:val="20"/>
          <w:szCs w:val="18"/>
        </w:rPr>
      </w:pPr>
    </w:p>
    <w:p w:rsidR="00EE04D9" w:rsidRPr="00EE04D9" w:rsidRDefault="00EE04D9" w:rsidP="006D4493">
      <w:pPr>
        <w:spacing w:after="0" w:line="259" w:lineRule="auto"/>
        <w:rPr>
          <w:b/>
          <w:color w:val="012169" w:themeColor="accent4"/>
          <w:sz w:val="20"/>
          <w:szCs w:val="18"/>
        </w:rPr>
      </w:pPr>
      <w:r w:rsidRPr="00EE04D9">
        <w:rPr>
          <w:b/>
          <w:color w:val="012169" w:themeColor="accent4"/>
          <w:sz w:val="20"/>
          <w:szCs w:val="18"/>
        </w:rPr>
        <w:t>Position 3: the Commissioners have governing (decision-making) roles</w:t>
      </w:r>
    </w:p>
    <w:p w:rsidR="00EE04D9" w:rsidRDefault="00EE04D9" w:rsidP="006D4493">
      <w:pPr>
        <w:spacing w:after="0" w:line="259" w:lineRule="auto"/>
        <w:rPr>
          <w:sz w:val="20"/>
          <w:szCs w:val="18"/>
        </w:rPr>
      </w:pPr>
    </w:p>
    <w:p w:rsidR="003C1C44" w:rsidRDefault="00D552BD" w:rsidP="00EE04D9">
      <w:pPr>
        <w:spacing w:after="0" w:line="259" w:lineRule="auto"/>
        <w:rPr>
          <w:sz w:val="20"/>
          <w:szCs w:val="18"/>
        </w:rPr>
      </w:pPr>
      <w:r>
        <w:rPr>
          <w:sz w:val="20"/>
          <w:szCs w:val="18"/>
        </w:rPr>
        <w:t xml:space="preserve">A parallel question, alongside the individual or collective </w:t>
      </w:r>
      <w:r w:rsidR="007214CF">
        <w:rPr>
          <w:sz w:val="20"/>
          <w:szCs w:val="18"/>
        </w:rPr>
        <w:t>role</w:t>
      </w:r>
      <w:r>
        <w:rPr>
          <w:sz w:val="20"/>
          <w:szCs w:val="18"/>
        </w:rPr>
        <w:t xml:space="preserve"> of the Commissioners, is their roles in the governance of the NMHC. Some stakeholders indicated a belief that the Commissioner should have a decision-making role within the NMHC. </w:t>
      </w:r>
    </w:p>
    <w:p w:rsidR="003C1C44" w:rsidRDefault="003C1C44" w:rsidP="00EE04D9">
      <w:pPr>
        <w:spacing w:after="0" w:line="259" w:lineRule="auto"/>
        <w:rPr>
          <w:sz w:val="20"/>
          <w:szCs w:val="18"/>
        </w:rPr>
      </w:pPr>
    </w:p>
    <w:p w:rsidR="00EE04D9" w:rsidRDefault="003C1C44" w:rsidP="00EE04D9">
      <w:pPr>
        <w:spacing w:after="0" w:line="259" w:lineRule="auto"/>
        <w:rPr>
          <w:sz w:val="20"/>
          <w:szCs w:val="18"/>
        </w:rPr>
      </w:pPr>
      <w:r>
        <w:rPr>
          <w:sz w:val="20"/>
          <w:szCs w:val="18"/>
        </w:rPr>
        <w:t>If this were true, t</w:t>
      </w:r>
      <w:r w:rsidR="00D552BD">
        <w:rPr>
          <w:sz w:val="20"/>
          <w:szCs w:val="18"/>
        </w:rPr>
        <w:t xml:space="preserve">his would involve </w:t>
      </w:r>
      <w:r w:rsidR="00EE04D9" w:rsidRPr="00CB30B0">
        <w:rPr>
          <w:sz w:val="20"/>
          <w:szCs w:val="18"/>
        </w:rPr>
        <w:t xml:space="preserve">a </w:t>
      </w:r>
      <w:r w:rsidR="007214CF" w:rsidRPr="00CB30B0">
        <w:rPr>
          <w:sz w:val="20"/>
          <w:szCs w:val="18"/>
        </w:rPr>
        <w:t xml:space="preserve">greater directive </w:t>
      </w:r>
      <w:r w:rsidR="00EE04D9" w:rsidRPr="00CB30B0">
        <w:rPr>
          <w:sz w:val="20"/>
          <w:szCs w:val="18"/>
        </w:rPr>
        <w:t>role</w:t>
      </w:r>
      <w:r w:rsidR="00CB30B0" w:rsidRPr="00CB30B0">
        <w:rPr>
          <w:sz w:val="20"/>
          <w:szCs w:val="18"/>
        </w:rPr>
        <w:t xml:space="preserve"> in strategy setting, resourcing, staffing and operating arrangements</w:t>
      </w:r>
      <w:r w:rsidR="007214CF" w:rsidRPr="00CB30B0">
        <w:rPr>
          <w:sz w:val="20"/>
          <w:szCs w:val="18"/>
        </w:rPr>
        <w:t>,</w:t>
      </w:r>
      <w:r w:rsidR="00CB30B0" w:rsidRPr="00CB30B0">
        <w:rPr>
          <w:sz w:val="20"/>
          <w:szCs w:val="18"/>
        </w:rPr>
        <w:t xml:space="preserve"> beyond involvement in</w:t>
      </w:r>
      <w:r w:rsidR="007214CF" w:rsidRPr="00CB30B0">
        <w:rPr>
          <w:sz w:val="20"/>
          <w:szCs w:val="18"/>
        </w:rPr>
        <w:t xml:space="preserve"> </w:t>
      </w:r>
      <w:r w:rsidR="00EE04D9" w:rsidRPr="00CB30B0">
        <w:rPr>
          <w:sz w:val="20"/>
          <w:szCs w:val="18"/>
        </w:rPr>
        <w:t xml:space="preserve">contributing to and signing-off on the NMHC’s </w:t>
      </w:r>
      <w:r w:rsidR="00CB30B0" w:rsidRPr="00CB30B0">
        <w:rPr>
          <w:sz w:val="20"/>
          <w:szCs w:val="18"/>
        </w:rPr>
        <w:t>strategic direction and</w:t>
      </w:r>
      <w:r w:rsidR="007214CF" w:rsidRPr="00CB30B0">
        <w:rPr>
          <w:sz w:val="20"/>
          <w:szCs w:val="18"/>
        </w:rPr>
        <w:t xml:space="preserve"> </w:t>
      </w:r>
      <w:r w:rsidR="00EE04D9" w:rsidRPr="00CB30B0">
        <w:rPr>
          <w:sz w:val="20"/>
          <w:szCs w:val="18"/>
        </w:rPr>
        <w:t>work plan</w:t>
      </w:r>
      <w:r w:rsidR="00D552BD" w:rsidRPr="00CB30B0">
        <w:rPr>
          <w:sz w:val="20"/>
          <w:szCs w:val="18"/>
        </w:rPr>
        <w:t>.</w:t>
      </w:r>
      <w:r w:rsidR="00D552BD">
        <w:rPr>
          <w:sz w:val="20"/>
          <w:szCs w:val="18"/>
        </w:rPr>
        <w:t xml:space="preserve"> In practice that would mean that the </w:t>
      </w:r>
      <w:r w:rsidR="00EE04D9" w:rsidRPr="00EE04D9">
        <w:rPr>
          <w:sz w:val="20"/>
          <w:szCs w:val="18"/>
        </w:rPr>
        <w:t xml:space="preserve">CEO </w:t>
      </w:r>
      <w:r w:rsidR="00D552BD">
        <w:rPr>
          <w:sz w:val="20"/>
          <w:szCs w:val="18"/>
        </w:rPr>
        <w:t xml:space="preserve">would </w:t>
      </w:r>
      <w:r w:rsidR="007214CF">
        <w:rPr>
          <w:sz w:val="20"/>
          <w:szCs w:val="18"/>
        </w:rPr>
        <w:t xml:space="preserve">make </w:t>
      </w:r>
      <w:r w:rsidR="00EE04D9" w:rsidRPr="00EE04D9">
        <w:rPr>
          <w:sz w:val="20"/>
          <w:szCs w:val="18"/>
        </w:rPr>
        <w:t>strategic and functional decisions with the Commissioners</w:t>
      </w:r>
      <w:r w:rsidR="00D552BD">
        <w:rPr>
          <w:sz w:val="20"/>
          <w:szCs w:val="18"/>
        </w:rPr>
        <w:t>, and that t</w:t>
      </w:r>
      <w:r w:rsidR="00EE04D9" w:rsidRPr="00EE04D9">
        <w:rPr>
          <w:sz w:val="20"/>
          <w:szCs w:val="18"/>
        </w:rPr>
        <w:t xml:space="preserve">he duties and obligations of </w:t>
      </w:r>
      <w:r w:rsidR="00D552BD">
        <w:rPr>
          <w:sz w:val="20"/>
          <w:szCs w:val="18"/>
        </w:rPr>
        <w:t>g</w:t>
      </w:r>
      <w:r w:rsidR="00EE04D9" w:rsidRPr="00EE04D9">
        <w:rPr>
          <w:sz w:val="20"/>
          <w:szCs w:val="18"/>
        </w:rPr>
        <w:t xml:space="preserve">overning </w:t>
      </w:r>
      <w:r w:rsidR="00D552BD">
        <w:rPr>
          <w:sz w:val="20"/>
          <w:szCs w:val="18"/>
        </w:rPr>
        <w:t>b</w:t>
      </w:r>
      <w:r w:rsidR="00EE04D9" w:rsidRPr="00EE04D9">
        <w:rPr>
          <w:sz w:val="20"/>
          <w:szCs w:val="18"/>
        </w:rPr>
        <w:t xml:space="preserve">oard members </w:t>
      </w:r>
      <w:r w:rsidR="00D552BD">
        <w:rPr>
          <w:sz w:val="20"/>
          <w:szCs w:val="18"/>
        </w:rPr>
        <w:t xml:space="preserve">would </w:t>
      </w:r>
      <w:r w:rsidR="00EE04D9" w:rsidRPr="00EE04D9">
        <w:rPr>
          <w:sz w:val="20"/>
          <w:szCs w:val="18"/>
        </w:rPr>
        <w:t>apply to the Commissioners</w:t>
      </w:r>
      <w:r w:rsidR="00D552BD">
        <w:rPr>
          <w:sz w:val="20"/>
          <w:szCs w:val="18"/>
        </w:rPr>
        <w:t>.</w:t>
      </w:r>
    </w:p>
    <w:p w:rsidR="00D552BD" w:rsidRDefault="00D552BD" w:rsidP="00EE04D9">
      <w:pPr>
        <w:spacing w:after="0" w:line="259" w:lineRule="auto"/>
        <w:rPr>
          <w:sz w:val="20"/>
          <w:szCs w:val="18"/>
        </w:rPr>
      </w:pPr>
    </w:p>
    <w:p w:rsidR="00D552BD" w:rsidRDefault="00FB5EFC" w:rsidP="00FB5EFC">
      <w:pPr>
        <w:spacing w:after="0" w:line="259" w:lineRule="auto"/>
        <w:rPr>
          <w:rFonts w:eastAsia="+mn-ea" w:cs="+mn-cs"/>
          <w:color w:val="000000"/>
          <w:kern w:val="24"/>
          <w:sz w:val="20"/>
          <w:szCs w:val="20"/>
          <w:lang w:eastAsia="en-AU"/>
        </w:rPr>
      </w:pPr>
      <w:r>
        <w:rPr>
          <w:sz w:val="20"/>
          <w:szCs w:val="18"/>
        </w:rPr>
        <w:t>There is limited evidence to sugg</w:t>
      </w:r>
      <w:r w:rsidR="00CB30B0">
        <w:rPr>
          <w:sz w:val="20"/>
          <w:szCs w:val="18"/>
        </w:rPr>
        <w:t>est that the Commissioners were ever intended to</w:t>
      </w:r>
      <w:r>
        <w:rPr>
          <w:sz w:val="20"/>
          <w:szCs w:val="18"/>
        </w:rPr>
        <w:t xml:space="preserve"> undertake such a role, with l</w:t>
      </w:r>
      <w:r w:rsidR="00EE04D9" w:rsidRPr="00264435">
        <w:rPr>
          <w:sz w:val="20"/>
          <w:szCs w:val="18"/>
        </w:rPr>
        <w:t>egislation</w:t>
      </w:r>
      <w:r>
        <w:rPr>
          <w:sz w:val="20"/>
          <w:szCs w:val="18"/>
        </w:rPr>
        <w:t xml:space="preserve"> identifying</w:t>
      </w:r>
      <w:r w:rsidR="00EE04D9" w:rsidRPr="00264435">
        <w:rPr>
          <w:sz w:val="20"/>
          <w:szCs w:val="18"/>
        </w:rPr>
        <w:t xml:space="preserve"> the CEO as the ‘</w:t>
      </w:r>
      <w:proofErr w:type="gramStart"/>
      <w:r w:rsidR="00EE04D9" w:rsidRPr="00264435">
        <w:rPr>
          <w:sz w:val="20"/>
          <w:szCs w:val="18"/>
        </w:rPr>
        <w:t>accountable</w:t>
      </w:r>
      <w:proofErr w:type="gramEnd"/>
      <w:r w:rsidR="00EE04D9" w:rsidRPr="00264435">
        <w:rPr>
          <w:sz w:val="20"/>
          <w:szCs w:val="18"/>
        </w:rPr>
        <w:t xml:space="preserve"> authority’ of the NMHC</w:t>
      </w:r>
      <w:r w:rsidR="00EE04D9" w:rsidRPr="00264435">
        <w:rPr>
          <w:rStyle w:val="FootnoteReference"/>
          <w:sz w:val="20"/>
          <w:szCs w:val="18"/>
        </w:rPr>
        <w:footnoteReference w:id="13"/>
      </w:r>
      <w:r>
        <w:rPr>
          <w:sz w:val="20"/>
          <w:szCs w:val="18"/>
        </w:rPr>
        <w:t xml:space="preserve">. </w:t>
      </w:r>
      <w:proofErr w:type="gramStart"/>
      <w:r>
        <w:rPr>
          <w:sz w:val="20"/>
          <w:szCs w:val="18"/>
        </w:rPr>
        <w:t>Defining this role</w:t>
      </w:r>
      <w:r w:rsidR="00EE04D9" w:rsidRPr="00264435">
        <w:rPr>
          <w:sz w:val="20"/>
          <w:szCs w:val="18"/>
        </w:rPr>
        <w:t xml:space="preserve"> as having a ‘duty to govern the Commonwealth entity’</w:t>
      </w:r>
      <w:r w:rsidR="00EE04D9" w:rsidRPr="00264435">
        <w:rPr>
          <w:rStyle w:val="FootnoteReference"/>
          <w:sz w:val="20"/>
          <w:szCs w:val="18"/>
        </w:rPr>
        <w:footnoteReference w:id="14"/>
      </w:r>
      <w:r w:rsidR="00EE04D9" w:rsidRPr="00264435">
        <w:rPr>
          <w:sz w:val="20"/>
          <w:szCs w:val="18"/>
        </w:rPr>
        <w:t>, leading to a presumption that the CEO, rather than the Commissioners, is the decision-making party.</w:t>
      </w:r>
      <w:proofErr w:type="gramEnd"/>
      <w:r w:rsidR="00EE04D9" w:rsidRPr="00264435">
        <w:rPr>
          <w:sz w:val="20"/>
          <w:szCs w:val="18"/>
        </w:rPr>
        <w:t xml:space="preserve"> The PGPA Rule </w:t>
      </w:r>
      <w:r w:rsidR="00D552BD">
        <w:rPr>
          <w:sz w:val="20"/>
          <w:szCs w:val="18"/>
        </w:rPr>
        <w:t>does define</w:t>
      </w:r>
      <w:r w:rsidR="00EE04D9" w:rsidRPr="00264435">
        <w:rPr>
          <w:sz w:val="20"/>
          <w:szCs w:val="18"/>
        </w:rPr>
        <w:t xml:space="preserve"> the Commissioners</w:t>
      </w:r>
      <w:r w:rsidR="00D552BD">
        <w:rPr>
          <w:sz w:val="20"/>
          <w:szCs w:val="18"/>
        </w:rPr>
        <w:t xml:space="preserve"> (with the CEO)</w:t>
      </w:r>
      <w:r w:rsidR="00EE04D9" w:rsidRPr="00264435">
        <w:rPr>
          <w:sz w:val="20"/>
          <w:szCs w:val="18"/>
        </w:rPr>
        <w:t xml:space="preserve"> as ‘officials’</w:t>
      </w:r>
      <w:r w:rsidR="00D552BD">
        <w:rPr>
          <w:sz w:val="20"/>
          <w:szCs w:val="18"/>
        </w:rPr>
        <w:t>.</w:t>
      </w:r>
      <w:r w:rsidR="00EE04D9" w:rsidRPr="00264435">
        <w:rPr>
          <w:sz w:val="20"/>
          <w:szCs w:val="18"/>
        </w:rPr>
        <w:t xml:space="preserve"> </w:t>
      </w:r>
      <w:r w:rsidR="00D552BD" w:rsidRPr="00264435">
        <w:rPr>
          <w:rFonts w:eastAsia="+mn-ea" w:cs="+mn-cs"/>
          <w:color w:val="000000"/>
          <w:kern w:val="24"/>
          <w:sz w:val="20"/>
          <w:szCs w:val="20"/>
          <w:lang w:eastAsia="en-AU"/>
        </w:rPr>
        <w:t xml:space="preserve">The Act’s discussion of the roles of ‘Officials’ (Division 3) is limited to duties of officials (conflicts of interest, good faith dealing etc.), rather than explaining </w:t>
      </w:r>
      <w:r w:rsidR="003E42D5">
        <w:rPr>
          <w:rFonts w:eastAsia="+mn-ea" w:cs="+mn-cs"/>
          <w:color w:val="000000"/>
          <w:kern w:val="24"/>
          <w:sz w:val="20"/>
          <w:szCs w:val="20"/>
          <w:lang w:eastAsia="en-AU"/>
        </w:rPr>
        <w:t>their</w:t>
      </w:r>
      <w:r w:rsidR="00D552BD" w:rsidRPr="00264435">
        <w:rPr>
          <w:rFonts w:eastAsia="+mn-ea" w:cs="+mn-cs"/>
          <w:color w:val="000000"/>
          <w:kern w:val="24"/>
          <w:sz w:val="20"/>
          <w:szCs w:val="20"/>
          <w:lang w:eastAsia="en-AU"/>
        </w:rPr>
        <w:t xml:space="preserve"> roles and responsibilities.</w:t>
      </w:r>
      <w:r w:rsidR="00D552BD" w:rsidRPr="00264435">
        <w:rPr>
          <w:rStyle w:val="FootnoteReference"/>
          <w:sz w:val="20"/>
          <w:szCs w:val="18"/>
        </w:rPr>
        <w:footnoteReference w:id="15"/>
      </w:r>
      <w:r w:rsidR="00D552BD" w:rsidRPr="00264435">
        <w:rPr>
          <w:rFonts w:eastAsia="+mn-ea" w:cs="+mn-cs"/>
          <w:color w:val="000000"/>
          <w:kern w:val="24"/>
          <w:sz w:val="20"/>
          <w:szCs w:val="20"/>
          <w:lang w:eastAsia="en-AU"/>
        </w:rPr>
        <w:t xml:space="preserve"> </w:t>
      </w:r>
    </w:p>
    <w:p w:rsidR="00FB5EFC" w:rsidRDefault="00FB5EFC" w:rsidP="00FB5EFC">
      <w:pPr>
        <w:spacing w:after="0" w:line="259" w:lineRule="auto"/>
        <w:rPr>
          <w:rFonts w:eastAsia="Times New Roman" w:cs="Times New Roman"/>
          <w:sz w:val="20"/>
          <w:szCs w:val="20"/>
          <w:lang w:eastAsia="en-AU"/>
        </w:rPr>
      </w:pPr>
    </w:p>
    <w:p w:rsidR="006542DA" w:rsidRPr="00264435" w:rsidRDefault="003E42D5" w:rsidP="00FB5EFC">
      <w:pPr>
        <w:spacing w:after="0" w:line="259" w:lineRule="auto"/>
        <w:rPr>
          <w:rFonts w:eastAsia="Times New Roman" w:cs="Times New Roman"/>
          <w:sz w:val="20"/>
          <w:szCs w:val="20"/>
          <w:lang w:eastAsia="en-AU"/>
        </w:rPr>
      </w:pPr>
      <w:r w:rsidRPr="00CB30B0">
        <w:rPr>
          <w:rFonts w:eastAsia="Times New Roman" w:cs="Times New Roman"/>
          <w:sz w:val="20"/>
          <w:szCs w:val="20"/>
          <w:lang w:eastAsia="en-AU"/>
        </w:rPr>
        <w:t>Drawing on the independence discussion</w:t>
      </w:r>
      <w:r w:rsidR="00C308FF" w:rsidRPr="00CB30B0">
        <w:rPr>
          <w:rFonts w:eastAsia="Times New Roman" w:cs="Times New Roman"/>
          <w:sz w:val="20"/>
          <w:szCs w:val="20"/>
          <w:lang w:eastAsia="en-AU"/>
        </w:rPr>
        <w:t xml:space="preserve"> above</w:t>
      </w:r>
      <w:r w:rsidRPr="00CB30B0">
        <w:rPr>
          <w:rFonts w:eastAsia="Times New Roman" w:cs="Times New Roman"/>
          <w:sz w:val="20"/>
          <w:szCs w:val="20"/>
          <w:lang w:eastAsia="en-AU"/>
        </w:rPr>
        <w:t>, the review has not found any reason why an executive agency cannot perform the duties of the NMHC. With this in mind, coupled with the expectation</w:t>
      </w:r>
      <w:r w:rsidR="00F372F2" w:rsidRPr="00CB30B0">
        <w:rPr>
          <w:rFonts w:eastAsia="Times New Roman" w:cs="Times New Roman"/>
          <w:sz w:val="20"/>
          <w:szCs w:val="20"/>
          <w:lang w:eastAsia="en-AU"/>
        </w:rPr>
        <w:t>s</w:t>
      </w:r>
      <w:r w:rsidRPr="00CB30B0">
        <w:rPr>
          <w:rFonts w:eastAsia="Times New Roman" w:cs="Times New Roman"/>
          <w:sz w:val="20"/>
          <w:szCs w:val="20"/>
          <w:lang w:eastAsia="en-AU"/>
        </w:rPr>
        <w:t xml:space="preserve"> set of the CEO under the PGPA Rule, there is limited evidence to</w:t>
      </w:r>
      <w:r w:rsidR="006542DA" w:rsidRPr="00CB30B0">
        <w:rPr>
          <w:rFonts w:eastAsia="Times New Roman" w:cs="Times New Roman"/>
          <w:sz w:val="20"/>
          <w:szCs w:val="20"/>
          <w:lang w:eastAsia="en-AU"/>
        </w:rPr>
        <w:t xml:space="preserve"> support </w:t>
      </w:r>
      <w:r w:rsidR="00527D17" w:rsidRPr="00CB30B0">
        <w:rPr>
          <w:rFonts w:eastAsia="Times New Roman" w:cs="Times New Roman"/>
          <w:sz w:val="20"/>
          <w:szCs w:val="20"/>
          <w:lang w:eastAsia="en-AU"/>
        </w:rPr>
        <w:t>understanding the Commissioners as (or indeed shifting their roles to be)</w:t>
      </w:r>
      <w:r w:rsidR="006542DA" w:rsidRPr="00CB30B0">
        <w:rPr>
          <w:rFonts w:eastAsia="Times New Roman" w:cs="Times New Roman"/>
          <w:sz w:val="20"/>
          <w:szCs w:val="20"/>
          <w:lang w:eastAsia="en-AU"/>
        </w:rPr>
        <w:t xml:space="preserve"> a </w:t>
      </w:r>
      <w:r w:rsidRPr="00CB30B0">
        <w:rPr>
          <w:rFonts w:eastAsia="Times New Roman" w:cs="Times New Roman"/>
          <w:sz w:val="20"/>
          <w:szCs w:val="20"/>
          <w:lang w:eastAsia="en-AU"/>
        </w:rPr>
        <w:t>decision-making</w:t>
      </w:r>
      <w:r w:rsidR="006542DA" w:rsidRPr="00CB30B0">
        <w:rPr>
          <w:rFonts w:eastAsia="Times New Roman" w:cs="Times New Roman"/>
          <w:sz w:val="20"/>
          <w:szCs w:val="20"/>
          <w:lang w:eastAsia="en-AU"/>
        </w:rPr>
        <w:t xml:space="preserve"> board. Rather, clarifying the roles of the Commissioners as key strategic advisors to the NMHC coupled with enhanced the capacity and capability of the NMHC will strengthen the NMHC.</w:t>
      </w:r>
      <w:r w:rsidR="006542DA">
        <w:rPr>
          <w:rFonts w:eastAsia="Times New Roman" w:cs="Times New Roman"/>
          <w:sz w:val="20"/>
          <w:szCs w:val="20"/>
          <w:lang w:eastAsia="en-AU"/>
        </w:rPr>
        <w:t xml:space="preserve"> </w:t>
      </w:r>
    </w:p>
    <w:p w:rsidR="00EE04D9" w:rsidRPr="006D4493" w:rsidRDefault="00EE04D9" w:rsidP="006D4493">
      <w:pPr>
        <w:spacing w:after="0" w:line="259" w:lineRule="auto"/>
        <w:rPr>
          <w:sz w:val="20"/>
          <w:szCs w:val="18"/>
        </w:rPr>
      </w:pPr>
    </w:p>
    <w:p w:rsidR="001E1957" w:rsidRDefault="00EE04D9" w:rsidP="00EE04D9">
      <w:pPr>
        <w:spacing w:after="0" w:line="259" w:lineRule="auto"/>
        <w:rPr>
          <w:b/>
          <w:color w:val="012169" w:themeColor="accent4"/>
          <w:sz w:val="20"/>
          <w:szCs w:val="18"/>
        </w:rPr>
      </w:pPr>
      <w:r>
        <w:rPr>
          <w:b/>
          <w:color w:val="012169" w:themeColor="accent4"/>
          <w:sz w:val="20"/>
          <w:szCs w:val="18"/>
        </w:rPr>
        <w:t xml:space="preserve">Further clarity is </w:t>
      </w:r>
      <w:r w:rsidR="00A56650">
        <w:rPr>
          <w:b/>
          <w:color w:val="012169" w:themeColor="accent4"/>
          <w:sz w:val="20"/>
          <w:szCs w:val="18"/>
        </w:rPr>
        <w:t>required</w:t>
      </w:r>
    </w:p>
    <w:p w:rsidR="00EE04D9" w:rsidRPr="00EE04D9" w:rsidRDefault="00EE04D9" w:rsidP="00EE04D9">
      <w:pPr>
        <w:spacing w:after="0" w:line="259" w:lineRule="auto"/>
        <w:rPr>
          <w:b/>
          <w:color w:val="012169" w:themeColor="accent4"/>
          <w:sz w:val="20"/>
          <w:szCs w:val="18"/>
        </w:rPr>
      </w:pPr>
    </w:p>
    <w:p w:rsidR="00026723" w:rsidRDefault="00EE04D9" w:rsidP="00E664BD">
      <w:pPr>
        <w:spacing w:after="0" w:line="259" w:lineRule="auto"/>
        <w:rPr>
          <w:sz w:val="20"/>
          <w:szCs w:val="18"/>
        </w:rPr>
      </w:pPr>
      <w:r>
        <w:rPr>
          <w:sz w:val="20"/>
          <w:szCs w:val="18"/>
        </w:rPr>
        <w:lastRenderedPageBreak/>
        <w:t>As noted above, t</w:t>
      </w:r>
      <w:r w:rsidR="00E664BD" w:rsidRPr="00264435">
        <w:rPr>
          <w:sz w:val="20"/>
          <w:szCs w:val="18"/>
        </w:rPr>
        <w:t xml:space="preserve">here is </w:t>
      </w:r>
      <w:r w:rsidR="00C308FF">
        <w:rPr>
          <w:sz w:val="20"/>
          <w:szCs w:val="18"/>
        </w:rPr>
        <w:t xml:space="preserve">a lack of clarity around the </w:t>
      </w:r>
      <w:r w:rsidR="00C308FF" w:rsidRPr="00C308FF">
        <w:rPr>
          <w:b/>
          <w:sz w:val="20"/>
          <w:szCs w:val="18"/>
        </w:rPr>
        <w:t>roles and responsibilities</w:t>
      </w:r>
      <w:r w:rsidR="00C308FF">
        <w:rPr>
          <w:sz w:val="20"/>
          <w:szCs w:val="18"/>
        </w:rPr>
        <w:t xml:space="preserve"> of the</w:t>
      </w:r>
      <w:r w:rsidR="00E664BD" w:rsidRPr="00264435">
        <w:rPr>
          <w:sz w:val="20"/>
          <w:szCs w:val="18"/>
        </w:rPr>
        <w:t xml:space="preserve"> Commissioners </w:t>
      </w:r>
      <w:r w:rsidR="00C308FF">
        <w:rPr>
          <w:sz w:val="20"/>
          <w:szCs w:val="18"/>
        </w:rPr>
        <w:t>– and the boundaries of these</w:t>
      </w:r>
      <w:r w:rsidR="00E664BD" w:rsidRPr="00264435">
        <w:rPr>
          <w:sz w:val="20"/>
          <w:szCs w:val="18"/>
        </w:rPr>
        <w:t xml:space="preserve">. </w:t>
      </w:r>
      <w:r w:rsidR="00C308FF">
        <w:rPr>
          <w:sz w:val="20"/>
          <w:szCs w:val="18"/>
        </w:rPr>
        <w:t>Consultation indicated that this was</w:t>
      </w:r>
      <w:r w:rsidR="000260E5">
        <w:rPr>
          <w:sz w:val="20"/>
          <w:szCs w:val="18"/>
        </w:rPr>
        <w:t xml:space="preserve"> </w:t>
      </w:r>
      <w:r w:rsidR="00E664BD" w:rsidRPr="00264435">
        <w:rPr>
          <w:sz w:val="20"/>
          <w:szCs w:val="18"/>
        </w:rPr>
        <w:t xml:space="preserve">not always clear </w:t>
      </w:r>
      <w:r w:rsidR="00C308FF">
        <w:rPr>
          <w:sz w:val="20"/>
          <w:szCs w:val="18"/>
        </w:rPr>
        <w:t>with some viewing</w:t>
      </w:r>
      <w:r w:rsidR="00E664BD" w:rsidRPr="00264435">
        <w:rPr>
          <w:sz w:val="20"/>
          <w:szCs w:val="18"/>
        </w:rPr>
        <w:t xml:space="preserve"> </w:t>
      </w:r>
      <w:r w:rsidR="00A56650">
        <w:rPr>
          <w:sz w:val="20"/>
          <w:szCs w:val="18"/>
        </w:rPr>
        <w:t xml:space="preserve">the Commissioner </w:t>
      </w:r>
      <w:r w:rsidR="00E664BD" w:rsidRPr="00264435">
        <w:rPr>
          <w:sz w:val="20"/>
          <w:szCs w:val="18"/>
        </w:rPr>
        <w:t>role as advisory only whilst other</w:t>
      </w:r>
      <w:r w:rsidR="000260E5">
        <w:rPr>
          <w:sz w:val="20"/>
          <w:szCs w:val="18"/>
        </w:rPr>
        <w:t>s</w:t>
      </w:r>
      <w:r w:rsidR="00E664BD" w:rsidRPr="00264435">
        <w:rPr>
          <w:sz w:val="20"/>
          <w:szCs w:val="18"/>
        </w:rPr>
        <w:t xml:space="preserve"> believe they have a role closer to that of a governing or decision-making board. </w:t>
      </w:r>
    </w:p>
    <w:p w:rsidR="00026723" w:rsidRDefault="00026723" w:rsidP="00E664BD">
      <w:pPr>
        <w:spacing w:after="0" w:line="259" w:lineRule="auto"/>
        <w:rPr>
          <w:sz w:val="20"/>
          <w:szCs w:val="18"/>
        </w:rPr>
      </w:pPr>
    </w:p>
    <w:p w:rsidR="00AC1111" w:rsidRPr="00CB30B0" w:rsidRDefault="00F20B6C" w:rsidP="00E664BD">
      <w:pPr>
        <w:spacing w:after="0" w:line="259" w:lineRule="auto"/>
        <w:rPr>
          <w:sz w:val="20"/>
          <w:szCs w:val="18"/>
        </w:rPr>
      </w:pPr>
      <w:r w:rsidRPr="00CB30B0">
        <w:rPr>
          <w:sz w:val="20"/>
          <w:szCs w:val="18"/>
        </w:rPr>
        <w:t xml:space="preserve">A </w:t>
      </w:r>
      <w:r w:rsidR="00026723" w:rsidRPr="00CB30B0">
        <w:rPr>
          <w:sz w:val="20"/>
          <w:szCs w:val="18"/>
        </w:rPr>
        <w:t>consequence</w:t>
      </w:r>
      <w:r w:rsidRPr="00CB30B0">
        <w:rPr>
          <w:sz w:val="20"/>
          <w:szCs w:val="18"/>
        </w:rPr>
        <w:t xml:space="preserve"> of this ambiguity </w:t>
      </w:r>
      <w:r w:rsidR="00026723" w:rsidRPr="00CB30B0">
        <w:rPr>
          <w:sz w:val="20"/>
          <w:szCs w:val="18"/>
        </w:rPr>
        <w:t>is lack of clarity</w:t>
      </w:r>
      <w:r w:rsidRPr="00CB30B0">
        <w:rPr>
          <w:sz w:val="20"/>
          <w:szCs w:val="18"/>
        </w:rPr>
        <w:t xml:space="preserve"> around the role and expectations of the Chair. The requirements of a Chair of a governing board are different from those of an expert panel, and current </w:t>
      </w:r>
      <w:r w:rsidR="00C5091D" w:rsidRPr="00CB30B0">
        <w:rPr>
          <w:sz w:val="20"/>
          <w:szCs w:val="18"/>
        </w:rPr>
        <w:t>lack of clarity</w:t>
      </w:r>
      <w:r w:rsidRPr="00CB30B0">
        <w:rPr>
          <w:sz w:val="20"/>
          <w:szCs w:val="18"/>
        </w:rPr>
        <w:t xml:space="preserve"> makes performance of </w:t>
      </w:r>
      <w:r w:rsidR="00026723" w:rsidRPr="00CB30B0">
        <w:rPr>
          <w:sz w:val="20"/>
          <w:szCs w:val="18"/>
        </w:rPr>
        <w:t>that</w:t>
      </w:r>
      <w:r w:rsidRPr="00CB30B0">
        <w:rPr>
          <w:sz w:val="20"/>
          <w:szCs w:val="18"/>
        </w:rPr>
        <w:t xml:space="preserve"> role more difficult. </w:t>
      </w:r>
      <w:r w:rsidR="00AC1111" w:rsidRPr="00CB30B0">
        <w:rPr>
          <w:sz w:val="20"/>
          <w:szCs w:val="18"/>
        </w:rPr>
        <w:t>If, as this review holds, the NMHC</w:t>
      </w:r>
      <w:r w:rsidR="00CB30B0" w:rsidRPr="00CB30B0">
        <w:rPr>
          <w:sz w:val="20"/>
          <w:szCs w:val="18"/>
        </w:rPr>
        <w:t xml:space="preserve"> current improvement needs</w:t>
      </w:r>
      <w:r w:rsidR="00AC1111" w:rsidRPr="00CB30B0">
        <w:rPr>
          <w:sz w:val="20"/>
          <w:szCs w:val="18"/>
        </w:rPr>
        <w:t xml:space="preserve"> would be best served by a collective</w:t>
      </w:r>
      <w:r w:rsidR="00CB30B0" w:rsidRPr="00CB30B0">
        <w:rPr>
          <w:sz w:val="20"/>
          <w:szCs w:val="18"/>
        </w:rPr>
        <w:t xml:space="preserve"> expert</w:t>
      </w:r>
      <w:r w:rsidR="00AC1111" w:rsidRPr="00CB30B0">
        <w:rPr>
          <w:sz w:val="20"/>
          <w:szCs w:val="18"/>
        </w:rPr>
        <w:t xml:space="preserve"> advisory group, the Chair’s role and capability should include building consensus while extracting value from individual Commissioner </w:t>
      </w:r>
      <w:proofErr w:type="gramStart"/>
      <w:r w:rsidR="00AC1111" w:rsidRPr="00CB30B0">
        <w:rPr>
          <w:sz w:val="20"/>
          <w:szCs w:val="18"/>
        </w:rPr>
        <w:t>expertise</w:t>
      </w:r>
      <w:proofErr w:type="gramEnd"/>
      <w:r w:rsidR="00AC1111" w:rsidRPr="00CB30B0">
        <w:rPr>
          <w:sz w:val="20"/>
          <w:szCs w:val="18"/>
        </w:rPr>
        <w:t xml:space="preserve">. </w:t>
      </w:r>
    </w:p>
    <w:p w:rsidR="00AC1111" w:rsidRPr="00CB30B0" w:rsidRDefault="00AC1111" w:rsidP="00E664BD">
      <w:pPr>
        <w:spacing w:after="0" w:line="259" w:lineRule="auto"/>
        <w:rPr>
          <w:sz w:val="20"/>
          <w:szCs w:val="18"/>
        </w:rPr>
      </w:pPr>
    </w:p>
    <w:p w:rsidR="00E664BD" w:rsidRPr="00264435" w:rsidRDefault="00E664BD" w:rsidP="00E664BD">
      <w:pPr>
        <w:spacing w:after="0" w:line="259" w:lineRule="auto"/>
        <w:rPr>
          <w:sz w:val="20"/>
          <w:szCs w:val="18"/>
        </w:rPr>
      </w:pPr>
      <w:r w:rsidRPr="00CB30B0">
        <w:rPr>
          <w:sz w:val="20"/>
          <w:szCs w:val="18"/>
        </w:rPr>
        <w:t xml:space="preserve">Some of </w:t>
      </w:r>
      <w:r w:rsidR="00C11C5E" w:rsidRPr="00CB30B0">
        <w:rPr>
          <w:sz w:val="20"/>
          <w:szCs w:val="18"/>
        </w:rPr>
        <w:t>the current state</w:t>
      </w:r>
      <w:r w:rsidRPr="00CB30B0">
        <w:rPr>
          <w:sz w:val="20"/>
          <w:szCs w:val="18"/>
        </w:rPr>
        <w:t xml:space="preserve"> </w:t>
      </w:r>
      <w:r w:rsidR="00026723" w:rsidRPr="00CB30B0">
        <w:rPr>
          <w:sz w:val="20"/>
          <w:szCs w:val="18"/>
        </w:rPr>
        <w:t>ambiguity</w:t>
      </w:r>
      <w:r w:rsidRPr="00CB30B0">
        <w:rPr>
          <w:sz w:val="20"/>
          <w:szCs w:val="18"/>
        </w:rPr>
        <w:t xml:space="preserve"> is a result of insufficient definition in enabling instruments.</w:t>
      </w:r>
      <w:r w:rsidRPr="00264435">
        <w:rPr>
          <w:sz w:val="20"/>
          <w:szCs w:val="18"/>
        </w:rPr>
        <w:t xml:space="preserve"> </w:t>
      </w:r>
    </w:p>
    <w:p w:rsidR="00E664BD" w:rsidRDefault="00E664BD" w:rsidP="00E664BD">
      <w:pPr>
        <w:spacing w:after="0" w:line="259" w:lineRule="auto"/>
        <w:rPr>
          <w:sz w:val="20"/>
          <w:szCs w:val="18"/>
        </w:rPr>
      </w:pPr>
    </w:p>
    <w:p w:rsidR="007C77CF" w:rsidRPr="007C77CF" w:rsidRDefault="0084025F" w:rsidP="007C77CF">
      <w:pPr>
        <w:spacing w:line="259" w:lineRule="auto"/>
        <w:rPr>
          <w:sz w:val="20"/>
          <w:szCs w:val="18"/>
        </w:rPr>
      </w:pPr>
      <w:r>
        <w:rPr>
          <w:sz w:val="20"/>
          <w:szCs w:val="18"/>
        </w:rPr>
        <w:t xml:space="preserve">Several other organisations </w:t>
      </w:r>
      <w:r w:rsidR="00A56650">
        <w:rPr>
          <w:sz w:val="20"/>
          <w:szCs w:val="18"/>
        </w:rPr>
        <w:t>created under the</w:t>
      </w:r>
      <w:r>
        <w:rPr>
          <w:sz w:val="20"/>
          <w:szCs w:val="18"/>
        </w:rPr>
        <w:t xml:space="preserve"> PGPA Act have taken steps to more clearly define the nature, roles and responsibilities of their advisory </w:t>
      </w:r>
      <w:r w:rsidR="00A56650">
        <w:rPr>
          <w:sz w:val="20"/>
          <w:szCs w:val="18"/>
        </w:rPr>
        <w:t>bodies</w:t>
      </w:r>
      <w:r>
        <w:rPr>
          <w:sz w:val="20"/>
          <w:szCs w:val="18"/>
        </w:rPr>
        <w:t xml:space="preserve">. </w:t>
      </w:r>
      <w:r w:rsidR="007C77CF">
        <w:rPr>
          <w:sz w:val="20"/>
          <w:szCs w:val="18"/>
        </w:rPr>
        <w:t>For example, t</w:t>
      </w:r>
      <w:r w:rsidR="007C77CF" w:rsidRPr="007C77CF">
        <w:rPr>
          <w:sz w:val="20"/>
          <w:szCs w:val="18"/>
        </w:rPr>
        <w:t>he Australian National Preventive Health Agency has an “Advisory Council” as per the PGPA Rule. It has enabling legislation which sets out the role of the Council (</w:t>
      </w:r>
      <w:r w:rsidR="007C77CF">
        <w:rPr>
          <w:sz w:val="20"/>
          <w:szCs w:val="18"/>
        </w:rPr>
        <w:t xml:space="preserve">to </w:t>
      </w:r>
      <w:r w:rsidR="007C77CF" w:rsidRPr="007C77CF">
        <w:rPr>
          <w:bCs/>
          <w:sz w:val="20"/>
          <w:szCs w:val="18"/>
        </w:rPr>
        <w:t>advise the CEO</w:t>
      </w:r>
      <w:r w:rsidR="007C77CF" w:rsidRPr="007C77CF">
        <w:rPr>
          <w:sz w:val="20"/>
          <w:szCs w:val="18"/>
        </w:rPr>
        <w:t xml:space="preserve">) and </w:t>
      </w:r>
      <w:r w:rsidR="007C77CF">
        <w:rPr>
          <w:sz w:val="20"/>
          <w:szCs w:val="18"/>
        </w:rPr>
        <w:t xml:space="preserve">also establishes the </w:t>
      </w:r>
      <w:r w:rsidR="007C77CF" w:rsidRPr="007C77CF">
        <w:rPr>
          <w:sz w:val="20"/>
          <w:szCs w:val="18"/>
        </w:rPr>
        <w:t xml:space="preserve">limitations </w:t>
      </w:r>
      <w:r w:rsidR="007C77CF">
        <w:rPr>
          <w:sz w:val="20"/>
          <w:szCs w:val="18"/>
        </w:rPr>
        <w:t xml:space="preserve">of their role </w:t>
      </w:r>
      <w:r w:rsidR="007C77CF" w:rsidRPr="007C77CF">
        <w:rPr>
          <w:sz w:val="20"/>
          <w:szCs w:val="18"/>
        </w:rPr>
        <w:t>(cannot give directions to CEO).</w:t>
      </w:r>
      <w:r w:rsidR="007C77CF">
        <w:rPr>
          <w:rStyle w:val="FootnoteReference"/>
          <w:sz w:val="20"/>
          <w:szCs w:val="18"/>
        </w:rPr>
        <w:footnoteReference w:id="16"/>
      </w:r>
      <w:r w:rsidR="007C77CF">
        <w:rPr>
          <w:sz w:val="20"/>
          <w:szCs w:val="18"/>
        </w:rPr>
        <w:t xml:space="preserve"> </w:t>
      </w:r>
      <w:r w:rsidR="000260E5">
        <w:rPr>
          <w:sz w:val="20"/>
          <w:szCs w:val="18"/>
        </w:rPr>
        <w:t>Similarly</w:t>
      </w:r>
      <w:r w:rsidR="007C77CF">
        <w:rPr>
          <w:sz w:val="20"/>
          <w:szCs w:val="18"/>
        </w:rPr>
        <w:t>, t</w:t>
      </w:r>
      <w:r w:rsidR="007C77CF" w:rsidRPr="007C77CF">
        <w:rPr>
          <w:sz w:val="20"/>
          <w:szCs w:val="18"/>
        </w:rPr>
        <w:t>he Australian Charities and Not-for-Profits Commission has an “Advisory Board” as per the PGPA Rule. It has enabling legislation</w:t>
      </w:r>
      <w:r w:rsidR="007C77CF" w:rsidRPr="007C77CF">
        <w:rPr>
          <w:i/>
          <w:iCs/>
          <w:sz w:val="20"/>
          <w:szCs w:val="18"/>
        </w:rPr>
        <w:t xml:space="preserve"> </w:t>
      </w:r>
      <w:r w:rsidR="007C77CF" w:rsidRPr="007C77CF">
        <w:rPr>
          <w:sz w:val="20"/>
          <w:szCs w:val="18"/>
        </w:rPr>
        <w:t>which sets out the role of the Board (</w:t>
      </w:r>
      <w:r w:rsidR="007C77CF">
        <w:rPr>
          <w:sz w:val="20"/>
          <w:szCs w:val="18"/>
        </w:rPr>
        <w:t xml:space="preserve">to </w:t>
      </w:r>
      <w:r w:rsidR="007C77CF" w:rsidRPr="007C77CF">
        <w:rPr>
          <w:bCs/>
          <w:sz w:val="20"/>
          <w:szCs w:val="18"/>
        </w:rPr>
        <w:t>advise the Commissioner</w:t>
      </w:r>
      <w:r w:rsidR="007C77CF" w:rsidRPr="007C77CF">
        <w:rPr>
          <w:sz w:val="20"/>
          <w:szCs w:val="18"/>
        </w:rPr>
        <w:t xml:space="preserve">) and </w:t>
      </w:r>
      <w:r w:rsidR="007C77CF">
        <w:rPr>
          <w:sz w:val="20"/>
          <w:szCs w:val="18"/>
        </w:rPr>
        <w:t xml:space="preserve">the </w:t>
      </w:r>
      <w:r w:rsidR="007C77CF" w:rsidRPr="007C77CF">
        <w:rPr>
          <w:sz w:val="20"/>
          <w:szCs w:val="18"/>
        </w:rPr>
        <w:t xml:space="preserve">limitations </w:t>
      </w:r>
      <w:r w:rsidR="007C77CF">
        <w:rPr>
          <w:sz w:val="20"/>
          <w:szCs w:val="18"/>
        </w:rPr>
        <w:t xml:space="preserve">on the Board’s role </w:t>
      </w:r>
      <w:r w:rsidR="007C77CF" w:rsidRPr="007C77CF">
        <w:rPr>
          <w:sz w:val="20"/>
          <w:szCs w:val="18"/>
        </w:rPr>
        <w:t>(</w:t>
      </w:r>
      <w:r w:rsidR="007C77CF">
        <w:rPr>
          <w:sz w:val="20"/>
          <w:szCs w:val="18"/>
        </w:rPr>
        <w:t xml:space="preserve">it </w:t>
      </w:r>
      <w:r w:rsidR="007C77CF" w:rsidRPr="007C77CF">
        <w:rPr>
          <w:sz w:val="20"/>
          <w:szCs w:val="18"/>
        </w:rPr>
        <w:t>cannot give directions to the Commissioner).</w:t>
      </w:r>
      <w:r w:rsidR="007C77CF">
        <w:rPr>
          <w:rStyle w:val="FootnoteReference"/>
          <w:sz w:val="20"/>
          <w:szCs w:val="18"/>
        </w:rPr>
        <w:footnoteReference w:id="17"/>
      </w:r>
    </w:p>
    <w:p w:rsidR="001E1957" w:rsidRDefault="007C77CF" w:rsidP="007C77CF">
      <w:pPr>
        <w:spacing w:line="259" w:lineRule="auto"/>
        <w:rPr>
          <w:sz w:val="20"/>
          <w:szCs w:val="18"/>
        </w:rPr>
      </w:pPr>
      <w:r>
        <w:rPr>
          <w:sz w:val="20"/>
          <w:szCs w:val="18"/>
        </w:rPr>
        <w:t xml:space="preserve">Hence, roles and limitations for </w:t>
      </w:r>
      <w:r w:rsidR="00E664BD" w:rsidRPr="00264435">
        <w:rPr>
          <w:sz w:val="20"/>
          <w:szCs w:val="18"/>
        </w:rPr>
        <w:t xml:space="preserve">advisory </w:t>
      </w:r>
      <w:r>
        <w:rPr>
          <w:sz w:val="20"/>
          <w:szCs w:val="18"/>
        </w:rPr>
        <w:t>group</w:t>
      </w:r>
      <w:r w:rsidR="00E664BD" w:rsidRPr="00264435">
        <w:rPr>
          <w:sz w:val="20"/>
          <w:szCs w:val="18"/>
        </w:rPr>
        <w:t xml:space="preserve"> of </w:t>
      </w:r>
      <w:r>
        <w:rPr>
          <w:sz w:val="20"/>
          <w:szCs w:val="18"/>
        </w:rPr>
        <w:t xml:space="preserve">some </w:t>
      </w:r>
      <w:r w:rsidR="00E664BD" w:rsidRPr="00264435">
        <w:rPr>
          <w:sz w:val="20"/>
          <w:szCs w:val="18"/>
        </w:rPr>
        <w:t xml:space="preserve">other entities under the PGPA Act are more clearly defined, whereas this sharpness of definition is </w:t>
      </w:r>
      <w:r>
        <w:rPr>
          <w:sz w:val="20"/>
          <w:szCs w:val="18"/>
        </w:rPr>
        <w:t xml:space="preserve">currently absent for the NMHC and the Commissioners. </w:t>
      </w:r>
      <w:r w:rsidR="00B75245">
        <w:rPr>
          <w:sz w:val="20"/>
          <w:szCs w:val="18"/>
        </w:rPr>
        <w:t xml:space="preserve">Further information on governance arrangements of comparator bodies is provided at </w:t>
      </w:r>
      <w:r w:rsidR="00B75245" w:rsidRPr="00B75245">
        <w:rPr>
          <w:sz w:val="20"/>
          <w:szCs w:val="18"/>
          <w:u w:val="single"/>
        </w:rPr>
        <w:t>Appendix B</w:t>
      </w:r>
      <w:r w:rsidR="00B75245">
        <w:rPr>
          <w:sz w:val="20"/>
          <w:szCs w:val="18"/>
        </w:rPr>
        <w:t xml:space="preserve">. </w:t>
      </w:r>
    </w:p>
    <w:p w:rsidR="001E1957" w:rsidRPr="000260E5" w:rsidRDefault="00A56650" w:rsidP="001E1957">
      <w:pPr>
        <w:spacing w:after="0" w:line="240" w:lineRule="auto"/>
        <w:rPr>
          <w:rFonts w:eastAsia="+mn-ea" w:cs="+mn-cs"/>
          <w:color w:val="000000"/>
          <w:kern w:val="24"/>
          <w:sz w:val="20"/>
          <w:szCs w:val="20"/>
          <w:lang w:eastAsia="en-AU"/>
        </w:rPr>
      </w:pPr>
      <w:r>
        <w:rPr>
          <w:rFonts w:eastAsia="+mn-ea" w:cs="+mn-cs"/>
          <w:color w:val="000000"/>
          <w:kern w:val="24"/>
          <w:sz w:val="20"/>
          <w:szCs w:val="20"/>
          <w:lang w:eastAsia="en-AU"/>
        </w:rPr>
        <w:t>In addition,</w:t>
      </w:r>
      <w:r w:rsidR="001E1957" w:rsidRPr="00264435">
        <w:rPr>
          <w:rFonts w:eastAsia="+mn-ea" w:cs="+mn-cs"/>
          <w:color w:val="000000"/>
          <w:kern w:val="24"/>
          <w:sz w:val="20"/>
          <w:szCs w:val="20"/>
          <w:lang w:eastAsia="en-AU"/>
        </w:rPr>
        <w:t xml:space="preserve"> the Commissioners </w:t>
      </w:r>
      <w:r w:rsidR="001E1957" w:rsidRPr="00264435">
        <w:rPr>
          <w:rFonts w:eastAsia="+mn-ea" w:cs="+mn-cs"/>
          <w:b/>
          <w:bCs/>
          <w:color w:val="000000"/>
          <w:kern w:val="24"/>
          <w:sz w:val="20"/>
          <w:szCs w:val="20"/>
          <w:lang w:eastAsia="en-AU"/>
        </w:rPr>
        <w:t>advise both the CEO and Government</w:t>
      </w:r>
      <w:r w:rsidR="001E1957" w:rsidRPr="00264435">
        <w:rPr>
          <w:rFonts w:eastAsia="+mn-ea" w:cs="+mn-cs"/>
          <w:color w:val="000000"/>
          <w:kern w:val="24"/>
          <w:sz w:val="20"/>
          <w:szCs w:val="20"/>
          <w:lang w:eastAsia="en-AU"/>
        </w:rPr>
        <w:t xml:space="preserve">. </w:t>
      </w:r>
      <w:r w:rsidR="001E1957" w:rsidRPr="000260E5">
        <w:rPr>
          <w:rFonts w:eastAsia="+mn-ea" w:cs="+mn-cs"/>
          <w:color w:val="000000"/>
          <w:kern w:val="24"/>
          <w:sz w:val="20"/>
          <w:szCs w:val="20"/>
          <w:lang w:eastAsia="en-AU"/>
        </w:rPr>
        <w:t>The Prime</w:t>
      </w:r>
      <w:r w:rsidR="0084025F" w:rsidRPr="000260E5">
        <w:rPr>
          <w:rFonts w:eastAsia="+mn-ea" w:cs="+mn-cs"/>
          <w:color w:val="000000"/>
          <w:kern w:val="24"/>
          <w:sz w:val="20"/>
          <w:szCs w:val="20"/>
          <w:lang w:eastAsia="en-AU"/>
        </w:rPr>
        <w:t xml:space="preserve"> </w:t>
      </w:r>
      <w:r w:rsidR="001E1957" w:rsidRPr="000260E5">
        <w:rPr>
          <w:rFonts w:eastAsia="+mn-ea" w:cs="+mn-cs"/>
          <w:color w:val="000000"/>
          <w:kern w:val="24"/>
          <w:sz w:val="20"/>
          <w:szCs w:val="20"/>
          <w:lang w:eastAsia="en-AU"/>
        </w:rPr>
        <w:t xml:space="preserve">Minister’s original Letter of Expectation states “the Advisory Board provide advice </w:t>
      </w:r>
      <w:r w:rsidR="001E1957" w:rsidRPr="000260E5">
        <w:rPr>
          <w:rFonts w:eastAsia="+mn-ea" w:cs="+mn-cs"/>
          <w:i/>
          <w:color w:val="000000"/>
          <w:kern w:val="24"/>
          <w:sz w:val="20"/>
          <w:szCs w:val="20"/>
          <w:lang w:eastAsia="en-AU"/>
        </w:rPr>
        <w:t>to the Government</w:t>
      </w:r>
      <w:r w:rsidR="001E1957" w:rsidRPr="000260E5">
        <w:rPr>
          <w:rFonts w:eastAsia="+mn-ea" w:cs="+mn-cs"/>
          <w:color w:val="000000"/>
          <w:kern w:val="24"/>
          <w:sz w:val="20"/>
          <w:szCs w:val="20"/>
          <w:lang w:eastAsia="en-AU"/>
        </w:rPr>
        <w:t xml:space="preserve"> on the mental health system.” </w:t>
      </w:r>
      <w:r w:rsidR="007C77CF" w:rsidRPr="000260E5">
        <w:rPr>
          <w:rFonts w:eastAsia="+mn-ea" w:cs="+mn-cs"/>
          <w:color w:val="000000"/>
          <w:kern w:val="24"/>
          <w:sz w:val="20"/>
          <w:szCs w:val="20"/>
          <w:lang w:eastAsia="en-AU"/>
        </w:rPr>
        <w:t>T</w:t>
      </w:r>
      <w:r w:rsidR="001E1957" w:rsidRPr="000260E5">
        <w:rPr>
          <w:rFonts w:eastAsia="+mn-ea" w:cs="+mn-cs"/>
          <w:color w:val="000000"/>
          <w:kern w:val="24"/>
          <w:sz w:val="20"/>
          <w:szCs w:val="20"/>
          <w:lang w:eastAsia="en-AU"/>
        </w:rPr>
        <w:t xml:space="preserve">he NMHC’s </w:t>
      </w:r>
      <w:r w:rsidR="0084025F" w:rsidRPr="000260E5">
        <w:rPr>
          <w:rFonts w:eastAsia="+mn-ea" w:cs="+mn-cs"/>
          <w:color w:val="000000"/>
          <w:kern w:val="24"/>
          <w:sz w:val="20"/>
          <w:szCs w:val="20"/>
          <w:lang w:eastAsia="en-AU"/>
        </w:rPr>
        <w:t>own O</w:t>
      </w:r>
      <w:r w:rsidR="001E1957" w:rsidRPr="000260E5">
        <w:rPr>
          <w:rFonts w:eastAsia="+mn-ea" w:cs="+mn-cs"/>
          <w:color w:val="000000"/>
          <w:kern w:val="24"/>
          <w:sz w:val="20"/>
          <w:szCs w:val="20"/>
          <w:lang w:eastAsia="en-AU"/>
        </w:rPr>
        <w:t xml:space="preserve">perating </w:t>
      </w:r>
      <w:r w:rsidR="0084025F" w:rsidRPr="000260E5">
        <w:rPr>
          <w:rFonts w:eastAsia="+mn-ea" w:cs="+mn-cs"/>
          <w:color w:val="000000"/>
          <w:kern w:val="24"/>
          <w:sz w:val="20"/>
          <w:szCs w:val="20"/>
          <w:lang w:eastAsia="en-AU"/>
        </w:rPr>
        <w:t>P</w:t>
      </w:r>
      <w:r w:rsidR="001E1957" w:rsidRPr="000260E5">
        <w:rPr>
          <w:rFonts w:eastAsia="+mn-ea" w:cs="+mn-cs"/>
          <w:color w:val="000000"/>
          <w:kern w:val="24"/>
          <w:sz w:val="20"/>
          <w:szCs w:val="20"/>
          <w:lang w:eastAsia="en-AU"/>
        </w:rPr>
        <w:t xml:space="preserve">rinciples note that “independent advice from the Commission to Government is provided via the Minister under cover of a brief, letter or </w:t>
      </w:r>
      <w:r w:rsidR="001E1957" w:rsidRPr="000260E5">
        <w:rPr>
          <w:rFonts w:eastAsia="+mn-ea" w:cs="+mn-cs"/>
          <w:i/>
          <w:color w:val="000000"/>
          <w:kern w:val="24"/>
          <w:sz w:val="20"/>
          <w:szCs w:val="20"/>
          <w:lang w:eastAsia="en-AU"/>
        </w:rPr>
        <w:t>report from the Chair and/or the CEO</w:t>
      </w:r>
      <w:r w:rsidR="001E1957" w:rsidRPr="000260E5">
        <w:rPr>
          <w:rFonts w:eastAsia="+mn-ea" w:cs="+mn-cs"/>
          <w:color w:val="000000"/>
          <w:kern w:val="24"/>
          <w:sz w:val="20"/>
          <w:szCs w:val="20"/>
          <w:lang w:eastAsia="en-AU"/>
        </w:rPr>
        <w:t>”</w:t>
      </w:r>
      <w:r w:rsidR="0084025F" w:rsidRPr="000260E5">
        <w:rPr>
          <w:rFonts w:eastAsia="+mn-ea" w:cs="+mn-cs"/>
          <w:color w:val="000000"/>
          <w:kern w:val="24"/>
          <w:sz w:val="20"/>
          <w:szCs w:val="20"/>
          <w:lang w:eastAsia="en-AU"/>
        </w:rPr>
        <w:t>.</w:t>
      </w:r>
      <w:r w:rsidR="0084025F" w:rsidRPr="000260E5">
        <w:rPr>
          <w:rStyle w:val="FootnoteReference"/>
          <w:rFonts w:eastAsia="+mn-ea" w:cs="+mn-cs"/>
          <w:color w:val="000000"/>
          <w:kern w:val="24"/>
          <w:sz w:val="20"/>
          <w:szCs w:val="20"/>
          <w:lang w:eastAsia="en-AU"/>
        </w:rPr>
        <w:footnoteReference w:id="18"/>
      </w:r>
    </w:p>
    <w:p w:rsidR="00923CD0" w:rsidRDefault="00923CD0" w:rsidP="001E1957">
      <w:pPr>
        <w:spacing w:after="0" w:line="240" w:lineRule="auto"/>
        <w:rPr>
          <w:rFonts w:eastAsia="+mn-ea" w:cs="+mn-cs"/>
          <w:color w:val="000000"/>
          <w:kern w:val="24"/>
          <w:sz w:val="20"/>
          <w:szCs w:val="20"/>
          <w:lang w:eastAsia="en-AU"/>
        </w:rPr>
      </w:pPr>
    </w:p>
    <w:p w:rsidR="00A56650" w:rsidRDefault="00923CD0" w:rsidP="001E1957">
      <w:pPr>
        <w:spacing w:after="0" w:line="240" w:lineRule="auto"/>
        <w:rPr>
          <w:rFonts w:eastAsia="+mn-ea" w:cs="+mn-cs"/>
          <w:color w:val="000000"/>
          <w:kern w:val="24"/>
          <w:sz w:val="20"/>
          <w:szCs w:val="20"/>
          <w:lang w:eastAsia="en-AU"/>
        </w:rPr>
      </w:pPr>
      <w:r w:rsidRPr="00CB30B0">
        <w:rPr>
          <w:rFonts w:eastAsia="+mn-ea" w:cs="+mn-cs"/>
          <w:color w:val="000000"/>
          <w:kern w:val="24"/>
          <w:sz w:val="20"/>
          <w:szCs w:val="20"/>
          <w:lang w:eastAsia="en-AU"/>
        </w:rPr>
        <w:t xml:space="preserve">Clarity in </w:t>
      </w:r>
      <w:r w:rsidR="00E5778C" w:rsidRPr="00CB30B0">
        <w:rPr>
          <w:rFonts w:eastAsia="+mn-ea" w:cs="+mn-cs"/>
          <w:color w:val="000000"/>
          <w:kern w:val="24"/>
          <w:sz w:val="20"/>
          <w:szCs w:val="20"/>
          <w:lang w:eastAsia="en-AU"/>
        </w:rPr>
        <w:t xml:space="preserve">the approach for engaging with Government is </w:t>
      </w:r>
      <w:r w:rsidRPr="00CB30B0">
        <w:rPr>
          <w:rFonts w:eastAsia="+mn-ea" w:cs="+mn-cs"/>
          <w:color w:val="000000"/>
          <w:kern w:val="24"/>
          <w:sz w:val="20"/>
          <w:szCs w:val="20"/>
          <w:lang w:eastAsia="en-AU"/>
        </w:rPr>
        <w:t>necessary</w:t>
      </w:r>
      <w:r w:rsidR="00E5778C" w:rsidRPr="00CB30B0">
        <w:rPr>
          <w:rFonts w:eastAsia="+mn-ea" w:cs="+mn-cs"/>
          <w:color w:val="000000"/>
          <w:kern w:val="24"/>
          <w:sz w:val="20"/>
          <w:szCs w:val="20"/>
          <w:lang w:eastAsia="en-AU"/>
        </w:rPr>
        <w:t>, with an emphasis on the Commissioners advising the CEO and the CEO advising Government on behalf of the NMHC (including the Commissioners as Officials of the NMHC), to prevent confusion. Where possible, the CEO and the Commissioners should engage collectively to continue to build prominence across the mental health system and t</w:t>
      </w:r>
      <w:r w:rsidRPr="00CB30B0">
        <w:rPr>
          <w:rFonts w:eastAsia="+mn-ea" w:cs="+mn-cs"/>
          <w:color w:val="000000"/>
          <w:kern w:val="24"/>
          <w:sz w:val="20"/>
          <w:szCs w:val="20"/>
          <w:lang w:eastAsia="en-AU"/>
        </w:rPr>
        <w:t>o extract the full value of the expertise and experience of the Commissioners.</w:t>
      </w:r>
      <w:r>
        <w:rPr>
          <w:rFonts w:eastAsia="+mn-ea" w:cs="+mn-cs"/>
          <w:color w:val="000000"/>
          <w:kern w:val="24"/>
          <w:sz w:val="20"/>
          <w:szCs w:val="20"/>
          <w:lang w:eastAsia="en-AU"/>
        </w:rPr>
        <w:t xml:space="preserve"> </w:t>
      </w:r>
    </w:p>
    <w:p w:rsidR="00A56650" w:rsidRDefault="00A56650" w:rsidP="001E1957">
      <w:pPr>
        <w:spacing w:after="0" w:line="240" w:lineRule="auto"/>
        <w:rPr>
          <w:rFonts w:eastAsia="+mn-ea" w:cs="+mn-cs"/>
          <w:color w:val="000000"/>
          <w:kern w:val="24"/>
          <w:sz w:val="20"/>
          <w:szCs w:val="20"/>
          <w:lang w:eastAsia="en-AU"/>
        </w:rPr>
      </w:pPr>
    </w:p>
    <w:p w:rsidR="00846D16" w:rsidRPr="00B50499" w:rsidRDefault="00846D16" w:rsidP="001E1957">
      <w:pPr>
        <w:spacing w:after="0" w:line="240" w:lineRule="auto"/>
        <w:rPr>
          <w:rFonts w:eastAsia="+mn-ea" w:cs="+mn-cs"/>
          <w:color w:val="000000"/>
          <w:kern w:val="24"/>
          <w:sz w:val="20"/>
          <w:szCs w:val="20"/>
          <w:lang w:eastAsia="en-AU"/>
        </w:rPr>
      </w:pPr>
      <w:r w:rsidRPr="00B50499">
        <w:rPr>
          <w:rFonts w:eastAsia="+mn-ea" w:cs="+mn-cs"/>
          <w:color w:val="000000"/>
          <w:kern w:val="24"/>
          <w:sz w:val="20"/>
          <w:szCs w:val="20"/>
          <w:lang w:eastAsia="en-AU"/>
        </w:rPr>
        <w:t xml:space="preserve">As highlighted above, an update to the Executive Order should be made to clarify the role of the Commissioners and the NMHC. </w:t>
      </w:r>
      <w:r w:rsidR="00F05F88" w:rsidRPr="00B50499">
        <w:rPr>
          <w:rFonts w:eastAsia="+mn-ea" w:cs="+mn-cs"/>
          <w:color w:val="000000"/>
          <w:kern w:val="24"/>
          <w:sz w:val="20"/>
          <w:szCs w:val="20"/>
          <w:lang w:eastAsia="en-AU"/>
        </w:rPr>
        <w:t xml:space="preserve">This would be approved by the Governor General. </w:t>
      </w:r>
      <w:r w:rsidRPr="00B50499">
        <w:rPr>
          <w:rFonts w:eastAsia="+mn-ea" w:cs="+mn-cs"/>
          <w:color w:val="000000"/>
          <w:kern w:val="24"/>
          <w:sz w:val="20"/>
          <w:szCs w:val="20"/>
          <w:lang w:eastAsia="en-AU"/>
        </w:rPr>
        <w:t xml:space="preserve">Changes to the Executive Order would follow the following process: </w:t>
      </w:r>
    </w:p>
    <w:p w:rsidR="00F05F88" w:rsidRPr="00B50499" w:rsidRDefault="00F05F88" w:rsidP="001E1957">
      <w:pPr>
        <w:spacing w:after="0" w:line="240" w:lineRule="auto"/>
        <w:rPr>
          <w:rFonts w:eastAsia="+mn-ea" w:cs="+mn-cs"/>
          <w:color w:val="000000"/>
          <w:kern w:val="24"/>
          <w:sz w:val="20"/>
          <w:szCs w:val="20"/>
          <w:lang w:eastAsia="en-AU"/>
        </w:rPr>
      </w:pPr>
    </w:p>
    <w:p w:rsidR="0023399A" w:rsidRPr="00B50499" w:rsidRDefault="00846D16" w:rsidP="00D8278D">
      <w:pPr>
        <w:pStyle w:val="ListParagraph"/>
        <w:numPr>
          <w:ilvl w:val="0"/>
          <w:numId w:val="43"/>
        </w:numPr>
        <w:spacing w:before="120" w:after="120"/>
        <w:ind w:hanging="357"/>
        <w:contextualSpacing w:val="0"/>
        <w:rPr>
          <w:rFonts w:eastAsia="+mn-ea" w:cs="+mn-cs"/>
          <w:color w:val="000000"/>
          <w:kern w:val="24"/>
          <w:sz w:val="20"/>
          <w:szCs w:val="20"/>
          <w:lang w:eastAsia="en-AU"/>
        </w:rPr>
      </w:pPr>
      <w:r w:rsidRPr="00B50499">
        <w:rPr>
          <w:rFonts w:eastAsia="+mn-ea" w:cs="+mn-cs"/>
          <w:color w:val="000000"/>
          <w:kern w:val="24"/>
          <w:sz w:val="20"/>
          <w:szCs w:val="20"/>
          <w:lang w:eastAsia="en-AU"/>
        </w:rPr>
        <w:t>The Executive Or</w:t>
      </w:r>
      <w:r w:rsidR="00F05F88" w:rsidRPr="00B50499">
        <w:rPr>
          <w:rFonts w:eastAsia="+mn-ea" w:cs="+mn-cs"/>
          <w:color w:val="000000"/>
          <w:kern w:val="24"/>
          <w:sz w:val="20"/>
          <w:szCs w:val="20"/>
          <w:lang w:eastAsia="en-AU"/>
        </w:rPr>
        <w:t xml:space="preserve">der would be drafted within </w:t>
      </w:r>
      <w:proofErr w:type="spellStart"/>
      <w:r w:rsidR="00F05F88" w:rsidRPr="00B50499">
        <w:rPr>
          <w:rFonts w:eastAsia="+mn-ea" w:cs="+mn-cs"/>
          <w:color w:val="000000"/>
          <w:kern w:val="24"/>
          <w:sz w:val="20"/>
          <w:szCs w:val="20"/>
          <w:lang w:eastAsia="en-AU"/>
        </w:rPr>
        <w:t>DoH</w:t>
      </w:r>
      <w:proofErr w:type="spellEnd"/>
      <w:r w:rsidRPr="00B50499">
        <w:rPr>
          <w:rFonts w:eastAsia="+mn-ea" w:cs="+mn-cs"/>
          <w:color w:val="000000"/>
          <w:kern w:val="24"/>
          <w:sz w:val="20"/>
          <w:szCs w:val="20"/>
          <w:lang w:eastAsia="en-AU"/>
        </w:rPr>
        <w:t xml:space="preserve">, in consultation with the Office of Parliamentary Counsel (OPC). </w:t>
      </w:r>
    </w:p>
    <w:p w:rsidR="00846D16" w:rsidRPr="00B50499" w:rsidRDefault="00846D16" w:rsidP="00D8278D">
      <w:pPr>
        <w:pStyle w:val="ListParagraph"/>
        <w:numPr>
          <w:ilvl w:val="0"/>
          <w:numId w:val="43"/>
        </w:numPr>
        <w:spacing w:before="120" w:after="120"/>
        <w:ind w:hanging="357"/>
        <w:contextualSpacing w:val="0"/>
        <w:rPr>
          <w:rFonts w:eastAsia="+mn-ea" w:cs="+mn-cs"/>
          <w:color w:val="000000"/>
          <w:kern w:val="24"/>
          <w:sz w:val="20"/>
          <w:szCs w:val="20"/>
          <w:lang w:eastAsia="en-AU"/>
        </w:rPr>
      </w:pPr>
      <w:r w:rsidRPr="00B50499">
        <w:rPr>
          <w:rFonts w:eastAsia="+mn-ea" w:cs="+mn-cs"/>
          <w:color w:val="000000"/>
          <w:kern w:val="24"/>
          <w:sz w:val="20"/>
          <w:szCs w:val="20"/>
          <w:lang w:eastAsia="en-AU"/>
        </w:rPr>
        <w:lastRenderedPageBreak/>
        <w:t xml:space="preserve">The </w:t>
      </w:r>
      <w:r w:rsidR="00F05F88" w:rsidRPr="00B50499">
        <w:rPr>
          <w:rFonts w:eastAsia="+mn-ea" w:cs="+mn-cs"/>
          <w:color w:val="000000"/>
          <w:kern w:val="24"/>
          <w:sz w:val="20"/>
          <w:szCs w:val="20"/>
          <w:lang w:eastAsia="en-AU"/>
        </w:rPr>
        <w:t xml:space="preserve">Executive </w:t>
      </w:r>
      <w:r w:rsidRPr="00B50499">
        <w:rPr>
          <w:rFonts w:eastAsia="+mn-ea" w:cs="+mn-cs"/>
          <w:color w:val="000000"/>
          <w:kern w:val="24"/>
          <w:sz w:val="20"/>
          <w:szCs w:val="20"/>
          <w:lang w:eastAsia="en-AU"/>
        </w:rPr>
        <w:t>Order must be made acting on advice of the Federal Executive Council (</w:t>
      </w:r>
      <w:proofErr w:type="spellStart"/>
      <w:r w:rsidRPr="00B50499">
        <w:rPr>
          <w:rFonts w:eastAsia="+mn-ea" w:cs="+mn-cs"/>
          <w:color w:val="000000"/>
          <w:kern w:val="24"/>
          <w:sz w:val="20"/>
          <w:szCs w:val="20"/>
          <w:lang w:eastAsia="en-AU"/>
        </w:rPr>
        <w:t>ExCo</w:t>
      </w:r>
      <w:proofErr w:type="spellEnd"/>
      <w:r w:rsidRPr="00B50499">
        <w:rPr>
          <w:rFonts w:eastAsia="+mn-ea" w:cs="+mn-cs"/>
          <w:color w:val="000000"/>
          <w:kern w:val="24"/>
          <w:sz w:val="20"/>
          <w:szCs w:val="20"/>
          <w:lang w:eastAsia="en-AU"/>
        </w:rPr>
        <w:t xml:space="preserve">). Consequently, the order must be submitted for consideration at a scheduled </w:t>
      </w:r>
      <w:proofErr w:type="spellStart"/>
      <w:r w:rsidRPr="00B50499">
        <w:rPr>
          <w:rFonts w:eastAsia="+mn-ea" w:cs="+mn-cs"/>
          <w:color w:val="000000"/>
          <w:kern w:val="24"/>
          <w:sz w:val="20"/>
          <w:szCs w:val="20"/>
          <w:lang w:eastAsia="en-AU"/>
        </w:rPr>
        <w:t>ExCo</w:t>
      </w:r>
      <w:proofErr w:type="spellEnd"/>
      <w:r w:rsidRPr="00B50499">
        <w:rPr>
          <w:rFonts w:eastAsia="+mn-ea" w:cs="+mn-cs"/>
          <w:color w:val="000000"/>
          <w:kern w:val="24"/>
          <w:sz w:val="20"/>
          <w:szCs w:val="20"/>
          <w:lang w:eastAsia="en-AU"/>
        </w:rPr>
        <w:t xml:space="preserve"> meeting. </w:t>
      </w:r>
    </w:p>
    <w:p w:rsidR="00846D16" w:rsidRPr="00B50499" w:rsidRDefault="00846D16" w:rsidP="00D8278D">
      <w:pPr>
        <w:pStyle w:val="ListParagraph"/>
        <w:numPr>
          <w:ilvl w:val="0"/>
          <w:numId w:val="43"/>
        </w:numPr>
        <w:spacing w:before="120" w:after="120"/>
        <w:ind w:hanging="357"/>
        <w:contextualSpacing w:val="0"/>
        <w:rPr>
          <w:rFonts w:eastAsia="+mn-ea" w:cs="+mn-cs"/>
          <w:color w:val="000000"/>
          <w:kern w:val="24"/>
          <w:sz w:val="20"/>
          <w:szCs w:val="20"/>
          <w:lang w:eastAsia="en-AU"/>
        </w:rPr>
      </w:pPr>
      <w:r w:rsidRPr="00B50499">
        <w:rPr>
          <w:rFonts w:eastAsia="+mn-ea" w:cs="+mn-cs"/>
          <w:color w:val="000000"/>
          <w:kern w:val="24"/>
          <w:sz w:val="20"/>
          <w:szCs w:val="20"/>
          <w:lang w:eastAsia="en-AU"/>
        </w:rPr>
        <w:t xml:space="preserve">The </w:t>
      </w:r>
      <w:hyperlink r:id="rId17" w:history="1">
        <w:r w:rsidRPr="00B50499">
          <w:rPr>
            <w:rFonts w:eastAsia="+mn-ea" w:cs="+mn-cs"/>
            <w:color w:val="000000"/>
            <w:kern w:val="24"/>
            <w:sz w:val="20"/>
            <w:szCs w:val="20"/>
            <w:lang w:eastAsia="en-AU"/>
          </w:rPr>
          <w:t>Federal Executive Council Handbook</w:t>
        </w:r>
      </w:hyperlink>
      <w:r w:rsidRPr="00B50499">
        <w:rPr>
          <w:rFonts w:eastAsia="+mn-ea" w:cs="+mn-cs"/>
          <w:color w:val="000000"/>
          <w:kern w:val="24"/>
          <w:sz w:val="20"/>
          <w:szCs w:val="20"/>
          <w:lang w:eastAsia="en-AU"/>
        </w:rPr>
        <w:t xml:space="preserve"> provides information about the process for submitting matters for consideration at a scheduled </w:t>
      </w:r>
      <w:proofErr w:type="spellStart"/>
      <w:r w:rsidRPr="00B50499">
        <w:rPr>
          <w:rFonts w:eastAsia="+mn-ea" w:cs="+mn-cs"/>
          <w:color w:val="000000"/>
          <w:kern w:val="24"/>
          <w:sz w:val="20"/>
          <w:szCs w:val="20"/>
          <w:lang w:eastAsia="en-AU"/>
        </w:rPr>
        <w:t>ExCo</w:t>
      </w:r>
      <w:proofErr w:type="spellEnd"/>
      <w:r w:rsidRPr="00B50499">
        <w:rPr>
          <w:rFonts w:eastAsia="+mn-ea" w:cs="+mn-cs"/>
          <w:color w:val="000000"/>
          <w:kern w:val="24"/>
          <w:sz w:val="20"/>
          <w:szCs w:val="20"/>
          <w:lang w:eastAsia="en-AU"/>
        </w:rPr>
        <w:t xml:space="preserve"> meeting, which are generally held on a fortnightly basis. </w:t>
      </w:r>
    </w:p>
    <w:p w:rsidR="00846D16" w:rsidRPr="00B50499" w:rsidRDefault="00846D16" w:rsidP="00D8278D">
      <w:pPr>
        <w:pStyle w:val="ListParagraph"/>
        <w:numPr>
          <w:ilvl w:val="0"/>
          <w:numId w:val="43"/>
        </w:numPr>
        <w:spacing w:before="120" w:after="120"/>
        <w:ind w:hanging="357"/>
        <w:contextualSpacing w:val="0"/>
        <w:rPr>
          <w:rFonts w:eastAsia="+mn-ea" w:cs="+mn-cs"/>
          <w:color w:val="000000"/>
          <w:kern w:val="24"/>
          <w:sz w:val="20"/>
          <w:szCs w:val="20"/>
          <w:lang w:eastAsia="en-AU"/>
        </w:rPr>
      </w:pPr>
      <w:r w:rsidRPr="00B50499">
        <w:rPr>
          <w:rFonts w:eastAsia="+mn-ea" w:cs="+mn-cs"/>
          <w:color w:val="000000"/>
          <w:kern w:val="24"/>
          <w:sz w:val="20"/>
          <w:szCs w:val="20"/>
          <w:lang w:eastAsia="en-AU"/>
        </w:rPr>
        <w:t xml:space="preserve">Broadly, this process involves submitting the following documents to the </w:t>
      </w:r>
      <w:proofErr w:type="spellStart"/>
      <w:r w:rsidRPr="00B50499">
        <w:rPr>
          <w:rFonts w:eastAsia="+mn-ea" w:cs="+mn-cs"/>
          <w:color w:val="000000"/>
          <w:kern w:val="24"/>
          <w:sz w:val="20"/>
          <w:szCs w:val="20"/>
          <w:lang w:eastAsia="en-AU"/>
        </w:rPr>
        <w:t>ExCo</w:t>
      </w:r>
      <w:proofErr w:type="spellEnd"/>
      <w:r w:rsidRPr="00B50499">
        <w:rPr>
          <w:rFonts w:eastAsia="+mn-ea" w:cs="+mn-cs"/>
          <w:color w:val="000000"/>
          <w:kern w:val="24"/>
          <w:sz w:val="20"/>
          <w:szCs w:val="20"/>
          <w:lang w:eastAsia="en-AU"/>
        </w:rPr>
        <w:t xml:space="preserve"> Secretariat for clearance:</w:t>
      </w:r>
    </w:p>
    <w:p w:rsidR="00846D16" w:rsidRPr="00B50499" w:rsidRDefault="00846D16" w:rsidP="00D8278D">
      <w:pPr>
        <w:pStyle w:val="ListParagraph"/>
        <w:numPr>
          <w:ilvl w:val="1"/>
          <w:numId w:val="43"/>
        </w:numPr>
        <w:spacing w:before="120" w:after="120"/>
        <w:ind w:hanging="357"/>
        <w:contextualSpacing w:val="0"/>
        <w:rPr>
          <w:rFonts w:eastAsia="+mn-ea" w:cs="+mn-cs"/>
          <w:color w:val="000000"/>
          <w:kern w:val="24"/>
          <w:sz w:val="20"/>
          <w:szCs w:val="20"/>
          <w:lang w:eastAsia="en-AU"/>
        </w:rPr>
      </w:pPr>
      <w:r w:rsidRPr="00B50499">
        <w:rPr>
          <w:rFonts w:eastAsia="+mn-ea" w:cs="+mn-cs"/>
          <w:color w:val="000000"/>
          <w:kern w:val="24"/>
          <w:sz w:val="20"/>
          <w:szCs w:val="20"/>
          <w:lang w:eastAsia="en-AU"/>
        </w:rPr>
        <w:t>A formal minute, signed by the Minister;</w:t>
      </w:r>
    </w:p>
    <w:p w:rsidR="00846D16" w:rsidRPr="00B50499" w:rsidRDefault="00846D16" w:rsidP="00D8278D">
      <w:pPr>
        <w:pStyle w:val="ListParagraph"/>
        <w:numPr>
          <w:ilvl w:val="1"/>
          <w:numId w:val="43"/>
        </w:numPr>
        <w:spacing w:before="120" w:after="120"/>
        <w:ind w:hanging="357"/>
        <w:contextualSpacing w:val="0"/>
        <w:rPr>
          <w:rFonts w:eastAsia="+mn-ea" w:cs="+mn-cs"/>
          <w:color w:val="000000"/>
          <w:kern w:val="24"/>
          <w:sz w:val="20"/>
          <w:szCs w:val="20"/>
          <w:lang w:eastAsia="en-AU"/>
        </w:rPr>
      </w:pPr>
      <w:r w:rsidRPr="00B50499">
        <w:rPr>
          <w:rFonts w:eastAsia="+mn-ea" w:cs="+mn-cs"/>
          <w:color w:val="000000"/>
          <w:kern w:val="24"/>
          <w:sz w:val="20"/>
          <w:szCs w:val="20"/>
          <w:lang w:eastAsia="en-AU"/>
        </w:rPr>
        <w:t>An order for the changes to be executed by the Governor-General, that has been countersigned by the Minister; and</w:t>
      </w:r>
    </w:p>
    <w:p w:rsidR="00846D16" w:rsidRPr="00B50499" w:rsidRDefault="00846D16" w:rsidP="00D8278D">
      <w:pPr>
        <w:pStyle w:val="ListParagraph"/>
        <w:numPr>
          <w:ilvl w:val="1"/>
          <w:numId w:val="43"/>
        </w:numPr>
        <w:spacing w:before="120" w:after="120"/>
        <w:ind w:hanging="357"/>
        <w:contextualSpacing w:val="0"/>
        <w:rPr>
          <w:rFonts w:eastAsia="+mn-ea" w:cs="+mn-cs"/>
          <w:color w:val="000000"/>
          <w:kern w:val="24"/>
          <w:sz w:val="20"/>
          <w:szCs w:val="20"/>
          <w:lang w:eastAsia="en-AU"/>
        </w:rPr>
      </w:pPr>
      <w:r w:rsidRPr="00B50499">
        <w:rPr>
          <w:rFonts w:eastAsia="+mn-ea" w:cs="+mn-cs"/>
          <w:color w:val="000000"/>
          <w:kern w:val="24"/>
          <w:sz w:val="20"/>
          <w:szCs w:val="20"/>
          <w:lang w:eastAsia="en-AU"/>
        </w:rPr>
        <w:t xml:space="preserve">A concise explanatory memorandum. </w:t>
      </w:r>
    </w:p>
    <w:p w:rsidR="00846D16" w:rsidRPr="00B50499" w:rsidRDefault="00846D16" w:rsidP="00D8278D">
      <w:pPr>
        <w:pStyle w:val="ListParagraph"/>
        <w:numPr>
          <w:ilvl w:val="0"/>
          <w:numId w:val="43"/>
        </w:numPr>
        <w:spacing w:before="120" w:after="120"/>
        <w:ind w:hanging="357"/>
        <w:contextualSpacing w:val="0"/>
        <w:rPr>
          <w:rFonts w:eastAsia="+mn-ea" w:cs="+mn-cs"/>
          <w:color w:val="000000"/>
          <w:kern w:val="24"/>
          <w:sz w:val="20"/>
          <w:szCs w:val="20"/>
          <w:lang w:eastAsia="en-AU"/>
        </w:rPr>
      </w:pPr>
      <w:r w:rsidRPr="00B50499">
        <w:rPr>
          <w:rFonts w:eastAsia="+mn-ea" w:cs="+mn-cs"/>
          <w:color w:val="000000"/>
          <w:kern w:val="24"/>
          <w:sz w:val="20"/>
          <w:szCs w:val="20"/>
          <w:lang w:eastAsia="en-AU"/>
        </w:rPr>
        <w:t xml:space="preserve">If the recommendation is approved at the </w:t>
      </w:r>
      <w:proofErr w:type="spellStart"/>
      <w:r w:rsidRPr="00B50499">
        <w:rPr>
          <w:rFonts w:eastAsia="+mn-ea" w:cs="+mn-cs"/>
          <w:color w:val="000000"/>
          <w:kern w:val="24"/>
          <w:sz w:val="20"/>
          <w:szCs w:val="20"/>
          <w:lang w:eastAsia="en-AU"/>
        </w:rPr>
        <w:t>ExCo</w:t>
      </w:r>
      <w:proofErr w:type="spellEnd"/>
      <w:r w:rsidRPr="00B50499">
        <w:rPr>
          <w:rFonts w:eastAsia="+mn-ea" w:cs="+mn-cs"/>
          <w:color w:val="000000"/>
          <w:kern w:val="24"/>
          <w:sz w:val="20"/>
          <w:szCs w:val="20"/>
          <w:lang w:eastAsia="en-AU"/>
        </w:rPr>
        <w:t xml:space="preserve"> meeting, the Governor General will sign the minute and the associated order at the meeting or, if he is not present, as soon as possible after the meeting. </w:t>
      </w:r>
    </w:p>
    <w:p w:rsidR="00846D16" w:rsidRDefault="00846D16" w:rsidP="009668E8">
      <w:pPr>
        <w:pStyle w:val="ListParagraph"/>
        <w:numPr>
          <w:ilvl w:val="0"/>
          <w:numId w:val="43"/>
        </w:numPr>
        <w:spacing w:before="120" w:after="120"/>
        <w:ind w:hanging="357"/>
        <w:contextualSpacing w:val="0"/>
        <w:rPr>
          <w:rFonts w:eastAsia="+mn-ea" w:cs="+mn-cs"/>
          <w:color w:val="000000"/>
          <w:kern w:val="24"/>
          <w:sz w:val="20"/>
          <w:szCs w:val="20"/>
          <w:lang w:eastAsia="en-AU"/>
        </w:rPr>
      </w:pPr>
      <w:r w:rsidRPr="00B50499">
        <w:rPr>
          <w:rFonts w:eastAsia="+mn-ea" w:cs="+mn-cs"/>
          <w:color w:val="000000"/>
          <w:kern w:val="24"/>
          <w:sz w:val="20"/>
          <w:szCs w:val="20"/>
          <w:lang w:eastAsia="en-AU"/>
        </w:rPr>
        <w:t xml:space="preserve">Following approval </w:t>
      </w:r>
      <w:proofErr w:type="spellStart"/>
      <w:r w:rsidR="00F05F88" w:rsidRPr="00B50499">
        <w:rPr>
          <w:rFonts w:eastAsia="+mn-ea" w:cs="+mn-cs"/>
          <w:color w:val="000000"/>
          <w:kern w:val="24"/>
          <w:sz w:val="20"/>
          <w:szCs w:val="20"/>
          <w:lang w:eastAsia="en-AU"/>
        </w:rPr>
        <w:t>DoH</w:t>
      </w:r>
      <w:proofErr w:type="spellEnd"/>
      <w:r w:rsidR="00F05F88" w:rsidRPr="00B50499">
        <w:rPr>
          <w:rFonts w:eastAsia="+mn-ea" w:cs="+mn-cs"/>
          <w:color w:val="000000"/>
          <w:kern w:val="24"/>
          <w:sz w:val="20"/>
          <w:szCs w:val="20"/>
          <w:lang w:eastAsia="en-AU"/>
        </w:rPr>
        <w:t xml:space="preserve"> </w:t>
      </w:r>
      <w:r w:rsidRPr="00B50499">
        <w:rPr>
          <w:rFonts w:eastAsia="+mn-ea" w:cs="+mn-cs"/>
          <w:color w:val="000000"/>
          <w:kern w:val="24"/>
          <w:sz w:val="20"/>
          <w:szCs w:val="20"/>
          <w:lang w:eastAsia="en-AU"/>
        </w:rPr>
        <w:t xml:space="preserve">would arrange for the order to be gazetted by OPC. </w:t>
      </w:r>
    </w:p>
    <w:p w:rsidR="001E1957" w:rsidRPr="00264435" w:rsidRDefault="001E1957">
      <w:pPr>
        <w:spacing w:after="200" w:line="276" w:lineRule="auto"/>
        <w:rPr>
          <w:rFonts w:eastAsia="Times New Roman" w:cs="Times New Roman"/>
          <w:sz w:val="24"/>
          <w:szCs w:val="24"/>
          <w:lang w:eastAsia="en-AU"/>
        </w:rPr>
      </w:pPr>
      <w:r w:rsidRPr="00264435">
        <w:rPr>
          <w:rFonts w:eastAsia="Times New Roman" w:cs="Times New Roman"/>
          <w:sz w:val="24"/>
          <w:szCs w:val="24"/>
          <w:lang w:eastAsia="en-AU"/>
        </w:rPr>
        <w:br w:type="page"/>
      </w:r>
    </w:p>
    <w:p w:rsidR="00E452E7" w:rsidRPr="00264435" w:rsidRDefault="00B64F03" w:rsidP="00E452E7">
      <w:pPr>
        <w:pStyle w:val="Heading1"/>
        <w:spacing w:after="0"/>
      </w:pPr>
      <w:bookmarkStart w:id="13" w:name="_Toc482809630"/>
      <w:r>
        <w:lastRenderedPageBreak/>
        <w:t xml:space="preserve">4. </w:t>
      </w:r>
      <w:r w:rsidR="00E452E7" w:rsidRPr="00264435">
        <w:t>Future State</w:t>
      </w:r>
      <w:r w:rsidR="00C7789A">
        <w:t xml:space="preserve"> Options</w:t>
      </w:r>
      <w:bookmarkEnd w:id="13"/>
    </w:p>
    <w:p w:rsidR="00E452E7" w:rsidRPr="00D13187" w:rsidRDefault="00E452E7" w:rsidP="00E452E7">
      <w:pPr>
        <w:rPr>
          <w:sz w:val="44"/>
          <w:szCs w:val="60"/>
        </w:rPr>
      </w:pPr>
    </w:p>
    <w:p w:rsidR="007C6366" w:rsidRPr="008E0B3F" w:rsidRDefault="007C6366" w:rsidP="007C6366">
      <w:pPr>
        <w:rPr>
          <w:i/>
          <w:sz w:val="20"/>
          <w:szCs w:val="18"/>
        </w:rPr>
      </w:pPr>
      <w:r w:rsidRPr="008E0B3F">
        <w:rPr>
          <w:i/>
          <w:sz w:val="20"/>
          <w:szCs w:val="18"/>
        </w:rPr>
        <w:t>From a first principles perspective, four possible future-state options are available for the NMHC. Our assessment suggests structural changes are not required, and instead the NMHC’s capacity and capability should be strengthened as a priority</w:t>
      </w:r>
      <w:r w:rsidRPr="00CB30B0">
        <w:rPr>
          <w:i/>
          <w:sz w:val="20"/>
          <w:szCs w:val="18"/>
        </w:rPr>
        <w:t>, and strong authorisation from the Minister</w:t>
      </w:r>
      <w:r w:rsidR="00A97957" w:rsidRPr="00CB30B0">
        <w:rPr>
          <w:i/>
          <w:sz w:val="20"/>
          <w:szCs w:val="18"/>
        </w:rPr>
        <w:t xml:space="preserve"> for Health</w:t>
      </w:r>
      <w:r w:rsidRPr="00CB30B0">
        <w:rPr>
          <w:i/>
          <w:sz w:val="20"/>
          <w:szCs w:val="18"/>
        </w:rPr>
        <w:t xml:space="preserve"> to pursue cross-portfolio priorities at a Commonwealth level, and relationships and influence-building at a State and Territory-level.</w:t>
      </w:r>
      <w:r w:rsidRPr="008E0B3F">
        <w:rPr>
          <w:i/>
          <w:sz w:val="20"/>
          <w:szCs w:val="18"/>
        </w:rPr>
        <w:t xml:space="preserve"> </w:t>
      </w:r>
    </w:p>
    <w:p w:rsidR="007C6366" w:rsidRPr="00264435" w:rsidRDefault="007C6366" w:rsidP="00F916D6">
      <w:pPr>
        <w:pStyle w:val="Heading2"/>
        <w:rPr>
          <w:b w:val="0"/>
        </w:rPr>
      </w:pPr>
      <w:bookmarkStart w:id="14" w:name="_Toc482809631"/>
      <w:r>
        <w:t>A. Institutional form options</w:t>
      </w:r>
      <w:bookmarkEnd w:id="14"/>
    </w:p>
    <w:p w:rsidR="007C6366" w:rsidRPr="00126087" w:rsidRDefault="007C6366" w:rsidP="007C6366">
      <w:pPr>
        <w:spacing w:after="0" w:line="240" w:lineRule="auto"/>
        <w:rPr>
          <w:color w:val="000000" w:themeColor="text1"/>
          <w:sz w:val="20"/>
        </w:rPr>
      </w:pPr>
      <w:r w:rsidRPr="00126087">
        <w:rPr>
          <w:color w:val="000000" w:themeColor="text1"/>
          <w:sz w:val="20"/>
        </w:rPr>
        <w:t>At a high level, there are four possible future-state options for the NMHC, each of which is considered in turn:</w:t>
      </w:r>
    </w:p>
    <w:p w:rsidR="007C6366" w:rsidRDefault="007C6366" w:rsidP="007C6366">
      <w:pPr>
        <w:spacing w:after="0" w:line="240" w:lineRule="auto"/>
        <w:rPr>
          <w:color w:val="000000" w:themeColor="text1"/>
        </w:rPr>
      </w:pPr>
    </w:p>
    <w:p w:rsidR="007C6366" w:rsidRDefault="007C6366" w:rsidP="007C6366">
      <w:pPr>
        <w:spacing w:after="0" w:line="240" w:lineRule="auto"/>
        <w:rPr>
          <w:color w:val="000000" w:themeColor="text1"/>
        </w:rPr>
      </w:pPr>
      <w:r>
        <w:rPr>
          <w:noProof/>
          <w:color w:val="000000" w:themeColor="text1"/>
          <w:lang w:eastAsia="en-AU"/>
        </w:rPr>
        <w:drawing>
          <wp:inline distT="0" distB="0" distL="0" distR="0">
            <wp:extent cx="5712460" cy="719213"/>
            <wp:effectExtent l="0" t="0" r="2540" b="5080"/>
            <wp:docPr id="13" name="Picture 13" descr="This image outlines the four future state options for the National Mental Health Commission which are outlined in the following chapter. The options represented are: No change, current form with improvements, statutory authority form, and change the auspicing arrangements.&#10;" title="Four possible future-state options for the National Mental Health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2460" cy="719213"/>
                    </a:xfrm>
                    <a:prstGeom prst="rect">
                      <a:avLst/>
                    </a:prstGeom>
                    <a:noFill/>
                  </pic:spPr>
                </pic:pic>
              </a:graphicData>
            </a:graphic>
          </wp:inline>
        </w:drawing>
      </w:r>
    </w:p>
    <w:p w:rsidR="007C6366" w:rsidRDefault="007C6366" w:rsidP="007C6366">
      <w:pPr>
        <w:spacing w:after="0" w:line="240" w:lineRule="auto"/>
        <w:rPr>
          <w:color w:val="000000" w:themeColor="text1"/>
        </w:rPr>
      </w:pPr>
    </w:p>
    <w:p w:rsidR="007C6366" w:rsidRDefault="007C6366" w:rsidP="007C6366">
      <w:pPr>
        <w:spacing w:after="0" w:line="240" w:lineRule="auto"/>
        <w:rPr>
          <w:color w:val="000000" w:themeColor="text1"/>
        </w:rPr>
      </w:pPr>
    </w:p>
    <w:p w:rsidR="007C6366" w:rsidRDefault="007C6366" w:rsidP="007C6366">
      <w:pPr>
        <w:spacing w:after="0" w:line="259" w:lineRule="auto"/>
        <w:rPr>
          <w:b/>
          <w:color w:val="012169" w:themeColor="accent4"/>
          <w:sz w:val="20"/>
          <w:szCs w:val="18"/>
        </w:rPr>
      </w:pPr>
      <w:r>
        <w:rPr>
          <w:b/>
          <w:color w:val="012169" w:themeColor="accent4"/>
          <w:sz w:val="20"/>
          <w:szCs w:val="18"/>
        </w:rPr>
        <w:t>Option 1</w:t>
      </w:r>
      <w:r w:rsidRPr="00EE04D9">
        <w:rPr>
          <w:b/>
          <w:color w:val="012169" w:themeColor="accent4"/>
          <w:sz w:val="20"/>
          <w:szCs w:val="18"/>
        </w:rPr>
        <w:t xml:space="preserve">: </w:t>
      </w:r>
      <w:r>
        <w:rPr>
          <w:b/>
          <w:color w:val="012169" w:themeColor="accent4"/>
          <w:sz w:val="20"/>
          <w:szCs w:val="18"/>
        </w:rPr>
        <w:t>No change</w:t>
      </w:r>
    </w:p>
    <w:p w:rsidR="007C6366" w:rsidRPr="00EE04D9" w:rsidRDefault="007C6366" w:rsidP="007C6366">
      <w:pPr>
        <w:spacing w:after="0" w:line="259" w:lineRule="auto"/>
        <w:rPr>
          <w:b/>
          <w:color w:val="012169" w:themeColor="accent4"/>
          <w:sz w:val="20"/>
          <w:szCs w:val="18"/>
        </w:rPr>
      </w:pPr>
    </w:p>
    <w:p w:rsidR="007C6366" w:rsidRDefault="007C6366" w:rsidP="007C6366">
      <w:pPr>
        <w:spacing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Presented in the interests of showing the full range of options, one option would be to make no changes and hence to retain the current institutional form, governance, functions and capacity and capability. However </w:t>
      </w:r>
      <w:r w:rsidRPr="00FA1C72">
        <w:rPr>
          <w:rFonts w:eastAsia="+mn-ea" w:cs="+mn-cs"/>
          <w:b/>
          <w:color w:val="000000"/>
          <w:kern w:val="24"/>
          <w:sz w:val="20"/>
          <w:szCs w:val="20"/>
          <w:lang w:eastAsia="en-AU"/>
        </w:rPr>
        <w:t>this is not recommended</w:t>
      </w:r>
      <w:r>
        <w:rPr>
          <w:rFonts w:eastAsia="+mn-ea" w:cs="+mn-cs"/>
          <w:color w:val="000000"/>
          <w:kern w:val="24"/>
          <w:sz w:val="20"/>
          <w:szCs w:val="20"/>
          <w:lang w:eastAsia="en-AU"/>
        </w:rPr>
        <w:t xml:space="preserve"> for a number of reasons. </w:t>
      </w:r>
    </w:p>
    <w:p w:rsidR="007C6366" w:rsidRDefault="007C6366" w:rsidP="007C6366">
      <w:pPr>
        <w:spacing w:after="0" w:line="240" w:lineRule="auto"/>
        <w:rPr>
          <w:rFonts w:eastAsia="+mn-ea" w:cs="+mn-cs"/>
          <w:color w:val="000000"/>
          <w:kern w:val="24"/>
          <w:sz w:val="20"/>
          <w:szCs w:val="20"/>
          <w:lang w:eastAsia="en-AU"/>
        </w:rPr>
      </w:pPr>
    </w:p>
    <w:p w:rsidR="00DD207B" w:rsidRDefault="007C6366" w:rsidP="007C6366">
      <w:pPr>
        <w:spacing w:after="0" w:line="240" w:lineRule="auto"/>
        <w:rPr>
          <w:rFonts w:eastAsia="+mn-ea" w:cs="+mn-cs"/>
          <w:color w:val="000000"/>
          <w:kern w:val="24"/>
          <w:sz w:val="20"/>
          <w:szCs w:val="20"/>
          <w:lang w:eastAsia="en-AU"/>
        </w:rPr>
      </w:pPr>
      <w:r>
        <w:rPr>
          <w:rFonts w:eastAsia="+mn-ea" w:cs="+mn-cs"/>
          <w:color w:val="000000"/>
          <w:kern w:val="24"/>
          <w:sz w:val="20"/>
          <w:szCs w:val="20"/>
          <w:lang w:eastAsia="en-AU"/>
        </w:rPr>
        <w:t xml:space="preserve">The Government has clearly stated an intention to ‘strengthen’ the NMHC. Moreover, the NMHC has the potential to make a meaningful impact on the Australian mental health system and, in doing so, to improve the lives of many people. </w:t>
      </w:r>
      <w:r w:rsidR="00DD207B" w:rsidRPr="00CB30B0">
        <w:rPr>
          <w:rFonts w:eastAsia="+mn-ea" w:cs="+mn-cs"/>
          <w:color w:val="000000"/>
          <w:kern w:val="24"/>
          <w:sz w:val="20"/>
          <w:szCs w:val="20"/>
          <w:lang w:eastAsia="en-AU"/>
        </w:rPr>
        <w:t>Irrespective of the institutional form, w</w:t>
      </w:r>
      <w:r w:rsidRPr="00CB30B0">
        <w:rPr>
          <w:rFonts w:eastAsia="+mn-ea" w:cs="+mn-cs"/>
          <w:color w:val="000000"/>
          <w:kern w:val="24"/>
          <w:sz w:val="20"/>
          <w:szCs w:val="20"/>
          <w:lang w:eastAsia="en-AU"/>
        </w:rPr>
        <w:t>ithout strengthening capacity and capability, this cannot be achieved.</w:t>
      </w:r>
      <w:r>
        <w:rPr>
          <w:rFonts w:eastAsia="+mn-ea" w:cs="+mn-cs"/>
          <w:color w:val="000000"/>
          <w:kern w:val="24"/>
          <w:sz w:val="20"/>
          <w:szCs w:val="20"/>
          <w:lang w:eastAsia="en-AU"/>
        </w:rPr>
        <w:t xml:space="preserve"> </w:t>
      </w:r>
    </w:p>
    <w:p w:rsidR="007C6366" w:rsidRDefault="007C6366" w:rsidP="007C6366">
      <w:pPr>
        <w:spacing w:after="0" w:line="240" w:lineRule="auto"/>
        <w:rPr>
          <w:color w:val="000000" w:themeColor="text1"/>
        </w:rPr>
      </w:pPr>
    </w:p>
    <w:p w:rsidR="007C6366" w:rsidRDefault="007C6366" w:rsidP="007C6366">
      <w:pPr>
        <w:spacing w:after="0" w:line="259" w:lineRule="auto"/>
        <w:rPr>
          <w:b/>
          <w:color w:val="012169" w:themeColor="accent4"/>
          <w:sz w:val="20"/>
          <w:szCs w:val="18"/>
        </w:rPr>
      </w:pPr>
      <w:r>
        <w:rPr>
          <w:b/>
          <w:color w:val="012169" w:themeColor="accent4"/>
          <w:sz w:val="20"/>
          <w:szCs w:val="18"/>
        </w:rPr>
        <w:t>Option 2</w:t>
      </w:r>
      <w:r w:rsidRPr="00EE04D9">
        <w:rPr>
          <w:b/>
          <w:color w:val="012169" w:themeColor="accent4"/>
          <w:sz w:val="20"/>
          <w:szCs w:val="18"/>
        </w:rPr>
        <w:t xml:space="preserve">: </w:t>
      </w:r>
      <w:r>
        <w:rPr>
          <w:b/>
          <w:color w:val="012169" w:themeColor="accent4"/>
          <w:sz w:val="20"/>
          <w:szCs w:val="18"/>
        </w:rPr>
        <w:t xml:space="preserve">Current form with improvements </w:t>
      </w:r>
    </w:p>
    <w:p w:rsidR="007C6366" w:rsidRPr="00EE04D9" w:rsidRDefault="007C6366" w:rsidP="007C6366">
      <w:pPr>
        <w:spacing w:after="0" w:line="259" w:lineRule="auto"/>
        <w:rPr>
          <w:b/>
          <w:color w:val="012169" w:themeColor="accent4"/>
          <w:sz w:val="20"/>
          <w:szCs w:val="18"/>
        </w:rPr>
      </w:pPr>
    </w:p>
    <w:p w:rsidR="007C6366" w:rsidRPr="00126087" w:rsidRDefault="007C6366" w:rsidP="007C6366">
      <w:pPr>
        <w:spacing w:after="0" w:line="240" w:lineRule="auto"/>
        <w:rPr>
          <w:color w:val="000000" w:themeColor="text1"/>
          <w:sz w:val="20"/>
        </w:rPr>
      </w:pPr>
      <w:r w:rsidRPr="00126087">
        <w:rPr>
          <w:color w:val="000000" w:themeColor="text1"/>
          <w:sz w:val="20"/>
        </w:rPr>
        <w:t xml:space="preserve">In the second option, the current institutional form (Executive Agency) is </w:t>
      </w:r>
      <w:proofErr w:type="gramStart"/>
      <w:r w:rsidRPr="00126087">
        <w:rPr>
          <w:color w:val="000000" w:themeColor="text1"/>
          <w:sz w:val="20"/>
        </w:rPr>
        <w:t>retained,</w:t>
      </w:r>
      <w:proofErr w:type="gramEnd"/>
      <w:r w:rsidRPr="00126087">
        <w:rPr>
          <w:color w:val="000000" w:themeColor="text1"/>
          <w:sz w:val="20"/>
        </w:rPr>
        <w:t xml:space="preserve"> whilst improvements are made across other aspects of governance and resourcing (these improvements are explored further below). </w:t>
      </w:r>
    </w:p>
    <w:p w:rsidR="007C6366" w:rsidRPr="00126087" w:rsidRDefault="007C6366" w:rsidP="007C6366">
      <w:pPr>
        <w:spacing w:after="0" w:line="240" w:lineRule="auto"/>
        <w:rPr>
          <w:color w:val="000000" w:themeColor="text1"/>
          <w:sz w:val="20"/>
        </w:rPr>
      </w:pPr>
    </w:p>
    <w:p w:rsidR="007C6366" w:rsidRPr="00126087" w:rsidRDefault="007C6366" w:rsidP="007C6366">
      <w:pPr>
        <w:spacing w:after="0" w:line="240" w:lineRule="auto"/>
        <w:rPr>
          <w:color w:val="000000" w:themeColor="text1"/>
          <w:sz w:val="20"/>
        </w:rPr>
      </w:pPr>
      <w:r w:rsidRPr="00204D56">
        <w:rPr>
          <w:b/>
          <w:color w:val="000000" w:themeColor="text1"/>
          <w:sz w:val="20"/>
        </w:rPr>
        <w:t>This option is</w:t>
      </w:r>
      <w:r>
        <w:rPr>
          <w:b/>
          <w:color w:val="000000" w:themeColor="text1"/>
          <w:sz w:val="20"/>
        </w:rPr>
        <w:t xml:space="preserve"> </w:t>
      </w:r>
      <w:r w:rsidRPr="00204D56">
        <w:rPr>
          <w:b/>
          <w:color w:val="000000" w:themeColor="text1"/>
          <w:sz w:val="20"/>
        </w:rPr>
        <w:t>recommended</w:t>
      </w:r>
      <w:r>
        <w:rPr>
          <w:b/>
          <w:color w:val="000000" w:themeColor="text1"/>
          <w:sz w:val="20"/>
        </w:rPr>
        <w:t xml:space="preserve"> based on the current role expectations and environment in which the NMHC operates in</w:t>
      </w:r>
      <w:r w:rsidRPr="00204D56">
        <w:rPr>
          <w:b/>
          <w:color w:val="000000" w:themeColor="text1"/>
          <w:sz w:val="20"/>
        </w:rPr>
        <w:t>.</w:t>
      </w:r>
      <w:r w:rsidRPr="00126087">
        <w:rPr>
          <w:color w:val="000000" w:themeColor="text1"/>
          <w:sz w:val="20"/>
        </w:rPr>
        <w:t xml:space="preserve"> Our review has found that institutional form and current </w:t>
      </w:r>
      <w:proofErr w:type="spellStart"/>
      <w:r w:rsidRPr="00126087">
        <w:rPr>
          <w:color w:val="000000" w:themeColor="text1"/>
          <w:sz w:val="20"/>
        </w:rPr>
        <w:t>auspicing</w:t>
      </w:r>
      <w:proofErr w:type="spellEnd"/>
      <w:r w:rsidRPr="00126087">
        <w:rPr>
          <w:color w:val="000000" w:themeColor="text1"/>
          <w:sz w:val="20"/>
        </w:rPr>
        <w:t xml:space="preserve"> arrangements are not the most pressing challenges facing the NMHC. Issues such as role and functions, capability and relationships are more closely linked to achievement of the NMHC’s purpose. These can and should be addressed without changing more structural matters.</w:t>
      </w:r>
    </w:p>
    <w:p w:rsidR="007C6366" w:rsidRDefault="007C6366" w:rsidP="007C6366">
      <w:pPr>
        <w:spacing w:after="0" w:line="240" w:lineRule="auto"/>
        <w:rPr>
          <w:color w:val="000000" w:themeColor="text1"/>
        </w:rPr>
      </w:pPr>
    </w:p>
    <w:p w:rsidR="007C6366" w:rsidRDefault="007C6366" w:rsidP="007C6366">
      <w:pPr>
        <w:spacing w:after="0" w:line="259" w:lineRule="auto"/>
        <w:rPr>
          <w:b/>
          <w:color w:val="012169" w:themeColor="accent4"/>
          <w:sz w:val="20"/>
          <w:szCs w:val="18"/>
        </w:rPr>
      </w:pPr>
      <w:r>
        <w:rPr>
          <w:b/>
          <w:color w:val="012169" w:themeColor="accent4"/>
          <w:sz w:val="20"/>
          <w:szCs w:val="18"/>
        </w:rPr>
        <w:t>Option 3</w:t>
      </w:r>
      <w:r w:rsidRPr="00EE04D9">
        <w:rPr>
          <w:b/>
          <w:color w:val="012169" w:themeColor="accent4"/>
          <w:sz w:val="20"/>
          <w:szCs w:val="18"/>
        </w:rPr>
        <w:t xml:space="preserve">: </w:t>
      </w:r>
      <w:r>
        <w:rPr>
          <w:b/>
          <w:color w:val="012169" w:themeColor="accent4"/>
          <w:sz w:val="20"/>
          <w:szCs w:val="18"/>
        </w:rPr>
        <w:t xml:space="preserve">Statutory authority form </w:t>
      </w:r>
    </w:p>
    <w:p w:rsidR="007C6366" w:rsidRPr="00EE04D9" w:rsidRDefault="007C6366" w:rsidP="007C6366">
      <w:pPr>
        <w:spacing w:after="0" w:line="259" w:lineRule="auto"/>
        <w:rPr>
          <w:b/>
          <w:color w:val="012169" w:themeColor="accent4"/>
          <w:sz w:val="20"/>
          <w:szCs w:val="18"/>
        </w:rPr>
      </w:pPr>
    </w:p>
    <w:p w:rsidR="007C6366" w:rsidRPr="00126087" w:rsidRDefault="007C6366" w:rsidP="007C6366">
      <w:pPr>
        <w:spacing w:after="0" w:line="240" w:lineRule="auto"/>
        <w:rPr>
          <w:color w:val="000000" w:themeColor="text1"/>
          <w:sz w:val="20"/>
        </w:rPr>
      </w:pPr>
      <w:r w:rsidRPr="00126087">
        <w:rPr>
          <w:color w:val="000000" w:themeColor="text1"/>
          <w:sz w:val="20"/>
        </w:rPr>
        <w:t xml:space="preserve">This option would involve changing the NMHC’s institutional form from an Executive Agency to a Statutory Authority, with associated changes to the roles of the CEO and the Commissioners as leaders of the organization. </w:t>
      </w:r>
    </w:p>
    <w:p w:rsidR="007C6366" w:rsidRPr="00126087" w:rsidRDefault="007C6366" w:rsidP="007C6366">
      <w:pPr>
        <w:spacing w:after="0" w:line="240" w:lineRule="auto"/>
        <w:rPr>
          <w:color w:val="000000" w:themeColor="text1"/>
          <w:sz w:val="20"/>
        </w:rPr>
      </w:pPr>
    </w:p>
    <w:p w:rsidR="007C6366" w:rsidRDefault="007C6366" w:rsidP="007C6366">
      <w:pPr>
        <w:spacing w:after="0" w:line="240" w:lineRule="auto"/>
        <w:rPr>
          <w:sz w:val="20"/>
          <w:szCs w:val="18"/>
        </w:rPr>
      </w:pPr>
      <w:r w:rsidRPr="00204D56">
        <w:rPr>
          <w:b/>
          <w:color w:val="000000" w:themeColor="text1"/>
          <w:sz w:val="20"/>
        </w:rPr>
        <w:lastRenderedPageBreak/>
        <w:t>This option is not currently recommended</w:t>
      </w:r>
      <w:r w:rsidRPr="00126087">
        <w:rPr>
          <w:color w:val="000000" w:themeColor="text1"/>
          <w:sz w:val="20"/>
        </w:rPr>
        <w:t xml:space="preserve">. </w:t>
      </w:r>
      <w:r>
        <w:rPr>
          <w:sz w:val="20"/>
          <w:szCs w:val="20"/>
        </w:rPr>
        <w:t>T</w:t>
      </w:r>
      <w:r w:rsidRPr="00126087">
        <w:rPr>
          <w:sz w:val="20"/>
          <w:szCs w:val="20"/>
        </w:rPr>
        <w:t xml:space="preserve">his </w:t>
      </w:r>
      <w:r w:rsidRPr="00126087">
        <w:rPr>
          <w:color w:val="000000" w:themeColor="text1"/>
          <w:sz w:val="20"/>
          <w:szCs w:val="20"/>
        </w:rPr>
        <w:t>form i</w:t>
      </w:r>
      <w:r w:rsidR="00CB30B0">
        <w:rPr>
          <w:color w:val="000000" w:themeColor="text1"/>
          <w:sz w:val="20"/>
          <w:szCs w:val="20"/>
        </w:rPr>
        <w:t>s used sparingly by Government</w:t>
      </w:r>
      <w:r w:rsidR="00795D9F">
        <w:rPr>
          <w:color w:val="000000" w:themeColor="text1"/>
          <w:sz w:val="20"/>
          <w:szCs w:val="20"/>
        </w:rPr>
        <w:t xml:space="preserve"> - requires</w:t>
      </w:r>
      <w:r w:rsidRPr="00126087">
        <w:rPr>
          <w:color w:val="000000" w:themeColor="text1"/>
          <w:sz w:val="20"/>
          <w:szCs w:val="20"/>
        </w:rPr>
        <w:t xml:space="preserve"> a strong rationale for its selection</w:t>
      </w:r>
      <w:r>
        <w:rPr>
          <w:color w:val="000000" w:themeColor="text1"/>
          <w:sz w:val="20"/>
          <w:szCs w:val="20"/>
        </w:rPr>
        <w:t>,</w:t>
      </w:r>
      <w:r w:rsidRPr="00126087">
        <w:rPr>
          <w:color w:val="000000" w:themeColor="text1"/>
          <w:sz w:val="20"/>
          <w:szCs w:val="20"/>
        </w:rPr>
        <w:t xml:space="preserve"> which is not evident. </w:t>
      </w:r>
      <w:r w:rsidRPr="00126087">
        <w:rPr>
          <w:color w:val="000000" w:themeColor="text1"/>
          <w:sz w:val="20"/>
        </w:rPr>
        <w:t xml:space="preserve">On its own, changing the NMHC’s institutional form </w:t>
      </w:r>
      <w:r>
        <w:rPr>
          <w:color w:val="000000" w:themeColor="text1"/>
          <w:sz w:val="20"/>
        </w:rPr>
        <w:t>may</w:t>
      </w:r>
      <w:r w:rsidRPr="00126087">
        <w:rPr>
          <w:color w:val="000000" w:themeColor="text1"/>
          <w:sz w:val="20"/>
        </w:rPr>
        <w:t xml:space="preserve"> only address the issues </w:t>
      </w:r>
      <w:r>
        <w:rPr>
          <w:color w:val="000000" w:themeColor="text1"/>
          <w:sz w:val="20"/>
        </w:rPr>
        <w:t xml:space="preserve">around perceived </w:t>
      </w:r>
      <w:r w:rsidRPr="00795D9F">
        <w:rPr>
          <w:color w:val="000000" w:themeColor="text1"/>
          <w:sz w:val="20"/>
        </w:rPr>
        <w:t>independence, though these perceptions could persist even were a different form adopted</w:t>
      </w:r>
      <w:r w:rsidR="00DD207B" w:rsidRPr="00795D9F">
        <w:rPr>
          <w:color w:val="000000" w:themeColor="text1"/>
          <w:sz w:val="20"/>
        </w:rPr>
        <w:t xml:space="preserve"> given the capacity and capability challenges that exist</w:t>
      </w:r>
      <w:r w:rsidRPr="00795D9F">
        <w:rPr>
          <w:color w:val="000000" w:themeColor="text1"/>
          <w:sz w:val="20"/>
        </w:rPr>
        <w:t>.</w:t>
      </w:r>
      <w:r>
        <w:rPr>
          <w:color w:val="000000" w:themeColor="text1"/>
          <w:sz w:val="20"/>
        </w:rPr>
        <w:t xml:space="preserve"> </w:t>
      </w:r>
      <w:r w:rsidRPr="00264435">
        <w:rPr>
          <w:sz w:val="20"/>
          <w:szCs w:val="18"/>
        </w:rPr>
        <w:t xml:space="preserve">As discussed above, the current form is likely to enable sufficient independence to perform the NMHC’s role. To the extent that there </w:t>
      </w:r>
      <w:proofErr w:type="gramStart"/>
      <w:r w:rsidRPr="00264435">
        <w:rPr>
          <w:sz w:val="20"/>
          <w:szCs w:val="18"/>
        </w:rPr>
        <w:t>exist</w:t>
      </w:r>
      <w:proofErr w:type="gramEnd"/>
      <w:r w:rsidRPr="00264435">
        <w:rPr>
          <w:sz w:val="20"/>
          <w:szCs w:val="18"/>
        </w:rPr>
        <w:t xml:space="preserve"> some perceptions of insufficient independence, these will be addressed </w:t>
      </w:r>
      <w:r w:rsidRPr="00795D9F">
        <w:rPr>
          <w:sz w:val="20"/>
          <w:szCs w:val="18"/>
        </w:rPr>
        <w:t xml:space="preserve">through both clarification of </w:t>
      </w:r>
      <w:r w:rsidR="00705198" w:rsidRPr="00795D9F">
        <w:rPr>
          <w:sz w:val="20"/>
          <w:szCs w:val="18"/>
        </w:rPr>
        <w:t>commissioner roles and responsibilities</w:t>
      </w:r>
      <w:r w:rsidRPr="00795D9F">
        <w:rPr>
          <w:sz w:val="20"/>
          <w:szCs w:val="18"/>
        </w:rPr>
        <w:t>,</w:t>
      </w:r>
      <w:r w:rsidRPr="00264435">
        <w:rPr>
          <w:sz w:val="20"/>
          <w:szCs w:val="18"/>
        </w:rPr>
        <w:t xml:space="preserve"> and by strengthening the organisation’s capacity and capability, as described above.</w:t>
      </w:r>
    </w:p>
    <w:p w:rsidR="007C6366" w:rsidRDefault="007C6366" w:rsidP="007C6366">
      <w:pPr>
        <w:spacing w:after="0" w:line="240" w:lineRule="auto"/>
        <w:rPr>
          <w:sz w:val="20"/>
          <w:szCs w:val="18"/>
        </w:rPr>
      </w:pPr>
    </w:p>
    <w:p w:rsidR="007C6366" w:rsidRDefault="007C6366" w:rsidP="007C6366">
      <w:pPr>
        <w:spacing w:after="0" w:line="259" w:lineRule="auto"/>
        <w:rPr>
          <w:sz w:val="20"/>
          <w:szCs w:val="18"/>
        </w:rPr>
      </w:pPr>
      <w:r>
        <w:rPr>
          <w:sz w:val="20"/>
          <w:szCs w:val="18"/>
        </w:rPr>
        <w:t>Further, c</w:t>
      </w:r>
      <w:r w:rsidRPr="00264435">
        <w:rPr>
          <w:sz w:val="20"/>
          <w:szCs w:val="18"/>
        </w:rPr>
        <w:t xml:space="preserve">hanging </w:t>
      </w:r>
      <w:r w:rsidRPr="00B85AB3">
        <w:rPr>
          <w:sz w:val="20"/>
          <w:szCs w:val="18"/>
        </w:rPr>
        <w:t>the institutional form of the NMHC would involve some administrative complexity as well as</w:t>
      </w:r>
      <w:r w:rsidRPr="00264435">
        <w:rPr>
          <w:sz w:val="20"/>
          <w:szCs w:val="18"/>
        </w:rPr>
        <w:t xml:space="preserve"> ongoing compliance requirements</w:t>
      </w:r>
      <w:r>
        <w:rPr>
          <w:sz w:val="20"/>
          <w:szCs w:val="18"/>
        </w:rPr>
        <w:t xml:space="preserve"> for the CEO/Commissioners that are</w:t>
      </w:r>
      <w:r w:rsidRPr="00264435">
        <w:rPr>
          <w:sz w:val="20"/>
          <w:szCs w:val="18"/>
        </w:rPr>
        <w:t xml:space="preserve"> likely </w:t>
      </w:r>
      <w:r>
        <w:rPr>
          <w:sz w:val="20"/>
          <w:szCs w:val="18"/>
        </w:rPr>
        <w:t xml:space="preserve">to be </w:t>
      </w:r>
      <w:r w:rsidRPr="00264435">
        <w:rPr>
          <w:sz w:val="20"/>
          <w:szCs w:val="18"/>
        </w:rPr>
        <w:t xml:space="preserve">in excess of </w:t>
      </w:r>
      <w:r>
        <w:rPr>
          <w:sz w:val="20"/>
          <w:szCs w:val="18"/>
        </w:rPr>
        <w:t xml:space="preserve">those required under </w:t>
      </w:r>
      <w:r w:rsidRPr="00264435">
        <w:rPr>
          <w:sz w:val="20"/>
          <w:szCs w:val="18"/>
        </w:rPr>
        <w:t xml:space="preserve">current operations. </w:t>
      </w:r>
    </w:p>
    <w:p w:rsidR="007C6366" w:rsidRDefault="007C6366" w:rsidP="007C6366">
      <w:pPr>
        <w:spacing w:after="0" w:line="240" w:lineRule="auto"/>
        <w:rPr>
          <w:sz w:val="20"/>
          <w:szCs w:val="18"/>
        </w:rPr>
      </w:pPr>
    </w:p>
    <w:p w:rsidR="007C6366" w:rsidRDefault="007C6366" w:rsidP="007C6366">
      <w:pPr>
        <w:spacing w:after="0" w:line="259" w:lineRule="auto"/>
        <w:rPr>
          <w:b/>
          <w:color w:val="012169" w:themeColor="accent4"/>
          <w:sz w:val="20"/>
          <w:szCs w:val="18"/>
        </w:rPr>
      </w:pPr>
      <w:r>
        <w:rPr>
          <w:b/>
          <w:color w:val="012169" w:themeColor="accent4"/>
          <w:sz w:val="20"/>
          <w:szCs w:val="18"/>
        </w:rPr>
        <w:t>Option 4</w:t>
      </w:r>
      <w:r w:rsidRPr="00EE04D9">
        <w:rPr>
          <w:b/>
          <w:color w:val="012169" w:themeColor="accent4"/>
          <w:sz w:val="20"/>
          <w:szCs w:val="18"/>
        </w:rPr>
        <w:t xml:space="preserve">: </w:t>
      </w:r>
      <w:r>
        <w:rPr>
          <w:b/>
          <w:color w:val="012169" w:themeColor="accent4"/>
          <w:sz w:val="20"/>
          <w:szCs w:val="18"/>
        </w:rPr>
        <w:t xml:space="preserve">Change </w:t>
      </w:r>
      <w:proofErr w:type="spellStart"/>
      <w:r>
        <w:rPr>
          <w:b/>
          <w:color w:val="012169" w:themeColor="accent4"/>
          <w:sz w:val="20"/>
          <w:szCs w:val="18"/>
        </w:rPr>
        <w:t>auspicing</w:t>
      </w:r>
      <w:proofErr w:type="spellEnd"/>
      <w:r>
        <w:rPr>
          <w:b/>
          <w:color w:val="012169" w:themeColor="accent4"/>
          <w:sz w:val="20"/>
          <w:szCs w:val="18"/>
        </w:rPr>
        <w:t xml:space="preserve"> arrangements </w:t>
      </w:r>
    </w:p>
    <w:p w:rsidR="007C6366" w:rsidRPr="00EE04D9" w:rsidRDefault="007C6366" w:rsidP="007C6366">
      <w:pPr>
        <w:spacing w:after="0" w:line="259" w:lineRule="auto"/>
        <w:rPr>
          <w:b/>
          <w:color w:val="012169" w:themeColor="accent4"/>
          <w:sz w:val="20"/>
          <w:szCs w:val="18"/>
        </w:rPr>
      </w:pPr>
    </w:p>
    <w:p w:rsidR="007C6366" w:rsidRDefault="007C6366" w:rsidP="007C6366">
      <w:pPr>
        <w:spacing w:after="0" w:line="240" w:lineRule="auto"/>
        <w:rPr>
          <w:color w:val="000000" w:themeColor="text1"/>
          <w:sz w:val="20"/>
        </w:rPr>
      </w:pPr>
      <w:r>
        <w:rPr>
          <w:color w:val="000000" w:themeColor="text1"/>
          <w:sz w:val="20"/>
        </w:rPr>
        <w:t xml:space="preserve">This option would involve retaining the current institutional form, but changing the </w:t>
      </w:r>
      <w:r w:rsidR="00705198">
        <w:rPr>
          <w:color w:val="000000" w:themeColor="text1"/>
          <w:sz w:val="20"/>
        </w:rPr>
        <w:t>portfolio</w:t>
      </w:r>
      <w:r>
        <w:rPr>
          <w:color w:val="000000" w:themeColor="text1"/>
          <w:sz w:val="20"/>
        </w:rPr>
        <w:t xml:space="preserve"> which auspices the NMHC – providing its funding and facilitating its employment of staff – from the </w:t>
      </w:r>
      <w:proofErr w:type="spellStart"/>
      <w:r w:rsidR="00926BB1">
        <w:rPr>
          <w:color w:val="000000" w:themeColor="text1"/>
          <w:sz w:val="20"/>
        </w:rPr>
        <w:t>DoH</w:t>
      </w:r>
      <w:proofErr w:type="spellEnd"/>
      <w:r>
        <w:rPr>
          <w:color w:val="000000" w:themeColor="text1"/>
          <w:sz w:val="20"/>
        </w:rPr>
        <w:t xml:space="preserve"> to an alternative, such as the Department of Prime Minister &amp; Cabinet. </w:t>
      </w:r>
    </w:p>
    <w:p w:rsidR="007C6366" w:rsidRDefault="007C6366" w:rsidP="007C6366">
      <w:pPr>
        <w:spacing w:after="0" w:line="240" w:lineRule="auto"/>
        <w:rPr>
          <w:color w:val="000000" w:themeColor="text1"/>
          <w:sz w:val="20"/>
        </w:rPr>
      </w:pPr>
    </w:p>
    <w:p w:rsidR="007C6366" w:rsidRDefault="007C6366" w:rsidP="007C6366">
      <w:pPr>
        <w:spacing w:after="0" w:line="240" w:lineRule="auto"/>
        <w:rPr>
          <w:color w:val="000000" w:themeColor="text1"/>
          <w:sz w:val="20"/>
        </w:rPr>
      </w:pPr>
      <w:r w:rsidRPr="00204D56">
        <w:rPr>
          <w:b/>
          <w:color w:val="000000" w:themeColor="text1"/>
          <w:sz w:val="20"/>
        </w:rPr>
        <w:t xml:space="preserve">This option is not currently recommended. </w:t>
      </w:r>
      <w:r>
        <w:rPr>
          <w:color w:val="000000" w:themeColor="text1"/>
          <w:sz w:val="20"/>
        </w:rPr>
        <w:t xml:space="preserve">Similarly to option 3, this option on its own would address some issues around the perceived influence of the NMHC and the ability for the NMHC to execute against its cross-sectoral scope. </w:t>
      </w:r>
    </w:p>
    <w:p w:rsidR="007C6366" w:rsidRDefault="007C6366" w:rsidP="007C6366">
      <w:pPr>
        <w:spacing w:after="0" w:line="240" w:lineRule="auto"/>
        <w:rPr>
          <w:color w:val="000000" w:themeColor="text1"/>
          <w:sz w:val="20"/>
        </w:rPr>
      </w:pPr>
    </w:p>
    <w:p w:rsidR="007C6366" w:rsidRPr="00264435" w:rsidRDefault="007C6366" w:rsidP="007C6366">
      <w:pPr>
        <w:spacing w:after="0" w:line="259" w:lineRule="auto"/>
        <w:rPr>
          <w:sz w:val="20"/>
          <w:szCs w:val="18"/>
        </w:rPr>
      </w:pPr>
      <w:r w:rsidRPr="00264435">
        <w:rPr>
          <w:sz w:val="20"/>
          <w:szCs w:val="18"/>
        </w:rPr>
        <w:t>The ostensible purpose of such a shift would be to lift the prominence of the NMHC – and hence mental health – and to enable a cross-sectoral view. However, these can be better enabled under status quo structures by strengthening relationships and clarifying the Minister’s (and ideally</w:t>
      </w:r>
      <w:r w:rsidR="00705198">
        <w:rPr>
          <w:sz w:val="20"/>
          <w:szCs w:val="18"/>
        </w:rPr>
        <w:t xml:space="preserve"> the </w:t>
      </w:r>
      <w:r w:rsidRPr="00264435">
        <w:rPr>
          <w:sz w:val="20"/>
          <w:szCs w:val="18"/>
        </w:rPr>
        <w:t xml:space="preserve">Prime Minister’s) expectation that the NMHC takes a cross-sectoral view and that other agencies work closely with it to achieve this. </w:t>
      </w:r>
    </w:p>
    <w:p w:rsidR="007C6366" w:rsidRDefault="007C6366" w:rsidP="007C6366">
      <w:pPr>
        <w:spacing w:after="0" w:line="240" w:lineRule="auto"/>
        <w:rPr>
          <w:color w:val="000000" w:themeColor="text1"/>
        </w:rPr>
      </w:pPr>
    </w:p>
    <w:p w:rsidR="007C6366" w:rsidRPr="00264435" w:rsidRDefault="007C6366" w:rsidP="007C6366">
      <w:pPr>
        <w:spacing w:after="0" w:line="259" w:lineRule="auto"/>
        <w:rPr>
          <w:sz w:val="20"/>
          <w:szCs w:val="18"/>
        </w:rPr>
      </w:pPr>
      <w:r w:rsidRPr="00264435">
        <w:rPr>
          <w:sz w:val="20"/>
          <w:szCs w:val="18"/>
        </w:rPr>
        <w:t xml:space="preserve">There is significant relevance between the work of the NMHC and the capability and expertise within the </w:t>
      </w:r>
      <w:proofErr w:type="spellStart"/>
      <w:r w:rsidRPr="00264435">
        <w:rPr>
          <w:sz w:val="20"/>
          <w:szCs w:val="18"/>
        </w:rPr>
        <w:t>DoH</w:t>
      </w:r>
      <w:proofErr w:type="spellEnd"/>
      <w:r w:rsidRPr="00264435">
        <w:rPr>
          <w:sz w:val="20"/>
          <w:szCs w:val="18"/>
        </w:rPr>
        <w:t xml:space="preserve"> and the Minister for Health’s focus. There is a risk that shifting to being </w:t>
      </w:r>
      <w:proofErr w:type="spellStart"/>
      <w:r w:rsidRPr="00264435">
        <w:rPr>
          <w:sz w:val="20"/>
          <w:szCs w:val="18"/>
        </w:rPr>
        <w:t>auspiced</w:t>
      </w:r>
      <w:proofErr w:type="spellEnd"/>
      <w:r w:rsidRPr="00264435">
        <w:rPr>
          <w:sz w:val="20"/>
          <w:szCs w:val="18"/>
        </w:rPr>
        <w:t xml:space="preserve"> by</w:t>
      </w:r>
      <w:r w:rsidR="00705198">
        <w:rPr>
          <w:sz w:val="20"/>
          <w:szCs w:val="18"/>
        </w:rPr>
        <w:t xml:space="preserve"> the Department of</w:t>
      </w:r>
      <w:r w:rsidRPr="00264435">
        <w:rPr>
          <w:sz w:val="20"/>
          <w:szCs w:val="18"/>
        </w:rPr>
        <w:t xml:space="preserve"> </w:t>
      </w:r>
      <w:r w:rsidR="00705198">
        <w:rPr>
          <w:sz w:val="20"/>
          <w:szCs w:val="18"/>
        </w:rPr>
        <w:t>Prime Minister and Cabinet</w:t>
      </w:r>
      <w:r w:rsidRPr="00264435">
        <w:rPr>
          <w:sz w:val="20"/>
          <w:szCs w:val="18"/>
        </w:rPr>
        <w:t xml:space="preserve"> could in fact result in lower focus and attention on the NMHC’s work, as it would require ‘competing’ against </w:t>
      </w:r>
      <w:r w:rsidRPr="00264435">
        <w:rPr>
          <w:i/>
          <w:sz w:val="20"/>
          <w:szCs w:val="18"/>
        </w:rPr>
        <w:t>all</w:t>
      </w:r>
      <w:r w:rsidRPr="00264435">
        <w:rPr>
          <w:sz w:val="20"/>
          <w:szCs w:val="18"/>
        </w:rPr>
        <w:t xml:space="preserve"> </w:t>
      </w:r>
      <w:r w:rsidRPr="00264435">
        <w:rPr>
          <w:i/>
          <w:sz w:val="20"/>
          <w:szCs w:val="18"/>
        </w:rPr>
        <w:t>other</w:t>
      </w:r>
      <w:r w:rsidRPr="00264435">
        <w:rPr>
          <w:sz w:val="20"/>
          <w:szCs w:val="18"/>
        </w:rPr>
        <w:t xml:space="preserve"> government priorities. </w:t>
      </w:r>
    </w:p>
    <w:p w:rsidR="007C6366" w:rsidRDefault="007C6366" w:rsidP="007C6366">
      <w:pPr>
        <w:spacing w:after="0" w:line="240" w:lineRule="auto"/>
        <w:rPr>
          <w:color w:val="000000" w:themeColor="text1"/>
        </w:rPr>
      </w:pPr>
    </w:p>
    <w:p w:rsidR="007C6366" w:rsidRDefault="007C6366" w:rsidP="00F916D6">
      <w:pPr>
        <w:pStyle w:val="Heading2"/>
        <w:rPr>
          <w:b w:val="0"/>
        </w:rPr>
      </w:pPr>
      <w:bookmarkStart w:id="15" w:name="_Toc482809632"/>
      <w:r>
        <w:t>B. Additional Improvement Options</w:t>
      </w:r>
      <w:bookmarkEnd w:id="15"/>
    </w:p>
    <w:p w:rsidR="007C6366" w:rsidRDefault="007C6366" w:rsidP="007C6366">
      <w:pPr>
        <w:rPr>
          <w:bCs/>
          <w:color w:val="000000" w:themeColor="text1"/>
          <w:sz w:val="20"/>
          <w:szCs w:val="18"/>
        </w:rPr>
      </w:pPr>
      <w:r>
        <w:br/>
      </w:r>
      <w:proofErr w:type="gramStart"/>
      <w:r w:rsidRPr="00877C33">
        <w:rPr>
          <w:bCs/>
          <w:color w:val="000000" w:themeColor="text1"/>
          <w:sz w:val="20"/>
          <w:szCs w:val="18"/>
        </w:rPr>
        <w:t>Regardless of which of the above options is preferred, a number of ‘no regrets’ recommendations have been identified.</w:t>
      </w:r>
      <w:proofErr w:type="gramEnd"/>
      <w:r w:rsidRPr="00877C33">
        <w:rPr>
          <w:bCs/>
          <w:color w:val="000000" w:themeColor="text1"/>
          <w:sz w:val="20"/>
          <w:szCs w:val="18"/>
        </w:rPr>
        <w:t xml:space="preserve"> These include sharpening the NMHC’s role and functions, increasing capacity and capability and strengthening the relationships and influence of the Commission. </w:t>
      </w:r>
    </w:p>
    <w:p w:rsidR="007C6366" w:rsidRDefault="007C6366" w:rsidP="007C6366">
      <w:pPr>
        <w:rPr>
          <w:bCs/>
          <w:color w:val="000000" w:themeColor="text1"/>
          <w:sz w:val="20"/>
          <w:szCs w:val="18"/>
        </w:rPr>
      </w:pPr>
      <w:r>
        <w:rPr>
          <w:bCs/>
          <w:color w:val="000000" w:themeColor="text1"/>
          <w:sz w:val="20"/>
          <w:szCs w:val="18"/>
        </w:rPr>
        <w:t xml:space="preserve">Some of these additional possible areas of improvement for the NMHC also involve choices. Below, we identify the spectrum of options for future state improvements: </w:t>
      </w:r>
    </w:p>
    <w:p w:rsidR="007C6366" w:rsidRPr="00FA1C72" w:rsidRDefault="009039B4" w:rsidP="00D8278D">
      <w:pPr>
        <w:pStyle w:val="ListParagraph"/>
        <w:numPr>
          <w:ilvl w:val="0"/>
          <w:numId w:val="35"/>
        </w:numPr>
        <w:rPr>
          <w:bCs/>
          <w:color w:val="000000" w:themeColor="text1"/>
          <w:sz w:val="20"/>
          <w:szCs w:val="18"/>
        </w:rPr>
      </w:pPr>
      <w:r>
        <w:rPr>
          <w:bCs/>
          <w:noProof/>
          <w:color w:val="000000" w:themeColor="text1"/>
          <w:sz w:val="20"/>
          <w:szCs w:val="18"/>
          <w:lang w:eastAsia="en-AU"/>
        </w:rPr>
        <mc:AlternateContent>
          <mc:Choice Requires="wps">
            <w:drawing>
              <wp:anchor distT="0" distB="0" distL="114300" distR="114300" simplePos="0" relativeHeight="251725824" behindDoc="0" locked="0" layoutInCell="1" allowOverlap="1">
                <wp:simplePos x="0" y="0"/>
                <wp:positionH relativeFrom="column">
                  <wp:posOffset>4477385</wp:posOffset>
                </wp:positionH>
                <wp:positionV relativeFrom="paragraph">
                  <wp:posOffset>151765</wp:posOffset>
                </wp:positionV>
                <wp:extent cx="172720" cy="156210"/>
                <wp:effectExtent l="0" t="0" r="0" b="0"/>
                <wp:wrapNone/>
                <wp:docPr id="6" name="5-Point Star 6" descr="Used to represent the future recommended state of the National Mental Health Commission&#10;" title="Green St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56210"/>
                        </a:xfrm>
                        <a:prstGeom prst="star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6" o:spid="_x0000_s1026" alt="Title: Green Star - Description: Used to represent the future recommended state of the National Mental Health Commission&#10;" style="position:absolute;margin-left:352.55pt;margin-top:11.95pt;width:13.6pt;height:12.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72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" path="m,59667r65974,l86360,r20386,59667l172720,59667,119346,96543r20387,59667l86360,119333,32987,156210,53374,96543,,59667xe" fillcolor="#86bc25 [3204]" stroked="f" strokeweight="2pt">
                <v:path arrowok="t" o:connecttype="custom" o:connectlocs="0,59667;65974,59667;86360,0;106746,59667;172720,59667;119346,96543;139733,156210;86360,119333;32987,156210;53374,96543;0,59667" o:connectangles="0,0,0,0,0,0,0,0,0,0,0"/>
              </v:shape>
            </w:pict>
          </mc:Fallback>
        </mc:AlternateContent>
      </w:r>
      <w:r>
        <w:rPr>
          <w:bCs/>
          <w:noProof/>
          <w:color w:val="000000" w:themeColor="text1"/>
          <w:sz w:val="20"/>
          <w:szCs w:val="18"/>
          <w:lang w:eastAsia="en-AU"/>
        </w:rPr>
        <mc:AlternateContent>
          <mc:Choice Requires="wps">
            <w:drawing>
              <wp:anchor distT="0" distB="0" distL="114300" distR="114300" simplePos="0" relativeHeight="251724800" behindDoc="0" locked="0" layoutInCell="1" allowOverlap="1">
                <wp:simplePos x="0" y="0"/>
                <wp:positionH relativeFrom="column">
                  <wp:posOffset>3576320</wp:posOffset>
                </wp:positionH>
                <wp:positionV relativeFrom="paragraph">
                  <wp:posOffset>15875</wp:posOffset>
                </wp:positionV>
                <wp:extent cx="139700" cy="134620"/>
                <wp:effectExtent l="0" t="0" r="0" b="0"/>
                <wp:wrapNone/>
                <wp:docPr id="16" name="Isosceles Triangle 16" descr="Used to denote current state of the national mental health commission" title="Blue 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9700" cy="134620"/>
                        </a:xfrm>
                        <a:prstGeom prs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alt="Title: Blue Triangle - Description: Used to denote current state of the national mental health commission" style="position:absolute;margin-left:281.6pt;margin-top:1.25pt;width:11pt;height:10.6pt;rotation:18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" fillcolor="#62b5e5 [3206]" stroked="f" strokeweight="2pt">
                <v:path arrowok="t"/>
              </v:shape>
            </w:pict>
          </mc:Fallback>
        </mc:AlternateContent>
      </w:r>
      <w:r w:rsidR="007C6366" w:rsidRPr="00FA1C72">
        <w:rPr>
          <w:bCs/>
          <w:color w:val="000000" w:themeColor="text1"/>
          <w:sz w:val="20"/>
          <w:szCs w:val="18"/>
        </w:rPr>
        <w:t xml:space="preserve">The </w:t>
      </w:r>
      <w:r w:rsidR="007C6366" w:rsidRPr="00FA1C72">
        <w:rPr>
          <w:b/>
          <w:bCs/>
          <w:color w:val="000000" w:themeColor="text1"/>
          <w:sz w:val="20"/>
          <w:szCs w:val="18"/>
        </w:rPr>
        <w:t>current state</w:t>
      </w:r>
      <w:r w:rsidR="007C6366" w:rsidRPr="00FA1C72">
        <w:rPr>
          <w:bCs/>
          <w:color w:val="000000" w:themeColor="text1"/>
          <w:sz w:val="20"/>
          <w:szCs w:val="18"/>
        </w:rPr>
        <w:t xml:space="preserve"> is denoted by a blue triangle</w:t>
      </w:r>
    </w:p>
    <w:p w:rsidR="009668E8" w:rsidRDefault="007C6366" w:rsidP="007C6366">
      <w:pPr>
        <w:pStyle w:val="ListParagraph"/>
        <w:numPr>
          <w:ilvl w:val="0"/>
          <w:numId w:val="35"/>
        </w:numPr>
        <w:rPr>
          <w:bCs/>
          <w:color w:val="000000" w:themeColor="text1"/>
          <w:sz w:val="20"/>
          <w:szCs w:val="18"/>
        </w:rPr>
      </w:pPr>
      <w:r w:rsidRPr="00FA1C72">
        <w:rPr>
          <w:bCs/>
          <w:color w:val="000000" w:themeColor="text1"/>
          <w:sz w:val="20"/>
          <w:szCs w:val="18"/>
        </w:rPr>
        <w:t xml:space="preserve">The </w:t>
      </w:r>
      <w:r w:rsidRPr="00FA1C72">
        <w:rPr>
          <w:b/>
          <w:bCs/>
          <w:color w:val="000000" w:themeColor="text1"/>
          <w:sz w:val="20"/>
          <w:szCs w:val="18"/>
        </w:rPr>
        <w:t>recommended future state</w:t>
      </w:r>
      <w:r w:rsidRPr="00FA1C72">
        <w:rPr>
          <w:bCs/>
          <w:color w:val="000000" w:themeColor="text1"/>
          <w:sz w:val="20"/>
          <w:szCs w:val="18"/>
        </w:rPr>
        <w:t xml:space="preserve"> is indicated by a green star. </w:t>
      </w:r>
    </w:p>
    <w:p w:rsidR="009668E8" w:rsidRDefault="009668E8">
      <w:pPr>
        <w:spacing w:after="200" w:line="276" w:lineRule="auto"/>
        <w:rPr>
          <w:bCs/>
          <w:color w:val="000000" w:themeColor="text1"/>
          <w:sz w:val="20"/>
          <w:szCs w:val="18"/>
        </w:rPr>
      </w:pPr>
      <w:r>
        <w:rPr>
          <w:bCs/>
          <w:color w:val="000000" w:themeColor="text1"/>
          <w:sz w:val="20"/>
          <w:szCs w:val="18"/>
        </w:rPr>
        <w:br w:type="page"/>
      </w:r>
    </w:p>
    <w:p w:rsidR="007C6366" w:rsidRPr="00C25BA2" w:rsidRDefault="007C6366" w:rsidP="007C6366">
      <w:pPr>
        <w:rPr>
          <w:b/>
          <w:color w:val="012169" w:themeColor="accent4"/>
          <w:sz w:val="20"/>
          <w:szCs w:val="18"/>
        </w:rPr>
      </w:pPr>
      <w:r w:rsidRPr="00C25BA2">
        <w:rPr>
          <w:b/>
          <w:color w:val="012169" w:themeColor="accent4"/>
          <w:sz w:val="20"/>
          <w:szCs w:val="18"/>
        </w:rPr>
        <w:lastRenderedPageBreak/>
        <w:t>Commissioner roles</w:t>
      </w:r>
    </w:p>
    <w:p w:rsidR="007C6366" w:rsidRDefault="007C6366" w:rsidP="007C6366">
      <w:pPr>
        <w:rPr>
          <w:color w:val="0097A9" w:themeColor="accent5"/>
          <w:sz w:val="20"/>
          <w:szCs w:val="18"/>
        </w:rPr>
      </w:pPr>
      <w:r w:rsidRPr="00264435">
        <w:rPr>
          <w:noProof/>
          <w:color w:val="0097A9" w:themeColor="accent5"/>
          <w:lang w:eastAsia="en-AU"/>
        </w:rPr>
        <w:drawing>
          <wp:inline distT="0" distB="0" distL="0" distR="0">
            <wp:extent cx="5628092" cy="517109"/>
            <wp:effectExtent l="0" t="0" r="0" b="0"/>
            <wp:docPr id="96" name="Picture 96" descr="This picture is a scale. The far left of the scale is 'individual expert advisors'. The far right of the scale is 'collective advisory group'. The blue triangles on the picture represent the current state of perception of stakeholders interviewed. The green star represents the recommended future state perception to be achieved. There are two blue triangles, the first is approximately half way between each end of the scale, the second is approximately three quarters along the length of the scale, both are connected with a blue dotted line indicating a range. The green star sits approximately one third of the way between the second blue triangle and the right end of the scale. This scale visually represents that there is currently some ambiguity in the role of the Commissioners and the advisory board's interactions with the Commission, however the title and description of 'advisory board' suggest a collective role in place of individual expert advisors. The picture also notes in writing &quot;Currently, some ambiguity around this; titles and description as advisory group suggests a collective role&quot;." title="Commissioner roles - current state and recommended future st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5847917" cy="537307"/>
                    </a:xfrm>
                    <a:prstGeom prst="rect">
                      <a:avLst/>
                    </a:prstGeom>
                    <a:ln>
                      <a:noFill/>
                    </a:ln>
                    <a:extLst>
                      <a:ext uri="{53640926-AAD7-44D8-BBD7-CCE9431645EC}">
                        <a14:shadowObscured xmlns:a14="http://schemas.microsoft.com/office/drawing/2010/main"/>
                      </a:ext>
                    </a:extLst>
                  </pic:spPr>
                </pic:pic>
              </a:graphicData>
            </a:graphic>
          </wp:inline>
        </w:drawing>
      </w:r>
    </w:p>
    <w:p w:rsidR="007C6366" w:rsidRDefault="007C6366" w:rsidP="007C6366">
      <w:pPr>
        <w:rPr>
          <w:bCs/>
          <w:color w:val="000000" w:themeColor="text1"/>
          <w:sz w:val="20"/>
          <w:szCs w:val="18"/>
        </w:rPr>
      </w:pPr>
      <w:r>
        <w:rPr>
          <w:bCs/>
          <w:color w:val="000000" w:themeColor="text1"/>
          <w:sz w:val="20"/>
          <w:szCs w:val="18"/>
        </w:rPr>
        <w:t xml:space="preserve">As described above, there is currently some ambiguity in the role of the Commissioners and their interactions with the NMHC. </w:t>
      </w:r>
    </w:p>
    <w:p w:rsidR="007C6366" w:rsidRPr="00C25BA2" w:rsidRDefault="007C6366" w:rsidP="007C6366">
      <w:pPr>
        <w:rPr>
          <w:bCs/>
          <w:color w:val="000000" w:themeColor="text1"/>
          <w:sz w:val="20"/>
          <w:szCs w:val="18"/>
        </w:rPr>
      </w:pPr>
      <w:r>
        <w:rPr>
          <w:bCs/>
          <w:color w:val="000000" w:themeColor="text1"/>
          <w:sz w:val="20"/>
          <w:szCs w:val="18"/>
        </w:rPr>
        <w:t xml:space="preserve">To the extent that either ends of the above spectrum are possible future-state options, this review recommends clarifying that the Commissioners act as a collective advisory group, who jointly </w:t>
      </w:r>
      <w:r w:rsidR="005A4855">
        <w:rPr>
          <w:bCs/>
          <w:color w:val="000000" w:themeColor="text1"/>
          <w:sz w:val="20"/>
          <w:szCs w:val="18"/>
        </w:rPr>
        <w:t>input into the</w:t>
      </w:r>
      <w:r>
        <w:rPr>
          <w:bCs/>
          <w:color w:val="000000" w:themeColor="text1"/>
          <w:sz w:val="20"/>
          <w:szCs w:val="18"/>
        </w:rPr>
        <w:t xml:space="preserve"> viewpoints and outputs of the NMHC. This does not mean that all Commissioners must participate deeply in all aspects of the work, but cohesion of voice should be achieved wherever possible. </w:t>
      </w:r>
    </w:p>
    <w:p w:rsidR="007C6366" w:rsidRPr="00C25BA2" w:rsidRDefault="007C6366" w:rsidP="007C6366">
      <w:pPr>
        <w:rPr>
          <w:b/>
          <w:color w:val="012169" w:themeColor="accent4"/>
          <w:sz w:val="20"/>
          <w:szCs w:val="18"/>
        </w:rPr>
      </w:pPr>
      <w:r w:rsidRPr="00C25BA2">
        <w:rPr>
          <w:b/>
          <w:color w:val="012169" w:themeColor="accent4"/>
          <w:sz w:val="20"/>
          <w:szCs w:val="18"/>
        </w:rPr>
        <w:t>Commissioner composition</w:t>
      </w:r>
    </w:p>
    <w:p w:rsidR="007C6366" w:rsidRDefault="007C6366" w:rsidP="007C6366">
      <w:pPr>
        <w:rPr>
          <w:color w:val="0097A9" w:themeColor="accent5"/>
          <w:sz w:val="20"/>
          <w:szCs w:val="18"/>
        </w:rPr>
      </w:pPr>
      <w:r w:rsidRPr="00264435">
        <w:rPr>
          <w:noProof/>
          <w:color w:val="0097A9" w:themeColor="accent5"/>
          <w:lang w:eastAsia="en-AU"/>
        </w:rPr>
        <w:drawing>
          <wp:inline distT="0" distB="0" distL="0" distR="0">
            <wp:extent cx="5628092" cy="517109"/>
            <wp:effectExtent l="0" t="0" r="0" b="0"/>
            <wp:docPr id="11" name="Picture 11" descr="This picture is a scale. The far left of the scale is 'representation model'. The far right of the scale is 'capability model'. The blue triangles on the picture represent the current state of perception of stakeholders interviewed. The green star represents the recommended future state perception to be achieved. The blue triangle sits approximately half way between each end of the scale. The green star sits slightly closer to the right side of the scale. This scale visually represents that the Commissioners currently has a mix of practitioners, consumer/carer and indigenous representation and capabilities, however the capabilities of members could be slightly greater, example legal or finance representation. The picture also notes in writing &quot;current mix includes practitioners, consumer/carer &amp; indigenous representation&quot;." title="Commissioner composition - current state and recommended future st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5847917" cy="537307"/>
                    </a:xfrm>
                    <a:prstGeom prst="rect">
                      <a:avLst/>
                    </a:prstGeom>
                    <a:ln>
                      <a:noFill/>
                    </a:ln>
                    <a:extLst>
                      <a:ext uri="{53640926-AAD7-44D8-BBD7-CCE9431645EC}">
                        <a14:shadowObscured xmlns:a14="http://schemas.microsoft.com/office/drawing/2010/main"/>
                      </a:ext>
                    </a:extLst>
                  </pic:spPr>
                </pic:pic>
              </a:graphicData>
            </a:graphic>
          </wp:inline>
        </w:drawing>
      </w:r>
    </w:p>
    <w:p w:rsidR="007C6366" w:rsidRDefault="007C6366" w:rsidP="007C6366">
      <w:pPr>
        <w:rPr>
          <w:bCs/>
          <w:color w:val="000000" w:themeColor="text1"/>
          <w:sz w:val="20"/>
          <w:szCs w:val="18"/>
        </w:rPr>
      </w:pPr>
      <w:r>
        <w:rPr>
          <w:bCs/>
          <w:color w:val="000000" w:themeColor="text1"/>
          <w:sz w:val="20"/>
          <w:szCs w:val="18"/>
        </w:rPr>
        <w:t xml:space="preserve">Currently, the composition of Commissioners appears to strive to achieve both representation and some specific capabilities. This balance should be maintained going forward, with a pure ‘Representation’ Model to be avoided. In addition to the impossibility of adequately representing the diversity of stakeholders and perspectives as Commissioners, the risk of this model is that it may encourage Commissioners to limit their views and thinking to ‘their’ area of representation. </w:t>
      </w:r>
    </w:p>
    <w:p w:rsidR="007C6366" w:rsidRPr="00C25BA2" w:rsidRDefault="007C6366" w:rsidP="007C6366">
      <w:pPr>
        <w:rPr>
          <w:bCs/>
          <w:color w:val="000000" w:themeColor="text1"/>
          <w:sz w:val="20"/>
          <w:szCs w:val="18"/>
        </w:rPr>
      </w:pPr>
      <w:r>
        <w:rPr>
          <w:bCs/>
          <w:color w:val="000000" w:themeColor="text1"/>
          <w:sz w:val="20"/>
          <w:szCs w:val="18"/>
        </w:rPr>
        <w:t xml:space="preserve">Instead, the Commissioners should be sufficiently representative of critical stakeholder groups (indigenous Australians, mental health consumers and carers, mental health practitioners, </w:t>
      </w:r>
      <w:proofErr w:type="spellStart"/>
      <w:r>
        <w:rPr>
          <w:bCs/>
          <w:color w:val="000000" w:themeColor="text1"/>
          <w:sz w:val="20"/>
          <w:szCs w:val="18"/>
        </w:rPr>
        <w:t>etc</w:t>
      </w:r>
      <w:proofErr w:type="spellEnd"/>
      <w:r>
        <w:rPr>
          <w:bCs/>
          <w:color w:val="000000" w:themeColor="text1"/>
          <w:sz w:val="20"/>
          <w:szCs w:val="18"/>
        </w:rPr>
        <w:t xml:space="preserve">), without selecting specific Commissioners for those roles where possible. The Commissioners should be expected to bring expertise, primarily in mental health (all dimensions), but also as relevant across government, law, economics, etc. </w:t>
      </w:r>
    </w:p>
    <w:p w:rsidR="007C6366" w:rsidRPr="00C25BA2" w:rsidRDefault="007C6366" w:rsidP="007C6366">
      <w:pPr>
        <w:rPr>
          <w:b/>
          <w:color w:val="012169" w:themeColor="accent4"/>
          <w:sz w:val="20"/>
          <w:szCs w:val="18"/>
        </w:rPr>
      </w:pPr>
      <w:r w:rsidRPr="00C25BA2">
        <w:rPr>
          <w:b/>
          <w:color w:val="012169" w:themeColor="accent4"/>
          <w:sz w:val="20"/>
          <w:szCs w:val="18"/>
        </w:rPr>
        <w:t>Capacity and capability</w:t>
      </w:r>
    </w:p>
    <w:p w:rsidR="007C6366" w:rsidRPr="00C25BA2" w:rsidRDefault="007C6366" w:rsidP="007C6366">
      <w:pPr>
        <w:rPr>
          <w:bCs/>
          <w:color w:val="000000" w:themeColor="text1"/>
          <w:sz w:val="20"/>
          <w:szCs w:val="18"/>
        </w:rPr>
      </w:pPr>
      <w:r w:rsidRPr="00705198">
        <w:rPr>
          <w:noProof/>
          <w:color w:val="0097A9" w:themeColor="accent5"/>
          <w:highlight w:val="yellow"/>
          <w:lang w:eastAsia="en-AU"/>
        </w:rPr>
        <w:drawing>
          <wp:inline distT="0" distB="0" distL="0" distR="0">
            <wp:extent cx="5627583" cy="537307"/>
            <wp:effectExtent l="0" t="0" r="0" b="0"/>
            <wp:docPr id="12" name="Picture 12" descr="This picture is a scale. The far left of the scale is 'small workforce, limited capability'. The far right of the scale is 'adequately resourced and capable'. The blue triangles on the picture represent the current state of perception of stakeholders interviewed. The green star represents the recommended future state perception to be achieved. The blue triangle sits approximately one sixth of the way along the length of the scale. The green star sits approximately five sixths along the length of the scale. This scale visually represents that the current capacity of the Commission is constrained by small workforce and limited capability and recommends the Commission be more adequately resourced and capable. The picture also notes in writing &quot;Due to current capacity constraints, delivering against the NMHC's objectives is highly challenging&quot;." title="Capacity and capability - current state and recommended future st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5627583" cy="537307"/>
                    </a:xfrm>
                    <a:prstGeom prst="rect">
                      <a:avLst/>
                    </a:prstGeom>
                    <a:ln>
                      <a:noFill/>
                    </a:ln>
                    <a:extLst>
                      <a:ext uri="{53640926-AAD7-44D8-BBD7-CCE9431645EC}">
                        <a14:shadowObscured xmlns:a14="http://schemas.microsoft.com/office/drawing/2010/main"/>
                      </a:ext>
                    </a:extLst>
                  </pic:spPr>
                </pic:pic>
              </a:graphicData>
            </a:graphic>
          </wp:inline>
        </w:drawing>
      </w:r>
      <w:r w:rsidRPr="00705198">
        <w:rPr>
          <w:color w:val="0097A9" w:themeColor="accent5"/>
          <w:sz w:val="20"/>
          <w:szCs w:val="18"/>
          <w:highlight w:val="yellow"/>
        </w:rPr>
        <w:br/>
      </w:r>
      <w:r w:rsidRPr="00705198">
        <w:rPr>
          <w:bCs/>
          <w:color w:val="000000" w:themeColor="text1"/>
          <w:sz w:val="20"/>
          <w:szCs w:val="18"/>
          <w:highlight w:val="yellow"/>
        </w:rPr>
        <w:br/>
      </w:r>
      <w:r w:rsidRPr="00795D9F">
        <w:rPr>
          <w:bCs/>
          <w:color w:val="000000" w:themeColor="text1"/>
          <w:sz w:val="20"/>
          <w:szCs w:val="18"/>
        </w:rPr>
        <w:t xml:space="preserve">As noted above, current capacity and capability is not sufficient to meet the NMHC’s objectives. </w:t>
      </w:r>
      <w:r w:rsidR="00705198" w:rsidRPr="00795D9F">
        <w:rPr>
          <w:bCs/>
          <w:color w:val="000000" w:themeColor="text1"/>
          <w:sz w:val="20"/>
          <w:szCs w:val="18"/>
        </w:rPr>
        <w:t>Therefore providing a capable workforce with sufficient capability is paramount. In addition, it is acknowledged</w:t>
      </w:r>
      <w:r w:rsidRPr="00795D9F">
        <w:rPr>
          <w:bCs/>
          <w:color w:val="000000" w:themeColor="text1"/>
          <w:sz w:val="20"/>
          <w:szCs w:val="18"/>
        </w:rPr>
        <w:t xml:space="preserve"> the work of the NMHC will continue to vary, with different priorities requiring different skills and experiences over time. Therefore, the NMHC should seek to build its own workforce to a sufficient level to lead, procure and oversee others in delivering on the NMHC’s work. This should include a boost to staff with mental health expertise, as well as ensuring that procurement capability is sufficient.</w:t>
      </w:r>
      <w:r>
        <w:rPr>
          <w:bCs/>
          <w:color w:val="000000" w:themeColor="text1"/>
          <w:sz w:val="20"/>
          <w:szCs w:val="18"/>
        </w:rPr>
        <w:t xml:space="preserve"> </w:t>
      </w:r>
    </w:p>
    <w:p w:rsidR="009668E8" w:rsidRDefault="009668E8">
      <w:pPr>
        <w:spacing w:after="200" w:line="276" w:lineRule="auto"/>
        <w:rPr>
          <w:b/>
          <w:color w:val="012169" w:themeColor="accent4"/>
          <w:sz w:val="20"/>
          <w:szCs w:val="18"/>
        </w:rPr>
      </w:pPr>
      <w:r>
        <w:rPr>
          <w:b/>
          <w:color w:val="012169" w:themeColor="accent4"/>
          <w:sz w:val="20"/>
          <w:szCs w:val="18"/>
        </w:rPr>
        <w:br w:type="page"/>
      </w:r>
    </w:p>
    <w:p w:rsidR="007C6366" w:rsidRPr="00C25BA2" w:rsidRDefault="007C6366" w:rsidP="007C6366">
      <w:pPr>
        <w:rPr>
          <w:b/>
          <w:color w:val="012169" w:themeColor="accent4"/>
          <w:sz w:val="20"/>
          <w:szCs w:val="18"/>
        </w:rPr>
      </w:pPr>
      <w:r w:rsidRPr="00C25BA2">
        <w:rPr>
          <w:b/>
          <w:color w:val="012169" w:themeColor="accent4"/>
          <w:sz w:val="20"/>
          <w:szCs w:val="18"/>
        </w:rPr>
        <w:lastRenderedPageBreak/>
        <w:t>Policy functions</w:t>
      </w:r>
    </w:p>
    <w:p w:rsidR="007C6366" w:rsidRDefault="007C6366" w:rsidP="007C6366">
      <w:pPr>
        <w:rPr>
          <w:color w:val="0097A9" w:themeColor="accent5"/>
          <w:sz w:val="20"/>
          <w:szCs w:val="18"/>
        </w:rPr>
      </w:pPr>
      <w:r w:rsidRPr="00264435">
        <w:rPr>
          <w:noProof/>
          <w:color w:val="0097A9" w:themeColor="accent5"/>
          <w:lang w:eastAsia="en-AU"/>
        </w:rPr>
        <w:drawing>
          <wp:inline distT="0" distB="0" distL="0" distR="0">
            <wp:extent cx="5628092" cy="517109"/>
            <wp:effectExtent l="0" t="0" r="0" b="0"/>
            <wp:docPr id="14" name="Picture 14" descr="This picture is a scale. The far left of the scale is 'input and commentary'. The far right of the scale is 'development and ownership'. The blue triangles on the picture represent the current state of perception of stakeholders interviewed. The green star represents the recommended future state perception to be achieved. The blue triangle sits approximately one sixth of the way along the length of the scale. The green star sits approximately half way along the length of the scale. This scale visually represents that the Commission currently provides more of an input and recommendations policy function and the review identifies the potential for a more detailed, developmental and active role in the Commission's policy advisory functions to Government. The picture also notes in writing &quot;current policy functions are typically limited to input and recommendations&quot;." title="Policy functions - current state and recommended future st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41"/>
                    <a:stretch/>
                  </pic:blipFill>
                  <pic:spPr bwMode="auto">
                    <a:xfrm>
                      <a:off x="0" y="0"/>
                      <a:ext cx="5847917" cy="537307"/>
                    </a:xfrm>
                    <a:prstGeom prst="rect">
                      <a:avLst/>
                    </a:prstGeom>
                    <a:ln>
                      <a:noFill/>
                    </a:ln>
                    <a:extLst>
                      <a:ext uri="{53640926-AAD7-44D8-BBD7-CCE9431645EC}">
                        <a14:shadowObscured xmlns:a14="http://schemas.microsoft.com/office/drawing/2010/main"/>
                      </a:ext>
                    </a:extLst>
                  </pic:spPr>
                </pic:pic>
              </a:graphicData>
            </a:graphic>
          </wp:inline>
        </w:drawing>
      </w:r>
    </w:p>
    <w:p w:rsidR="007C6366" w:rsidRDefault="007C6366" w:rsidP="007C6366">
      <w:pPr>
        <w:rPr>
          <w:b/>
          <w:color w:val="012169" w:themeColor="accent4"/>
          <w:sz w:val="20"/>
          <w:szCs w:val="18"/>
        </w:rPr>
      </w:pPr>
      <w:r>
        <w:rPr>
          <w:bCs/>
          <w:color w:val="000000" w:themeColor="text1"/>
          <w:sz w:val="20"/>
          <w:szCs w:val="18"/>
        </w:rPr>
        <w:t xml:space="preserve">The NMHC could, in the future, take a more detailed and active role in its policy advisory functions. This would involve moving beyond issuing recommendations and into helping with the design of aspects of policy. It is premature to consider taking on such a role at this time, as building capacity and capability to perform existing reporting and policy advisory functions should be prioritised. Taking on greater policy development roles can be pursued on a case by case basis with the </w:t>
      </w:r>
      <w:proofErr w:type="spellStart"/>
      <w:r w:rsidR="00C71034">
        <w:rPr>
          <w:bCs/>
          <w:color w:val="000000" w:themeColor="text1"/>
          <w:sz w:val="20"/>
          <w:szCs w:val="18"/>
        </w:rPr>
        <w:t>DoH</w:t>
      </w:r>
      <w:proofErr w:type="spellEnd"/>
      <w:r w:rsidR="00C71034">
        <w:rPr>
          <w:bCs/>
          <w:color w:val="000000" w:themeColor="text1"/>
          <w:sz w:val="20"/>
          <w:szCs w:val="18"/>
        </w:rPr>
        <w:t xml:space="preserve">. </w:t>
      </w:r>
      <w:r>
        <w:rPr>
          <w:bCs/>
          <w:color w:val="000000" w:themeColor="text1"/>
          <w:sz w:val="20"/>
          <w:szCs w:val="18"/>
        </w:rPr>
        <w:t xml:space="preserve"> </w:t>
      </w:r>
    </w:p>
    <w:p w:rsidR="007C6366" w:rsidRDefault="007C6366" w:rsidP="007C6366">
      <w:pPr>
        <w:rPr>
          <w:b/>
          <w:color w:val="012169" w:themeColor="accent4"/>
          <w:sz w:val="20"/>
          <w:szCs w:val="18"/>
        </w:rPr>
      </w:pPr>
      <w:r w:rsidRPr="00C25BA2">
        <w:rPr>
          <w:b/>
          <w:color w:val="012169" w:themeColor="accent4"/>
          <w:sz w:val="20"/>
          <w:szCs w:val="18"/>
        </w:rPr>
        <w:t>Monitoring and reporting functions</w:t>
      </w:r>
    </w:p>
    <w:p w:rsidR="003717F7" w:rsidRDefault="003717F7" w:rsidP="007C6366">
      <w:pPr>
        <w:rPr>
          <w:b/>
          <w:color w:val="012169" w:themeColor="accent4"/>
          <w:sz w:val="20"/>
          <w:szCs w:val="18"/>
        </w:rPr>
      </w:pPr>
      <w:r>
        <w:rPr>
          <w:noProof/>
          <w:lang w:eastAsia="en-AU"/>
        </w:rPr>
        <w:drawing>
          <wp:inline distT="0" distB="0" distL="0" distR="0">
            <wp:extent cx="5731510" cy="512445"/>
            <wp:effectExtent l="0" t="0" r="2540" b="1905"/>
            <wp:docPr id="18" name="Picture 18" descr="This picture is a scale. The far left of the scale is 'advisor'. The far right of the scale is 'regulator'. The blue triangles on the picture represent the current state of perception of stakeholders interviewed. The green star represents the recommended future state perception to be achieved. The blue triangle sits approximately one sixth of the way along the length of the scale. The green star sits slightly closer to the right of the scale of the scale. This scale visually represents that the Commission should consider expanding its capacity as an advisor to the system and focus on building improvements across the system. The picture also notes in writing &quot;currently most reports are ad hoc with limited consistency or regularity&quot;." title="Monitoring and reporting - current state and recommended future st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512445"/>
                    </a:xfrm>
                    <a:prstGeom prst="rect">
                      <a:avLst/>
                    </a:prstGeom>
                  </pic:spPr>
                </pic:pic>
              </a:graphicData>
            </a:graphic>
          </wp:inline>
        </w:drawing>
      </w:r>
    </w:p>
    <w:p w:rsidR="003717F7" w:rsidRDefault="003717F7" w:rsidP="007C6366">
      <w:pPr>
        <w:rPr>
          <w:bCs/>
          <w:color w:val="000000" w:themeColor="text1"/>
          <w:sz w:val="20"/>
          <w:szCs w:val="18"/>
        </w:rPr>
      </w:pPr>
      <w:r w:rsidRPr="00795D9F">
        <w:rPr>
          <w:bCs/>
          <w:color w:val="000000" w:themeColor="text1"/>
          <w:sz w:val="20"/>
          <w:szCs w:val="18"/>
        </w:rPr>
        <w:t xml:space="preserve">The NMHC should consider expanding its capacity as an advisor to the system and focus on building improvements across the system. While not to the same extent this could be a similar role to the </w:t>
      </w:r>
      <w:r w:rsidR="00A97957" w:rsidRPr="00795D9F">
        <w:rPr>
          <w:sz w:val="20"/>
          <w:szCs w:val="18"/>
        </w:rPr>
        <w:t>ACSQH</w:t>
      </w:r>
      <w:r w:rsidRPr="00795D9F">
        <w:rPr>
          <w:bCs/>
          <w:color w:val="000000" w:themeColor="text1"/>
          <w:sz w:val="20"/>
          <w:szCs w:val="18"/>
        </w:rPr>
        <w:t xml:space="preserve">. </w:t>
      </w:r>
      <w:r w:rsidR="007C6366" w:rsidRPr="00795D9F">
        <w:rPr>
          <w:bCs/>
          <w:color w:val="000000" w:themeColor="text1"/>
          <w:sz w:val="20"/>
          <w:szCs w:val="18"/>
        </w:rPr>
        <w:t xml:space="preserve">As with its policy role, this appears a premature step given current constraints. In the future this could be considered, particularly with regard to shaping </w:t>
      </w:r>
      <w:r w:rsidRPr="00795D9F">
        <w:rPr>
          <w:bCs/>
          <w:color w:val="000000" w:themeColor="text1"/>
          <w:sz w:val="20"/>
          <w:szCs w:val="18"/>
        </w:rPr>
        <w:t>the future of the system. It is noted that standards creation in</w:t>
      </w:r>
      <w:r w:rsidR="00795D9F" w:rsidRPr="00795D9F">
        <w:rPr>
          <w:bCs/>
          <w:color w:val="000000" w:themeColor="text1"/>
          <w:sz w:val="20"/>
          <w:szCs w:val="18"/>
        </w:rPr>
        <w:t xml:space="preserve"> partnership with the </w:t>
      </w:r>
      <w:r w:rsidR="00A97957" w:rsidRPr="00795D9F">
        <w:rPr>
          <w:sz w:val="20"/>
          <w:szCs w:val="18"/>
        </w:rPr>
        <w:t>ACSQH</w:t>
      </w:r>
      <w:r w:rsidR="00795D9F" w:rsidRPr="00795D9F">
        <w:rPr>
          <w:sz w:val="20"/>
          <w:szCs w:val="18"/>
        </w:rPr>
        <w:t xml:space="preserve"> </w:t>
      </w:r>
      <w:r w:rsidRPr="00795D9F">
        <w:rPr>
          <w:bCs/>
          <w:color w:val="000000" w:themeColor="text1"/>
          <w:sz w:val="20"/>
          <w:szCs w:val="18"/>
        </w:rPr>
        <w:t>has been a previous activity undertaken by the NMHC providing a potential link to such a role in the system.</w:t>
      </w:r>
      <w:r>
        <w:rPr>
          <w:bCs/>
          <w:color w:val="000000" w:themeColor="text1"/>
          <w:sz w:val="20"/>
          <w:szCs w:val="18"/>
        </w:rPr>
        <w:t xml:space="preserve"> </w:t>
      </w:r>
    </w:p>
    <w:p w:rsidR="007C6366" w:rsidRPr="00264435" w:rsidRDefault="007C6366" w:rsidP="007C6366">
      <w:pPr>
        <w:rPr>
          <w:bCs/>
          <w:color w:val="000000" w:themeColor="text1"/>
          <w:sz w:val="20"/>
          <w:szCs w:val="18"/>
        </w:rPr>
      </w:pPr>
      <w:r w:rsidRPr="00264435">
        <w:rPr>
          <w:bCs/>
          <w:color w:val="000000" w:themeColor="text1"/>
          <w:sz w:val="20"/>
          <w:szCs w:val="18"/>
        </w:rPr>
        <w:br w:type="page"/>
      </w:r>
    </w:p>
    <w:p w:rsidR="007C6366" w:rsidRPr="00264435" w:rsidRDefault="007C6366" w:rsidP="007C6366">
      <w:pPr>
        <w:pStyle w:val="Heading1"/>
        <w:spacing w:after="0"/>
      </w:pPr>
      <w:bookmarkStart w:id="16" w:name="_Toc482809633"/>
      <w:r>
        <w:lastRenderedPageBreak/>
        <w:t xml:space="preserve">5. </w:t>
      </w:r>
      <w:r w:rsidRPr="00264435">
        <w:t>Recommendations</w:t>
      </w:r>
      <w:bookmarkEnd w:id="16"/>
    </w:p>
    <w:p w:rsidR="007C6366" w:rsidRPr="00264435" w:rsidRDefault="007C6366" w:rsidP="007C6366">
      <w:pPr>
        <w:rPr>
          <w:sz w:val="60"/>
          <w:szCs w:val="60"/>
        </w:rPr>
      </w:pPr>
    </w:p>
    <w:p w:rsidR="007C6366" w:rsidRDefault="007C6366" w:rsidP="007C6366">
      <w:pPr>
        <w:spacing w:after="0" w:line="259" w:lineRule="auto"/>
        <w:rPr>
          <w:i/>
          <w:sz w:val="20"/>
          <w:szCs w:val="18"/>
        </w:rPr>
      </w:pPr>
      <w:r w:rsidRPr="008F43FF">
        <w:rPr>
          <w:i/>
          <w:sz w:val="20"/>
          <w:szCs w:val="18"/>
        </w:rPr>
        <w:t>Building on the issues and improvement options identified thus far, this review provides four core recommendations to str</w:t>
      </w:r>
      <w:r>
        <w:rPr>
          <w:i/>
          <w:sz w:val="20"/>
          <w:szCs w:val="18"/>
        </w:rPr>
        <w:t>engthen the NMHC going forward:</w:t>
      </w:r>
    </w:p>
    <w:p w:rsidR="007C6366" w:rsidRDefault="007C6366" w:rsidP="007C6366">
      <w:pPr>
        <w:spacing w:after="0" w:line="259" w:lineRule="auto"/>
        <w:rPr>
          <w:i/>
          <w:sz w:val="20"/>
          <w:szCs w:val="18"/>
        </w:rPr>
      </w:pPr>
    </w:p>
    <w:p w:rsidR="007C6366" w:rsidRPr="002D0CF1" w:rsidRDefault="007C6366" w:rsidP="00D8278D">
      <w:pPr>
        <w:pStyle w:val="ListParagraph"/>
        <w:numPr>
          <w:ilvl w:val="0"/>
          <w:numId w:val="36"/>
        </w:numPr>
        <w:spacing w:after="0" w:line="259" w:lineRule="auto"/>
        <w:rPr>
          <w:sz w:val="20"/>
          <w:szCs w:val="18"/>
        </w:rPr>
      </w:pPr>
      <w:r w:rsidRPr="000810CA">
        <w:rPr>
          <w:b/>
          <w:sz w:val="20"/>
          <w:szCs w:val="18"/>
        </w:rPr>
        <w:t>Recommendation 1:</w:t>
      </w:r>
      <w:r w:rsidRPr="002D0CF1">
        <w:rPr>
          <w:sz w:val="20"/>
          <w:szCs w:val="18"/>
        </w:rPr>
        <w:t xml:space="preserve"> Lift the capacity and capability of the NMHC</w:t>
      </w:r>
    </w:p>
    <w:p w:rsidR="007C6366" w:rsidRPr="002D0CF1" w:rsidRDefault="007C6366" w:rsidP="00D8278D">
      <w:pPr>
        <w:pStyle w:val="ListParagraph"/>
        <w:numPr>
          <w:ilvl w:val="0"/>
          <w:numId w:val="36"/>
        </w:numPr>
        <w:spacing w:after="0" w:line="259" w:lineRule="auto"/>
        <w:rPr>
          <w:sz w:val="20"/>
          <w:szCs w:val="18"/>
        </w:rPr>
      </w:pPr>
      <w:r w:rsidRPr="000810CA">
        <w:rPr>
          <w:b/>
          <w:sz w:val="20"/>
          <w:szCs w:val="18"/>
        </w:rPr>
        <w:t>Recommendation 2:</w:t>
      </w:r>
      <w:r w:rsidRPr="002D0CF1">
        <w:t xml:space="preserve"> </w:t>
      </w:r>
      <w:r w:rsidRPr="00B50499">
        <w:rPr>
          <w:sz w:val="20"/>
          <w:szCs w:val="18"/>
        </w:rPr>
        <w:t>Clarify the role and g</w:t>
      </w:r>
      <w:r w:rsidR="00F05F88" w:rsidRPr="00B50499">
        <w:rPr>
          <w:sz w:val="20"/>
          <w:szCs w:val="18"/>
        </w:rPr>
        <w:t xml:space="preserve">overnance of the NMHC through an update to the Executive Order and regular correspondence via a </w:t>
      </w:r>
      <w:r w:rsidRPr="00B50499">
        <w:rPr>
          <w:sz w:val="20"/>
          <w:szCs w:val="18"/>
        </w:rPr>
        <w:t>Ministerial Charter Letter</w:t>
      </w:r>
    </w:p>
    <w:p w:rsidR="007C6366" w:rsidRPr="002D0CF1" w:rsidRDefault="007C6366" w:rsidP="00D8278D">
      <w:pPr>
        <w:pStyle w:val="ListParagraph"/>
        <w:numPr>
          <w:ilvl w:val="0"/>
          <w:numId w:val="36"/>
        </w:numPr>
        <w:spacing w:after="0" w:line="259" w:lineRule="auto"/>
        <w:rPr>
          <w:sz w:val="20"/>
          <w:szCs w:val="18"/>
        </w:rPr>
      </w:pPr>
      <w:r w:rsidRPr="000810CA">
        <w:rPr>
          <w:b/>
          <w:sz w:val="20"/>
          <w:szCs w:val="18"/>
        </w:rPr>
        <w:t>Recommendation 3:</w:t>
      </w:r>
      <w:r w:rsidRPr="002D0CF1">
        <w:t xml:space="preserve"> </w:t>
      </w:r>
      <w:r w:rsidRPr="002D0CF1">
        <w:rPr>
          <w:sz w:val="20"/>
          <w:szCs w:val="18"/>
        </w:rPr>
        <w:t>Clarify the NMHC’s internal governance and operations</w:t>
      </w:r>
    </w:p>
    <w:p w:rsidR="007C6366" w:rsidRPr="002D0CF1" w:rsidRDefault="007C6366" w:rsidP="00D8278D">
      <w:pPr>
        <w:pStyle w:val="ListParagraph"/>
        <w:numPr>
          <w:ilvl w:val="0"/>
          <w:numId w:val="36"/>
        </w:numPr>
        <w:spacing w:after="0" w:line="259" w:lineRule="auto"/>
        <w:rPr>
          <w:sz w:val="20"/>
          <w:szCs w:val="18"/>
        </w:rPr>
      </w:pPr>
      <w:r w:rsidRPr="000810CA">
        <w:rPr>
          <w:b/>
          <w:sz w:val="20"/>
          <w:szCs w:val="18"/>
        </w:rPr>
        <w:t>Recommendation 4:</w:t>
      </w:r>
      <w:r w:rsidRPr="002D0CF1">
        <w:rPr>
          <w:sz w:val="20"/>
          <w:szCs w:val="18"/>
        </w:rPr>
        <w:t xml:space="preserve"> Take steps to strengthen the NMHC’s influence and impact</w:t>
      </w:r>
      <w:r>
        <w:rPr>
          <w:sz w:val="20"/>
          <w:szCs w:val="18"/>
        </w:rPr>
        <w:t>.</w:t>
      </w:r>
    </w:p>
    <w:p w:rsidR="007C6366" w:rsidRPr="008F43FF" w:rsidRDefault="007C6366" w:rsidP="007C6366">
      <w:pPr>
        <w:spacing w:after="0" w:line="259" w:lineRule="auto"/>
        <w:rPr>
          <w:i/>
          <w:sz w:val="20"/>
          <w:szCs w:val="18"/>
        </w:rPr>
      </w:pPr>
    </w:p>
    <w:p w:rsidR="007C6366" w:rsidRPr="00B35010" w:rsidRDefault="007C6366" w:rsidP="007C6366">
      <w:pPr>
        <w:spacing w:after="0" w:line="259" w:lineRule="auto"/>
        <w:rPr>
          <w:b/>
          <w:color w:val="012169" w:themeColor="accent4"/>
          <w:sz w:val="20"/>
          <w:szCs w:val="18"/>
        </w:rPr>
      </w:pPr>
      <w:r w:rsidRPr="00B35010">
        <w:rPr>
          <w:b/>
          <w:color w:val="012169" w:themeColor="accent4"/>
          <w:sz w:val="20"/>
          <w:szCs w:val="18"/>
        </w:rPr>
        <w:t>Recommendation 1: Lift the capacity and capability of the NMHC</w:t>
      </w:r>
    </w:p>
    <w:p w:rsidR="007C6366" w:rsidRPr="00264435" w:rsidRDefault="007C6366" w:rsidP="007C6366">
      <w:pPr>
        <w:spacing w:after="0" w:line="259" w:lineRule="auto"/>
        <w:rPr>
          <w:b/>
          <w:sz w:val="20"/>
          <w:szCs w:val="18"/>
        </w:rPr>
      </w:pPr>
    </w:p>
    <w:p w:rsidR="007C6366" w:rsidRDefault="007C6366" w:rsidP="00D8278D">
      <w:pPr>
        <w:pStyle w:val="ListParagraph"/>
        <w:numPr>
          <w:ilvl w:val="1"/>
          <w:numId w:val="28"/>
        </w:numPr>
        <w:spacing w:after="0" w:line="259" w:lineRule="auto"/>
        <w:rPr>
          <w:sz w:val="20"/>
          <w:szCs w:val="18"/>
        </w:rPr>
      </w:pPr>
      <w:r w:rsidRPr="00DB08E9">
        <w:rPr>
          <w:b/>
          <w:sz w:val="20"/>
          <w:szCs w:val="18"/>
        </w:rPr>
        <w:t>Increase the FTE working within the NMHC</w:t>
      </w:r>
      <w:r w:rsidRPr="00DB08E9">
        <w:rPr>
          <w:sz w:val="20"/>
          <w:szCs w:val="18"/>
          <w:u w:val="single"/>
        </w:rPr>
        <w:t>.</w:t>
      </w:r>
      <w:r w:rsidRPr="00DB08E9">
        <w:rPr>
          <w:sz w:val="20"/>
          <w:szCs w:val="18"/>
        </w:rPr>
        <w:t xml:space="preserve"> The precise additional requirement will depend on the scope of the NMHC’s activities,</w:t>
      </w:r>
      <w:r>
        <w:rPr>
          <w:sz w:val="20"/>
          <w:szCs w:val="18"/>
        </w:rPr>
        <w:t xml:space="preserve"> and are best determined by the NMHC’s CEO. </w:t>
      </w:r>
      <w:r w:rsidRPr="00DB08E9">
        <w:rPr>
          <w:sz w:val="20"/>
          <w:szCs w:val="18"/>
        </w:rPr>
        <w:t>Nevertheless, an indicative view suggests the NMHC would benefit from growth in:</w:t>
      </w:r>
    </w:p>
    <w:p w:rsidR="007C6366" w:rsidRDefault="007C6366" w:rsidP="00D8278D">
      <w:pPr>
        <w:pStyle w:val="ListParagraph"/>
        <w:numPr>
          <w:ilvl w:val="2"/>
          <w:numId w:val="28"/>
        </w:numPr>
        <w:spacing w:after="0" w:line="259" w:lineRule="auto"/>
        <w:ind w:left="1560" w:hanging="851"/>
        <w:rPr>
          <w:sz w:val="20"/>
          <w:szCs w:val="18"/>
        </w:rPr>
      </w:pPr>
      <w:r w:rsidRPr="00DB08E9">
        <w:rPr>
          <w:sz w:val="20"/>
          <w:szCs w:val="18"/>
        </w:rPr>
        <w:t>Data analysis resources, skilled in both technical skills (such as econometrics and modelling) as well as effective data interpret</w:t>
      </w:r>
      <w:r>
        <w:rPr>
          <w:sz w:val="20"/>
          <w:szCs w:val="18"/>
        </w:rPr>
        <w:t>ation and communication skills;</w:t>
      </w:r>
    </w:p>
    <w:p w:rsidR="007C6366" w:rsidRDefault="007C6366" w:rsidP="00D8278D">
      <w:pPr>
        <w:pStyle w:val="ListParagraph"/>
        <w:numPr>
          <w:ilvl w:val="2"/>
          <w:numId w:val="28"/>
        </w:numPr>
        <w:spacing w:after="0" w:line="259" w:lineRule="auto"/>
        <w:ind w:left="1560" w:hanging="851"/>
        <w:rPr>
          <w:sz w:val="20"/>
          <w:szCs w:val="18"/>
        </w:rPr>
      </w:pPr>
      <w:r w:rsidRPr="00795D9F">
        <w:rPr>
          <w:sz w:val="20"/>
          <w:szCs w:val="18"/>
        </w:rPr>
        <w:t>Mental health specialists, with sufficient coverage across core s</w:t>
      </w:r>
      <w:r w:rsidR="00A73AD1" w:rsidRPr="00795D9F">
        <w:rPr>
          <w:sz w:val="20"/>
          <w:szCs w:val="18"/>
        </w:rPr>
        <w:t xml:space="preserve">ectors, </w:t>
      </w:r>
      <w:r w:rsidRPr="00795D9F">
        <w:rPr>
          <w:sz w:val="20"/>
          <w:szCs w:val="18"/>
        </w:rPr>
        <w:t xml:space="preserve">including </w:t>
      </w:r>
      <w:r w:rsidR="00A73AD1" w:rsidRPr="00795D9F">
        <w:rPr>
          <w:sz w:val="20"/>
          <w:szCs w:val="18"/>
        </w:rPr>
        <w:t xml:space="preserve">health (covering </w:t>
      </w:r>
      <w:r w:rsidRPr="00795D9F">
        <w:rPr>
          <w:sz w:val="20"/>
          <w:szCs w:val="18"/>
        </w:rPr>
        <w:t>acute car</w:t>
      </w:r>
      <w:r w:rsidR="00A73AD1" w:rsidRPr="00795D9F">
        <w:rPr>
          <w:sz w:val="20"/>
          <w:szCs w:val="18"/>
        </w:rPr>
        <w:t xml:space="preserve">e, subacute care, primary care); economic participation; housing; welfare and marginalised populations like </w:t>
      </w:r>
      <w:r w:rsidRPr="00795D9F">
        <w:rPr>
          <w:sz w:val="20"/>
          <w:szCs w:val="18"/>
        </w:rPr>
        <w:t>Aboriginal and Torres Strait Islanders (</w:t>
      </w:r>
      <w:r w:rsidR="00A73AD1" w:rsidRPr="00795D9F">
        <w:rPr>
          <w:sz w:val="20"/>
          <w:szCs w:val="18"/>
        </w:rPr>
        <w:t xml:space="preserve">to complement </w:t>
      </w:r>
      <w:r w:rsidRPr="00795D9F">
        <w:rPr>
          <w:sz w:val="20"/>
          <w:szCs w:val="18"/>
        </w:rPr>
        <w:t>the experience of the Commissioners);</w:t>
      </w:r>
      <w:r w:rsidRPr="00DB08E9">
        <w:rPr>
          <w:sz w:val="20"/>
          <w:szCs w:val="18"/>
        </w:rPr>
        <w:t xml:space="preserve"> and</w:t>
      </w:r>
    </w:p>
    <w:p w:rsidR="007C6366" w:rsidRPr="00DB08E9" w:rsidRDefault="007C6366" w:rsidP="00D8278D">
      <w:pPr>
        <w:pStyle w:val="ListParagraph"/>
        <w:numPr>
          <w:ilvl w:val="2"/>
          <w:numId w:val="28"/>
        </w:numPr>
        <w:spacing w:after="0" w:line="259" w:lineRule="auto"/>
        <w:ind w:left="1560" w:hanging="851"/>
        <w:rPr>
          <w:sz w:val="20"/>
          <w:szCs w:val="18"/>
        </w:rPr>
      </w:pPr>
      <w:r w:rsidRPr="00DB08E9">
        <w:rPr>
          <w:sz w:val="20"/>
          <w:szCs w:val="18"/>
        </w:rPr>
        <w:t xml:space="preserve">Stakeholder engagement resources, including those with experience engaging with mental health consumers, carers and families. </w:t>
      </w:r>
    </w:p>
    <w:p w:rsidR="007C6366" w:rsidRPr="00DB08E9" w:rsidRDefault="007C6366" w:rsidP="007C6366">
      <w:pPr>
        <w:pStyle w:val="ListParagraph"/>
        <w:spacing w:after="0" w:line="259" w:lineRule="auto"/>
        <w:ind w:left="360"/>
        <w:rPr>
          <w:sz w:val="20"/>
          <w:szCs w:val="18"/>
        </w:rPr>
      </w:pPr>
    </w:p>
    <w:p w:rsidR="007C6366" w:rsidRPr="00DB08E9" w:rsidRDefault="007C6366" w:rsidP="00D8278D">
      <w:pPr>
        <w:pStyle w:val="ListParagraph"/>
        <w:numPr>
          <w:ilvl w:val="1"/>
          <w:numId w:val="28"/>
        </w:numPr>
        <w:spacing w:after="0" w:line="259" w:lineRule="auto"/>
        <w:rPr>
          <w:sz w:val="20"/>
          <w:szCs w:val="18"/>
        </w:rPr>
      </w:pPr>
      <w:r w:rsidRPr="00B35010">
        <w:rPr>
          <w:b/>
          <w:sz w:val="20"/>
          <w:szCs w:val="18"/>
        </w:rPr>
        <w:t>Ensure sufficient seniority and capability of the workforce</w:t>
      </w:r>
      <w:r w:rsidRPr="00DB08E9">
        <w:rPr>
          <w:b/>
          <w:sz w:val="20"/>
          <w:szCs w:val="18"/>
        </w:rPr>
        <w:t xml:space="preserve">. </w:t>
      </w:r>
      <w:r w:rsidRPr="00DB08E9">
        <w:rPr>
          <w:sz w:val="20"/>
          <w:szCs w:val="18"/>
        </w:rPr>
        <w:t>In addition to adding capacity, the shape of the NMHC workforce should be optimi</w:t>
      </w:r>
      <w:r>
        <w:rPr>
          <w:sz w:val="20"/>
          <w:szCs w:val="18"/>
        </w:rPr>
        <w:t>s</w:t>
      </w:r>
      <w:r w:rsidRPr="00DB08E9">
        <w:rPr>
          <w:sz w:val="20"/>
          <w:szCs w:val="18"/>
        </w:rPr>
        <w:t xml:space="preserve">ed so that there are enough employees at the EL-grades to direct and oversee work, including of external suppliers. </w:t>
      </w:r>
    </w:p>
    <w:p w:rsidR="007C6366" w:rsidRPr="00DB08E9" w:rsidRDefault="007C6366" w:rsidP="007C6366">
      <w:pPr>
        <w:pStyle w:val="ListParagraph"/>
        <w:spacing w:after="0" w:line="259" w:lineRule="auto"/>
        <w:rPr>
          <w:b/>
          <w:sz w:val="20"/>
          <w:szCs w:val="18"/>
        </w:rPr>
      </w:pPr>
    </w:p>
    <w:p w:rsidR="007C6366" w:rsidRPr="00DB08E9" w:rsidRDefault="007C6366" w:rsidP="00D8278D">
      <w:pPr>
        <w:pStyle w:val="ListParagraph"/>
        <w:numPr>
          <w:ilvl w:val="1"/>
          <w:numId w:val="28"/>
        </w:numPr>
        <w:spacing w:after="0" w:line="259" w:lineRule="auto"/>
        <w:rPr>
          <w:b/>
          <w:sz w:val="20"/>
          <w:szCs w:val="18"/>
        </w:rPr>
      </w:pPr>
      <w:r w:rsidRPr="00B35010">
        <w:rPr>
          <w:b/>
          <w:sz w:val="20"/>
          <w:szCs w:val="18"/>
        </w:rPr>
        <w:t xml:space="preserve">Equip the NMHC with resources </w:t>
      </w:r>
      <w:r w:rsidRPr="00DB08E9">
        <w:rPr>
          <w:b/>
          <w:sz w:val="20"/>
          <w:szCs w:val="18"/>
        </w:rPr>
        <w:t xml:space="preserve">to engage external support </w:t>
      </w:r>
      <w:r w:rsidRPr="00DB08E9">
        <w:rPr>
          <w:sz w:val="20"/>
          <w:szCs w:val="18"/>
        </w:rPr>
        <w:t xml:space="preserve">as needed, including researchers and analytical support when required. This should take the form of a pool of funds able to be flexibly assigned throughout the NMHC’s work cycle, in line with procurement standards and processes. </w:t>
      </w:r>
    </w:p>
    <w:p w:rsidR="007C6366" w:rsidRPr="00264435" w:rsidRDefault="007C6366" w:rsidP="00D8278D">
      <w:pPr>
        <w:pStyle w:val="ListParagraph"/>
        <w:numPr>
          <w:ilvl w:val="2"/>
          <w:numId w:val="28"/>
        </w:numPr>
        <w:spacing w:after="0" w:line="259" w:lineRule="auto"/>
        <w:ind w:left="1560" w:hanging="851"/>
        <w:rPr>
          <w:sz w:val="20"/>
          <w:szCs w:val="18"/>
        </w:rPr>
      </w:pPr>
      <w:r w:rsidRPr="00264435">
        <w:rPr>
          <w:sz w:val="20"/>
          <w:szCs w:val="18"/>
        </w:rPr>
        <w:t>Lessons from comparator institutions suggests this pool of funds should be at least equivalent in value to the total spend on FTE.</w:t>
      </w:r>
    </w:p>
    <w:p w:rsidR="007C6366" w:rsidRPr="00DB08E9" w:rsidRDefault="007C6366" w:rsidP="007C6366">
      <w:pPr>
        <w:pStyle w:val="ListParagraph"/>
        <w:spacing w:after="0" w:line="259" w:lineRule="auto"/>
        <w:ind w:left="360"/>
        <w:rPr>
          <w:sz w:val="20"/>
          <w:szCs w:val="18"/>
        </w:rPr>
      </w:pPr>
    </w:p>
    <w:p w:rsidR="007C6366" w:rsidRPr="00DB08E9" w:rsidRDefault="007C6366" w:rsidP="00D8278D">
      <w:pPr>
        <w:pStyle w:val="ListParagraph"/>
        <w:numPr>
          <w:ilvl w:val="1"/>
          <w:numId w:val="28"/>
        </w:numPr>
        <w:spacing w:after="0" w:line="259" w:lineRule="auto"/>
        <w:rPr>
          <w:sz w:val="20"/>
          <w:szCs w:val="18"/>
        </w:rPr>
      </w:pPr>
      <w:r>
        <w:rPr>
          <w:b/>
          <w:sz w:val="20"/>
          <w:szCs w:val="18"/>
        </w:rPr>
        <w:t>Ensure sufficient</w:t>
      </w:r>
      <w:r w:rsidRPr="00B35010">
        <w:rPr>
          <w:b/>
          <w:sz w:val="20"/>
          <w:szCs w:val="18"/>
        </w:rPr>
        <w:t xml:space="preserve"> capability of the Chair and Commissioners</w:t>
      </w:r>
      <w:r w:rsidRPr="00DB08E9">
        <w:rPr>
          <w:sz w:val="20"/>
          <w:szCs w:val="18"/>
        </w:rPr>
        <w:t>, specifically:</w:t>
      </w:r>
    </w:p>
    <w:p w:rsidR="007C6366" w:rsidRPr="00264435" w:rsidRDefault="007C6366" w:rsidP="00D8278D">
      <w:pPr>
        <w:pStyle w:val="ListParagraph"/>
        <w:numPr>
          <w:ilvl w:val="2"/>
          <w:numId w:val="28"/>
        </w:numPr>
        <w:spacing w:after="0" w:line="259" w:lineRule="auto"/>
        <w:ind w:left="1560" w:hanging="851"/>
        <w:rPr>
          <w:sz w:val="20"/>
          <w:szCs w:val="18"/>
        </w:rPr>
      </w:pPr>
      <w:r w:rsidRPr="00264435">
        <w:rPr>
          <w:sz w:val="20"/>
          <w:szCs w:val="18"/>
        </w:rPr>
        <w:t>Clarifying the role and expectations of the Chair</w:t>
      </w:r>
      <w:r>
        <w:rPr>
          <w:sz w:val="20"/>
          <w:szCs w:val="18"/>
        </w:rPr>
        <w:t xml:space="preserve">’s capability to lead </w:t>
      </w:r>
      <w:r w:rsidRPr="00264435">
        <w:rPr>
          <w:sz w:val="20"/>
          <w:szCs w:val="18"/>
        </w:rPr>
        <w:t>the Commissioners, represent the NMHC in public (together with the CEO), and support the CEO to make strategic decisions;</w:t>
      </w:r>
    </w:p>
    <w:p w:rsidR="007C6366" w:rsidRDefault="007C6366" w:rsidP="00D8278D">
      <w:pPr>
        <w:pStyle w:val="ListParagraph"/>
        <w:numPr>
          <w:ilvl w:val="2"/>
          <w:numId w:val="28"/>
        </w:numPr>
        <w:spacing w:after="0" w:line="259" w:lineRule="auto"/>
        <w:ind w:left="1560" w:hanging="851"/>
        <w:rPr>
          <w:sz w:val="20"/>
          <w:szCs w:val="18"/>
        </w:rPr>
      </w:pPr>
      <w:r w:rsidRPr="00264435">
        <w:rPr>
          <w:sz w:val="20"/>
          <w:szCs w:val="18"/>
        </w:rPr>
        <w:t xml:space="preserve">Clarifying the role and expectations of the Commissioners as advisors to the NMHC and through it to government, including expectations around unified public communications, leadership roles around specific </w:t>
      </w:r>
      <w:r w:rsidRPr="00264435">
        <w:rPr>
          <w:sz w:val="20"/>
          <w:szCs w:val="18"/>
        </w:rPr>
        <w:lastRenderedPageBreak/>
        <w:t xml:space="preserve">programmes of work and the roles of Commissioners in bringing particular perspectives, while not necessarily being ‘representatives’ of other groups. </w:t>
      </w:r>
    </w:p>
    <w:p w:rsidR="007C6366" w:rsidRPr="00264435" w:rsidRDefault="007C6366" w:rsidP="00D8278D">
      <w:pPr>
        <w:pStyle w:val="ListParagraph"/>
        <w:numPr>
          <w:ilvl w:val="2"/>
          <w:numId w:val="28"/>
        </w:numPr>
        <w:spacing w:after="0" w:line="259" w:lineRule="auto"/>
        <w:ind w:left="1560" w:hanging="851"/>
        <w:rPr>
          <w:sz w:val="20"/>
          <w:szCs w:val="18"/>
        </w:rPr>
      </w:pPr>
      <w:r>
        <w:rPr>
          <w:sz w:val="20"/>
          <w:szCs w:val="18"/>
        </w:rPr>
        <w:t xml:space="preserve">To the extent necessary to meet the above capability expectations, consider investing in training or adjusting the composition of the Commissioners to ensure capability sufficiency. </w:t>
      </w:r>
    </w:p>
    <w:p w:rsidR="007C6366" w:rsidRDefault="007C6366" w:rsidP="007C6366">
      <w:pPr>
        <w:spacing w:after="0" w:line="259" w:lineRule="auto"/>
        <w:rPr>
          <w:b/>
          <w:sz w:val="20"/>
          <w:szCs w:val="18"/>
        </w:rPr>
      </w:pPr>
    </w:p>
    <w:p w:rsidR="007C6366" w:rsidRPr="00B35010" w:rsidRDefault="007C6366" w:rsidP="007C6366">
      <w:pPr>
        <w:spacing w:after="0" w:line="259" w:lineRule="auto"/>
        <w:rPr>
          <w:b/>
          <w:color w:val="012169" w:themeColor="accent4"/>
          <w:sz w:val="20"/>
          <w:szCs w:val="18"/>
        </w:rPr>
      </w:pPr>
      <w:r w:rsidRPr="00B35010">
        <w:rPr>
          <w:b/>
          <w:color w:val="012169" w:themeColor="accent4"/>
          <w:sz w:val="20"/>
          <w:szCs w:val="18"/>
        </w:rPr>
        <w:t>Recommendation 2: Clarify the role and governance of the NMHC through a</w:t>
      </w:r>
      <w:r w:rsidR="0023399A">
        <w:rPr>
          <w:b/>
          <w:color w:val="012169" w:themeColor="accent4"/>
          <w:sz w:val="20"/>
          <w:szCs w:val="18"/>
        </w:rPr>
        <w:t xml:space="preserve">n </w:t>
      </w:r>
      <w:r w:rsidR="0023399A" w:rsidRPr="00B50499">
        <w:rPr>
          <w:b/>
          <w:color w:val="012169" w:themeColor="accent4"/>
          <w:sz w:val="20"/>
          <w:szCs w:val="18"/>
        </w:rPr>
        <w:t>update to the Executive Order and clarified via an annual M</w:t>
      </w:r>
      <w:r w:rsidRPr="00B50499">
        <w:rPr>
          <w:b/>
          <w:color w:val="012169" w:themeColor="accent4"/>
          <w:sz w:val="20"/>
          <w:szCs w:val="18"/>
        </w:rPr>
        <w:t>inisterial Charter Letter</w:t>
      </w:r>
    </w:p>
    <w:p w:rsidR="007C6366" w:rsidRDefault="007C6366" w:rsidP="007C6366">
      <w:pPr>
        <w:spacing w:after="0" w:line="259" w:lineRule="auto"/>
        <w:rPr>
          <w:b/>
          <w:sz w:val="20"/>
          <w:szCs w:val="18"/>
        </w:rPr>
      </w:pPr>
    </w:p>
    <w:p w:rsidR="007C6366" w:rsidRPr="00DB08E9" w:rsidRDefault="007C6366" w:rsidP="00D8278D">
      <w:pPr>
        <w:pStyle w:val="ListParagraph"/>
        <w:numPr>
          <w:ilvl w:val="1"/>
          <w:numId w:val="29"/>
        </w:numPr>
        <w:spacing w:after="0" w:line="259" w:lineRule="auto"/>
        <w:rPr>
          <w:sz w:val="20"/>
          <w:szCs w:val="18"/>
        </w:rPr>
      </w:pPr>
      <w:r>
        <w:rPr>
          <w:b/>
          <w:sz w:val="20"/>
          <w:szCs w:val="18"/>
        </w:rPr>
        <w:t>R</w:t>
      </w:r>
      <w:r w:rsidRPr="00DB08E9">
        <w:rPr>
          <w:b/>
          <w:sz w:val="20"/>
          <w:szCs w:val="18"/>
        </w:rPr>
        <w:t>efine the aspirations and vision for the NMHC.</w:t>
      </w:r>
      <w:r w:rsidRPr="00DB08E9">
        <w:rPr>
          <w:sz w:val="20"/>
          <w:szCs w:val="18"/>
        </w:rPr>
        <w:t xml:space="preserve"> Building on current documentation, ensure that the CEO, Chair and Commissioners, as well as the Minister, agree to this.</w:t>
      </w:r>
    </w:p>
    <w:p w:rsidR="007C6366" w:rsidRPr="00DB08E9" w:rsidRDefault="007C6366" w:rsidP="007C6366">
      <w:pPr>
        <w:pStyle w:val="ListParagraph"/>
        <w:spacing w:after="0" w:line="259" w:lineRule="auto"/>
        <w:ind w:left="360"/>
        <w:rPr>
          <w:sz w:val="20"/>
          <w:szCs w:val="18"/>
        </w:rPr>
      </w:pPr>
    </w:p>
    <w:p w:rsidR="007C6366" w:rsidRPr="00DB08E9" w:rsidRDefault="007C6366" w:rsidP="00D8278D">
      <w:pPr>
        <w:pStyle w:val="ListParagraph"/>
        <w:numPr>
          <w:ilvl w:val="1"/>
          <w:numId w:val="29"/>
        </w:numPr>
        <w:spacing w:after="0" w:line="259" w:lineRule="auto"/>
        <w:rPr>
          <w:sz w:val="20"/>
          <w:szCs w:val="18"/>
        </w:rPr>
      </w:pPr>
      <w:r>
        <w:rPr>
          <w:b/>
          <w:sz w:val="20"/>
          <w:szCs w:val="18"/>
        </w:rPr>
        <w:t xml:space="preserve">Clarify </w:t>
      </w:r>
      <w:r w:rsidRPr="00DB08E9">
        <w:rPr>
          <w:b/>
          <w:sz w:val="20"/>
          <w:szCs w:val="18"/>
        </w:rPr>
        <w:t xml:space="preserve">the key roles of the NMHC, </w:t>
      </w:r>
      <w:r w:rsidRPr="00792435">
        <w:rPr>
          <w:sz w:val="20"/>
          <w:szCs w:val="18"/>
        </w:rPr>
        <w:t>and</w:t>
      </w:r>
      <w:r w:rsidRPr="00DB08E9">
        <w:rPr>
          <w:b/>
          <w:sz w:val="20"/>
          <w:szCs w:val="18"/>
        </w:rPr>
        <w:t xml:space="preserve"> </w:t>
      </w:r>
      <w:r w:rsidRPr="00DB08E9">
        <w:rPr>
          <w:sz w:val="20"/>
          <w:szCs w:val="18"/>
        </w:rPr>
        <w:t xml:space="preserve">functions through which these will be executed. The contents of this review should be used as a starting point. </w:t>
      </w:r>
    </w:p>
    <w:p w:rsidR="007C6366" w:rsidRPr="00DB08E9" w:rsidRDefault="007C6366" w:rsidP="007C6366">
      <w:pPr>
        <w:pStyle w:val="ListParagraph"/>
        <w:spacing w:after="0" w:line="259" w:lineRule="auto"/>
        <w:rPr>
          <w:sz w:val="20"/>
          <w:szCs w:val="18"/>
        </w:rPr>
      </w:pPr>
    </w:p>
    <w:p w:rsidR="007C6366" w:rsidRPr="00DB08E9" w:rsidRDefault="007C6366" w:rsidP="00D8278D">
      <w:pPr>
        <w:pStyle w:val="ListParagraph"/>
        <w:numPr>
          <w:ilvl w:val="1"/>
          <w:numId w:val="29"/>
        </w:numPr>
        <w:spacing w:after="0" w:line="259" w:lineRule="auto"/>
        <w:rPr>
          <w:sz w:val="20"/>
          <w:szCs w:val="18"/>
        </w:rPr>
      </w:pPr>
      <w:r w:rsidRPr="00DB08E9">
        <w:rPr>
          <w:b/>
          <w:sz w:val="20"/>
          <w:szCs w:val="18"/>
        </w:rPr>
        <w:t>Confirm the critical hand-off</w:t>
      </w:r>
      <w:r w:rsidRPr="00DB08E9">
        <w:rPr>
          <w:sz w:val="20"/>
          <w:szCs w:val="18"/>
        </w:rPr>
        <w:t xml:space="preserve"> </w:t>
      </w:r>
      <w:r w:rsidRPr="00556479">
        <w:rPr>
          <w:b/>
          <w:sz w:val="20"/>
          <w:szCs w:val="18"/>
        </w:rPr>
        <w:t>points</w:t>
      </w:r>
      <w:r w:rsidRPr="00DB08E9">
        <w:rPr>
          <w:sz w:val="20"/>
          <w:szCs w:val="18"/>
        </w:rPr>
        <w:t xml:space="preserve"> between the NMHC and stakeholders, particularly the </w:t>
      </w:r>
      <w:proofErr w:type="spellStart"/>
      <w:r w:rsidRPr="00DB08E9">
        <w:rPr>
          <w:sz w:val="20"/>
          <w:szCs w:val="18"/>
        </w:rPr>
        <w:t>DoH</w:t>
      </w:r>
      <w:proofErr w:type="spellEnd"/>
      <w:r w:rsidRPr="00DB08E9">
        <w:rPr>
          <w:sz w:val="20"/>
          <w:szCs w:val="18"/>
        </w:rPr>
        <w:t xml:space="preserve"> (on policy), the AIHW (on data collection, analysis and</w:t>
      </w:r>
      <w:r>
        <w:rPr>
          <w:sz w:val="20"/>
          <w:szCs w:val="18"/>
        </w:rPr>
        <w:t xml:space="preserve"> reporting) and Mental Health Australia and others (around stakeholder engagement).</w:t>
      </w:r>
      <w:r w:rsidRPr="00DB08E9">
        <w:rPr>
          <w:sz w:val="20"/>
          <w:szCs w:val="18"/>
        </w:rPr>
        <w:t xml:space="preserve"> </w:t>
      </w:r>
    </w:p>
    <w:p w:rsidR="007C6366" w:rsidRPr="00DB08E9" w:rsidRDefault="007C6366" w:rsidP="007C6366">
      <w:pPr>
        <w:pStyle w:val="ListParagraph"/>
        <w:spacing w:after="0" w:line="259" w:lineRule="auto"/>
        <w:rPr>
          <w:sz w:val="20"/>
          <w:szCs w:val="18"/>
        </w:rPr>
      </w:pPr>
    </w:p>
    <w:p w:rsidR="00F05F88" w:rsidRPr="00B50499" w:rsidRDefault="0023399A" w:rsidP="00D8278D">
      <w:pPr>
        <w:pStyle w:val="ListParagraph"/>
        <w:numPr>
          <w:ilvl w:val="1"/>
          <w:numId w:val="29"/>
        </w:numPr>
        <w:spacing w:after="0" w:line="259" w:lineRule="auto"/>
        <w:rPr>
          <w:b/>
          <w:sz w:val="20"/>
          <w:szCs w:val="18"/>
        </w:rPr>
      </w:pPr>
      <w:r w:rsidRPr="00B50499">
        <w:rPr>
          <w:b/>
          <w:sz w:val="20"/>
          <w:szCs w:val="18"/>
        </w:rPr>
        <w:t>The</w:t>
      </w:r>
      <w:r w:rsidR="00F05F88" w:rsidRPr="00B50499">
        <w:rPr>
          <w:b/>
          <w:sz w:val="20"/>
          <w:szCs w:val="18"/>
        </w:rPr>
        <w:t xml:space="preserve"> Executive Order </w:t>
      </w:r>
      <w:r w:rsidRPr="00B50499">
        <w:rPr>
          <w:b/>
          <w:sz w:val="20"/>
          <w:szCs w:val="18"/>
        </w:rPr>
        <w:t>should be updated</w:t>
      </w:r>
      <w:r w:rsidR="00F05F88" w:rsidRPr="00B50499">
        <w:rPr>
          <w:b/>
          <w:sz w:val="20"/>
          <w:szCs w:val="18"/>
        </w:rPr>
        <w:t xml:space="preserve">, </w:t>
      </w:r>
      <w:r w:rsidR="00F05F88" w:rsidRPr="00B50499">
        <w:rPr>
          <w:sz w:val="20"/>
          <w:szCs w:val="18"/>
        </w:rPr>
        <w:t xml:space="preserve">encapsulating their expectations regarding the NMHC’s governance, vision, role and functions. </w:t>
      </w:r>
      <w:r w:rsidRPr="00B50499">
        <w:rPr>
          <w:sz w:val="20"/>
          <w:szCs w:val="18"/>
        </w:rPr>
        <w:t xml:space="preserve">This would be drafted by </w:t>
      </w:r>
      <w:proofErr w:type="spellStart"/>
      <w:r w:rsidRPr="00B50499">
        <w:rPr>
          <w:sz w:val="20"/>
          <w:szCs w:val="18"/>
        </w:rPr>
        <w:t>DoH</w:t>
      </w:r>
      <w:proofErr w:type="spellEnd"/>
      <w:r w:rsidRPr="00B50499">
        <w:rPr>
          <w:sz w:val="20"/>
          <w:szCs w:val="18"/>
        </w:rPr>
        <w:t xml:space="preserve"> in close consultation with the OPC. The Minister for Health and Prime Minister could countersign the Order as a representation of the cross-sectoral importance of the NMHC role. </w:t>
      </w:r>
    </w:p>
    <w:p w:rsidR="00F05F88" w:rsidRPr="00F05F88" w:rsidRDefault="00F05F88" w:rsidP="00F05F88">
      <w:pPr>
        <w:pStyle w:val="ListParagraph"/>
        <w:rPr>
          <w:b/>
          <w:sz w:val="20"/>
          <w:szCs w:val="18"/>
        </w:rPr>
      </w:pPr>
    </w:p>
    <w:p w:rsidR="007C6366" w:rsidRDefault="007C6366" w:rsidP="00D8278D">
      <w:pPr>
        <w:pStyle w:val="ListParagraph"/>
        <w:numPr>
          <w:ilvl w:val="1"/>
          <w:numId w:val="29"/>
        </w:numPr>
        <w:spacing w:after="0" w:line="259" w:lineRule="auto"/>
        <w:rPr>
          <w:sz w:val="20"/>
          <w:szCs w:val="18"/>
        </w:rPr>
      </w:pPr>
      <w:r w:rsidRPr="00DB08E9">
        <w:rPr>
          <w:b/>
          <w:sz w:val="20"/>
          <w:szCs w:val="18"/>
        </w:rPr>
        <w:t xml:space="preserve">The Minister </w:t>
      </w:r>
      <w:r w:rsidR="00A97957">
        <w:rPr>
          <w:b/>
          <w:sz w:val="20"/>
          <w:szCs w:val="18"/>
        </w:rPr>
        <w:t xml:space="preserve">for Health </w:t>
      </w:r>
      <w:r w:rsidRPr="00DB08E9">
        <w:rPr>
          <w:b/>
          <w:sz w:val="20"/>
          <w:szCs w:val="18"/>
        </w:rPr>
        <w:t xml:space="preserve">should issue </w:t>
      </w:r>
      <w:r w:rsidR="0023399A">
        <w:rPr>
          <w:b/>
          <w:sz w:val="20"/>
          <w:szCs w:val="18"/>
        </w:rPr>
        <w:t>an annual</w:t>
      </w:r>
      <w:r w:rsidRPr="00DB08E9">
        <w:rPr>
          <w:b/>
          <w:sz w:val="20"/>
          <w:szCs w:val="18"/>
        </w:rPr>
        <w:t xml:space="preserve"> Charter Letter,</w:t>
      </w:r>
      <w:r w:rsidRPr="00DB08E9">
        <w:rPr>
          <w:sz w:val="20"/>
          <w:szCs w:val="18"/>
        </w:rPr>
        <w:t xml:space="preserve"> </w:t>
      </w:r>
      <w:r w:rsidR="0023399A">
        <w:rPr>
          <w:sz w:val="20"/>
          <w:szCs w:val="18"/>
        </w:rPr>
        <w:t xml:space="preserve">clarifying the </w:t>
      </w:r>
      <w:r w:rsidRPr="00DB08E9">
        <w:rPr>
          <w:sz w:val="20"/>
          <w:szCs w:val="18"/>
        </w:rPr>
        <w:t>NMHC’s governance, vision, role and functions. Seek to have this co-endorse</w:t>
      </w:r>
      <w:r w:rsidR="0023399A">
        <w:rPr>
          <w:sz w:val="20"/>
          <w:szCs w:val="18"/>
        </w:rPr>
        <w:t>d by the Prime Minister</w:t>
      </w:r>
      <w:r w:rsidRPr="00DB08E9">
        <w:rPr>
          <w:sz w:val="20"/>
          <w:szCs w:val="18"/>
        </w:rPr>
        <w:t>.</w:t>
      </w:r>
    </w:p>
    <w:p w:rsidR="0093352D" w:rsidRPr="00795D9F" w:rsidRDefault="007C6366" w:rsidP="00D8278D">
      <w:pPr>
        <w:pStyle w:val="ListParagraph"/>
        <w:numPr>
          <w:ilvl w:val="2"/>
          <w:numId w:val="29"/>
        </w:numPr>
        <w:spacing w:after="0" w:line="259" w:lineRule="auto"/>
        <w:ind w:left="1560" w:hanging="851"/>
        <w:rPr>
          <w:sz w:val="20"/>
          <w:szCs w:val="18"/>
        </w:rPr>
      </w:pPr>
      <w:r w:rsidRPr="00795D9F">
        <w:rPr>
          <w:sz w:val="20"/>
          <w:szCs w:val="18"/>
        </w:rPr>
        <w:t>Th</w:t>
      </w:r>
      <w:r w:rsidR="0023399A">
        <w:rPr>
          <w:sz w:val="20"/>
          <w:szCs w:val="18"/>
        </w:rPr>
        <w:t>e</w:t>
      </w:r>
      <w:r w:rsidRPr="00795D9F">
        <w:rPr>
          <w:sz w:val="20"/>
          <w:szCs w:val="18"/>
        </w:rPr>
        <w:t xml:space="preserve"> Letter establishes that the Minister </w:t>
      </w:r>
      <w:r w:rsidR="00A97957" w:rsidRPr="00795D9F">
        <w:rPr>
          <w:sz w:val="20"/>
          <w:szCs w:val="18"/>
        </w:rPr>
        <w:t xml:space="preserve">for Health </w:t>
      </w:r>
      <w:r w:rsidRPr="00795D9F">
        <w:rPr>
          <w:sz w:val="20"/>
          <w:szCs w:val="18"/>
        </w:rPr>
        <w:t xml:space="preserve">actively auspices and </w:t>
      </w:r>
      <w:r w:rsidR="003717F7" w:rsidRPr="00795D9F">
        <w:rPr>
          <w:sz w:val="20"/>
          <w:szCs w:val="18"/>
        </w:rPr>
        <w:t>promotes</w:t>
      </w:r>
      <w:r w:rsidR="0093352D" w:rsidRPr="00795D9F">
        <w:rPr>
          <w:sz w:val="20"/>
          <w:szCs w:val="18"/>
        </w:rPr>
        <w:t xml:space="preserve"> importance of</w:t>
      </w:r>
      <w:r w:rsidRPr="00795D9F">
        <w:rPr>
          <w:sz w:val="20"/>
          <w:szCs w:val="18"/>
        </w:rPr>
        <w:t xml:space="preserve"> the NMHC</w:t>
      </w:r>
      <w:r w:rsidR="0093352D" w:rsidRPr="00795D9F">
        <w:rPr>
          <w:sz w:val="20"/>
          <w:szCs w:val="18"/>
        </w:rPr>
        <w:t xml:space="preserve"> in the system</w:t>
      </w:r>
      <w:r w:rsidR="007102B8" w:rsidRPr="00795D9F">
        <w:rPr>
          <w:sz w:val="20"/>
          <w:szCs w:val="18"/>
        </w:rPr>
        <w:t xml:space="preserve"> (and therefore the importance of cross-sector engagement and participation)</w:t>
      </w:r>
      <w:r w:rsidR="0093352D" w:rsidRPr="00795D9F">
        <w:rPr>
          <w:sz w:val="20"/>
          <w:szCs w:val="18"/>
        </w:rPr>
        <w:t>;</w:t>
      </w:r>
    </w:p>
    <w:p w:rsidR="007C6366" w:rsidRPr="00795D9F" w:rsidRDefault="0093352D" w:rsidP="00D8278D">
      <w:pPr>
        <w:pStyle w:val="ListParagraph"/>
        <w:numPr>
          <w:ilvl w:val="2"/>
          <w:numId w:val="29"/>
        </w:numPr>
        <w:spacing w:after="0" w:line="259" w:lineRule="auto"/>
        <w:ind w:left="1560" w:hanging="851"/>
        <w:rPr>
          <w:sz w:val="20"/>
          <w:szCs w:val="18"/>
        </w:rPr>
      </w:pPr>
      <w:r w:rsidRPr="00795D9F">
        <w:rPr>
          <w:sz w:val="20"/>
          <w:szCs w:val="18"/>
        </w:rPr>
        <w:t>Th</w:t>
      </w:r>
      <w:r w:rsidR="0023399A">
        <w:rPr>
          <w:sz w:val="20"/>
          <w:szCs w:val="18"/>
        </w:rPr>
        <w:t>e</w:t>
      </w:r>
      <w:r w:rsidRPr="00795D9F">
        <w:rPr>
          <w:sz w:val="20"/>
          <w:szCs w:val="18"/>
        </w:rPr>
        <w:t xml:space="preserve"> Letter should seek to include support from </w:t>
      </w:r>
      <w:r w:rsidR="007C6366" w:rsidRPr="00795D9F">
        <w:rPr>
          <w:sz w:val="20"/>
          <w:szCs w:val="18"/>
        </w:rPr>
        <w:t>relevant Commonwealth and</w:t>
      </w:r>
      <w:r w:rsidRPr="00795D9F">
        <w:rPr>
          <w:sz w:val="20"/>
          <w:szCs w:val="18"/>
        </w:rPr>
        <w:t xml:space="preserve"> State and Territory colleagues; and</w:t>
      </w:r>
    </w:p>
    <w:p w:rsidR="007C6366" w:rsidRPr="00BE7D8F" w:rsidRDefault="0023399A" w:rsidP="00D8278D">
      <w:pPr>
        <w:pStyle w:val="ListParagraph"/>
        <w:numPr>
          <w:ilvl w:val="2"/>
          <w:numId w:val="29"/>
        </w:numPr>
        <w:spacing w:after="0" w:line="259" w:lineRule="auto"/>
        <w:ind w:left="1560" w:hanging="851"/>
        <w:rPr>
          <w:sz w:val="20"/>
          <w:szCs w:val="18"/>
        </w:rPr>
      </w:pPr>
      <w:r>
        <w:rPr>
          <w:sz w:val="20"/>
          <w:szCs w:val="18"/>
        </w:rPr>
        <w:t>The</w:t>
      </w:r>
      <w:r w:rsidR="007C6366" w:rsidRPr="00BE7D8F">
        <w:rPr>
          <w:sz w:val="20"/>
          <w:szCs w:val="18"/>
        </w:rPr>
        <w:t xml:space="preserve"> Letter should be issued annually, and should include relevant updates to the NMHC’s priority projects for that period.</w:t>
      </w:r>
      <w:r w:rsidR="007C6366" w:rsidRPr="00BE7D8F">
        <w:rPr>
          <w:sz w:val="20"/>
          <w:szCs w:val="18"/>
        </w:rPr>
        <w:br/>
      </w:r>
      <w:r w:rsidR="007C6366" w:rsidRPr="00BE7D8F">
        <w:rPr>
          <w:i/>
          <w:sz w:val="20"/>
          <w:szCs w:val="18"/>
        </w:rPr>
        <w:t xml:space="preserve">See Appendix C for suggested structure of the Charter Letter. </w:t>
      </w:r>
    </w:p>
    <w:p w:rsidR="007C6366" w:rsidRDefault="007C6366" w:rsidP="007C6366">
      <w:pPr>
        <w:spacing w:after="0" w:line="259" w:lineRule="auto"/>
        <w:rPr>
          <w:b/>
          <w:sz w:val="20"/>
          <w:szCs w:val="18"/>
        </w:rPr>
      </w:pPr>
    </w:p>
    <w:p w:rsidR="007C6366" w:rsidRDefault="007C6366" w:rsidP="007C6366">
      <w:pPr>
        <w:spacing w:after="0" w:line="259" w:lineRule="auto"/>
        <w:rPr>
          <w:b/>
          <w:color w:val="012169" w:themeColor="accent4"/>
          <w:sz w:val="20"/>
          <w:szCs w:val="18"/>
        </w:rPr>
      </w:pPr>
      <w:r w:rsidRPr="00DB08E9">
        <w:rPr>
          <w:b/>
          <w:color w:val="012169" w:themeColor="accent4"/>
          <w:sz w:val="20"/>
          <w:szCs w:val="18"/>
        </w:rPr>
        <w:t xml:space="preserve">Recommendation 3: </w:t>
      </w:r>
      <w:r>
        <w:rPr>
          <w:b/>
          <w:color w:val="012169" w:themeColor="accent4"/>
          <w:sz w:val="20"/>
          <w:szCs w:val="18"/>
        </w:rPr>
        <w:t>Clarify the NMHC’s internal governance and operations</w:t>
      </w:r>
    </w:p>
    <w:p w:rsidR="007C6366" w:rsidRPr="00DB08E9" w:rsidRDefault="007C6366" w:rsidP="007C6366">
      <w:pPr>
        <w:spacing w:after="0" w:line="259" w:lineRule="auto"/>
        <w:rPr>
          <w:b/>
          <w:color w:val="012169" w:themeColor="accent4"/>
          <w:sz w:val="20"/>
          <w:szCs w:val="18"/>
        </w:rPr>
      </w:pPr>
    </w:p>
    <w:p w:rsidR="007C6366" w:rsidRDefault="007C6366" w:rsidP="00D8278D">
      <w:pPr>
        <w:pStyle w:val="ListParagraph"/>
        <w:numPr>
          <w:ilvl w:val="1"/>
          <w:numId w:val="30"/>
        </w:numPr>
        <w:spacing w:after="0" w:line="259" w:lineRule="auto"/>
        <w:rPr>
          <w:sz w:val="20"/>
          <w:szCs w:val="18"/>
        </w:rPr>
      </w:pPr>
      <w:r w:rsidRPr="00BE7D8F">
        <w:rPr>
          <w:b/>
          <w:sz w:val="20"/>
          <w:szCs w:val="18"/>
        </w:rPr>
        <w:t>The roles and responsibilities of the CEO, Chair and Commissioners should be clarified</w:t>
      </w:r>
      <w:r w:rsidRPr="00BE7D8F">
        <w:rPr>
          <w:sz w:val="20"/>
          <w:szCs w:val="18"/>
        </w:rPr>
        <w:t xml:space="preserve"> through updating and circulating the internal Operating Principles. Building on the material in the current document, this would outline:</w:t>
      </w:r>
    </w:p>
    <w:p w:rsidR="007C6366" w:rsidRDefault="007C6366" w:rsidP="00D8278D">
      <w:pPr>
        <w:pStyle w:val="ListParagraph"/>
        <w:numPr>
          <w:ilvl w:val="2"/>
          <w:numId w:val="30"/>
        </w:numPr>
        <w:spacing w:after="0" w:line="259" w:lineRule="auto"/>
        <w:ind w:left="1560" w:hanging="851"/>
        <w:rPr>
          <w:sz w:val="20"/>
          <w:szCs w:val="18"/>
        </w:rPr>
      </w:pPr>
      <w:r w:rsidRPr="00BE7D8F">
        <w:rPr>
          <w:sz w:val="20"/>
          <w:szCs w:val="18"/>
        </w:rPr>
        <w:t xml:space="preserve">The role of the Chair </w:t>
      </w:r>
      <w:r>
        <w:rPr>
          <w:sz w:val="20"/>
          <w:szCs w:val="18"/>
        </w:rPr>
        <w:t>relative to</w:t>
      </w:r>
      <w:r w:rsidRPr="00BE7D8F">
        <w:rPr>
          <w:sz w:val="20"/>
          <w:szCs w:val="18"/>
        </w:rPr>
        <w:t xml:space="preserve"> the CEO in leadership of the NMHC</w:t>
      </w:r>
      <w:r>
        <w:rPr>
          <w:sz w:val="20"/>
          <w:szCs w:val="18"/>
        </w:rPr>
        <w:t>, leadership of the Commissioners</w:t>
      </w:r>
      <w:r w:rsidRPr="00BE7D8F">
        <w:rPr>
          <w:sz w:val="20"/>
          <w:szCs w:val="18"/>
        </w:rPr>
        <w:t xml:space="preserve"> and engagement with the Minister</w:t>
      </w:r>
      <w:r w:rsidR="00A97957">
        <w:rPr>
          <w:sz w:val="20"/>
          <w:szCs w:val="18"/>
        </w:rPr>
        <w:t xml:space="preserve"> for Health</w:t>
      </w:r>
      <w:r w:rsidRPr="00BE7D8F">
        <w:rPr>
          <w:sz w:val="20"/>
          <w:szCs w:val="18"/>
        </w:rPr>
        <w:t>;</w:t>
      </w:r>
    </w:p>
    <w:p w:rsidR="007C6366" w:rsidRDefault="007C6366" w:rsidP="00D8278D">
      <w:pPr>
        <w:pStyle w:val="ListParagraph"/>
        <w:numPr>
          <w:ilvl w:val="2"/>
          <w:numId w:val="30"/>
        </w:numPr>
        <w:spacing w:after="0" w:line="259" w:lineRule="auto"/>
        <w:ind w:left="1560" w:hanging="851"/>
        <w:rPr>
          <w:sz w:val="20"/>
          <w:szCs w:val="18"/>
        </w:rPr>
      </w:pPr>
      <w:r w:rsidRPr="00BE7D8F">
        <w:rPr>
          <w:sz w:val="20"/>
          <w:szCs w:val="18"/>
        </w:rPr>
        <w:t>The role of the Commissioners as advisory to the NMHC (whilst maintaining a requirement for the CEO to consult with the Commissioners in developing strategy and work plans);</w:t>
      </w:r>
    </w:p>
    <w:p w:rsidR="007C6366" w:rsidRDefault="007C6366" w:rsidP="00D8278D">
      <w:pPr>
        <w:pStyle w:val="ListParagraph"/>
        <w:numPr>
          <w:ilvl w:val="2"/>
          <w:numId w:val="30"/>
        </w:numPr>
        <w:spacing w:after="0" w:line="259" w:lineRule="auto"/>
        <w:ind w:left="1560" w:hanging="851"/>
        <w:rPr>
          <w:sz w:val="20"/>
          <w:szCs w:val="18"/>
        </w:rPr>
      </w:pPr>
      <w:r w:rsidRPr="00BE7D8F">
        <w:rPr>
          <w:sz w:val="20"/>
          <w:szCs w:val="18"/>
        </w:rPr>
        <w:lastRenderedPageBreak/>
        <w:t>The processes and norms around Commissioner conduct, including codes of conduct for meetings, public commentary etc.; and</w:t>
      </w:r>
    </w:p>
    <w:p w:rsidR="007C6366" w:rsidRPr="00BE7D8F" w:rsidRDefault="007C6366" w:rsidP="00D8278D">
      <w:pPr>
        <w:pStyle w:val="ListParagraph"/>
        <w:numPr>
          <w:ilvl w:val="2"/>
          <w:numId w:val="30"/>
        </w:numPr>
        <w:spacing w:after="0" w:line="259" w:lineRule="auto"/>
        <w:ind w:left="1560" w:hanging="851"/>
        <w:rPr>
          <w:sz w:val="20"/>
          <w:szCs w:val="18"/>
        </w:rPr>
      </w:pPr>
      <w:r w:rsidRPr="00BE7D8F">
        <w:rPr>
          <w:sz w:val="20"/>
          <w:szCs w:val="18"/>
        </w:rPr>
        <w:t xml:space="preserve">The processes and norms around maintaining sufficient independence in the NMHC’s operations in order to fulfil its role. </w:t>
      </w:r>
    </w:p>
    <w:p w:rsidR="007C6366" w:rsidRDefault="007C6366" w:rsidP="007C6366">
      <w:pPr>
        <w:pStyle w:val="ListParagraph"/>
        <w:spacing w:after="0" w:line="259" w:lineRule="auto"/>
        <w:ind w:left="360"/>
        <w:rPr>
          <w:sz w:val="20"/>
          <w:szCs w:val="18"/>
        </w:rPr>
      </w:pPr>
    </w:p>
    <w:p w:rsidR="007C6366" w:rsidRPr="004163A3" w:rsidRDefault="007C6366" w:rsidP="00D8278D">
      <w:pPr>
        <w:pStyle w:val="ListParagraph"/>
        <w:numPr>
          <w:ilvl w:val="1"/>
          <w:numId w:val="30"/>
        </w:numPr>
        <w:spacing w:after="0" w:line="259" w:lineRule="auto"/>
        <w:rPr>
          <w:b/>
          <w:sz w:val="20"/>
          <w:szCs w:val="18"/>
        </w:rPr>
      </w:pPr>
      <w:r w:rsidRPr="00DB08E9">
        <w:rPr>
          <w:b/>
          <w:sz w:val="20"/>
          <w:szCs w:val="18"/>
        </w:rPr>
        <w:t>The NMHC’s own performance management should be sharpened</w:t>
      </w:r>
      <w:r w:rsidRPr="004163A3">
        <w:rPr>
          <w:b/>
          <w:sz w:val="20"/>
          <w:szCs w:val="18"/>
        </w:rPr>
        <w:t xml:space="preserve">, </w:t>
      </w:r>
      <w:r w:rsidRPr="004163A3">
        <w:rPr>
          <w:sz w:val="20"/>
          <w:szCs w:val="18"/>
        </w:rPr>
        <w:t>with the current focus on activities supplemented or even replaced by measures indicating the impact and stakeholder value of the organization. This could include:</w:t>
      </w:r>
    </w:p>
    <w:p w:rsidR="007C6366" w:rsidRPr="004163A3" w:rsidRDefault="007C6366" w:rsidP="00D8278D">
      <w:pPr>
        <w:pStyle w:val="ListParagraph"/>
        <w:numPr>
          <w:ilvl w:val="2"/>
          <w:numId w:val="30"/>
        </w:numPr>
        <w:spacing w:after="0" w:line="259" w:lineRule="auto"/>
        <w:ind w:left="1560" w:hanging="851"/>
        <w:rPr>
          <w:b/>
          <w:sz w:val="20"/>
          <w:szCs w:val="18"/>
        </w:rPr>
      </w:pPr>
      <w:r w:rsidRPr="004163A3">
        <w:rPr>
          <w:sz w:val="20"/>
          <w:szCs w:val="18"/>
        </w:rPr>
        <w:t>Existing measures of activity against work-plan;</w:t>
      </w:r>
    </w:p>
    <w:p w:rsidR="007C6366" w:rsidRPr="004163A3" w:rsidRDefault="007C6366" w:rsidP="00D8278D">
      <w:pPr>
        <w:pStyle w:val="ListParagraph"/>
        <w:numPr>
          <w:ilvl w:val="2"/>
          <w:numId w:val="30"/>
        </w:numPr>
        <w:spacing w:after="0" w:line="259" w:lineRule="auto"/>
        <w:ind w:left="1560" w:hanging="851"/>
        <w:rPr>
          <w:b/>
          <w:sz w:val="20"/>
          <w:szCs w:val="18"/>
        </w:rPr>
      </w:pPr>
      <w:r w:rsidRPr="004163A3">
        <w:rPr>
          <w:sz w:val="20"/>
          <w:szCs w:val="18"/>
        </w:rPr>
        <w:t>New qualitative assessments of impact on policy, such as examples of policy reform or development that the NMHC contributed to; and</w:t>
      </w:r>
    </w:p>
    <w:p w:rsidR="007C6366" w:rsidRPr="004163A3" w:rsidRDefault="007C6366" w:rsidP="00D8278D">
      <w:pPr>
        <w:pStyle w:val="ListParagraph"/>
        <w:numPr>
          <w:ilvl w:val="2"/>
          <w:numId w:val="30"/>
        </w:numPr>
        <w:spacing w:after="0" w:line="259" w:lineRule="auto"/>
        <w:ind w:left="1560" w:hanging="851"/>
        <w:rPr>
          <w:b/>
          <w:sz w:val="20"/>
          <w:szCs w:val="18"/>
        </w:rPr>
      </w:pPr>
      <w:r w:rsidRPr="004163A3">
        <w:rPr>
          <w:sz w:val="20"/>
          <w:szCs w:val="18"/>
        </w:rPr>
        <w:t xml:space="preserve">New qualitative assessments based on stakeholder perceptions of the NMHC’s value or impact. </w:t>
      </w:r>
    </w:p>
    <w:p w:rsidR="007C6366" w:rsidRPr="00264435" w:rsidRDefault="007C6366" w:rsidP="007C6366">
      <w:pPr>
        <w:spacing w:after="0" w:line="259" w:lineRule="auto"/>
        <w:rPr>
          <w:sz w:val="20"/>
          <w:szCs w:val="18"/>
        </w:rPr>
      </w:pPr>
    </w:p>
    <w:p w:rsidR="007C6366" w:rsidRPr="00DB08E9" w:rsidRDefault="007C6366" w:rsidP="007C6366">
      <w:pPr>
        <w:spacing w:after="0" w:line="259" w:lineRule="auto"/>
        <w:rPr>
          <w:b/>
          <w:color w:val="012169" w:themeColor="accent4"/>
          <w:sz w:val="20"/>
          <w:szCs w:val="18"/>
        </w:rPr>
      </w:pPr>
      <w:r w:rsidRPr="00B50499">
        <w:rPr>
          <w:b/>
          <w:color w:val="012169" w:themeColor="accent4"/>
          <w:sz w:val="20"/>
          <w:szCs w:val="18"/>
        </w:rPr>
        <w:t xml:space="preserve">Recommendation 4: </w:t>
      </w:r>
      <w:r w:rsidR="00F4433A" w:rsidRPr="00B50499">
        <w:rPr>
          <w:b/>
          <w:color w:val="012169" w:themeColor="accent4"/>
          <w:sz w:val="20"/>
          <w:szCs w:val="18"/>
        </w:rPr>
        <w:t>S</w:t>
      </w:r>
      <w:r w:rsidRPr="00B50499">
        <w:rPr>
          <w:b/>
          <w:color w:val="012169" w:themeColor="accent4"/>
          <w:sz w:val="20"/>
          <w:szCs w:val="18"/>
        </w:rPr>
        <w:t>trengthen the NMHC’s influence and impact</w:t>
      </w:r>
    </w:p>
    <w:p w:rsidR="007C6366" w:rsidRPr="00264435" w:rsidRDefault="007C6366" w:rsidP="007C6366">
      <w:pPr>
        <w:spacing w:after="0" w:line="259" w:lineRule="auto"/>
        <w:rPr>
          <w:b/>
          <w:sz w:val="20"/>
          <w:szCs w:val="18"/>
        </w:rPr>
      </w:pPr>
    </w:p>
    <w:p w:rsidR="007C6366" w:rsidRPr="00B50499" w:rsidRDefault="007C6366" w:rsidP="00D8278D">
      <w:pPr>
        <w:pStyle w:val="ListParagraph"/>
        <w:numPr>
          <w:ilvl w:val="1"/>
          <w:numId w:val="27"/>
        </w:numPr>
        <w:spacing w:after="0" w:line="259" w:lineRule="auto"/>
        <w:ind w:left="709" w:hanging="709"/>
        <w:rPr>
          <w:b/>
          <w:sz w:val="20"/>
          <w:szCs w:val="18"/>
        </w:rPr>
      </w:pPr>
      <w:r w:rsidRPr="00795D9F">
        <w:rPr>
          <w:b/>
          <w:sz w:val="20"/>
          <w:szCs w:val="18"/>
        </w:rPr>
        <w:t>Develop an explicit strategy to raise awareness of and collecti</w:t>
      </w:r>
      <w:r w:rsidR="0031289A">
        <w:rPr>
          <w:b/>
          <w:sz w:val="20"/>
          <w:szCs w:val="18"/>
        </w:rPr>
        <w:t>ve</w:t>
      </w:r>
      <w:r w:rsidRPr="00795D9F">
        <w:rPr>
          <w:b/>
          <w:sz w:val="20"/>
          <w:szCs w:val="18"/>
        </w:rPr>
        <w:t xml:space="preserve"> action on mental health issues. </w:t>
      </w:r>
      <w:r w:rsidR="00F4433A" w:rsidRPr="00B50499">
        <w:rPr>
          <w:sz w:val="20"/>
          <w:szCs w:val="18"/>
        </w:rPr>
        <w:t>This involves</w:t>
      </w:r>
      <w:r w:rsidRPr="00B50499">
        <w:rPr>
          <w:sz w:val="20"/>
          <w:szCs w:val="18"/>
        </w:rPr>
        <w:t>:</w:t>
      </w:r>
    </w:p>
    <w:p w:rsidR="007C6366" w:rsidRPr="00B50499" w:rsidRDefault="00F4433A" w:rsidP="00D8278D">
      <w:pPr>
        <w:pStyle w:val="ListParagraph"/>
        <w:numPr>
          <w:ilvl w:val="2"/>
          <w:numId w:val="27"/>
        </w:numPr>
        <w:spacing w:after="0" w:line="259" w:lineRule="auto"/>
        <w:ind w:left="1560" w:hanging="851"/>
        <w:rPr>
          <w:b/>
          <w:sz w:val="20"/>
          <w:szCs w:val="18"/>
        </w:rPr>
      </w:pPr>
      <w:r w:rsidRPr="00B50499">
        <w:rPr>
          <w:sz w:val="20"/>
          <w:szCs w:val="18"/>
        </w:rPr>
        <w:t xml:space="preserve">Developing </w:t>
      </w:r>
      <w:r w:rsidR="007C6366" w:rsidRPr="00B50499">
        <w:rPr>
          <w:sz w:val="20"/>
          <w:szCs w:val="18"/>
        </w:rPr>
        <w:t>goals and actions within the NMHC’s work plan to raise awareness and build collective action</w:t>
      </w:r>
      <w:r w:rsidRPr="00B50499">
        <w:rPr>
          <w:sz w:val="20"/>
          <w:szCs w:val="18"/>
        </w:rPr>
        <w:t xml:space="preserve"> across all jurisdictions</w:t>
      </w:r>
      <w:r w:rsidR="00C41389" w:rsidRPr="00B50499">
        <w:rPr>
          <w:sz w:val="20"/>
          <w:szCs w:val="18"/>
        </w:rPr>
        <w:t xml:space="preserve"> and sectors involved in the</w:t>
      </w:r>
      <w:r w:rsidR="007C6366" w:rsidRPr="00B50499">
        <w:rPr>
          <w:sz w:val="20"/>
          <w:szCs w:val="18"/>
        </w:rPr>
        <w:t xml:space="preserve"> mental health</w:t>
      </w:r>
      <w:r w:rsidR="00C41389" w:rsidRPr="00B50499">
        <w:rPr>
          <w:sz w:val="20"/>
          <w:szCs w:val="18"/>
        </w:rPr>
        <w:t xml:space="preserve"> system</w:t>
      </w:r>
      <w:r w:rsidR="007C6366" w:rsidRPr="00B50499">
        <w:rPr>
          <w:sz w:val="20"/>
          <w:szCs w:val="18"/>
        </w:rPr>
        <w:t>;</w:t>
      </w:r>
    </w:p>
    <w:p w:rsidR="007C6366" w:rsidRPr="00B50499" w:rsidRDefault="00F4433A" w:rsidP="00D8278D">
      <w:pPr>
        <w:pStyle w:val="ListParagraph"/>
        <w:numPr>
          <w:ilvl w:val="2"/>
          <w:numId w:val="27"/>
        </w:numPr>
        <w:spacing w:after="0" w:line="259" w:lineRule="auto"/>
        <w:ind w:left="1560" w:hanging="851"/>
        <w:rPr>
          <w:b/>
          <w:sz w:val="20"/>
          <w:szCs w:val="18"/>
        </w:rPr>
      </w:pPr>
      <w:r w:rsidRPr="00B50499">
        <w:rPr>
          <w:sz w:val="20"/>
          <w:szCs w:val="18"/>
        </w:rPr>
        <w:t>Undertaking r</w:t>
      </w:r>
      <w:r w:rsidR="007C6366" w:rsidRPr="00B50499">
        <w:rPr>
          <w:sz w:val="20"/>
          <w:szCs w:val="18"/>
        </w:rPr>
        <w:t>egular planned and ad-hoc engagement with the Minister</w:t>
      </w:r>
      <w:r w:rsidR="0093352D" w:rsidRPr="00B50499">
        <w:rPr>
          <w:sz w:val="20"/>
          <w:szCs w:val="18"/>
        </w:rPr>
        <w:t xml:space="preserve"> for Health</w:t>
      </w:r>
      <w:r w:rsidR="007C6366" w:rsidRPr="00B50499">
        <w:rPr>
          <w:sz w:val="20"/>
          <w:szCs w:val="18"/>
        </w:rPr>
        <w:t xml:space="preserve">, </w:t>
      </w:r>
      <w:proofErr w:type="spellStart"/>
      <w:r w:rsidR="007C6366" w:rsidRPr="00B50499">
        <w:rPr>
          <w:sz w:val="20"/>
          <w:szCs w:val="18"/>
        </w:rPr>
        <w:t>DoH</w:t>
      </w:r>
      <w:proofErr w:type="spellEnd"/>
      <w:r w:rsidR="007C6366" w:rsidRPr="00B50499">
        <w:rPr>
          <w:sz w:val="20"/>
          <w:szCs w:val="18"/>
        </w:rPr>
        <w:t xml:space="preserve"> Secretary and colleagues across States and Territories</w:t>
      </w:r>
    </w:p>
    <w:p w:rsidR="00C41389" w:rsidRPr="00B50499" w:rsidRDefault="00C41389" w:rsidP="00D8278D">
      <w:pPr>
        <w:pStyle w:val="ListParagraph"/>
        <w:numPr>
          <w:ilvl w:val="2"/>
          <w:numId w:val="27"/>
        </w:numPr>
        <w:spacing w:after="0" w:line="259" w:lineRule="auto"/>
        <w:ind w:left="1560" w:hanging="851"/>
        <w:rPr>
          <w:sz w:val="20"/>
          <w:szCs w:val="18"/>
        </w:rPr>
      </w:pPr>
      <w:r w:rsidRPr="00B50499">
        <w:rPr>
          <w:sz w:val="20"/>
          <w:szCs w:val="18"/>
        </w:rPr>
        <w:t>Undertake regular planned and ad-hoc engagement with the Prime Minister</w:t>
      </w:r>
      <w:r w:rsidR="009F3C00" w:rsidRPr="00B50499">
        <w:rPr>
          <w:sz w:val="20"/>
          <w:szCs w:val="18"/>
        </w:rPr>
        <w:t xml:space="preserve"> around </w:t>
      </w:r>
      <w:r w:rsidRPr="00B50499">
        <w:rPr>
          <w:sz w:val="20"/>
          <w:szCs w:val="18"/>
        </w:rPr>
        <w:t xml:space="preserve">cross-sectoral issues; </w:t>
      </w:r>
      <w:r w:rsidR="0031289A" w:rsidRPr="00B50499">
        <w:rPr>
          <w:sz w:val="20"/>
          <w:szCs w:val="18"/>
        </w:rPr>
        <w:t>and</w:t>
      </w:r>
    </w:p>
    <w:p w:rsidR="009F3C00" w:rsidRPr="00B50499" w:rsidRDefault="009F3C00" w:rsidP="00D8278D">
      <w:pPr>
        <w:pStyle w:val="ListParagraph"/>
        <w:numPr>
          <w:ilvl w:val="2"/>
          <w:numId w:val="27"/>
        </w:numPr>
        <w:spacing w:after="0" w:line="259" w:lineRule="auto"/>
        <w:ind w:left="1560" w:hanging="851"/>
        <w:rPr>
          <w:sz w:val="20"/>
          <w:szCs w:val="18"/>
        </w:rPr>
      </w:pPr>
      <w:r w:rsidRPr="00B50499">
        <w:rPr>
          <w:sz w:val="20"/>
          <w:szCs w:val="18"/>
        </w:rPr>
        <w:t xml:space="preserve">Minister for Health </w:t>
      </w:r>
      <w:r w:rsidR="0072603A" w:rsidRPr="00B50499">
        <w:rPr>
          <w:sz w:val="20"/>
          <w:szCs w:val="18"/>
        </w:rPr>
        <w:t xml:space="preserve">and </w:t>
      </w:r>
      <w:proofErr w:type="spellStart"/>
      <w:r w:rsidR="0072603A" w:rsidRPr="00B50499">
        <w:rPr>
          <w:sz w:val="20"/>
          <w:szCs w:val="18"/>
        </w:rPr>
        <w:t>DoH</w:t>
      </w:r>
      <w:proofErr w:type="spellEnd"/>
      <w:r w:rsidR="0072603A" w:rsidRPr="00B50499">
        <w:rPr>
          <w:sz w:val="20"/>
          <w:szCs w:val="18"/>
        </w:rPr>
        <w:t xml:space="preserve"> Secretary participate in engagement activities facilitated by the NMHC with the sector</w:t>
      </w:r>
      <w:r w:rsidRPr="00B50499">
        <w:rPr>
          <w:sz w:val="20"/>
          <w:szCs w:val="18"/>
        </w:rPr>
        <w:t xml:space="preserve">; </w:t>
      </w:r>
    </w:p>
    <w:p w:rsidR="007C6366" w:rsidRPr="0031289A" w:rsidRDefault="00C41389" w:rsidP="00D8278D">
      <w:pPr>
        <w:pStyle w:val="ListParagraph"/>
        <w:numPr>
          <w:ilvl w:val="2"/>
          <w:numId w:val="27"/>
        </w:numPr>
        <w:spacing w:after="0" w:line="259" w:lineRule="auto"/>
        <w:ind w:left="1560" w:hanging="851"/>
        <w:rPr>
          <w:b/>
          <w:sz w:val="20"/>
          <w:szCs w:val="18"/>
        </w:rPr>
      </w:pPr>
      <w:r>
        <w:rPr>
          <w:sz w:val="20"/>
          <w:szCs w:val="18"/>
        </w:rPr>
        <w:t xml:space="preserve">Undertaking </w:t>
      </w:r>
      <w:r w:rsidR="007C6366" w:rsidRPr="00C41389">
        <w:rPr>
          <w:sz w:val="20"/>
          <w:szCs w:val="18"/>
        </w:rPr>
        <w:t>monitoring and reporting, and policy adv</w:t>
      </w:r>
      <w:r>
        <w:rPr>
          <w:sz w:val="20"/>
          <w:szCs w:val="18"/>
        </w:rPr>
        <w:t xml:space="preserve">ice </w:t>
      </w:r>
      <w:r w:rsidR="0031289A">
        <w:rPr>
          <w:sz w:val="20"/>
          <w:szCs w:val="18"/>
        </w:rPr>
        <w:t>activities, described above.</w:t>
      </w:r>
    </w:p>
    <w:p w:rsidR="0031289A" w:rsidRPr="0031289A" w:rsidRDefault="0031289A" w:rsidP="0031289A">
      <w:pPr>
        <w:spacing w:after="0" w:line="259" w:lineRule="auto"/>
        <w:rPr>
          <w:b/>
          <w:sz w:val="20"/>
          <w:szCs w:val="18"/>
        </w:rPr>
      </w:pPr>
    </w:p>
    <w:p w:rsidR="007C6366" w:rsidRPr="00ED1883" w:rsidRDefault="007C6366" w:rsidP="00D8278D">
      <w:pPr>
        <w:pStyle w:val="ListParagraph"/>
        <w:numPr>
          <w:ilvl w:val="1"/>
          <w:numId w:val="27"/>
        </w:numPr>
        <w:spacing w:after="0" w:line="259" w:lineRule="auto"/>
        <w:ind w:left="709" w:hanging="709"/>
        <w:rPr>
          <w:b/>
          <w:sz w:val="20"/>
          <w:szCs w:val="18"/>
        </w:rPr>
      </w:pPr>
      <w:r>
        <w:rPr>
          <w:b/>
          <w:sz w:val="20"/>
          <w:szCs w:val="18"/>
        </w:rPr>
        <w:t>Strengthen the relationship between the NMHC and</w:t>
      </w:r>
      <w:r w:rsidRPr="004163A3">
        <w:rPr>
          <w:b/>
          <w:sz w:val="20"/>
          <w:szCs w:val="18"/>
        </w:rPr>
        <w:t xml:space="preserve"> the States and Territories, </w:t>
      </w:r>
      <w:r w:rsidRPr="004163A3">
        <w:rPr>
          <w:sz w:val="20"/>
          <w:szCs w:val="18"/>
        </w:rPr>
        <w:t xml:space="preserve">within the boundaries of what can be achieved in current </w:t>
      </w:r>
      <w:r>
        <w:rPr>
          <w:sz w:val="20"/>
          <w:szCs w:val="18"/>
        </w:rPr>
        <w:t xml:space="preserve">federalist </w:t>
      </w:r>
      <w:r w:rsidRPr="00ED1883">
        <w:rPr>
          <w:sz w:val="20"/>
          <w:szCs w:val="18"/>
        </w:rPr>
        <w:t>arrangements. This could involve:</w:t>
      </w:r>
    </w:p>
    <w:p w:rsidR="00C41389" w:rsidRPr="00ED1883" w:rsidRDefault="00C41389" w:rsidP="00D8278D">
      <w:pPr>
        <w:pStyle w:val="ListParagraph"/>
        <w:numPr>
          <w:ilvl w:val="2"/>
          <w:numId w:val="27"/>
        </w:numPr>
        <w:spacing w:after="0" w:line="259" w:lineRule="auto"/>
        <w:ind w:left="1560" w:hanging="851"/>
        <w:rPr>
          <w:sz w:val="20"/>
          <w:szCs w:val="18"/>
        </w:rPr>
      </w:pPr>
      <w:r w:rsidRPr="00ED1883">
        <w:rPr>
          <w:sz w:val="20"/>
          <w:szCs w:val="18"/>
        </w:rPr>
        <w:t xml:space="preserve">Developing key measures and monitoring and reporting arrangements that provide an inter jurisdictional view of the mental health system, in consultation with AHMAC; </w:t>
      </w:r>
    </w:p>
    <w:p w:rsidR="0072603A" w:rsidRPr="00ED1883" w:rsidRDefault="007C6366" w:rsidP="00D8278D">
      <w:pPr>
        <w:pStyle w:val="ListParagraph"/>
        <w:numPr>
          <w:ilvl w:val="2"/>
          <w:numId w:val="27"/>
        </w:numPr>
        <w:spacing w:after="0" w:line="259" w:lineRule="auto"/>
        <w:ind w:left="1560" w:hanging="851"/>
        <w:rPr>
          <w:sz w:val="20"/>
          <w:szCs w:val="18"/>
        </w:rPr>
      </w:pPr>
      <w:r w:rsidRPr="00ED1883">
        <w:rPr>
          <w:sz w:val="20"/>
          <w:szCs w:val="18"/>
        </w:rPr>
        <w:t>Regular reporting of progress against agreed priorities</w:t>
      </w:r>
      <w:r w:rsidR="00ED1883" w:rsidRPr="00ED1883">
        <w:rPr>
          <w:sz w:val="20"/>
          <w:szCs w:val="18"/>
        </w:rPr>
        <w:t xml:space="preserve"> (in the Fifth National Plan)</w:t>
      </w:r>
      <w:r w:rsidRPr="00ED1883">
        <w:rPr>
          <w:sz w:val="20"/>
          <w:szCs w:val="18"/>
        </w:rPr>
        <w:t xml:space="preserve"> to AHMAC;</w:t>
      </w:r>
    </w:p>
    <w:p w:rsidR="0072603A" w:rsidRPr="00ED1883" w:rsidRDefault="0072603A" w:rsidP="00D8278D">
      <w:pPr>
        <w:pStyle w:val="ListParagraph"/>
        <w:numPr>
          <w:ilvl w:val="2"/>
          <w:numId w:val="27"/>
        </w:numPr>
        <w:spacing w:after="0" w:line="259" w:lineRule="auto"/>
        <w:ind w:left="1560" w:hanging="851"/>
        <w:rPr>
          <w:sz w:val="20"/>
          <w:szCs w:val="18"/>
        </w:rPr>
      </w:pPr>
      <w:r w:rsidRPr="00ED1883">
        <w:rPr>
          <w:sz w:val="20"/>
          <w:szCs w:val="18"/>
        </w:rPr>
        <w:t xml:space="preserve">Minister for Health and </w:t>
      </w:r>
      <w:proofErr w:type="spellStart"/>
      <w:r w:rsidRPr="00ED1883">
        <w:rPr>
          <w:sz w:val="20"/>
          <w:szCs w:val="18"/>
        </w:rPr>
        <w:t>DoH</w:t>
      </w:r>
      <w:proofErr w:type="spellEnd"/>
      <w:r w:rsidRPr="00ED1883">
        <w:rPr>
          <w:sz w:val="20"/>
          <w:szCs w:val="18"/>
        </w:rPr>
        <w:t xml:space="preserve"> Secretary</w:t>
      </w:r>
      <w:r w:rsidR="00ED1883" w:rsidRPr="00ED1883">
        <w:rPr>
          <w:sz w:val="20"/>
          <w:szCs w:val="18"/>
        </w:rPr>
        <w:t xml:space="preserve"> to assist in supporting the creation of linkages at the State and Territory level through dialogue with colleagues and, where relevant, to</w:t>
      </w:r>
      <w:r w:rsidRPr="00ED1883">
        <w:rPr>
          <w:sz w:val="20"/>
          <w:szCs w:val="18"/>
        </w:rPr>
        <w:t xml:space="preserve"> participate in engagement activities facilitated by the NMHC with States and Territory representatives; </w:t>
      </w:r>
    </w:p>
    <w:p w:rsidR="007C6366" w:rsidRPr="006841D9" w:rsidRDefault="00F4433A" w:rsidP="00D8278D">
      <w:pPr>
        <w:pStyle w:val="ListParagraph"/>
        <w:numPr>
          <w:ilvl w:val="2"/>
          <w:numId w:val="27"/>
        </w:numPr>
        <w:spacing w:after="0" w:line="259" w:lineRule="auto"/>
        <w:ind w:left="1560" w:hanging="851"/>
        <w:rPr>
          <w:b/>
          <w:sz w:val="20"/>
          <w:szCs w:val="18"/>
        </w:rPr>
      </w:pPr>
      <w:r w:rsidRPr="00ED1883">
        <w:rPr>
          <w:sz w:val="20"/>
          <w:szCs w:val="18"/>
        </w:rPr>
        <w:t>The development of a</w:t>
      </w:r>
      <w:r w:rsidR="007C6366" w:rsidRPr="004163A3">
        <w:rPr>
          <w:sz w:val="20"/>
          <w:szCs w:val="18"/>
        </w:rPr>
        <w:t xml:space="preserve"> dedicated Jurisdictional Advisory Committee, comprising representatives of all the jurisdictions, to inform the NMHC’s work</w:t>
      </w:r>
      <w:r w:rsidR="007C6366">
        <w:rPr>
          <w:sz w:val="20"/>
          <w:szCs w:val="18"/>
        </w:rPr>
        <w:t xml:space="preserve"> on an as-needed basis; and</w:t>
      </w:r>
    </w:p>
    <w:p w:rsidR="0000502F" w:rsidRPr="00264435" w:rsidRDefault="007C6366" w:rsidP="009668E8">
      <w:pPr>
        <w:pStyle w:val="ListParagraph"/>
        <w:numPr>
          <w:ilvl w:val="2"/>
          <w:numId w:val="27"/>
        </w:numPr>
        <w:spacing w:after="0" w:line="259" w:lineRule="auto"/>
        <w:ind w:left="1560" w:hanging="851"/>
        <w:rPr>
          <w:bCs/>
          <w:color w:val="000000" w:themeColor="text1"/>
          <w:sz w:val="20"/>
          <w:szCs w:val="18"/>
        </w:rPr>
      </w:pPr>
      <w:r w:rsidRPr="00795D9F">
        <w:rPr>
          <w:sz w:val="20"/>
          <w:szCs w:val="18"/>
        </w:rPr>
        <w:t>A plan for building engagement and influence, including identifying areas of joint work, such as around the Fifth National Mental Health Plan.</w:t>
      </w:r>
      <w:r w:rsidR="009668E8" w:rsidRPr="00264435">
        <w:rPr>
          <w:bCs/>
          <w:color w:val="000000" w:themeColor="text1"/>
          <w:sz w:val="20"/>
          <w:szCs w:val="18"/>
        </w:rPr>
        <w:t xml:space="preserve"> </w:t>
      </w:r>
      <w:r w:rsidR="0000502F" w:rsidRPr="00264435">
        <w:rPr>
          <w:bCs/>
          <w:color w:val="000000" w:themeColor="text1"/>
          <w:sz w:val="20"/>
          <w:szCs w:val="18"/>
        </w:rPr>
        <w:br w:type="page"/>
      </w:r>
    </w:p>
    <w:p w:rsidR="0000502F" w:rsidRPr="00264435" w:rsidRDefault="0000502F" w:rsidP="0000502F">
      <w:pPr>
        <w:pStyle w:val="Heading1"/>
        <w:spacing w:after="0"/>
      </w:pPr>
      <w:bookmarkStart w:id="17" w:name="_Toc482809634"/>
      <w:r w:rsidRPr="00264435">
        <w:lastRenderedPageBreak/>
        <w:t xml:space="preserve">Appendix A: </w:t>
      </w:r>
      <w:r w:rsidR="004A0DFA" w:rsidRPr="00264435">
        <w:t>Project Context &amp; Background</w:t>
      </w:r>
      <w:bookmarkEnd w:id="17"/>
    </w:p>
    <w:p w:rsidR="0011559D" w:rsidRPr="00264435" w:rsidRDefault="0011559D" w:rsidP="0000502F">
      <w:pPr>
        <w:rPr>
          <w:bCs/>
          <w:color w:val="000000" w:themeColor="text1"/>
          <w:sz w:val="20"/>
          <w:szCs w:val="18"/>
        </w:rPr>
      </w:pPr>
    </w:p>
    <w:p w:rsidR="001D3FD4" w:rsidRPr="001D3FD4" w:rsidRDefault="001D3FD4" w:rsidP="00F916D6">
      <w:pPr>
        <w:pStyle w:val="Heading2"/>
        <w:rPr>
          <w:b w:val="0"/>
        </w:rPr>
      </w:pPr>
      <w:bookmarkStart w:id="18" w:name="_Toc482809635"/>
      <w:r>
        <w:t xml:space="preserve">A. </w:t>
      </w:r>
      <w:r w:rsidRPr="001D3FD4">
        <w:t xml:space="preserve">Project </w:t>
      </w:r>
      <w:r>
        <w:t>Context</w:t>
      </w:r>
      <w:bookmarkEnd w:id="18"/>
      <w:r w:rsidRPr="001D3FD4">
        <w:t xml:space="preserve"> </w:t>
      </w:r>
    </w:p>
    <w:p w:rsidR="004A0DFA" w:rsidRPr="002F3828" w:rsidRDefault="001D3FD4" w:rsidP="004A0DFA">
      <w:pPr>
        <w:rPr>
          <w:b/>
          <w:bCs/>
          <w:color w:val="012169" w:themeColor="accent4"/>
          <w:sz w:val="20"/>
          <w:szCs w:val="18"/>
        </w:rPr>
      </w:pPr>
      <w:r>
        <w:rPr>
          <w:b/>
          <w:bCs/>
          <w:color w:val="012169" w:themeColor="accent4"/>
          <w:sz w:val="20"/>
          <w:szCs w:val="18"/>
        </w:rPr>
        <w:br/>
      </w:r>
      <w:r w:rsidR="004A0DFA" w:rsidRPr="002F3828">
        <w:rPr>
          <w:b/>
          <w:bCs/>
          <w:color w:val="012169" w:themeColor="accent4"/>
          <w:sz w:val="20"/>
          <w:szCs w:val="18"/>
        </w:rPr>
        <w:t>The NMHC is a critical part of Australia’s health system</w:t>
      </w:r>
    </w:p>
    <w:p w:rsidR="004A0DFA" w:rsidRPr="00264435" w:rsidRDefault="004A0DFA" w:rsidP="004A0DFA">
      <w:pPr>
        <w:rPr>
          <w:bCs/>
          <w:color w:val="000000" w:themeColor="text1"/>
          <w:sz w:val="20"/>
          <w:szCs w:val="18"/>
        </w:rPr>
      </w:pPr>
      <w:r w:rsidRPr="00264435">
        <w:rPr>
          <w:bCs/>
          <w:color w:val="000000" w:themeColor="text1"/>
          <w:sz w:val="20"/>
          <w:szCs w:val="18"/>
        </w:rPr>
        <w:t xml:space="preserve">Around 7.3 million or 45% of Australians aged 16–85 will experience a common mental health-related condition such as depression, anxiety or a substance use disorder in their lifetime (2007 estimates). Estimates (from March 2010) suggest almost 64,000 people have a psychotic illness and are in contact with public specialised mental health services each year. It is estimated that 560,000 children and adolescents aged 4–17 (about 14%) experienced mental health disorders in 2012–13. </w:t>
      </w:r>
    </w:p>
    <w:p w:rsidR="004A0DFA" w:rsidRPr="00264435" w:rsidRDefault="004A0DFA" w:rsidP="004A0DFA">
      <w:pPr>
        <w:rPr>
          <w:bCs/>
          <w:color w:val="000000" w:themeColor="text1"/>
          <w:sz w:val="20"/>
          <w:szCs w:val="18"/>
        </w:rPr>
      </w:pPr>
      <w:r w:rsidRPr="00264435">
        <w:rPr>
          <w:bCs/>
          <w:color w:val="000000" w:themeColor="text1"/>
          <w:sz w:val="20"/>
          <w:szCs w:val="18"/>
        </w:rPr>
        <w:t xml:space="preserve">It is estimated that around $8.5 billion per annum is spent on mental health-related services in Australia. These services include residential and community services, hospital based services (both inpatient and outpatient), consultation with specialists and general practitioners.  Spanning as it does multiple parts of the health </w:t>
      </w:r>
      <w:proofErr w:type="gramStart"/>
      <w:r w:rsidRPr="00264435">
        <w:rPr>
          <w:bCs/>
          <w:color w:val="000000" w:themeColor="text1"/>
          <w:sz w:val="20"/>
          <w:szCs w:val="18"/>
        </w:rPr>
        <w:t>system,</w:t>
      </w:r>
      <w:proofErr w:type="gramEnd"/>
      <w:r w:rsidRPr="00264435">
        <w:rPr>
          <w:bCs/>
          <w:color w:val="000000" w:themeColor="text1"/>
          <w:sz w:val="20"/>
          <w:szCs w:val="18"/>
        </w:rPr>
        <w:t xml:space="preserve"> mental health is overseen and delivered at the national, state and local levels. This means that research, review and advice </w:t>
      </w:r>
      <w:proofErr w:type="gramStart"/>
      <w:r w:rsidRPr="00264435">
        <w:rPr>
          <w:bCs/>
          <w:color w:val="000000" w:themeColor="text1"/>
          <w:sz w:val="20"/>
          <w:szCs w:val="18"/>
        </w:rPr>
        <w:t>is</w:t>
      </w:r>
      <w:proofErr w:type="gramEnd"/>
      <w:r w:rsidRPr="00264435">
        <w:rPr>
          <w:bCs/>
          <w:color w:val="000000" w:themeColor="text1"/>
          <w:sz w:val="20"/>
          <w:szCs w:val="18"/>
        </w:rPr>
        <w:t xml:space="preserve"> critically important to ensure quality of services and outcomes.  </w:t>
      </w:r>
    </w:p>
    <w:p w:rsidR="004A0DFA" w:rsidRPr="00264435" w:rsidRDefault="004A0DFA" w:rsidP="004A0DFA">
      <w:pPr>
        <w:rPr>
          <w:bCs/>
          <w:color w:val="000000" w:themeColor="text1"/>
          <w:sz w:val="20"/>
          <w:szCs w:val="18"/>
        </w:rPr>
      </w:pPr>
      <w:r w:rsidRPr="00264435">
        <w:rPr>
          <w:bCs/>
          <w:color w:val="000000" w:themeColor="text1"/>
          <w:sz w:val="20"/>
          <w:szCs w:val="18"/>
        </w:rPr>
        <w:t>From its vision through to its nation-wide scope, the National Mental Health Commission (the Commission) clearly has an important role in support</w:t>
      </w:r>
      <w:r w:rsidR="00556479">
        <w:rPr>
          <w:bCs/>
          <w:color w:val="000000" w:themeColor="text1"/>
          <w:sz w:val="20"/>
          <w:szCs w:val="18"/>
        </w:rPr>
        <w:t>ing</w:t>
      </w:r>
      <w:r w:rsidRPr="00264435">
        <w:rPr>
          <w:bCs/>
          <w:color w:val="000000" w:themeColor="text1"/>
          <w:sz w:val="20"/>
          <w:szCs w:val="18"/>
        </w:rPr>
        <w:t xml:space="preserve"> Australians to achieve the best possible mental health and wellbeing. The Commission’s mission is to give mental health and suicide prevention national attention, to influence reform and to help people live contributing lives by leading, collaborating, advising and reporting. It does this through:</w:t>
      </w:r>
    </w:p>
    <w:p w:rsidR="004A0DFA" w:rsidRPr="00264435" w:rsidRDefault="004A0DFA" w:rsidP="00D8278D">
      <w:pPr>
        <w:pStyle w:val="ListParagraph"/>
        <w:numPr>
          <w:ilvl w:val="0"/>
          <w:numId w:val="25"/>
        </w:numPr>
        <w:rPr>
          <w:bCs/>
          <w:color w:val="000000" w:themeColor="text1"/>
          <w:sz w:val="20"/>
          <w:szCs w:val="18"/>
        </w:rPr>
      </w:pPr>
      <w:r w:rsidRPr="00264435">
        <w:rPr>
          <w:bCs/>
          <w:color w:val="000000" w:themeColor="text1"/>
          <w:sz w:val="20"/>
          <w:szCs w:val="18"/>
        </w:rPr>
        <w:t>Increasing accountability and transparency in mental health through public reporting, such as the annual National Report Card on Mental Health and Suicide Prevention;</w:t>
      </w:r>
    </w:p>
    <w:p w:rsidR="004A0DFA" w:rsidRPr="00264435" w:rsidRDefault="004A0DFA" w:rsidP="00D8278D">
      <w:pPr>
        <w:pStyle w:val="ListParagraph"/>
        <w:numPr>
          <w:ilvl w:val="0"/>
          <w:numId w:val="25"/>
        </w:numPr>
        <w:rPr>
          <w:bCs/>
          <w:color w:val="000000" w:themeColor="text1"/>
          <w:sz w:val="20"/>
          <w:szCs w:val="18"/>
        </w:rPr>
      </w:pPr>
      <w:r w:rsidRPr="00264435">
        <w:rPr>
          <w:bCs/>
          <w:color w:val="000000" w:themeColor="text1"/>
          <w:sz w:val="20"/>
          <w:szCs w:val="18"/>
        </w:rPr>
        <w:t xml:space="preserve">Conducting periodic reviews of and research into Australian mental health services and programs, such as the recently announced review of mental health support for </w:t>
      </w:r>
      <w:r w:rsidR="00556479">
        <w:rPr>
          <w:bCs/>
          <w:color w:val="000000" w:themeColor="text1"/>
          <w:sz w:val="20"/>
          <w:szCs w:val="18"/>
        </w:rPr>
        <w:t>Australian Defence Force</w:t>
      </w:r>
      <w:r w:rsidRPr="00264435">
        <w:rPr>
          <w:bCs/>
          <w:color w:val="000000" w:themeColor="text1"/>
          <w:sz w:val="20"/>
          <w:szCs w:val="18"/>
        </w:rPr>
        <w:t xml:space="preserve"> members and veterans; and</w:t>
      </w:r>
    </w:p>
    <w:p w:rsidR="004A0DFA" w:rsidRPr="00264435" w:rsidRDefault="004A0DFA" w:rsidP="00D8278D">
      <w:pPr>
        <w:pStyle w:val="ListParagraph"/>
        <w:numPr>
          <w:ilvl w:val="0"/>
          <w:numId w:val="25"/>
        </w:numPr>
        <w:rPr>
          <w:bCs/>
          <w:color w:val="000000" w:themeColor="text1"/>
          <w:sz w:val="20"/>
          <w:szCs w:val="18"/>
        </w:rPr>
      </w:pPr>
      <w:r w:rsidRPr="00264435">
        <w:rPr>
          <w:bCs/>
          <w:color w:val="000000" w:themeColor="text1"/>
          <w:sz w:val="20"/>
          <w:szCs w:val="18"/>
        </w:rPr>
        <w:t xml:space="preserve">Working with stakeholders, particularly those with lived experience of mental health services and issues, to ensure reforms are informed and collectively owned. </w:t>
      </w:r>
    </w:p>
    <w:p w:rsidR="004A0DFA" w:rsidRPr="00264435" w:rsidRDefault="004A0DFA" w:rsidP="004A0DFA">
      <w:pPr>
        <w:rPr>
          <w:bCs/>
          <w:color w:val="000000" w:themeColor="text1"/>
          <w:sz w:val="20"/>
          <w:szCs w:val="18"/>
        </w:rPr>
      </w:pPr>
      <w:r w:rsidRPr="00264435">
        <w:rPr>
          <w:bCs/>
          <w:color w:val="000000" w:themeColor="text1"/>
          <w:sz w:val="20"/>
          <w:szCs w:val="18"/>
        </w:rPr>
        <w:t xml:space="preserve">The Commission is led by a CEO, who works with the Chair and Commissioners to oversee delivery against the Commission’s objectives. The Commission includes a Chair and a number of Mental Health Commissioners (as determined by the Minister </w:t>
      </w:r>
      <w:r w:rsidR="00A97957">
        <w:rPr>
          <w:bCs/>
          <w:color w:val="000000" w:themeColor="text1"/>
          <w:sz w:val="20"/>
          <w:szCs w:val="18"/>
        </w:rPr>
        <w:t xml:space="preserve">for Health </w:t>
      </w:r>
      <w:r w:rsidRPr="00264435">
        <w:rPr>
          <w:bCs/>
          <w:color w:val="000000" w:themeColor="text1"/>
          <w:sz w:val="20"/>
          <w:szCs w:val="18"/>
        </w:rPr>
        <w:t>from time to time), as well as the CEO as ex-officio Commissioner.</w:t>
      </w:r>
    </w:p>
    <w:p w:rsidR="004A0DFA" w:rsidRPr="00264435" w:rsidRDefault="004A0DFA" w:rsidP="004A0DFA">
      <w:pPr>
        <w:rPr>
          <w:bCs/>
          <w:color w:val="000000" w:themeColor="text1"/>
          <w:sz w:val="20"/>
          <w:szCs w:val="18"/>
        </w:rPr>
      </w:pPr>
      <w:r w:rsidRPr="00264435">
        <w:rPr>
          <w:bCs/>
          <w:color w:val="000000" w:themeColor="text1"/>
          <w:sz w:val="20"/>
          <w:szCs w:val="18"/>
        </w:rPr>
        <w:t>Structurally, the Commission is an independent executive agency under the Public Service Act 1999, with staff appointed under that Act, and is a non-corporate Commonwealth Entity under the Public Governance, Performance and Accountability Act 2013. Its purpose set out in clause 14 of Schedule of the Public Governance, Performance and Accountability Rule 2014. It is part of the Minister for Health’s portfolio and reports directly to the Minister for Health. The Commission operates in a corporate services shared services environment provided by the Department of Health (</w:t>
      </w:r>
      <w:proofErr w:type="spellStart"/>
      <w:r w:rsidRPr="00264435">
        <w:rPr>
          <w:bCs/>
          <w:color w:val="000000" w:themeColor="text1"/>
          <w:sz w:val="20"/>
          <w:szCs w:val="18"/>
        </w:rPr>
        <w:t>DoH</w:t>
      </w:r>
      <w:proofErr w:type="spellEnd"/>
      <w:r w:rsidRPr="00264435">
        <w:rPr>
          <w:bCs/>
          <w:color w:val="000000" w:themeColor="text1"/>
          <w:sz w:val="20"/>
          <w:szCs w:val="18"/>
        </w:rPr>
        <w:t>).</w:t>
      </w:r>
    </w:p>
    <w:p w:rsidR="009F4DB4" w:rsidRDefault="009F4DB4" w:rsidP="004A0DFA">
      <w:pPr>
        <w:rPr>
          <w:b/>
          <w:bCs/>
          <w:color w:val="012169" w:themeColor="accent4"/>
          <w:sz w:val="20"/>
          <w:szCs w:val="18"/>
        </w:rPr>
      </w:pPr>
    </w:p>
    <w:p w:rsidR="004A0DFA" w:rsidRPr="00910C11" w:rsidRDefault="004A0DFA" w:rsidP="004A0DFA">
      <w:pPr>
        <w:rPr>
          <w:b/>
          <w:bCs/>
          <w:color w:val="012169" w:themeColor="accent4"/>
          <w:sz w:val="20"/>
          <w:szCs w:val="18"/>
        </w:rPr>
      </w:pPr>
      <w:r w:rsidRPr="00910C11">
        <w:rPr>
          <w:b/>
          <w:bCs/>
          <w:color w:val="012169" w:themeColor="accent4"/>
          <w:sz w:val="20"/>
          <w:szCs w:val="18"/>
        </w:rPr>
        <w:lastRenderedPageBreak/>
        <w:t>Now is the right time to ensure the Commission’s working arrangements are fit-for-purpose</w:t>
      </w:r>
    </w:p>
    <w:p w:rsidR="004A0DFA" w:rsidRPr="00264435" w:rsidRDefault="004A0DFA" w:rsidP="004A0DFA">
      <w:pPr>
        <w:rPr>
          <w:bCs/>
          <w:color w:val="000000" w:themeColor="text1"/>
          <w:sz w:val="20"/>
          <w:szCs w:val="18"/>
        </w:rPr>
      </w:pPr>
      <w:r w:rsidRPr="00264435">
        <w:rPr>
          <w:bCs/>
          <w:color w:val="000000" w:themeColor="text1"/>
          <w:sz w:val="20"/>
          <w:szCs w:val="18"/>
        </w:rPr>
        <w:t xml:space="preserve">Given its important role, the Commission recognises the value of continuous improvement to ensure it is providing the best service and outcomes to its stakeholders. Indeed, Key Work Area 7 in the Commission’s Work Plan 2016-17 specifically calls out an objective to “Continuously improve the Commission’s operations”. </w:t>
      </w:r>
    </w:p>
    <w:p w:rsidR="004A0DFA" w:rsidRPr="00264435" w:rsidRDefault="004A0DFA" w:rsidP="004A0DFA">
      <w:pPr>
        <w:rPr>
          <w:bCs/>
          <w:color w:val="000000" w:themeColor="text1"/>
          <w:sz w:val="20"/>
          <w:szCs w:val="18"/>
        </w:rPr>
      </w:pPr>
      <w:r w:rsidRPr="00264435">
        <w:rPr>
          <w:bCs/>
          <w:color w:val="000000" w:themeColor="text1"/>
          <w:sz w:val="20"/>
          <w:szCs w:val="18"/>
        </w:rPr>
        <w:t xml:space="preserve">The current working arrangements have been in place since the Commission’s inception in 2012. Much has changed in the national health and mental health environment since then, and it is prudent to reconsider the structure, governance and relationships which support the Commission’s functioning. Dr Brown’s commencement as CEO in October 2016 also provides a useful juncture to examine operations and identify improvement opportunities.  </w:t>
      </w:r>
    </w:p>
    <w:p w:rsidR="004A0DFA" w:rsidRPr="00910C11" w:rsidRDefault="004A0DFA" w:rsidP="00910C11">
      <w:pPr>
        <w:pStyle w:val="Caption"/>
        <w:spacing w:after="0"/>
        <w:rPr>
          <w:b/>
          <w:smallCaps/>
          <w:color w:val="auto"/>
          <w:sz w:val="16"/>
        </w:rPr>
      </w:pPr>
      <w:r w:rsidRPr="00910C11">
        <w:rPr>
          <w:b/>
          <w:smallCaps/>
          <w:color w:val="auto"/>
          <w:sz w:val="16"/>
        </w:rPr>
        <w:t xml:space="preserve">Figure </w:t>
      </w:r>
      <w:r w:rsidR="00910C11">
        <w:rPr>
          <w:b/>
          <w:smallCaps/>
          <w:color w:val="auto"/>
          <w:sz w:val="16"/>
        </w:rPr>
        <w:t>4</w:t>
      </w:r>
      <w:r w:rsidRPr="00910C11">
        <w:rPr>
          <w:b/>
          <w:smallCaps/>
          <w:color w:val="auto"/>
          <w:sz w:val="16"/>
        </w:rPr>
        <w:t xml:space="preserve">: Relevant </w:t>
      </w:r>
      <w:r w:rsidR="00910C11" w:rsidRPr="00910C11">
        <w:rPr>
          <w:b/>
          <w:smallCaps/>
          <w:color w:val="auto"/>
          <w:sz w:val="16"/>
        </w:rPr>
        <w:t>excerpts</w:t>
      </w:r>
      <w:r w:rsidRPr="00910C11">
        <w:rPr>
          <w:b/>
          <w:smallCaps/>
          <w:color w:val="auto"/>
          <w:sz w:val="16"/>
        </w:rPr>
        <w:t xml:space="preserve"> from the NMHC’s recent history</w:t>
      </w:r>
      <w:r w:rsidR="00910C11">
        <w:rPr>
          <w:b/>
          <w:smallCaps/>
          <w:color w:val="auto"/>
          <w:sz w:val="16"/>
        </w:rPr>
        <w:br/>
      </w:r>
    </w:p>
    <w:p w:rsidR="004A0DFA" w:rsidRPr="00264435" w:rsidRDefault="004A0DFA" w:rsidP="00910C11">
      <w:pPr>
        <w:ind w:hanging="284"/>
        <w:rPr>
          <w:b/>
          <w:bCs/>
          <w:color w:val="0097A9" w:themeColor="accent5"/>
          <w:sz w:val="20"/>
          <w:szCs w:val="18"/>
        </w:rPr>
      </w:pPr>
      <w:r w:rsidRPr="00264435">
        <w:rPr>
          <w:noProof/>
          <w:color w:val="000000" w:themeColor="text1"/>
          <w:sz w:val="20"/>
          <w:szCs w:val="18"/>
          <w:lang w:eastAsia="en-AU"/>
        </w:rPr>
        <w:drawing>
          <wp:inline distT="0" distB="0" distL="0" distR="0">
            <wp:extent cx="6428597" cy="2971800"/>
            <wp:effectExtent l="0" t="0" r="0" b="0"/>
            <wp:docPr id="92" name="Picture 92" descr="This image has four sets of milestones measured against a timeline. The timeline is set out in years from the establishment of the Commission in January 2012 to the date of the report in May 2017. The first set of milestones details the Commission's deliverables. In mid/late 2012 the first report card was released by the Commission. In mid/late 2013 the second report card was released by the Commission. In early 2014 the Commission developed the Contributing Lives, Thriving Communities report. Mid 2014 the third report card was released by the Commission. In late 2015 the Government's response to the Contributing Lives, Thriving Communities report was released. In mid/late 2016 the Economics of Mental Health symposium was held by the Commission. In early 2017 the fourth report card was released by the Commission. In mid 2017 the Australian Defence Force review was released by the Commission. The second set of milestones details the timeline of CEOs. Robyn Kruk AM  was CEO from January 2012 to mid 2013. David Butt was CEO from mid 2013 to mid 2016. Dr Peggy Brown  was CEO from mid 2016 to May 2017. The third set of milestones details the responsible Government Department. January 2012 to mid/late 2013 was Prime Minister and Cabinet. Mid/late 2013 until May 2017 is Department of Health. The fourth set of milestones details the overarching guiding strategy that the Commission used. The Strategy and Actions 2012-15 plan was used by the Commission from 2012 to 2016. The Corporate Plan 2016-20 was used from 2016 to May 2017." title="Figure 4: Relevant excerpts from the National Mental Health Commission's recent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6449420" cy="2981426"/>
                    </a:xfrm>
                    <a:prstGeom prst="rect">
                      <a:avLst/>
                    </a:prstGeom>
                    <a:noFill/>
                    <a:ln>
                      <a:noFill/>
                    </a:ln>
                    <a:extLst>
                      <a:ext uri="{53640926-AAD7-44D8-BBD7-CCE9431645EC}">
                        <a14:shadowObscured xmlns:a14="http://schemas.microsoft.com/office/drawing/2010/main"/>
                      </a:ext>
                    </a:extLst>
                  </pic:spPr>
                </pic:pic>
              </a:graphicData>
            </a:graphic>
          </wp:inline>
        </w:drawing>
      </w:r>
    </w:p>
    <w:p w:rsidR="004A0DFA" w:rsidRPr="001D3FD4" w:rsidRDefault="009F4DB4" w:rsidP="00F916D6">
      <w:pPr>
        <w:pStyle w:val="Heading2"/>
        <w:rPr>
          <w:b w:val="0"/>
        </w:rPr>
      </w:pPr>
      <w:bookmarkStart w:id="19" w:name="_Toc482809636"/>
      <w:r>
        <w:t>B</w:t>
      </w:r>
      <w:r w:rsidR="001D3FD4">
        <w:t xml:space="preserve">. </w:t>
      </w:r>
      <w:r w:rsidR="00910C11" w:rsidRPr="001D3FD4">
        <w:t>Project Purpose &amp; Deliverables</w:t>
      </w:r>
      <w:bookmarkEnd w:id="19"/>
    </w:p>
    <w:p w:rsidR="001D3FD4" w:rsidRDefault="001D3FD4" w:rsidP="00910C11">
      <w:pPr>
        <w:spacing w:after="0"/>
        <w:rPr>
          <w:bCs/>
          <w:color w:val="000000" w:themeColor="text1"/>
          <w:sz w:val="20"/>
          <w:szCs w:val="18"/>
        </w:rPr>
      </w:pPr>
    </w:p>
    <w:p w:rsidR="00910C11" w:rsidRDefault="00910C11" w:rsidP="00910C11">
      <w:pPr>
        <w:spacing w:after="0"/>
        <w:rPr>
          <w:bCs/>
          <w:color w:val="000000" w:themeColor="text1"/>
          <w:sz w:val="20"/>
          <w:szCs w:val="18"/>
        </w:rPr>
      </w:pPr>
      <w:r w:rsidRPr="00910C11">
        <w:rPr>
          <w:bCs/>
          <w:color w:val="000000" w:themeColor="text1"/>
          <w:sz w:val="20"/>
          <w:szCs w:val="18"/>
        </w:rPr>
        <w:t>Mental health is a high priority for the Commonwealth Government. In the context the current development of the 5</w:t>
      </w:r>
      <w:r w:rsidRPr="00910C11">
        <w:rPr>
          <w:bCs/>
          <w:color w:val="000000" w:themeColor="text1"/>
          <w:sz w:val="20"/>
          <w:szCs w:val="18"/>
          <w:vertAlign w:val="superscript"/>
        </w:rPr>
        <w:t>th</w:t>
      </w:r>
      <w:r w:rsidRPr="00910C11">
        <w:rPr>
          <w:bCs/>
          <w:color w:val="000000" w:themeColor="text1"/>
          <w:sz w:val="20"/>
          <w:szCs w:val="18"/>
        </w:rPr>
        <w:t xml:space="preserve"> National Mental Health Plan, this review of the Nat</w:t>
      </w:r>
      <w:r>
        <w:rPr>
          <w:bCs/>
          <w:color w:val="000000" w:themeColor="text1"/>
          <w:sz w:val="20"/>
          <w:szCs w:val="18"/>
        </w:rPr>
        <w:t>ional Mental Health Commission</w:t>
      </w:r>
      <w:r w:rsidRPr="00910C11">
        <w:rPr>
          <w:bCs/>
          <w:color w:val="000000" w:themeColor="text1"/>
          <w:sz w:val="20"/>
          <w:szCs w:val="18"/>
        </w:rPr>
        <w:t xml:space="preserve"> (NMHC) </w:t>
      </w:r>
      <w:r>
        <w:rPr>
          <w:bCs/>
          <w:color w:val="000000" w:themeColor="text1"/>
          <w:sz w:val="20"/>
          <w:szCs w:val="18"/>
        </w:rPr>
        <w:t>was designed to</w:t>
      </w:r>
      <w:r w:rsidRPr="00910C11">
        <w:rPr>
          <w:bCs/>
          <w:color w:val="000000" w:themeColor="text1"/>
          <w:sz w:val="20"/>
          <w:szCs w:val="18"/>
        </w:rPr>
        <w:t>:</w:t>
      </w:r>
    </w:p>
    <w:p w:rsidR="00910C11" w:rsidRPr="00910C11" w:rsidRDefault="00910C11" w:rsidP="00910C11">
      <w:pPr>
        <w:spacing w:after="0"/>
        <w:rPr>
          <w:bCs/>
          <w:color w:val="000000" w:themeColor="text1"/>
          <w:sz w:val="20"/>
          <w:szCs w:val="18"/>
        </w:rPr>
      </w:pPr>
    </w:p>
    <w:p w:rsidR="00910C11" w:rsidRDefault="00910C11" w:rsidP="00D8278D">
      <w:pPr>
        <w:numPr>
          <w:ilvl w:val="0"/>
          <w:numId w:val="31"/>
        </w:numPr>
        <w:tabs>
          <w:tab w:val="clear" w:pos="360"/>
          <w:tab w:val="num" w:pos="720"/>
        </w:tabs>
        <w:spacing w:after="0"/>
        <w:rPr>
          <w:bCs/>
          <w:color w:val="000000" w:themeColor="text1"/>
          <w:sz w:val="20"/>
          <w:szCs w:val="18"/>
        </w:rPr>
      </w:pPr>
      <w:r>
        <w:rPr>
          <w:b/>
          <w:bCs/>
          <w:color w:val="000000" w:themeColor="text1"/>
          <w:sz w:val="20"/>
          <w:szCs w:val="18"/>
        </w:rPr>
        <w:t>Define</w:t>
      </w:r>
      <w:r w:rsidR="008A3CBB" w:rsidRPr="00910C11">
        <w:rPr>
          <w:b/>
          <w:bCs/>
          <w:color w:val="000000" w:themeColor="text1"/>
          <w:sz w:val="20"/>
          <w:szCs w:val="18"/>
        </w:rPr>
        <w:t xml:space="preserve"> the role of the NMHC </w:t>
      </w:r>
      <w:r w:rsidR="008A3CBB" w:rsidRPr="00910C11">
        <w:rPr>
          <w:bCs/>
          <w:color w:val="000000" w:themeColor="text1"/>
          <w:sz w:val="20"/>
          <w:szCs w:val="18"/>
        </w:rPr>
        <w:t>in the national mental health system architecture, including:</w:t>
      </w:r>
    </w:p>
    <w:p w:rsidR="000B2FFE" w:rsidRPr="00910C11" w:rsidRDefault="008A3CBB" w:rsidP="00D8278D">
      <w:pPr>
        <w:numPr>
          <w:ilvl w:val="1"/>
          <w:numId w:val="32"/>
        </w:numPr>
        <w:spacing w:after="0"/>
        <w:rPr>
          <w:bCs/>
          <w:color w:val="000000" w:themeColor="text1"/>
          <w:sz w:val="20"/>
          <w:szCs w:val="18"/>
        </w:rPr>
      </w:pPr>
      <w:r w:rsidRPr="00910C11">
        <w:rPr>
          <w:bCs/>
          <w:color w:val="000000" w:themeColor="text1"/>
          <w:sz w:val="20"/>
          <w:szCs w:val="18"/>
        </w:rPr>
        <w:t>Identifying any recommended changes to strengthen its role and impact (such as taking a greater ‘advisory’ role);</w:t>
      </w:r>
    </w:p>
    <w:p w:rsidR="000B2FFE" w:rsidRPr="00910C11" w:rsidRDefault="008A3CBB" w:rsidP="00D8278D">
      <w:pPr>
        <w:numPr>
          <w:ilvl w:val="1"/>
          <w:numId w:val="32"/>
        </w:numPr>
        <w:spacing w:after="0"/>
        <w:rPr>
          <w:bCs/>
          <w:color w:val="000000" w:themeColor="text1"/>
          <w:sz w:val="20"/>
          <w:szCs w:val="18"/>
        </w:rPr>
      </w:pPr>
      <w:r w:rsidRPr="00910C11">
        <w:rPr>
          <w:bCs/>
          <w:color w:val="000000" w:themeColor="text1"/>
          <w:sz w:val="20"/>
          <w:szCs w:val="18"/>
        </w:rPr>
        <w:t>Exploring the cross-jurisdictional role of the NMHC, such as improving coordination of mental health activity;</w:t>
      </w:r>
    </w:p>
    <w:p w:rsidR="000B2FFE" w:rsidRPr="00910C11" w:rsidRDefault="00910C11" w:rsidP="00D8278D">
      <w:pPr>
        <w:numPr>
          <w:ilvl w:val="1"/>
          <w:numId w:val="32"/>
        </w:numPr>
        <w:spacing w:after="0"/>
        <w:rPr>
          <w:bCs/>
          <w:color w:val="000000" w:themeColor="text1"/>
          <w:sz w:val="20"/>
          <w:szCs w:val="18"/>
        </w:rPr>
      </w:pPr>
      <w:r>
        <w:rPr>
          <w:bCs/>
          <w:color w:val="000000" w:themeColor="text1"/>
          <w:sz w:val="20"/>
          <w:szCs w:val="18"/>
        </w:rPr>
        <w:t>Considering</w:t>
      </w:r>
      <w:r w:rsidR="008A3CBB" w:rsidRPr="00910C11">
        <w:rPr>
          <w:bCs/>
          <w:color w:val="000000" w:themeColor="text1"/>
          <w:sz w:val="20"/>
          <w:szCs w:val="18"/>
        </w:rPr>
        <w:t xml:space="preserve"> the role of the NMHC in achieving the </w:t>
      </w:r>
      <w:proofErr w:type="spellStart"/>
      <w:r w:rsidR="008A3CBB" w:rsidRPr="00910C11">
        <w:rPr>
          <w:bCs/>
          <w:color w:val="000000" w:themeColor="text1"/>
          <w:sz w:val="20"/>
          <w:szCs w:val="18"/>
        </w:rPr>
        <w:t>DoH’s</w:t>
      </w:r>
      <w:proofErr w:type="spellEnd"/>
      <w:r w:rsidR="008A3CBB" w:rsidRPr="00910C11">
        <w:rPr>
          <w:bCs/>
          <w:color w:val="000000" w:themeColor="text1"/>
          <w:sz w:val="20"/>
          <w:szCs w:val="18"/>
        </w:rPr>
        <w:t xml:space="preserve"> priorities.</w:t>
      </w:r>
    </w:p>
    <w:p w:rsidR="000B2FFE" w:rsidRPr="00910C11" w:rsidRDefault="00910C11" w:rsidP="00D8278D">
      <w:pPr>
        <w:numPr>
          <w:ilvl w:val="0"/>
          <w:numId w:val="31"/>
        </w:numPr>
        <w:tabs>
          <w:tab w:val="clear" w:pos="360"/>
          <w:tab w:val="num" w:pos="720"/>
        </w:tabs>
        <w:spacing w:after="0"/>
        <w:rPr>
          <w:bCs/>
          <w:color w:val="000000" w:themeColor="text1"/>
          <w:sz w:val="20"/>
          <w:szCs w:val="18"/>
        </w:rPr>
      </w:pPr>
      <w:r>
        <w:rPr>
          <w:bCs/>
          <w:color w:val="000000" w:themeColor="text1"/>
          <w:sz w:val="20"/>
          <w:szCs w:val="18"/>
        </w:rPr>
        <w:t>Define</w:t>
      </w:r>
      <w:r w:rsidR="008A3CBB" w:rsidRPr="00910C11">
        <w:rPr>
          <w:bCs/>
          <w:color w:val="000000" w:themeColor="text1"/>
          <w:sz w:val="20"/>
          <w:szCs w:val="18"/>
        </w:rPr>
        <w:t xml:space="preserve"> the optimal role for the NMHC’s </w:t>
      </w:r>
      <w:r w:rsidR="008A3CBB" w:rsidRPr="00910C11">
        <w:rPr>
          <w:b/>
          <w:bCs/>
          <w:color w:val="000000" w:themeColor="text1"/>
          <w:sz w:val="20"/>
          <w:szCs w:val="18"/>
        </w:rPr>
        <w:t>Chair and Commissioners</w:t>
      </w:r>
      <w:r w:rsidR="008A3CBB" w:rsidRPr="00910C11">
        <w:rPr>
          <w:bCs/>
          <w:color w:val="000000" w:themeColor="text1"/>
          <w:sz w:val="20"/>
          <w:szCs w:val="18"/>
        </w:rPr>
        <w:t>.</w:t>
      </w:r>
    </w:p>
    <w:p w:rsidR="000B2FFE" w:rsidRPr="00910C11" w:rsidRDefault="00910C11" w:rsidP="00D8278D">
      <w:pPr>
        <w:numPr>
          <w:ilvl w:val="0"/>
          <w:numId w:val="31"/>
        </w:numPr>
        <w:tabs>
          <w:tab w:val="clear" w:pos="360"/>
          <w:tab w:val="num" w:pos="720"/>
        </w:tabs>
        <w:spacing w:after="0"/>
        <w:rPr>
          <w:bCs/>
          <w:color w:val="000000" w:themeColor="text1"/>
          <w:sz w:val="20"/>
          <w:szCs w:val="18"/>
        </w:rPr>
      </w:pPr>
      <w:r>
        <w:rPr>
          <w:bCs/>
          <w:color w:val="000000" w:themeColor="text1"/>
          <w:sz w:val="20"/>
          <w:szCs w:val="18"/>
        </w:rPr>
        <w:t>Identify</w:t>
      </w:r>
      <w:r w:rsidR="008A3CBB" w:rsidRPr="00910C11">
        <w:rPr>
          <w:bCs/>
          <w:color w:val="000000" w:themeColor="text1"/>
          <w:sz w:val="20"/>
          <w:szCs w:val="18"/>
        </w:rPr>
        <w:t xml:space="preserve"> the </w:t>
      </w:r>
      <w:r w:rsidR="008A3CBB" w:rsidRPr="00910C11">
        <w:rPr>
          <w:b/>
          <w:bCs/>
          <w:color w:val="000000" w:themeColor="text1"/>
          <w:sz w:val="20"/>
          <w:szCs w:val="18"/>
        </w:rPr>
        <w:t>key objectives</w:t>
      </w:r>
      <w:r w:rsidR="008A3CBB" w:rsidRPr="00910C11">
        <w:rPr>
          <w:bCs/>
          <w:color w:val="000000" w:themeColor="text1"/>
          <w:sz w:val="20"/>
          <w:szCs w:val="18"/>
        </w:rPr>
        <w:t xml:space="preserve"> for the NMHC, and how success against those objectives is or can be measured to improve performance.</w:t>
      </w:r>
    </w:p>
    <w:p w:rsidR="000B2FFE" w:rsidRPr="00910C11" w:rsidRDefault="00910C11" w:rsidP="00D8278D">
      <w:pPr>
        <w:numPr>
          <w:ilvl w:val="0"/>
          <w:numId w:val="31"/>
        </w:numPr>
        <w:tabs>
          <w:tab w:val="clear" w:pos="360"/>
          <w:tab w:val="num" w:pos="720"/>
        </w:tabs>
        <w:spacing w:after="0"/>
        <w:rPr>
          <w:bCs/>
          <w:color w:val="000000" w:themeColor="text1"/>
          <w:sz w:val="20"/>
          <w:szCs w:val="18"/>
        </w:rPr>
      </w:pPr>
      <w:r>
        <w:rPr>
          <w:bCs/>
          <w:color w:val="000000" w:themeColor="text1"/>
          <w:sz w:val="20"/>
          <w:szCs w:val="18"/>
        </w:rPr>
        <w:t>Identify</w:t>
      </w:r>
      <w:r w:rsidR="008A3CBB" w:rsidRPr="00910C11">
        <w:rPr>
          <w:bCs/>
          <w:color w:val="000000" w:themeColor="text1"/>
          <w:sz w:val="20"/>
          <w:szCs w:val="18"/>
        </w:rPr>
        <w:t xml:space="preserve"> any </w:t>
      </w:r>
      <w:r w:rsidR="008A3CBB" w:rsidRPr="00910C11">
        <w:rPr>
          <w:b/>
          <w:bCs/>
          <w:color w:val="000000" w:themeColor="text1"/>
          <w:sz w:val="20"/>
          <w:szCs w:val="18"/>
        </w:rPr>
        <w:t>impediments</w:t>
      </w:r>
      <w:r w:rsidR="008A3CBB" w:rsidRPr="00910C11">
        <w:rPr>
          <w:bCs/>
          <w:color w:val="000000" w:themeColor="text1"/>
          <w:sz w:val="20"/>
          <w:szCs w:val="18"/>
        </w:rPr>
        <w:t xml:space="preserve"> to the achievement of those objectives, such as </w:t>
      </w:r>
      <w:r>
        <w:rPr>
          <w:bCs/>
          <w:color w:val="000000" w:themeColor="text1"/>
          <w:sz w:val="20"/>
          <w:szCs w:val="18"/>
        </w:rPr>
        <w:t>ambiguity in current operating arrangements</w:t>
      </w:r>
      <w:r w:rsidR="008A3CBB" w:rsidRPr="00910C11">
        <w:rPr>
          <w:bCs/>
          <w:color w:val="000000" w:themeColor="text1"/>
          <w:sz w:val="20"/>
          <w:szCs w:val="18"/>
        </w:rPr>
        <w:t>, and recommends mechanisms to overcome those impediments.</w:t>
      </w:r>
    </w:p>
    <w:p w:rsidR="000B2FFE" w:rsidRPr="00910C11" w:rsidRDefault="00910C11" w:rsidP="00D8278D">
      <w:pPr>
        <w:numPr>
          <w:ilvl w:val="0"/>
          <w:numId w:val="31"/>
        </w:numPr>
        <w:tabs>
          <w:tab w:val="clear" w:pos="360"/>
          <w:tab w:val="num" w:pos="720"/>
        </w:tabs>
        <w:spacing w:after="0"/>
        <w:rPr>
          <w:bCs/>
          <w:color w:val="000000" w:themeColor="text1"/>
          <w:sz w:val="20"/>
          <w:szCs w:val="18"/>
        </w:rPr>
      </w:pPr>
      <w:r>
        <w:rPr>
          <w:bCs/>
          <w:color w:val="000000" w:themeColor="text1"/>
          <w:sz w:val="20"/>
          <w:szCs w:val="18"/>
        </w:rPr>
        <w:lastRenderedPageBreak/>
        <w:t>Recommend</w:t>
      </w:r>
      <w:r w:rsidR="008A3CBB" w:rsidRPr="00910C11">
        <w:rPr>
          <w:bCs/>
          <w:color w:val="000000" w:themeColor="text1"/>
          <w:sz w:val="20"/>
          <w:szCs w:val="18"/>
        </w:rPr>
        <w:t xml:space="preserve"> an appropriate </w:t>
      </w:r>
      <w:r w:rsidR="008A3CBB" w:rsidRPr="00910C11">
        <w:rPr>
          <w:b/>
          <w:bCs/>
          <w:color w:val="000000" w:themeColor="text1"/>
          <w:sz w:val="20"/>
          <w:szCs w:val="18"/>
        </w:rPr>
        <w:t>institutional form</w:t>
      </w:r>
      <w:r w:rsidR="008A3CBB" w:rsidRPr="00910C11">
        <w:rPr>
          <w:bCs/>
          <w:color w:val="000000" w:themeColor="text1"/>
          <w:sz w:val="20"/>
          <w:szCs w:val="18"/>
        </w:rPr>
        <w:t xml:space="preserve"> for delivering on the NMHC’s role and </w:t>
      </w:r>
      <w:proofErr w:type="gramStart"/>
      <w:r w:rsidR="008A3CBB" w:rsidRPr="00910C11">
        <w:rPr>
          <w:bCs/>
          <w:color w:val="000000" w:themeColor="text1"/>
          <w:sz w:val="20"/>
          <w:szCs w:val="18"/>
        </w:rPr>
        <w:t>objectives, including considering if the current level of independence is</w:t>
      </w:r>
      <w:proofErr w:type="gramEnd"/>
      <w:r w:rsidR="008A3CBB" w:rsidRPr="00910C11">
        <w:rPr>
          <w:bCs/>
          <w:color w:val="000000" w:themeColor="text1"/>
          <w:sz w:val="20"/>
          <w:szCs w:val="18"/>
        </w:rPr>
        <w:t xml:space="preserve"> appropriate. </w:t>
      </w:r>
    </w:p>
    <w:p w:rsidR="00910C11" w:rsidRDefault="00910C11" w:rsidP="00910C11">
      <w:pPr>
        <w:spacing w:after="0"/>
        <w:rPr>
          <w:bCs/>
          <w:color w:val="000000" w:themeColor="text1"/>
          <w:sz w:val="20"/>
          <w:szCs w:val="18"/>
        </w:rPr>
      </w:pPr>
    </w:p>
    <w:p w:rsidR="00910C11" w:rsidRDefault="00910C11" w:rsidP="00910C11">
      <w:pPr>
        <w:spacing w:after="0"/>
        <w:rPr>
          <w:bCs/>
          <w:color w:val="000000" w:themeColor="text1"/>
          <w:sz w:val="20"/>
          <w:szCs w:val="18"/>
        </w:rPr>
      </w:pPr>
      <w:r>
        <w:rPr>
          <w:bCs/>
          <w:color w:val="000000" w:themeColor="text1"/>
          <w:sz w:val="20"/>
          <w:szCs w:val="18"/>
        </w:rPr>
        <w:t>The work culminates in a succinct written report</w:t>
      </w:r>
      <w:r w:rsidR="00556479">
        <w:rPr>
          <w:bCs/>
          <w:color w:val="000000" w:themeColor="text1"/>
          <w:sz w:val="20"/>
          <w:szCs w:val="18"/>
        </w:rPr>
        <w:t xml:space="preserve"> (</w:t>
      </w:r>
      <w:r w:rsidR="00556479" w:rsidRPr="00556479">
        <w:rPr>
          <w:b/>
          <w:bCs/>
          <w:color w:val="000000" w:themeColor="text1"/>
          <w:sz w:val="20"/>
          <w:szCs w:val="18"/>
        </w:rPr>
        <w:t>this report</w:t>
      </w:r>
      <w:r w:rsidR="00556479">
        <w:rPr>
          <w:bCs/>
          <w:color w:val="000000" w:themeColor="text1"/>
          <w:sz w:val="20"/>
          <w:szCs w:val="18"/>
        </w:rPr>
        <w:t>)</w:t>
      </w:r>
      <w:r>
        <w:rPr>
          <w:bCs/>
          <w:color w:val="000000" w:themeColor="text1"/>
          <w:sz w:val="20"/>
          <w:szCs w:val="18"/>
        </w:rPr>
        <w:t xml:space="preserve"> which seeks to summarise the current state issues, explore options for addressing them, and issue a set of recommendations to strengthen the NMHC. </w:t>
      </w:r>
    </w:p>
    <w:p w:rsidR="00910C11" w:rsidRDefault="00910C11" w:rsidP="00910C11">
      <w:pPr>
        <w:spacing w:after="0"/>
        <w:rPr>
          <w:bCs/>
          <w:color w:val="000000" w:themeColor="text1"/>
          <w:sz w:val="20"/>
          <w:szCs w:val="18"/>
        </w:rPr>
      </w:pPr>
    </w:p>
    <w:p w:rsidR="00910C11" w:rsidRDefault="00910C11" w:rsidP="00910C11">
      <w:pPr>
        <w:spacing w:after="0"/>
        <w:rPr>
          <w:bCs/>
          <w:color w:val="000000" w:themeColor="text1"/>
          <w:sz w:val="20"/>
          <w:szCs w:val="18"/>
        </w:rPr>
      </w:pPr>
      <w:r w:rsidRPr="00910C11">
        <w:rPr>
          <w:b/>
          <w:bCs/>
          <w:color w:val="000000" w:themeColor="text1"/>
          <w:sz w:val="20"/>
          <w:szCs w:val="18"/>
        </w:rPr>
        <w:t xml:space="preserve">The audience </w:t>
      </w:r>
      <w:r w:rsidRPr="00910C11">
        <w:rPr>
          <w:bCs/>
          <w:color w:val="000000" w:themeColor="text1"/>
          <w:sz w:val="20"/>
          <w:szCs w:val="18"/>
        </w:rPr>
        <w:t xml:space="preserve">for this work </w:t>
      </w:r>
      <w:r>
        <w:rPr>
          <w:bCs/>
          <w:color w:val="000000" w:themeColor="text1"/>
          <w:sz w:val="20"/>
          <w:szCs w:val="18"/>
        </w:rPr>
        <w:t>is</w:t>
      </w:r>
      <w:r w:rsidRPr="00910C11">
        <w:rPr>
          <w:bCs/>
          <w:color w:val="000000" w:themeColor="text1"/>
          <w:sz w:val="20"/>
          <w:szCs w:val="18"/>
        </w:rPr>
        <w:t xml:space="preserve"> the </w:t>
      </w:r>
      <w:proofErr w:type="spellStart"/>
      <w:r w:rsidR="00926BB1">
        <w:rPr>
          <w:bCs/>
          <w:color w:val="000000" w:themeColor="text1"/>
          <w:sz w:val="20"/>
          <w:szCs w:val="18"/>
        </w:rPr>
        <w:t>DoH</w:t>
      </w:r>
      <w:proofErr w:type="spellEnd"/>
      <w:r w:rsidRPr="00910C11">
        <w:rPr>
          <w:bCs/>
          <w:color w:val="000000" w:themeColor="text1"/>
          <w:sz w:val="20"/>
          <w:szCs w:val="18"/>
        </w:rPr>
        <w:t xml:space="preserve"> (primary recipient of advice); the NMHC CEO and Commissioners (critical stakeholders) and the Minister for Health (authorising environment). </w:t>
      </w:r>
    </w:p>
    <w:p w:rsidR="00910C11" w:rsidRPr="00910C11" w:rsidRDefault="00910C11" w:rsidP="00910C11">
      <w:pPr>
        <w:spacing w:after="0"/>
        <w:rPr>
          <w:bCs/>
          <w:color w:val="000000" w:themeColor="text1"/>
          <w:sz w:val="20"/>
          <w:szCs w:val="18"/>
        </w:rPr>
      </w:pPr>
    </w:p>
    <w:p w:rsidR="004A0DFA" w:rsidRPr="001D3FD4" w:rsidRDefault="001D3FD4" w:rsidP="00F916D6">
      <w:pPr>
        <w:pStyle w:val="Heading2"/>
        <w:rPr>
          <w:b w:val="0"/>
        </w:rPr>
      </w:pPr>
      <w:bookmarkStart w:id="20" w:name="_Toc482809637"/>
      <w:r>
        <w:t xml:space="preserve">C. </w:t>
      </w:r>
      <w:r w:rsidR="00910C11" w:rsidRPr="001D3FD4">
        <w:t>Project Approach</w:t>
      </w:r>
      <w:bookmarkEnd w:id="20"/>
      <w:r w:rsidR="00910C11" w:rsidRPr="001D3FD4">
        <w:t xml:space="preserve"> </w:t>
      </w:r>
    </w:p>
    <w:p w:rsidR="001D3FD4" w:rsidRDefault="001D3FD4" w:rsidP="00910C11">
      <w:pPr>
        <w:spacing w:after="0"/>
        <w:rPr>
          <w:bCs/>
          <w:color w:val="000000" w:themeColor="text1"/>
          <w:sz w:val="20"/>
          <w:szCs w:val="18"/>
        </w:rPr>
      </w:pPr>
    </w:p>
    <w:p w:rsidR="00910C11" w:rsidRDefault="00910C11" w:rsidP="00910C11">
      <w:pPr>
        <w:spacing w:after="0"/>
        <w:rPr>
          <w:bCs/>
          <w:color w:val="000000" w:themeColor="text1"/>
          <w:sz w:val="20"/>
          <w:szCs w:val="18"/>
        </w:rPr>
      </w:pPr>
      <w:r>
        <w:rPr>
          <w:bCs/>
          <w:color w:val="000000" w:themeColor="text1"/>
          <w:sz w:val="20"/>
          <w:szCs w:val="18"/>
        </w:rPr>
        <w:t>This project was conducted across four phases, delivered across nine weeks:</w:t>
      </w:r>
    </w:p>
    <w:p w:rsidR="00910C11" w:rsidRDefault="00910C11" w:rsidP="00910C11">
      <w:pPr>
        <w:spacing w:after="0"/>
        <w:rPr>
          <w:bCs/>
          <w:color w:val="000000" w:themeColor="text1"/>
          <w:sz w:val="20"/>
          <w:szCs w:val="18"/>
        </w:rPr>
      </w:pPr>
    </w:p>
    <w:p w:rsidR="00910C11" w:rsidRDefault="00910C11" w:rsidP="00910C11">
      <w:pPr>
        <w:spacing w:after="0"/>
        <w:rPr>
          <w:bCs/>
          <w:color w:val="000000" w:themeColor="text1"/>
          <w:sz w:val="20"/>
          <w:szCs w:val="18"/>
        </w:rPr>
      </w:pPr>
      <w:r w:rsidRPr="00910C11">
        <w:rPr>
          <w:b/>
          <w:smallCaps/>
          <w:sz w:val="16"/>
        </w:rPr>
        <w:t xml:space="preserve">Figure </w:t>
      </w:r>
      <w:r>
        <w:rPr>
          <w:b/>
          <w:smallCaps/>
          <w:sz w:val="16"/>
        </w:rPr>
        <w:t>5</w:t>
      </w:r>
      <w:r w:rsidRPr="00910C11">
        <w:rPr>
          <w:b/>
          <w:smallCaps/>
          <w:sz w:val="16"/>
        </w:rPr>
        <w:t xml:space="preserve">: </w:t>
      </w:r>
      <w:r>
        <w:rPr>
          <w:b/>
          <w:smallCaps/>
          <w:sz w:val="16"/>
        </w:rPr>
        <w:t>High-level project timelines</w:t>
      </w:r>
      <w:r>
        <w:rPr>
          <w:b/>
          <w:smallCaps/>
          <w:sz w:val="16"/>
        </w:rPr>
        <w:br/>
      </w:r>
    </w:p>
    <w:p w:rsidR="00910C11" w:rsidRDefault="00910C11" w:rsidP="00910C11">
      <w:pPr>
        <w:spacing w:after="0"/>
        <w:rPr>
          <w:bCs/>
          <w:color w:val="000000" w:themeColor="text1"/>
          <w:sz w:val="20"/>
          <w:szCs w:val="18"/>
        </w:rPr>
      </w:pPr>
      <w:r>
        <w:rPr>
          <w:bCs/>
          <w:noProof/>
          <w:color w:val="000000" w:themeColor="text1"/>
          <w:sz w:val="20"/>
          <w:szCs w:val="18"/>
          <w:lang w:eastAsia="en-AU"/>
        </w:rPr>
        <w:drawing>
          <wp:inline distT="0" distB="0" distL="0" distR="0">
            <wp:extent cx="5001895" cy="2089542"/>
            <wp:effectExtent l="0" t="0" r="8255" b="6350"/>
            <wp:docPr id="17" name="Picture 17" descr="This picture is a table that details the timeline for the Deloitte review project from commencement to finalisation. The timeline is set across 9 weeks. Phase 1 is named ‘initiate project’, and occurs in week 1.  Phase 2 is named ‘assess current state’, and occurs in weeks 2 to 4.  Phase 3 is named ‘identify and assess options’, and occurs in weeks 5 to 7. Phase 4 is named ‘recommend and report’, and occurs in weeks 8 and 9. The tasks of ongoing project management and reporting on progress spans across all 9 weeks." title="Figure 5: High-level projec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25143" cy="2099254"/>
                    </a:xfrm>
                    <a:prstGeom prst="rect">
                      <a:avLst/>
                    </a:prstGeom>
                    <a:noFill/>
                  </pic:spPr>
                </pic:pic>
              </a:graphicData>
            </a:graphic>
          </wp:inline>
        </w:drawing>
      </w:r>
    </w:p>
    <w:p w:rsidR="00910C11" w:rsidRDefault="00910C11" w:rsidP="00910C11">
      <w:pPr>
        <w:spacing w:after="0"/>
        <w:rPr>
          <w:bCs/>
          <w:color w:val="000000" w:themeColor="text1"/>
          <w:sz w:val="20"/>
          <w:szCs w:val="18"/>
        </w:rPr>
      </w:pPr>
    </w:p>
    <w:p w:rsidR="00910C11" w:rsidRPr="00910C11" w:rsidRDefault="00910C11" w:rsidP="00910C11">
      <w:pPr>
        <w:spacing w:after="0"/>
        <w:rPr>
          <w:b/>
          <w:bCs/>
          <w:color w:val="000000" w:themeColor="text1"/>
          <w:sz w:val="20"/>
          <w:szCs w:val="18"/>
        </w:rPr>
      </w:pPr>
      <w:r w:rsidRPr="00910C11">
        <w:rPr>
          <w:b/>
          <w:bCs/>
          <w:color w:val="000000" w:themeColor="text1"/>
          <w:sz w:val="20"/>
          <w:szCs w:val="18"/>
        </w:rPr>
        <w:t>Key activities included:</w:t>
      </w:r>
    </w:p>
    <w:p w:rsidR="00910C11" w:rsidRDefault="00910C11" w:rsidP="00910C11">
      <w:pPr>
        <w:pStyle w:val="ListParagraph"/>
        <w:spacing w:after="0"/>
        <w:ind w:left="360"/>
        <w:rPr>
          <w:bCs/>
          <w:color w:val="000000" w:themeColor="text1"/>
          <w:sz w:val="20"/>
          <w:szCs w:val="18"/>
        </w:rPr>
      </w:pPr>
    </w:p>
    <w:p w:rsidR="004A0DFA" w:rsidRPr="00264435" w:rsidRDefault="004A0DFA" w:rsidP="00D8278D">
      <w:pPr>
        <w:pStyle w:val="ListParagraph"/>
        <w:numPr>
          <w:ilvl w:val="0"/>
          <w:numId w:val="26"/>
        </w:numPr>
        <w:spacing w:after="0"/>
        <w:rPr>
          <w:bCs/>
          <w:color w:val="000000" w:themeColor="text1"/>
          <w:sz w:val="20"/>
          <w:szCs w:val="18"/>
        </w:rPr>
      </w:pPr>
      <w:r w:rsidRPr="00264435">
        <w:rPr>
          <w:bCs/>
          <w:color w:val="000000" w:themeColor="text1"/>
          <w:sz w:val="20"/>
          <w:szCs w:val="18"/>
        </w:rPr>
        <w:t>Review</w:t>
      </w:r>
      <w:r w:rsidR="00910C11">
        <w:rPr>
          <w:bCs/>
          <w:color w:val="000000" w:themeColor="text1"/>
          <w:sz w:val="20"/>
          <w:szCs w:val="18"/>
        </w:rPr>
        <w:t>ing</w:t>
      </w:r>
      <w:r w:rsidRPr="00264435">
        <w:rPr>
          <w:bCs/>
          <w:color w:val="000000" w:themeColor="text1"/>
          <w:sz w:val="20"/>
          <w:szCs w:val="18"/>
        </w:rPr>
        <w:t xml:space="preserve"> existing documentation to understand NMHC’s scope and role and current governance model</w:t>
      </w:r>
    </w:p>
    <w:p w:rsidR="004A0DFA" w:rsidRPr="00264435" w:rsidRDefault="00910C11" w:rsidP="00D8278D">
      <w:pPr>
        <w:pStyle w:val="ListParagraph"/>
        <w:numPr>
          <w:ilvl w:val="0"/>
          <w:numId w:val="26"/>
        </w:numPr>
        <w:spacing w:after="0"/>
        <w:rPr>
          <w:bCs/>
          <w:color w:val="000000" w:themeColor="text1"/>
          <w:sz w:val="20"/>
          <w:szCs w:val="18"/>
        </w:rPr>
      </w:pPr>
      <w:r>
        <w:rPr>
          <w:bCs/>
          <w:color w:val="000000" w:themeColor="text1"/>
          <w:sz w:val="20"/>
          <w:szCs w:val="18"/>
        </w:rPr>
        <w:t>Conducting</w:t>
      </w:r>
      <w:r w:rsidR="004A0DFA" w:rsidRPr="00264435">
        <w:rPr>
          <w:bCs/>
          <w:color w:val="000000" w:themeColor="text1"/>
          <w:sz w:val="20"/>
          <w:szCs w:val="18"/>
        </w:rPr>
        <w:t xml:space="preserve"> stakeholder consultations to supplement the desktop review </w:t>
      </w:r>
    </w:p>
    <w:p w:rsidR="004A0DFA" w:rsidRPr="00264435" w:rsidRDefault="004A0DFA" w:rsidP="00D8278D">
      <w:pPr>
        <w:pStyle w:val="ListParagraph"/>
        <w:numPr>
          <w:ilvl w:val="0"/>
          <w:numId w:val="26"/>
        </w:numPr>
        <w:spacing w:after="0"/>
        <w:rPr>
          <w:bCs/>
          <w:color w:val="000000" w:themeColor="text1"/>
          <w:sz w:val="20"/>
          <w:szCs w:val="18"/>
        </w:rPr>
      </w:pPr>
      <w:r w:rsidRPr="00264435">
        <w:rPr>
          <w:bCs/>
          <w:color w:val="000000" w:themeColor="text1"/>
          <w:sz w:val="20"/>
          <w:szCs w:val="18"/>
        </w:rPr>
        <w:t>Conduct</w:t>
      </w:r>
      <w:r w:rsidR="00910C11">
        <w:rPr>
          <w:bCs/>
          <w:color w:val="000000" w:themeColor="text1"/>
          <w:sz w:val="20"/>
          <w:szCs w:val="18"/>
        </w:rPr>
        <w:t>ing</w:t>
      </w:r>
      <w:r w:rsidRPr="00264435">
        <w:rPr>
          <w:bCs/>
          <w:color w:val="000000" w:themeColor="text1"/>
          <w:sz w:val="20"/>
          <w:szCs w:val="18"/>
        </w:rPr>
        <w:t xml:space="preserve"> desktop research on comparator organisations to understand attributes of a high performing commission and comparative operating and accountability models. </w:t>
      </w:r>
    </w:p>
    <w:p w:rsidR="004A0DFA" w:rsidRPr="00910C11" w:rsidRDefault="004A0DFA" w:rsidP="00D8278D">
      <w:pPr>
        <w:pStyle w:val="ListParagraph"/>
        <w:numPr>
          <w:ilvl w:val="0"/>
          <w:numId w:val="26"/>
        </w:numPr>
        <w:spacing w:after="0"/>
        <w:rPr>
          <w:bCs/>
          <w:color w:val="000000" w:themeColor="text1"/>
          <w:sz w:val="20"/>
          <w:szCs w:val="18"/>
        </w:rPr>
      </w:pPr>
      <w:r w:rsidRPr="00910C11">
        <w:rPr>
          <w:bCs/>
          <w:color w:val="000000" w:themeColor="text1"/>
          <w:sz w:val="20"/>
          <w:szCs w:val="18"/>
        </w:rPr>
        <w:t xml:space="preserve">Together with </w:t>
      </w:r>
      <w:proofErr w:type="spellStart"/>
      <w:r w:rsidRPr="00910C11">
        <w:rPr>
          <w:bCs/>
          <w:color w:val="000000" w:themeColor="text1"/>
          <w:sz w:val="20"/>
          <w:szCs w:val="18"/>
        </w:rPr>
        <w:t>DoH</w:t>
      </w:r>
      <w:proofErr w:type="spellEnd"/>
      <w:r w:rsidRPr="00910C11">
        <w:rPr>
          <w:bCs/>
          <w:color w:val="000000" w:themeColor="text1"/>
          <w:sz w:val="20"/>
          <w:szCs w:val="18"/>
        </w:rPr>
        <w:t xml:space="preserve">, developed future-state Design Principles which articulate what criteria will determine which future-state model is most appropriate. </w:t>
      </w:r>
    </w:p>
    <w:p w:rsidR="004A0DFA" w:rsidRPr="00910C11" w:rsidRDefault="004A0DFA" w:rsidP="00D8278D">
      <w:pPr>
        <w:pStyle w:val="ListParagraph"/>
        <w:numPr>
          <w:ilvl w:val="0"/>
          <w:numId w:val="26"/>
        </w:numPr>
        <w:spacing w:after="0"/>
        <w:rPr>
          <w:bCs/>
          <w:color w:val="000000" w:themeColor="text1"/>
          <w:sz w:val="20"/>
          <w:szCs w:val="18"/>
        </w:rPr>
      </w:pPr>
      <w:r w:rsidRPr="00910C11">
        <w:rPr>
          <w:bCs/>
          <w:color w:val="000000" w:themeColor="text1"/>
          <w:sz w:val="20"/>
          <w:szCs w:val="18"/>
        </w:rPr>
        <w:t>Based on learnings, considered potential options for the NMHC, including options around the level of authority, scope and roles of NMHC, method of setting priorities, accountability and reporting arrangements and operational hierarchy and structure</w:t>
      </w:r>
    </w:p>
    <w:p w:rsidR="00910C11" w:rsidRPr="00910C11" w:rsidRDefault="004A0DFA" w:rsidP="00D8278D">
      <w:pPr>
        <w:pStyle w:val="ListParagraph"/>
        <w:numPr>
          <w:ilvl w:val="0"/>
          <w:numId w:val="26"/>
        </w:numPr>
        <w:spacing w:after="0"/>
        <w:rPr>
          <w:bCs/>
          <w:color w:val="000000" w:themeColor="text1"/>
          <w:sz w:val="20"/>
          <w:szCs w:val="18"/>
        </w:rPr>
      </w:pPr>
      <w:r w:rsidRPr="00910C11">
        <w:rPr>
          <w:bCs/>
          <w:color w:val="000000" w:themeColor="text1"/>
          <w:sz w:val="20"/>
          <w:szCs w:val="18"/>
        </w:rPr>
        <w:t xml:space="preserve">Through a collaborative workshop with </w:t>
      </w:r>
      <w:proofErr w:type="spellStart"/>
      <w:r w:rsidRPr="00910C11">
        <w:rPr>
          <w:bCs/>
          <w:color w:val="000000" w:themeColor="text1"/>
          <w:sz w:val="20"/>
          <w:szCs w:val="18"/>
        </w:rPr>
        <w:t>DoH</w:t>
      </w:r>
      <w:proofErr w:type="spellEnd"/>
      <w:r w:rsidRPr="00910C11">
        <w:rPr>
          <w:bCs/>
          <w:color w:val="000000" w:themeColor="text1"/>
          <w:sz w:val="20"/>
          <w:szCs w:val="18"/>
        </w:rPr>
        <w:t xml:space="preserve"> and </w:t>
      </w:r>
      <w:r w:rsidR="00910C11" w:rsidRPr="00910C11">
        <w:rPr>
          <w:bCs/>
          <w:color w:val="000000" w:themeColor="text1"/>
          <w:sz w:val="20"/>
          <w:szCs w:val="18"/>
        </w:rPr>
        <w:t>the</w:t>
      </w:r>
      <w:r w:rsidRPr="00910C11">
        <w:rPr>
          <w:bCs/>
          <w:color w:val="000000" w:themeColor="text1"/>
          <w:sz w:val="20"/>
          <w:szCs w:val="18"/>
        </w:rPr>
        <w:t xml:space="preserve"> NMHC</w:t>
      </w:r>
      <w:r w:rsidR="00910C11" w:rsidRPr="00910C11">
        <w:rPr>
          <w:bCs/>
          <w:color w:val="000000" w:themeColor="text1"/>
          <w:sz w:val="20"/>
          <w:szCs w:val="18"/>
        </w:rPr>
        <w:t xml:space="preserve"> CEO</w:t>
      </w:r>
      <w:r w:rsidRPr="00910C11">
        <w:rPr>
          <w:bCs/>
          <w:color w:val="000000" w:themeColor="text1"/>
          <w:sz w:val="20"/>
          <w:szCs w:val="18"/>
        </w:rPr>
        <w:t xml:space="preserve">, </w:t>
      </w:r>
      <w:r w:rsidR="00910C11" w:rsidRPr="00910C11">
        <w:rPr>
          <w:bCs/>
          <w:color w:val="000000" w:themeColor="text1"/>
          <w:sz w:val="20"/>
          <w:szCs w:val="18"/>
        </w:rPr>
        <w:t xml:space="preserve">explore the issues and possible options; and </w:t>
      </w:r>
    </w:p>
    <w:p w:rsidR="004A0DFA" w:rsidRPr="00264435" w:rsidRDefault="00910C11" w:rsidP="00D8278D">
      <w:pPr>
        <w:pStyle w:val="ListParagraph"/>
        <w:numPr>
          <w:ilvl w:val="0"/>
          <w:numId w:val="26"/>
        </w:numPr>
        <w:spacing w:after="0"/>
        <w:rPr>
          <w:bCs/>
          <w:color w:val="000000" w:themeColor="text1"/>
          <w:sz w:val="20"/>
          <w:szCs w:val="18"/>
        </w:rPr>
      </w:pPr>
      <w:r w:rsidRPr="00910C11">
        <w:rPr>
          <w:bCs/>
          <w:color w:val="000000" w:themeColor="text1"/>
          <w:sz w:val="20"/>
          <w:szCs w:val="18"/>
        </w:rPr>
        <w:t>Develop a final report summarising findings and determining optimal recommendations.</w:t>
      </w:r>
    </w:p>
    <w:p w:rsidR="004A0DFA" w:rsidRPr="00264435" w:rsidRDefault="004A0DFA" w:rsidP="0000502F">
      <w:pPr>
        <w:rPr>
          <w:bCs/>
          <w:color w:val="000000" w:themeColor="text1"/>
          <w:sz w:val="20"/>
          <w:szCs w:val="18"/>
        </w:rPr>
      </w:pPr>
    </w:p>
    <w:p w:rsidR="004A0DFA" w:rsidRPr="00264435" w:rsidRDefault="004A0DFA">
      <w:pPr>
        <w:spacing w:after="200" w:line="276" w:lineRule="auto"/>
        <w:rPr>
          <w:bCs/>
          <w:color w:val="000000" w:themeColor="text1"/>
          <w:sz w:val="20"/>
          <w:szCs w:val="18"/>
        </w:rPr>
      </w:pPr>
      <w:r w:rsidRPr="00264435">
        <w:rPr>
          <w:bCs/>
          <w:color w:val="000000" w:themeColor="text1"/>
          <w:sz w:val="20"/>
          <w:szCs w:val="18"/>
        </w:rPr>
        <w:br w:type="page"/>
      </w:r>
    </w:p>
    <w:p w:rsidR="00D33910" w:rsidRPr="00264435" w:rsidRDefault="00D33910" w:rsidP="00D33910">
      <w:pPr>
        <w:pStyle w:val="Heading1"/>
        <w:spacing w:after="0"/>
      </w:pPr>
      <w:bookmarkStart w:id="21" w:name="_Toc482809638"/>
      <w:r w:rsidRPr="00264435">
        <w:lastRenderedPageBreak/>
        <w:t xml:space="preserve">Appendix B: Additional </w:t>
      </w:r>
      <w:r w:rsidR="00C7789A">
        <w:t xml:space="preserve">Comparison </w:t>
      </w:r>
      <w:r w:rsidRPr="00264435">
        <w:t>Research</w:t>
      </w:r>
      <w:bookmarkEnd w:id="21"/>
    </w:p>
    <w:p w:rsidR="004A0DFA" w:rsidRPr="00264435" w:rsidRDefault="004A0DFA" w:rsidP="0000502F">
      <w:pPr>
        <w:rPr>
          <w:bCs/>
          <w:color w:val="000000" w:themeColor="text1"/>
          <w:sz w:val="20"/>
          <w:szCs w:val="18"/>
        </w:rPr>
      </w:pPr>
    </w:p>
    <w:p w:rsidR="0011559D" w:rsidRPr="00264435" w:rsidRDefault="00FA1801" w:rsidP="00F916D6">
      <w:pPr>
        <w:pStyle w:val="Heading2"/>
        <w:rPr>
          <w:b w:val="0"/>
        </w:rPr>
      </w:pPr>
      <w:bookmarkStart w:id="22" w:name="_Toc482809639"/>
      <w:r>
        <w:t>A</w:t>
      </w:r>
      <w:r w:rsidR="00C25BA2">
        <w:t xml:space="preserve">. </w:t>
      </w:r>
      <w:r w:rsidR="0011559D" w:rsidRPr="00264435">
        <w:t>Role of Commissioners</w:t>
      </w:r>
      <w:bookmarkEnd w:id="22"/>
    </w:p>
    <w:tbl>
      <w:tblPr>
        <w:tblW w:w="9631" w:type="dxa"/>
        <w:tblCellMar>
          <w:left w:w="0" w:type="dxa"/>
          <w:right w:w="0" w:type="dxa"/>
        </w:tblCellMar>
        <w:tblLook w:val="0420" w:firstRow="1" w:lastRow="0" w:firstColumn="0" w:lastColumn="0" w:noHBand="0" w:noVBand="1"/>
      </w:tblPr>
      <w:tblGrid>
        <w:gridCol w:w="1589"/>
        <w:gridCol w:w="1591"/>
        <w:gridCol w:w="6451"/>
      </w:tblGrid>
      <w:tr w:rsidR="00BE357F" w:rsidRPr="00264435">
        <w:trPr>
          <w:trHeight w:val="274"/>
          <w:tblHeader/>
        </w:trPr>
        <w:tc>
          <w:tcPr>
            <w:tcW w:w="1589" w:type="dxa"/>
            <w:tcBorders>
              <w:top w:val="single" w:sz="6" w:space="0" w:color="5CB2E3"/>
              <w:left w:val="single" w:sz="6" w:space="0" w:color="5CB2E3"/>
              <w:bottom w:val="single" w:sz="6" w:space="0" w:color="5CB2E3"/>
              <w:right w:val="nil"/>
            </w:tcBorders>
            <w:shd w:val="clear" w:color="auto" w:fill="62B5E5"/>
            <w:tcMar>
              <w:top w:w="72" w:type="dxa"/>
              <w:left w:w="144" w:type="dxa"/>
              <w:bottom w:w="72" w:type="dxa"/>
              <w:right w:w="144" w:type="dxa"/>
            </w:tcMa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b/>
                <w:bCs/>
                <w:color w:val="FFFFFF"/>
                <w:kern w:val="24"/>
                <w:szCs w:val="18"/>
                <w:lang w:eastAsia="en-AU"/>
              </w:rPr>
              <w:t>Organisation</w:t>
            </w:r>
          </w:p>
        </w:tc>
        <w:tc>
          <w:tcPr>
            <w:tcW w:w="1591" w:type="dxa"/>
            <w:tcBorders>
              <w:top w:val="single" w:sz="6" w:space="0" w:color="5CB2E3"/>
              <w:left w:val="nil"/>
              <w:bottom w:val="single" w:sz="6" w:space="0" w:color="5CB2E3"/>
              <w:right w:val="nil"/>
            </w:tcBorders>
            <w:shd w:val="clear" w:color="auto" w:fill="62B5E5"/>
            <w:tcMar>
              <w:top w:w="72" w:type="dxa"/>
              <w:left w:w="144" w:type="dxa"/>
              <w:bottom w:w="72" w:type="dxa"/>
              <w:right w:w="144" w:type="dxa"/>
            </w:tcMa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b/>
                <w:bCs/>
                <w:color w:val="FFFFFF"/>
                <w:kern w:val="24"/>
                <w:szCs w:val="18"/>
                <w:lang w:eastAsia="en-AU"/>
              </w:rPr>
              <w:t>Role Type</w:t>
            </w:r>
          </w:p>
        </w:tc>
        <w:tc>
          <w:tcPr>
            <w:tcW w:w="6451" w:type="dxa"/>
            <w:tcBorders>
              <w:top w:val="single" w:sz="6" w:space="0" w:color="5CB2E3"/>
              <w:left w:val="nil"/>
              <w:bottom w:val="single" w:sz="6" w:space="0" w:color="5CB2E3"/>
              <w:right w:val="single" w:sz="6" w:space="0" w:color="5CB2E3"/>
            </w:tcBorders>
            <w:shd w:val="clear" w:color="auto" w:fill="62B5E5"/>
            <w:tcMar>
              <w:top w:w="72" w:type="dxa"/>
              <w:left w:w="144" w:type="dxa"/>
              <w:bottom w:w="72" w:type="dxa"/>
              <w:right w:w="144" w:type="dxa"/>
            </w:tcMa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b/>
                <w:bCs/>
                <w:color w:val="FFFFFF"/>
                <w:kern w:val="24"/>
                <w:szCs w:val="18"/>
                <w:lang w:eastAsia="en-AU"/>
              </w:rPr>
              <w:t>Role Description</w:t>
            </w:r>
          </w:p>
        </w:tc>
      </w:tr>
      <w:tr w:rsidR="00BE357F" w:rsidRPr="00264435">
        <w:trPr>
          <w:trHeight w:val="347"/>
        </w:trPr>
        <w:tc>
          <w:tcPr>
            <w:tcW w:w="1589" w:type="dxa"/>
            <w:vMerge w:val="restart"/>
            <w:tcBorders>
              <w:top w:val="single" w:sz="6" w:space="0" w:color="5CB2E3"/>
              <w:left w:val="single" w:sz="6" w:space="0" w:color="5CB2E3"/>
              <w:bottom w:val="single" w:sz="8" w:space="0" w:color="62B5E5"/>
              <w:right w:val="nil"/>
            </w:tcBorders>
            <w:shd w:val="clear" w:color="auto" w:fill="E0F0FA"/>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b/>
                <w:bCs/>
                <w:color w:val="000000"/>
                <w:kern w:val="24"/>
                <w:szCs w:val="18"/>
                <w:lang w:eastAsia="en-AU"/>
              </w:rPr>
              <w:t>Australian Human Rights Commission</w:t>
            </w:r>
          </w:p>
        </w:tc>
        <w:tc>
          <w:tcPr>
            <w:tcW w:w="1591" w:type="dxa"/>
            <w:tcBorders>
              <w:top w:val="single" w:sz="6" w:space="0" w:color="5CB2E3"/>
              <w:left w:val="nil"/>
              <w:bottom w:val="single" w:sz="6" w:space="0" w:color="5CB2E3"/>
              <w:right w:val="nil"/>
            </w:tcBorders>
            <w:shd w:val="clear" w:color="auto" w:fill="E0F0FA"/>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President/CEO</w:t>
            </w:r>
          </w:p>
        </w:tc>
        <w:tc>
          <w:tcPr>
            <w:tcW w:w="6451" w:type="dxa"/>
            <w:tcBorders>
              <w:top w:val="single" w:sz="6" w:space="0" w:color="5CB2E3"/>
              <w:left w:val="nil"/>
              <w:bottom w:val="single" w:sz="6" w:space="0" w:color="5CB2E3"/>
              <w:right w:val="single" w:sz="6" w:space="0" w:color="5CB2E3"/>
            </w:tcBorders>
            <w:shd w:val="clear" w:color="auto" w:fill="E0F0FA"/>
            <w:tcMar>
              <w:top w:w="72" w:type="dxa"/>
              <w:left w:w="144" w:type="dxa"/>
              <w:bottom w:w="72" w:type="dxa"/>
              <w:right w:w="144" w:type="dxa"/>
            </w:tcMar>
          </w:tcPr>
          <w:p w:rsidR="00BE357F" w:rsidRPr="00264435" w:rsidRDefault="00BE357F" w:rsidP="008A3CBB">
            <w:pPr>
              <w:numPr>
                <w:ilvl w:val="0"/>
                <w:numId w:val="13"/>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Responsible for managing the administrative affairs of the commission</w:t>
            </w:r>
          </w:p>
          <w:p w:rsidR="00BE357F" w:rsidRPr="00264435" w:rsidRDefault="00BE357F" w:rsidP="008A3CBB">
            <w:pPr>
              <w:numPr>
                <w:ilvl w:val="0"/>
                <w:numId w:val="13"/>
              </w:numPr>
              <w:spacing w:after="0" w:line="240" w:lineRule="auto"/>
              <w:ind w:left="250" w:hanging="284"/>
              <w:contextualSpacing/>
              <w:rPr>
                <w:rFonts w:eastAsia="Times New Roman" w:cs="Arial"/>
                <w:szCs w:val="18"/>
                <w:lang w:eastAsia="en-AU"/>
              </w:rPr>
            </w:pPr>
            <w:r w:rsidRPr="00264435">
              <w:rPr>
                <w:rFonts w:eastAsia="Times New Roman" w:cs="Arial"/>
                <w:b/>
                <w:bCs/>
                <w:i/>
                <w:iCs/>
                <w:color w:val="000000"/>
                <w:kern w:val="24"/>
                <w:szCs w:val="18"/>
                <w:lang w:eastAsia="en-AU"/>
              </w:rPr>
              <w:t xml:space="preserve">Accountable authority </w:t>
            </w:r>
            <w:r w:rsidRPr="00264435">
              <w:rPr>
                <w:rFonts w:eastAsia="Times New Roman" w:cs="Arial"/>
                <w:color w:val="000000"/>
                <w:kern w:val="24"/>
                <w:szCs w:val="18"/>
                <w:lang w:eastAsia="en-AU"/>
              </w:rPr>
              <w:t>under the PGPA Act 2013</w:t>
            </w:r>
          </w:p>
        </w:tc>
      </w:tr>
      <w:tr w:rsidR="00BE357F" w:rsidRPr="00264435">
        <w:trPr>
          <w:trHeight w:val="347"/>
        </w:trPr>
        <w:tc>
          <w:tcPr>
            <w:tcW w:w="1589" w:type="dxa"/>
            <w:vMerge/>
            <w:tcBorders>
              <w:top w:val="single" w:sz="6" w:space="0" w:color="5CB2E3"/>
              <w:left w:val="single" w:sz="6" w:space="0" w:color="5CB2E3"/>
              <w:bottom w:val="single" w:sz="8" w:space="0" w:color="62B5E5"/>
              <w:right w:val="nil"/>
            </w:tcBorders>
            <w:vAlign w:val="center"/>
          </w:tcPr>
          <w:p w:rsidR="00BE357F" w:rsidRPr="00264435" w:rsidRDefault="00BE357F" w:rsidP="00BE357F">
            <w:pPr>
              <w:spacing w:after="0" w:line="240" w:lineRule="auto"/>
              <w:rPr>
                <w:rFonts w:eastAsia="Times New Roman" w:cs="Arial"/>
                <w:szCs w:val="18"/>
                <w:lang w:eastAsia="en-AU"/>
              </w:rPr>
            </w:pPr>
          </w:p>
        </w:tc>
        <w:tc>
          <w:tcPr>
            <w:tcW w:w="1591" w:type="dxa"/>
            <w:tcBorders>
              <w:top w:val="single" w:sz="6" w:space="0" w:color="5CB2E3"/>
              <w:left w:val="nil"/>
              <w:bottom w:val="single" w:sz="6" w:space="0" w:color="5CB2E3"/>
              <w:right w:val="nil"/>
            </w:tcBorders>
            <w:shd w:val="clear" w:color="auto" w:fill="E0F0FA"/>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Commissioner</w:t>
            </w:r>
          </w:p>
        </w:tc>
        <w:tc>
          <w:tcPr>
            <w:tcW w:w="6451" w:type="dxa"/>
            <w:tcBorders>
              <w:top w:val="single" w:sz="6" w:space="0" w:color="5CB2E3"/>
              <w:left w:val="nil"/>
              <w:bottom w:val="single" w:sz="6" w:space="0" w:color="5CB2E3"/>
              <w:right w:val="single" w:sz="6" w:space="0" w:color="5CB2E3"/>
            </w:tcBorders>
            <w:shd w:val="clear" w:color="auto" w:fill="E0F0FA"/>
            <w:tcMar>
              <w:top w:w="72" w:type="dxa"/>
              <w:left w:w="144" w:type="dxa"/>
              <w:bottom w:w="72" w:type="dxa"/>
              <w:right w:w="144" w:type="dxa"/>
            </w:tcMar>
          </w:tcPr>
          <w:p w:rsidR="00BE357F" w:rsidRPr="00264435" w:rsidRDefault="00556479" w:rsidP="008A3CBB">
            <w:pPr>
              <w:numPr>
                <w:ilvl w:val="0"/>
                <w:numId w:val="14"/>
              </w:numPr>
              <w:spacing w:after="0" w:line="240" w:lineRule="auto"/>
              <w:ind w:left="250" w:hanging="284"/>
              <w:contextualSpacing/>
              <w:rPr>
                <w:rFonts w:eastAsia="Times New Roman" w:cs="Arial"/>
                <w:szCs w:val="18"/>
                <w:lang w:eastAsia="en-AU"/>
              </w:rPr>
            </w:pPr>
            <w:r>
              <w:rPr>
                <w:rFonts w:eastAsia="Times New Roman" w:cs="Arial"/>
                <w:color w:val="000000"/>
                <w:kern w:val="24"/>
                <w:szCs w:val="18"/>
                <w:lang w:eastAsia="en-AU"/>
              </w:rPr>
              <w:t>Commissioners</w:t>
            </w:r>
            <w:r w:rsidR="00BE357F" w:rsidRPr="00264435">
              <w:rPr>
                <w:rFonts w:eastAsia="Times New Roman" w:cs="Arial"/>
                <w:color w:val="000000"/>
                <w:kern w:val="24"/>
                <w:szCs w:val="18"/>
                <w:lang w:eastAsia="en-AU"/>
              </w:rPr>
              <w:t xml:space="preserve"> are appointed under their respective anti-discrimination laws, hence they focus on </w:t>
            </w:r>
            <w:r w:rsidR="00BE357F" w:rsidRPr="00264435">
              <w:rPr>
                <w:rFonts w:eastAsia="Times New Roman" w:cs="Arial"/>
                <w:b/>
                <w:bCs/>
                <w:i/>
                <w:iCs/>
                <w:color w:val="000000"/>
                <w:kern w:val="24"/>
                <w:szCs w:val="18"/>
                <w:lang w:eastAsia="en-AU"/>
              </w:rPr>
              <w:t>their respective area of expertise</w:t>
            </w:r>
          </w:p>
          <w:p w:rsidR="00BE357F" w:rsidRPr="00264435" w:rsidRDefault="00BE357F" w:rsidP="008A3CBB">
            <w:pPr>
              <w:numPr>
                <w:ilvl w:val="0"/>
                <w:numId w:val="14"/>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The Act prescribes specific functions for certain Commissioners, such as reporting to Ministers</w:t>
            </w:r>
          </w:p>
        </w:tc>
      </w:tr>
      <w:tr w:rsidR="00BE357F" w:rsidRPr="00264435">
        <w:trPr>
          <w:trHeight w:val="347"/>
        </w:trPr>
        <w:tc>
          <w:tcPr>
            <w:tcW w:w="1589" w:type="dxa"/>
            <w:vMerge w:val="restart"/>
            <w:tcBorders>
              <w:top w:val="single" w:sz="8" w:space="0" w:color="62B5E5"/>
              <w:left w:val="single" w:sz="6" w:space="0" w:color="5CB2E3"/>
              <w:bottom w:val="single" w:sz="8" w:space="0" w:color="62B5E5"/>
              <w:right w:val="nil"/>
            </w:tcBorders>
            <w:shd w:val="clear" w:color="auto" w:fill="auto"/>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b/>
                <w:bCs/>
                <w:color w:val="000000"/>
                <w:kern w:val="24"/>
                <w:szCs w:val="18"/>
                <w:lang w:eastAsia="en-AU"/>
              </w:rPr>
              <w:t>Productivity Commission</w:t>
            </w:r>
          </w:p>
        </w:tc>
        <w:tc>
          <w:tcPr>
            <w:tcW w:w="1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Chair &amp; Deputy</w:t>
            </w:r>
          </w:p>
        </w:tc>
        <w:tc>
          <w:tcPr>
            <w:tcW w:w="6451"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tcPr>
          <w:p w:rsidR="00BE357F" w:rsidRPr="00264435" w:rsidRDefault="00BE357F" w:rsidP="008A3CBB">
            <w:pPr>
              <w:numPr>
                <w:ilvl w:val="0"/>
                <w:numId w:val="15"/>
              </w:numPr>
              <w:spacing w:after="0" w:line="240" w:lineRule="auto"/>
              <w:ind w:left="250" w:hanging="284"/>
              <w:contextualSpacing/>
              <w:rPr>
                <w:rFonts w:eastAsia="Times New Roman" w:cs="Arial"/>
                <w:szCs w:val="18"/>
                <w:lang w:eastAsia="en-AU"/>
              </w:rPr>
            </w:pPr>
            <w:r w:rsidRPr="00264435">
              <w:rPr>
                <w:rFonts w:eastAsia="Times New Roman" w:cs="Arial"/>
                <w:b/>
                <w:bCs/>
                <w:i/>
                <w:iCs/>
                <w:color w:val="000000"/>
                <w:kern w:val="24"/>
                <w:szCs w:val="18"/>
                <w:lang w:eastAsia="en-AU"/>
              </w:rPr>
              <w:t xml:space="preserve">Manage the Commission </w:t>
            </w:r>
            <w:r w:rsidRPr="00264435">
              <w:rPr>
                <w:rFonts w:eastAsia="Times New Roman" w:cs="Arial"/>
                <w:color w:val="000000"/>
                <w:kern w:val="24"/>
                <w:szCs w:val="18"/>
                <w:lang w:eastAsia="en-AU"/>
              </w:rPr>
              <w:t>to ensure the efficient performance of the Commission’s functions</w:t>
            </w:r>
          </w:p>
          <w:p w:rsidR="00BE357F" w:rsidRPr="00264435" w:rsidRDefault="00BE357F" w:rsidP="008A3CBB">
            <w:pPr>
              <w:numPr>
                <w:ilvl w:val="0"/>
                <w:numId w:val="15"/>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Deputy assists the Chair in the exercise of the powers and the performance of their duties</w:t>
            </w:r>
          </w:p>
        </w:tc>
      </w:tr>
      <w:tr w:rsidR="00BE357F" w:rsidRPr="00264435">
        <w:trPr>
          <w:trHeight w:val="347"/>
        </w:trPr>
        <w:tc>
          <w:tcPr>
            <w:tcW w:w="1589" w:type="dxa"/>
            <w:vMerge/>
            <w:tcBorders>
              <w:top w:val="single" w:sz="8" w:space="0" w:color="62B5E5"/>
              <w:left w:val="single" w:sz="6" w:space="0" w:color="5CB2E3"/>
              <w:bottom w:val="single" w:sz="8" w:space="0" w:color="62B5E5"/>
              <w:right w:val="nil"/>
            </w:tcBorders>
            <w:vAlign w:val="center"/>
          </w:tcPr>
          <w:p w:rsidR="00BE357F" w:rsidRPr="00264435" w:rsidRDefault="00BE357F" w:rsidP="00BE357F">
            <w:pPr>
              <w:spacing w:after="0" w:line="240" w:lineRule="auto"/>
              <w:rPr>
                <w:rFonts w:eastAsia="Times New Roman" w:cs="Arial"/>
                <w:szCs w:val="18"/>
                <w:lang w:eastAsia="en-AU"/>
              </w:rPr>
            </w:pPr>
          </w:p>
        </w:tc>
        <w:tc>
          <w:tcPr>
            <w:tcW w:w="1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Commissioner</w:t>
            </w:r>
          </w:p>
        </w:tc>
        <w:tc>
          <w:tcPr>
            <w:tcW w:w="6451"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tcPr>
          <w:p w:rsidR="00BE357F" w:rsidRPr="00264435" w:rsidRDefault="00BE357F" w:rsidP="008A3CBB">
            <w:pPr>
              <w:numPr>
                <w:ilvl w:val="0"/>
                <w:numId w:val="16"/>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 xml:space="preserve">Responsible for the conduct and quality of </w:t>
            </w:r>
            <w:r w:rsidRPr="00264435">
              <w:rPr>
                <w:rFonts w:eastAsia="Times New Roman" w:cs="Arial"/>
                <w:b/>
                <w:bCs/>
                <w:i/>
                <w:iCs/>
                <w:color w:val="000000"/>
                <w:kern w:val="24"/>
                <w:szCs w:val="18"/>
                <w:lang w:eastAsia="en-AU"/>
              </w:rPr>
              <w:t>individual inquiries</w:t>
            </w:r>
            <w:r w:rsidRPr="00264435">
              <w:rPr>
                <w:rFonts w:eastAsia="Times New Roman" w:cs="Arial"/>
                <w:color w:val="000000"/>
                <w:kern w:val="24"/>
                <w:szCs w:val="18"/>
                <w:lang w:eastAsia="en-AU"/>
              </w:rPr>
              <w:t xml:space="preserve">, studies </w:t>
            </w:r>
            <w:r w:rsidR="00290804">
              <w:rPr>
                <w:rFonts w:eastAsia="Times New Roman" w:cs="Arial"/>
                <w:color w:val="000000"/>
                <w:kern w:val="24"/>
                <w:szCs w:val="18"/>
                <w:lang w:eastAsia="en-AU"/>
              </w:rPr>
              <w:t>&amp;</w:t>
            </w:r>
            <w:r w:rsidRPr="00264435">
              <w:rPr>
                <w:rFonts w:eastAsia="Times New Roman" w:cs="Arial"/>
                <w:color w:val="000000"/>
                <w:kern w:val="24"/>
                <w:szCs w:val="18"/>
                <w:lang w:eastAsia="en-AU"/>
              </w:rPr>
              <w:t xml:space="preserve"> other activities to which they are assigned by the Chair</w:t>
            </w:r>
          </w:p>
          <w:p w:rsidR="00BE357F" w:rsidRPr="00264435" w:rsidRDefault="00BE357F" w:rsidP="008A3CBB">
            <w:pPr>
              <w:numPr>
                <w:ilvl w:val="0"/>
                <w:numId w:val="16"/>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Commissioners contribute to strategic coordination of the Commission’s work</w:t>
            </w:r>
          </w:p>
        </w:tc>
      </w:tr>
      <w:tr w:rsidR="00BE357F" w:rsidRPr="00264435">
        <w:trPr>
          <w:trHeight w:val="347"/>
        </w:trPr>
        <w:tc>
          <w:tcPr>
            <w:tcW w:w="1589" w:type="dxa"/>
            <w:vMerge w:val="restart"/>
            <w:tcBorders>
              <w:top w:val="single" w:sz="8" w:space="0" w:color="62B5E5"/>
              <w:left w:val="single" w:sz="6" w:space="0" w:color="5CB2E3"/>
              <w:bottom w:val="single" w:sz="8" w:space="0" w:color="62B5E5"/>
              <w:right w:val="nil"/>
            </w:tcBorders>
            <w:shd w:val="clear" w:color="auto" w:fill="E0F0FA"/>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b/>
                <w:bCs/>
                <w:color w:val="000000"/>
                <w:kern w:val="24"/>
                <w:szCs w:val="18"/>
                <w:lang w:eastAsia="en-AU"/>
              </w:rPr>
              <w:t>Australian Institute of Health and Welfare</w:t>
            </w:r>
          </w:p>
        </w:tc>
        <w:tc>
          <w:tcPr>
            <w:tcW w:w="1591" w:type="dxa"/>
            <w:tcBorders>
              <w:top w:val="single" w:sz="6" w:space="0" w:color="5CB2E3"/>
              <w:left w:val="nil"/>
              <w:bottom w:val="single" w:sz="6" w:space="0" w:color="5CB2E3"/>
              <w:right w:val="nil"/>
            </w:tcBorders>
            <w:shd w:val="clear" w:color="auto" w:fill="E0F0FA"/>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Director</w:t>
            </w:r>
          </w:p>
        </w:tc>
        <w:tc>
          <w:tcPr>
            <w:tcW w:w="6451" w:type="dxa"/>
            <w:tcBorders>
              <w:top w:val="single" w:sz="6" w:space="0" w:color="5CB2E3"/>
              <w:left w:val="nil"/>
              <w:bottom w:val="single" w:sz="6" w:space="0" w:color="5CB2E3"/>
              <w:right w:val="single" w:sz="6" w:space="0" w:color="5CB2E3"/>
            </w:tcBorders>
            <w:shd w:val="clear" w:color="auto" w:fill="E0F0FA"/>
            <w:tcMar>
              <w:top w:w="72" w:type="dxa"/>
              <w:left w:w="144" w:type="dxa"/>
              <w:bottom w:w="72" w:type="dxa"/>
              <w:right w:w="144" w:type="dxa"/>
            </w:tcMar>
          </w:tcPr>
          <w:p w:rsidR="00BE357F" w:rsidRPr="00264435" w:rsidRDefault="00BE357F" w:rsidP="008A3CBB">
            <w:pPr>
              <w:numPr>
                <w:ilvl w:val="0"/>
                <w:numId w:val="17"/>
              </w:numPr>
              <w:spacing w:after="0" w:line="240" w:lineRule="auto"/>
              <w:ind w:left="250" w:hanging="284"/>
              <w:contextualSpacing/>
              <w:rPr>
                <w:rFonts w:eastAsia="Times New Roman" w:cs="Arial"/>
                <w:szCs w:val="18"/>
                <w:lang w:eastAsia="en-AU"/>
              </w:rPr>
            </w:pPr>
            <w:r w:rsidRPr="00264435">
              <w:rPr>
                <w:rFonts w:eastAsia="Times New Roman" w:cs="Arial"/>
                <w:b/>
                <w:bCs/>
                <w:i/>
                <w:iCs/>
                <w:color w:val="000000"/>
                <w:kern w:val="24"/>
                <w:szCs w:val="18"/>
                <w:lang w:eastAsia="en-AU"/>
              </w:rPr>
              <w:t xml:space="preserve">Manage the </w:t>
            </w:r>
            <w:r w:rsidR="00290804">
              <w:rPr>
                <w:rFonts w:eastAsia="Times New Roman" w:cs="Arial"/>
                <w:b/>
                <w:bCs/>
                <w:i/>
                <w:iCs/>
                <w:color w:val="000000"/>
                <w:kern w:val="24"/>
                <w:szCs w:val="18"/>
                <w:lang w:eastAsia="en-AU"/>
              </w:rPr>
              <w:t xml:space="preserve">AIHW’s </w:t>
            </w:r>
            <w:r w:rsidRPr="00264435">
              <w:rPr>
                <w:rFonts w:eastAsia="Times New Roman" w:cs="Arial"/>
                <w:b/>
                <w:bCs/>
                <w:i/>
                <w:iCs/>
                <w:color w:val="000000"/>
                <w:kern w:val="24"/>
                <w:szCs w:val="18"/>
                <w:lang w:eastAsia="en-AU"/>
              </w:rPr>
              <w:t>affairs</w:t>
            </w:r>
            <w:r w:rsidRPr="00264435">
              <w:rPr>
                <w:rFonts w:eastAsia="Times New Roman" w:cs="Arial"/>
                <w:i/>
                <w:iCs/>
                <w:color w:val="000000"/>
                <w:kern w:val="24"/>
                <w:szCs w:val="18"/>
                <w:lang w:eastAsia="en-AU"/>
              </w:rPr>
              <w:t xml:space="preserve"> </w:t>
            </w:r>
            <w:r w:rsidRPr="00264435">
              <w:rPr>
                <w:rFonts w:eastAsia="Times New Roman" w:cs="Arial"/>
                <w:color w:val="000000"/>
                <w:kern w:val="24"/>
                <w:szCs w:val="18"/>
                <w:lang w:eastAsia="en-AU"/>
              </w:rPr>
              <w:t>in accordance with the AIHW and the PGPA Act</w:t>
            </w:r>
            <w:r w:rsidR="00290804">
              <w:rPr>
                <w:rFonts w:eastAsia="Times New Roman" w:cs="Arial"/>
                <w:color w:val="000000"/>
                <w:kern w:val="24"/>
                <w:szCs w:val="18"/>
                <w:lang w:eastAsia="en-AU"/>
              </w:rPr>
              <w:t>s</w:t>
            </w:r>
            <w:r w:rsidRPr="00264435">
              <w:rPr>
                <w:rFonts w:eastAsia="Times New Roman" w:cs="Arial"/>
                <w:color w:val="000000"/>
                <w:kern w:val="24"/>
                <w:szCs w:val="18"/>
                <w:lang w:eastAsia="en-AU"/>
              </w:rPr>
              <w:t>, consistent with the requirements of the board.</w:t>
            </w:r>
          </w:p>
          <w:p w:rsidR="00BE357F" w:rsidRPr="00264435" w:rsidRDefault="00BE357F" w:rsidP="008A3CBB">
            <w:pPr>
              <w:numPr>
                <w:ilvl w:val="0"/>
                <w:numId w:val="17"/>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Provide leadership to the AIHW in policy and statistical issues</w:t>
            </w:r>
            <w:r w:rsidR="00556479">
              <w:rPr>
                <w:rFonts w:eastAsia="Times New Roman" w:cs="Arial"/>
                <w:color w:val="000000"/>
                <w:kern w:val="24"/>
                <w:szCs w:val="18"/>
                <w:lang w:eastAsia="en-AU"/>
              </w:rPr>
              <w:t xml:space="preserve"> across the scope of functions</w:t>
            </w:r>
          </w:p>
        </w:tc>
      </w:tr>
      <w:tr w:rsidR="00BE357F" w:rsidRPr="00264435">
        <w:trPr>
          <w:trHeight w:val="347"/>
        </w:trPr>
        <w:tc>
          <w:tcPr>
            <w:tcW w:w="1589" w:type="dxa"/>
            <w:vMerge/>
            <w:tcBorders>
              <w:top w:val="single" w:sz="8" w:space="0" w:color="62B5E5"/>
              <w:left w:val="single" w:sz="6" w:space="0" w:color="5CB2E3"/>
              <w:bottom w:val="single" w:sz="8" w:space="0" w:color="62B5E5"/>
              <w:right w:val="nil"/>
            </w:tcBorders>
            <w:vAlign w:val="center"/>
          </w:tcPr>
          <w:p w:rsidR="00BE357F" w:rsidRPr="00264435" w:rsidRDefault="00BE357F" w:rsidP="00BE357F">
            <w:pPr>
              <w:spacing w:after="0" w:line="240" w:lineRule="auto"/>
              <w:rPr>
                <w:rFonts w:eastAsia="Times New Roman" w:cs="Arial"/>
                <w:szCs w:val="18"/>
                <w:lang w:eastAsia="en-AU"/>
              </w:rPr>
            </w:pPr>
          </w:p>
        </w:tc>
        <w:tc>
          <w:tcPr>
            <w:tcW w:w="1591" w:type="dxa"/>
            <w:tcBorders>
              <w:top w:val="single" w:sz="6" w:space="0" w:color="5CB2E3"/>
              <w:left w:val="nil"/>
              <w:bottom w:val="single" w:sz="6" w:space="0" w:color="5CB2E3"/>
              <w:right w:val="nil"/>
            </w:tcBorders>
            <w:shd w:val="clear" w:color="auto" w:fill="E0F0FA"/>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Board &amp; Chair</w:t>
            </w:r>
          </w:p>
        </w:tc>
        <w:tc>
          <w:tcPr>
            <w:tcW w:w="6451" w:type="dxa"/>
            <w:tcBorders>
              <w:top w:val="single" w:sz="6" w:space="0" w:color="5CB2E3"/>
              <w:left w:val="nil"/>
              <w:bottom w:val="single" w:sz="6" w:space="0" w:color="5CB2E3"/>
              <w:right w:val="single" w:sz="6" w:space="0" w:color="5CB2E3"/>
            </w:tcBorders>
            <w:shd w:val="clear" w:color="auto" w:fill="E0F0FA"/>
            <w:tcMar>
              <w:top w:w="72" w:type="dxa"/>
              <w:left w:w="144" w:type="dxa"/>
              <w:bottom w:w="72" w:type="dxa"/>
              <w:right w:w="144" w:type="dxa"/>
            </w:tcMar>
          </w:tcPr>
          <w:p w:rsidR="00BE357F" w:rsidRPr="00264435" w:rsidRDefault="00BE357F" w:rsidP="008A3CBB">
            <w:pPr>
              <w:numPr>
                <w:ilvl w:val="0"/>
                <w:numId w:val="18"/>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 xml:space="preserve">The Board is the </w:t>
            </w:r>
            <w:r w:rsidRPr="00264435">
              <w:rPr>
                <w:rFonts w:eastAsia="Times New Roman" w:cs="Arial"/>
                <w:b/>
                <w:bCs/>
                <w:i/>
                <w:iCs/>
                <w:color w:val="000000"/>
                <w:kern w:val="24"/>
                <w:szCs w:val="18"/>
                <w:lang w:eastAsia="en-AU"/>
              </w:rPr>
              <w:t xml:space="preserve">governing body </w:t>
            </w:r>
            <w:r w:rsidRPr="00264435">
              <w:rPr>
                <w:rFonts w:eastAsia="Times New Roman" w:cs="Arial"/>
                <w:color w:val="000000"/>
                <w:kern w:val="24"/>
                <w:szCs w:val="18"/>
                <w:lang w:eastAsia="en-AU"/>
              </w:rPr>
              <w:t>of the AIHW.</w:t>
            </w:r>
          </w:p>
          <w:p w:rsidR="00BE357F" w:rsidRPr="00264435" w:rsidRDefault="00BE357F" w:rsidP="008A3CBB">
            <w:pPr>
              <w:numPr>
                <w:ilvl w:val="0"/>
                <w:numId w:val="18"/>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The Chair manages Board meetings and formal relationships (e.g.</w:t>
            </w:r>
            <w:r w:rsidR="00556479">
              <w:rPr>
                <w:rFonts w:eastAsia="Times New Roman" w:cs="Arial"/>
                <w:color w:val="000000"/>
                <w:kern w:val="24"/>
                <w:szCs w:val="18"/>
                <w:lang w:eastAsia="en-AU"/>
              </w:rPr>
              <w:t>, with Ministers)</w:t>
            </w:r>
          </w:p>
        </w:tc>
      </w:tr>
      <w:tr w:rsidR="00BE357F" w:rsidRPr="00264435">
        <w:trPr>
          <w:trHeight w:val="347"/>
        </w:trPr>
        <w:tc>
          <w:tcPr>
            <w:tcW w:w="1589" w:type="dxa"/>
            <w:vMerge w:val="restart"/>
            <w:tcBorders>
              <w:top w:val="single" w:sz="8" w:space="0" w:color="62B5E5"/>
              <w:left w:val="single" w:sz="6" w:space="0" w:color="5CB2E3"/>
              <w:bottom w:val="single" w:sz="8" w:space="0" w:color="62B5E5"/>
              <w:right w:val="nil"/>
            </w:tcBorders>
            <w:shd w:val="clear" w:color="auto" w:fill="auto"/>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b/>
                <w:bCs/>
                <w:color w:val="000000"/>
                <w:kern w:val="24"/>
                <w:szCs w:val="18"/>
                <w:lang w:eastAsia="en-AU"/>
              </w:rPr>
              <w:t>National Blood Authority</w:t>
            </w:r>
          </w:p>
        </w:tc>
        <w:tc>
          <w:tcPr>
            <w:tcW w:w="1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Chief Executive</w:t>
            </w:r>
          </w:p>
        </w:tc>
        <w:tc>
          <w:tcPr>
            <w:tcW w:w="6451"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tcPr>
          <w:p w:rsidR="00BE357F" w:rsidRPr="00264435" w:rsidRDefault="00BE357F" w:rsidP="008A3CBB">
            <w:pPr>
              <w:numPr>
                <w:ilvl w:val="0"/>
                <w:numId w:val="19"/>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 xml:space="preserve">Responsible for the </w:t>
            </w:r>
            <w:r w:rsidRPr="00264435">
              <w:rPr>
                <w:rFonts w:eastAsia="Times New Roman" w:cs="Arial"/>
                <w:b/>
                <w:bCs/>
                <w:i/>
                <w:iCs/>
                <w:color w:val="000000"/>
                <w:kern w:val="24"/>
                <w:szCs w:val="18"/>
                <w:lang w:eastAsia="en-AU"/>
              </w:rPr>
              <w:t>leadership, management and governance</w:t>
            </w:r>
            <w:r w:rsidRPr="00264435">
              <w:rPr>
                <w:rFonts w:eastAsia="Times New Roman" w:cs="Arial"/>
                <w:i/>
                <w:iCs/>
                <w:color w:val="000000"/>
                <w:kern w:val="24"/>
                <w:szCs w:val="18"/>
                <w:lang w:eastAsia="en-AU"/>
              </w:rPr>
              <w:t xml:space="preserve"> </w:t>
            </w:r>
            <w:r w:rsidRPr="00264435">
              <w:rPr>
                <w:rFonts w:eastAsia="Times New Roman" w:cs="Arial"/>
                <w:color w:val="000000"/>
                <w:kern w:val="24"/>
                <w:szCs w:val="18"/>
                <w:lang w:eastAsia="en-AU"/>
              </w:rPr>
              <w:t xml:space="preserve">of the Authority and implementation of </w:t>
            </w:r>
            <w:r w:rsidR="00556479">
              <w:rPr>
                <w:rFonts w:eastAsia="Times New Roman" w:cs="Arial"/>
                <w:color w:val="000000"/>
                <w:kern w:val="24"/>
                <w:szCs w:val="18"/>
                <w:lang w:eastAsia="en-AU"/>
              </w:rPr>
              <w:t>strategic and operational plans</w:t>
            </w:r>
          </w:p>
        </w:tc>
      </w:tr>
      <w:tr w:rsidR="00BE357F" w:rsidRPr="00264435">
        <w:trPr>
          <w:trHeight w:val="347"/>
        </w:trPr>
        <w:tc>
          <w:tcPr>
            <w:tcW w:w="1589" w:type="dxa"/>
            <w:vMerge/>
            <w:tcBorders>
              <w:top w:val="single" w:sz="8" w:space="0" w:color="62B5E5"/>
              <w:left w:val="single" w:sz="6" w:space="0" w:color="5CB2E3"/>
              <w:bottom w:val="single" w:sz="8" w:space="0" w:color="62B5E5"/>
              <w:right w:val="nil"/>
            </w:tcBorders>
            <w:vAlign w:val="center"/>
          </w:tcPr>
          <w:p w:rsidR="00BE357F" w:rsidRPr="00264435" w:rsidRDefault="00BE357F" w:rsidP="00BE357F">
            <w:pPr>
              <w:spacing w:after="0" w:line="240" w:lineRule="auto"/>
              <w:rPr>
                <w:rFonts w:eastAsia="Times New Roman" w:cs="Arial"/>
                <w:szCs w:val="18"/>
                <w:lang w:eastAsia="en-AU"/>
              </w:rPr>
            </w:pPr>
          </w:p>
        </w:tc>
        <w:tc>
          <w:tcPr>
            <w:tcW w:w="1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Board Member</w:t>
            </w:r>
          </w:p>
        </w:tc>
        <w:tc>
          <w:tcPr>
            <w:tcW w:w="6451"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tcPr>
          <w:p w:rsidR="00BE357F" w:rsidRPr="00264435" w:rsidRDefault="00BE357F" w:rsidP="008A3CBB">
            <w:pPr>
              <w:numPr>
                <w:ilvl w:val="0"/>
                <w:numId w:val="20"/>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 xml:space="preserve">Provides </w:t>
            </w:r>
            <w:r w:rsidRPr="00264435">
              <w:rPr>
                <w:rFonts w:eastAsia="Times New Roman" w:cs="Arial"/>
                <w:b/>
                <w:bCs/>
                <w:i/>
                <w:iCs/>
                <w:color w:val="000000"/>
                <w:kern w:val="24"/>
                <w:szCs w:val="18"/>
                <w:lang w:eastAsia="en-AU"/>
              </w:rPr>
              <w:t xml:space="preserve">advice to the General Manager </w:t>
            </w:r>
            <w:r w:rsidRPr="00264435">
              <w:rPr>
                <w:rFonts w:eastAsia="Times New Roman" w:cs="Arial"/>
                <w:color w:val="000000"/>
                <w:kern w:val="24"/>
                <w:szCs w:val="18"/>
                <w:lang w:eastAsia="en-AU"/>
              </w:rPr>
              <w:t>about the performance of the NBA's functions</w:t>
            </w:r>
          </w:p>
          <w:p w:rsidR="00BE357F" w:rsidRPr="00264435" w:rsidRDefault="00BE357F" w:rsidP="008A3CBB">
            <w:pPr>
              <w:numPr>
                <w:ilvl w:val="0"/>
                <w:numId w:val="20"/>
              </w:numPr>
              <w:spacing w:after="0" w:line="240" w:lineRule="auto"/>
              <w:ind w:left="250" w:hanging="284"/>
              <w:contextualSpacing/>
              <w:rPr>
                <w:rFonts w:eastAsia="Times New Roman" w:cs="Arial"/>
                <w:szCs w:val="18"/>
                <w:lang w:eastAsia="en-AU"/>
              </w:rPr>
            </w:pPr>
            <w:r w:rsidRPr="00264435">
              <w:rPr>
                <w:rFonts w:eastAsia="Times New Roman" w:cs="Arial"/>
                <w:b/>
                <w:bCs/>
                <w:i/>
                <w:iCs/>
                <w:color w:val="000000"/>
                <w:kern w:val="24"/>
                <w:szCs w:val="18"/>
                <w:lang w:eastAsia="en-AU"/>
              </w:rPr>
              <w:t>Not a decision making body</w:t>
            </w:r>
            <w:r w:rsidRPr="00264435">
              <w:rPr>
                <w:rFonts w:eastAsia="Times New Roman" w:cs="Arial"/>
                <w:color w:val="000000"/>
                <w:kern w:val="24"/>
                <w:szCs w:val="18"/>
                <w:lang w:eastAsia="en-AU"/>
              </w:rPr>
              <w:t>, no formal or direct role in gove</w:t>
            </w:r>
            <w:r w:rsidR="00556479">
              <w:rPr>
                <w:rFonts w:eastAsia="Times New Roman" w:cs="Arial"/>
                <w:color w:val="000000"/>
                <w:kern w:val="24"/>
                <w:szCs w:val="18"/>
                <w:lang w:eastAsia="en-AU"/>
              </w:rPr>
              <w:t>rnance or management of the NBA</w:t>
            </w:r>
          </w:p>
        </w:tc>
      </w:tr>
      <w:tr w:rsidR="00BE357F" w:rsidRPr="00264435">
        <w:trPr>
          <w:trHeight w:val="396"/>
        </w:trPr>
        <w:tc>
          <w:tcPr>
            <w:tcW w:w="1589" w:type="dxa"/>
            <w:vMerge w:val="restart"/>
            <w:tcBorders>
              <w:top w:val="single" w:sz="8" w:space="0" w:color="62B5E5"/>
              <w:left w:val="single" w:sz="6" w:space="0" w:color="5CB2E3"/>
              <w:bottom w:val="single" w:sz="8" w:space="0" w:color="62B5E5"/>
              <w:right w:val="nil"/>
            </w:tcBorders>
            <w:shd w:val="clear" w:color="auto" w:fill="E0F0FA"/>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b/>
                <w:bCs/>
                <w:color w:val="000000"/>
                <w:kern w:val="24"/>
                <w:szCs w:val="18"/>
                <w:lang w:eastAsia="en-AU"/>
              </w:rPr>
              <w:t>National Archives (</w:t>
            </w:r>
            <w:r w:rsidRPr="00264435">
              <w:rPr>
                <w:rFonts w:eastAsia="Times New Roman" w:cs="Arial"/>
                <w:b/>
                <w:bCs/>
                <w:i/>
                <w:iCs/>
                <w:color w:val="000000"/>
                <w:kern w:val="24"/>
                <w:szCs w:val="18"/>
                <w:lang w:eastAsia="en-AU"/>
              </w:rPr>
              <w:t>Executive Agency</w:t>
            </w:r>
            <w:r w:rsidRPr="00264435">
              <w:rPr>
                <w:rFonts w:eastAsia="Times New Roman" w:cs="Arial"/>
                <w:b/>
                <w:bCs/>
                <w:color w:val="000000"/>
                <w:kern w:val="24"/>
                <w:szCs w:val="18"/>
                <w:lang w:eastAsia="en-AU"/>
              </w:rPr>
              <w:t>)</w:t>
            </w:r>
          </w:p>
        </w:tc>
        <w:tc>
          <w:tcPr>
            <w:tcW w:w="1591" w:type="dxa"/>
            <w:tcBorders>
              <w:top w:val="single" w:sz="6" w:space="0" w:color="5CB2E3"/>
              <w:left w:val="nil"/>
              <w:bottom w:val="single" w:sz="6" w:space="0" w:color="5CB2E3"/>
              <w:right w:val="nil"/>
            </w:tcBorders>
            <w:shd w:val="clear" w:color="auto" w:fill="E0F0FA"/>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Director-General</w:t>
            </w:r>
          </w:p>
        </w:tc>
        <w:tc>
          <w:tcPr>
            <w:tcW w:w="6451" w:type="dxa"/>
            <w:tcBorders>
              <w:top w:val="single" w:sz="6" w:space="0" w:color="5CB2E3"/>
              <w:left w:val="nil"/>
              <w:bottom w:val="single" w:sz="6" w:space="0" w:color="5CB2E3"/>
              <w:right w:val="single" w:sz="6" w:space="0" w:color="5CB2E3"/>
            </w:tcBorders>
            <w:shd w:val="clear" w:color="auto" w:fill="E0F0FA"/>
            <w:tcMar>
              <w:top w:w="72" w:type="dxa"/>
              <w:left w:w="144" w:type="dxa"/>
              <w:bottom w:w="72" w:type="dxa"/>
              <w:right w:w="144" w:type="dxa"/>
            </w:tcMar>
          </w:tcPr>
          <w:p w:rsidR="00BE357F" w:rsidRPr="00264435" w:rsidRDefault="00BE357F" w:rsidP="008A3CBB">
            <w:pPr>
              <w:numPr>
                <w:ilvl w:val="0"/>
                <w:numId w:val="21"/>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 xml:space="preserve">The Director-General and the executive provide </w:t>
            </w:r>
            <w:r w:rsidRPr="00264435">
              <w:rPr>
                <w:rFonts w:eastAsia="Times New Roman" w:cs="Arial"/>
                <w:b/>
                <w:bCs/>
                <w:i/>
                <w:iCs/>
                <w:color w:val="000000"/>
                <w:kern w:val="24"/>
                <w:szCs w:val="18"/>
                <w:lang w:eastAsia="en-AU"/>
              </w:rPr>
              <w:t xml:space="preserve">leadership to the organisation </w:t>
            </w:r>
            <w:r w:rsidRPr="00264435">
              <w:rPr>
                <w:rFonts w:eastAsia="Times New Roman" w:cs="Arial"/>
                <w:color w:val="000000"/>
                <w:kern w:val="24"/>
                <w:szCs w:val="18"/>
                <w:lang w:eastAsia="en-AU"/>
              </w:rPr>
              <w:t>and its staff, with specific Assistant DGs f</w:t>
            </w:r>
            <w:r w:rsidR="00556479">
              <w:rPr>
                <w:rFonts w:eastAsia="Times New Roman" w:cs="Arial"/>
                <w:color w:val="000000"/>
                <w:kern w:val="24"/>
                <w:szCs w:val="18"/>
                <w:lang w:eastAsia="en-AU"/>
              </w:rPr>
              <w:t>or the branches of the Archives</w:t>
            </w:r>
          </w:p>
        </w:tc>
      </w:tr>
      <w:tr w:rsidR="00BE357F" w:rsidRPr="00264435">
        <w:trPr>
          <w:trHeight w:val="396"/>
        </w:trPr>
        <w:tc>
          <w:tcPr>
            <w:tcW w:w="1589" w:type="dxa"/>
            <w:vMerge/>
            <w:tcBorders>
              <w:top w:val="single" w:sz="8" w:space="0" w:color="62B5E5"/>
              <w:left w:val="single" w:sz="6" w:space="0" w:color="5CB2E3"/>
              <w:bottom w:val="single" w:sz="8" w:space="0" w:color="62B5E5"/>
              <w:right w:val="nil"/>
            </w:tcBorders>
            <w:vAlign w:val="center"/>
          </w:tcPr>
          <w:p w:rsidR="00BE357F" w:rsidRPr="00264435" w:rsidRDefault="00BE357F" w:rsidP="00BE357F">
            <w:pPr>
              <w:spacing w:after="0" w:line="240" w:lineRule="auto"/>
              <w:rPr>
                <w:rFonts w:eastAsia="Times New Roman" w:cs="Arial"/>
                <w:szCs w:val="18"/>
                <w:lang w:eastAsia="en-AU"/>
              </w:rPr>
            </w:pPr>
          </w:p>
        </w:tc>
        <w:tc>
          <w:tcPr>
            <w:tcW w:w="1591" w:type="dxa"/>
            <w:tcBorders>
              <w:top w:val="single" w:sz="6" w:space="0" w:color="5CB2E3"/>
              <w:left w:val="nil"/>
              <w:bottom w:val="single" w:sz="6" w:space="0" w:color="5CB2E3"/>
              <w:right w:val="nil"/>
            </w:tcBorders>
            <w:shd w:val="clear" w:color="auto" w:fill="E0F0FA"/>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Advisory Council</w:t>
            </w:r>
          </w:p>
        </w:tc>
        <w:tc>
          <w:tcPr>
            <w:tcW w:w="6451" w:type="dxa"/>
            <w:tcBorders>
              <w:top w:val="single" w:sz="6" w:space="0" w:color="5CB2E3"/>
              <w:left w:val="nil"/>
              <w:bottom w:val="single" w:sz="6" w:space="0" w:color="5CB2E3"/>
              <w:right w:val="single" w:sz="6" w:space="0" w:color="5CB2E3"/>
            </w:tcBorders>
            <w:shd w:val="clear" w:color="auto" w:fill="E0F0FA"/>
            <w:tcMar>
              <w:top w:w="72" w:type="dxa"/>
              <w:left w:w="144" w:type="dxa"/>
              <w:bottom w:w="72" w:type="dxa"/>
              <w:right w:w="144" w:type="dxa"/>
            </w:tcMar>
          </w:tcPr>
          <w:p w:rsidR="00BE357F" w:rsidRPr="00264435" w:rsidRDefault="00BE357F" w:rsidP="008A3CBB">
            <w:pPr>
              <w:numPr>
                <w:ilvl w:val="0"/>
                <w:numId w:val="22"/>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 xml:space="preserve">Under the </w:t>
            </w:r>
            <w:r w:rsidRPr="00264435">
              <w:rPr>
                <w:rFonts w:eastAsia="Times New Roman" w:cs="Arial"/>
                <w:i/>
                <w:iCs/>
                <w:color w:val="000000"/>
                <w:kern w:val="24"/>
                <w:szCs w:val="18"/>
                <w:lang w:eastAsia="en-AU"/>
              </w:rPr>
              <w:t xml:space="preserve">Archives Act 1983 </w:t>
            </w:r>
            <w:r w:rsidRPr="00264435">
              <w:rPr>
                <w:rFonts w:eastAsia="Times New Roman" w:cs="Arial"/>
                <w:color w:val="000000"/>
                <w:kern w:val="24"/>
                <w:szCs w:val="18"/>
                <w:lang w:eastAsia="en-AU"/>
              </w:rPr>
              <w:t xml:space="preserve">the Advisory Council advises </w:t>
            </w:r>
            <w:r w:rsidRPr="00264435">
              <w:rPr>
                <w:rFonts w:eastAsia="Times New Roman" w:cs="Arial"/>
                <w:b/>
                <w:bCs/>
                <w:i/>
                <w:iCs/>
                <w:color w:val="000000"/>
                <w:kern w:val="24"/>
                <w:szCs w:val="18"/>
                <w:lang w:eastAsia="en-AU"/>
              </w:rPr>
              <w:t>the Minister and Director General</w:t>
            </w:r>
          </w:p>
        </w:tc>
      </w:tr>
      <w:tr w:rsidR="00BE357F" w:rsidRPr="00264435">
        <w:trPr>
          <w:trHeight w:val="396"/>
        </w:trPr>
        <w:tc>
          <w:tcPr>
            <w:tcW w:w="1589" w:type="dxa"/>
            <w:vMerge w:val="restart"/>
            <w:tcBorders>
              <w:top w:val="single" w:sz="8" w:space="0" w:color="62B5E5"/>
              <w:left w:val="single" w:sz="6" w:space="0" w:color="5CB2E3"/>
              <w:bottom w:val="single" w:sz="6" w:space="0" w:color="5CB2E3"/>
              <w:right w:val="nil"/>
            </w:tcBorders>
            <w:shd w:val="clear" w:color="auto" w:fill="auto"/>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b/>
                <w:bCs/>
                <w:color w:val="000000"/>
                <w:kern w:val="24"/>
                <w:szCs w:val="18"/>
                <w:lang w:eastAsia="en-AU"/>
              </w:rPr>
              <w:t>Australian Financial Security Authority (</w:t>
            </w:r>
            <w:r w:rsidRPr="00264435">
              <w:rPr>
                <w:rFonts w:eastAsia="Times New Roman" w:cs="Arial"/>
                <w:b/>
                <w:bCs/>
                <w:i/>
                <w:iCs/>
                <w:color w:val="000000"/>
                <w:kern w:val="24"/>
                <w:szCs w:val="18"/>
                <w:lang w:eastAsia="en-AU"/>
              </w:rPr>
              <w:t>Executive Agency</w:t>
            </w:r>
            <w:r w:rsidRPr="00264435">
              <w:rPr>
                <w:rFonts w:eastAsia="Times New Roman" w:cs="Arial"/>
                <w:b/>
                <w:bCs/>
                <w:color w:val="000000"/>
                <w:kern w:val="24"/>
                <w:szCs w:val="18"/>
                <w:lang w:eastAsia="en-AU"/>
              </w:rPr>
              <w:t>)</w:t>
            </w:r>
          </w:p>
        </w:tc>
        <w:tc>
          <w:tcPr>
            <w:tcW w:w="1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Chief Executive</w:t>
            </w:r>
          </w:p>
        </w:tc>
        <w:tc>
          <w:tcPr>
            <w:tcW w:w="6451"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tcPr>
          <w:p w:rsidR="00BE357F" w:rsidRPr="00264435" w:rsidRDefault="00BE357F" w:rsidP="008A3CBB">
            <w:pPr>
              <w:numPr>
                <w:ilvl w:val="0"/>
                <w:numId w:val="23"/>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The agency’s CE is also the Inspector-General in Bankruptcy and is supported by a number of groups and Divisions (with some statutorily defined ro</w:t>
            </w:r>
            <w:r w:rsidR="00556479">
              <w:rPr>
                <w:rFonts w:eastAsia="Times New Roman" w:cs="Arial"/>
                <w:color w:val="000000"/>
                <w:kern w:val="24"/>
                <w:szCs w:val="18"/>
                <w:lang w:eastAsia="en-AU"/>
              </w:rPr>
              <w:t>les, such as Official Receiver)</w:t>
            </w:r>
          </w:p>
        </w:tc>
      </w:tr>
      <w:tr w:rsidR="00BE357F" w:rsidRPr="00264435">
        <w:trPr>
          <w:trHeight w:val="396"/>
        </w:trPr>
        <w:tc>
          <w:tcPr>
            <w:tcW w:w="1589" w:type="dxa"/>
            <w:vMerge/>
            <w:tcBorders>
              <w:top w:val="single" w:sz="8" w:space="0" w:color="62B5E5"/>
              <w:left w:val="single" w:sz="6" w:space="0" w:color="5CB2E3"/>
              <w:bottom w:val="single" w:sz="6" w:space="0" w:color="5CB2E3"/>
              <w:right w:val="nil"/>
            </w:tcBorders>
            <w:vAlign w:val="center"/>
          </w:tcPr>
          <w:p w:rsidR="00BE357F" w:rsidRPr="00264435" w:rsidRDefault="00BE357F" w:rsidP="00BE357F">
            <w:pPr>
              <w:spacing w:after="0" w:line="240" w:lineRule="auto"/>
              <w:rPr>
                <w:rFonts w:eastAsia="Times New Roman" w:cs="Arial"/>
                <w:szCs w:val="18"/>
                <w:lang w:eastAsia="en-AU"/>
              </w:rPr>
            </w:pPr>
          </w:p>
        </w:tc>
        <w:tc>
          <w:tcPr>
            <w:tcW w:w="1591" w:type="dxa"/>
            <w:tcBorders>
              <w:top w:val="single" w:sz="6" w:space="0" w:color="5CB2E3"/>
              <w:left w:val="nil"/>
              <w:bottom w:val="single" w:sz="6" w:space="0" w:color="5CB2E3"/>
              <w:right w:val="nil"/>
            </w:tcBorders>
            <w:shd w:val="clear" w:color="auto" w:fill="auto"/>
            <w:tcMar>
              <w:top w:w="72" w:type="dxa"/>
              <w:left w:w="144" w:type="dxa"/>
              <w:bottom w:w="72" w:type="dxa"/>
              <w:right w:w="144" w:type="dxa"/>
            </w:tcMar>
            <w:vAlign w:val="center"/>
          </w:tcPr>
          <w:p w:rsidR="00BE357F" w:rsidRPr="00264435" w:rsidRDefault="00BE357F" w:rsidP="00BE357F">
            <w:pPr>
              <w:spacing w:after="0" w:line="240" w:lineRule="auto"/>
              <w:rPr>
                <w:rFonts w:eastAsia="Times New Roman" w:cs="Arial"/>
                <w:szCs w:val="18"/>
                <w:lang w:eastAsia="en-AU"/>
              </w:rPr>
            </w:pPr>
            <w:r w:rsidRPr="00264435">
              <w:rPr>
                <w:rFonts w:eastAsia="Times New Roman" w:cs="Arial"/>
                <w:color w:val="000000"/>
                <w:kern w:val="24"/>
                <w:szCs w:val="18"/>
                <w:lang w:eastAsia="en-AU"/>
              </w:rPr>
              <w:t>National Management Board</w:t>
            </w:r>
          </w:p>
        </w:tc>
        <w:tc>
          <w:tcPr>
            <w:tcW w:w="6451" w:type="dxa"/>
            <w:tcBorders>
              <w:top w:val="single" w:sz="6" w:space="0" w:color="5CB2E3"/>
              <w:left w:val="nil"/>
              <w:bottom w:val="single" w:sz="6" w:space="0" w:color="5CB2E3"/>
              <w:right w:val="single" w:sz="6" w:space="0" w:color="5CB2E3"/>
            </w:tcBorders>
            <w:shd w:val="clear" w:color="auto" w:fill="auto"/>
            <w:tcMar>
              <w:top w:w="72" w:type="dxa"/>
              <w:left w:w="144" w:type="dxa"/>
              <w:bottom w:w="72" w:type="dxa"/>
              <w:right w:w="144" w:type="dxa"/>
            </w:tcMar>
          </w:tcPr>
          <w:p w:rsidR="00BE357F" w:rsidRPr="00264435" w:rsidRDefault="00BE357F" w:rsidP="008A3CBB">
            <w:pPr>
              <w:numPr>
                <w:ilvl w:val="0"/>
                <w:numId w:val="24"/>
              </w:numPr>
              <w:spacing w:after="0" w:line="240" w:lineRule="auto"/>
              <w:ind w:left="250" w:hanging="284"/>
              <w:contextualSpacing/>
              <w:rPr>
                <w:rFonts w:eastAsia="Times New Roman" w:cs="Arial"/>
                <w:szCs w:val="18"/>
                <w:lang w:eastAsia="en-AU"/>
              </w:rPr>
            </w:pPr>
            <w:r w:rsidRPr="00264435">
              <w:rPr>
                <w:rFonts w:eastAsia="Times New Roman" w:cs="Arial"/>
                <w:color w:val="000000"/>
                <w:kern w:val="24"/>
                <w:szCs w:val="18"/>
                <w:lang w:eastAsia="en-AU"/>
              </w:rPr>
              <w:t>The “</w:t>
            </w:r>
            <w:r w:rsidRPr="00264435">
              <w:rPr>
                <w:rFonts w:eastAsia="Times New Roman" w:cs="Arial"/>
                <w:b/>
                <w:bCs/>
                <w:i/>
                <w:iCs/>
                <w:color w:val="000000"/>
                <w:kern w:val="24"/>
                <w:szCs w:val="18"/>
                <w:lang w:eastAsia="en-AU"/>
              </w:rPr>
              <w:t>peak governing body</w:t>
            </w:r>
            <w:r w:rsidRPr="00264435">
              <w:rPr>
                <w:rFonts w:eastAsia="Times New Roman" w:cs="Arial"/>
                <w:color w:val="000000"/>
                <w:kern w:val="24"/>
                <w:szCs w:val="18"/>
                <w:lang w:eastAsia="en-AU"/>
              </w:rPr>
              <w:t>” of the AFSA, supported by a number of operational committees and project boards.</w:t>
            </w:r>
          </w:p>
        </w:tc>
      </w:tr>
    </w:tbl>
    <w:p w:rsidR="0000502F" w:rsidRPr="00264435" w:rsidRDefault="0000502F" w:rsidP="0000502F">
      <w:pPr>
        <w:pStyle w:val="Heading1"/>
        <w:spacing w:after="0"/>
      </w:pPr>
      <w:bookmarkStart w:id="23" w:name="_Toc482809640"/>
      <w:r w:rsidRPr="00264435">
        <w:lastRenderedPageBreak/>
        <w:t xml:space="preserve">Appendix </w:t>
      </w:r>
      <w:r w:rsidR="00D33910" w:rsidRPr="00264435">
        <w:t>C</w:t>
      </w:r>
      <w:r w:rsidRPr="00264435">
        <w:t xml:space="preserve">: </w:t>
      </w:r>
      <w:r w:rsidR="00C65FB8" w:rsidRPr="00264435">
        <w:t xml:space="preserve">Possible </w:t>
      </w:r>
      <w:r w:rsidR="001A38F6">
        <w:t xml:space="preserve">Inputs </w:t>
      </w:r>
      <w:r w:rsidR="001A38F6" w:rsidRPr="00ED1883">
        <w:t xml:space="preserve">to </w:t>
      </w:r>
      <w:r w:rsidR="008075F9" w:rsidRPr="00ED1883">
        <w:t xml:space="preserve">Executive Order and </w:t>
      </w:r>
      <w:r w:rsidR="001A38F6" w:rsidRPr="00ED1883">
        <w:t>Charter Letter</w:t>
      </w:r>
      <w:bookmarkEnd w:id="23"/>
    </w:p>
    <w:p w:rsidR="0000502F" w:rsidRPr="001A38F6" w:rsidRDefault="0000502F" w:rsidP="0000502F">
      <w:pPr>
        <w:rPr>
          <w:sz w:val="56"/>
          <w:szCs w:val="60"/>
        </w:rPr>
      </w:pPr>
    </w:p>
    <w:p w:rsidR="00105C6A" w:rsidRPr="00B24FBC" w:rsidRDefault="00105C6A" w:rsidP="0000502F">
      <w:pPr>
        <w:rPr>
          <w:bCs/>
          <w:sz w:val="20"/>
          <w:szCs w:val="18"/>
        </w:rPr>
      </w:pPr>
      <w:r w:rsidRPr="00B24FBC">
        <w:rPr>
          <w:bCs/>
          <w:sz w:val="20"/>
          <w:szCs w:val="18"/>
        </w:rPr>
        <w:t xml:space="preserve">While the contents of the </w:t>
      </w:r>
      <w:r w:rsidR="008075F9" w:rsidRPr="00ED1883">
        <w:rPr>
          <w:bCs/>
          <w:sz w:val="20"/>
          <w:szCs w:val="18"/>
        </w:rPr>
        <w:t xml:space="preserve">Executive Order and </w:t>
      </w:r>
      <w:r w:rsidRPr="00ED1883">
        <w:rPr>
          <w:bCs/>
          <w:sz w:val="20"/>
          <w:szCs w:val="18"/>
        </w:rPr>
        <w:t>Minister</w:t>
      </w:r>
      <w:r w:rsidR="00A97957" w:rsidRPr="00ED1883">
        <w:rPr>
          <w:bCs/>
          <w:sz w:val="20"/>
          <w:szCs w:val="18"/>
        </w:rPr>
        <w:t xml:space="preserve"> for Health</w:t>
      </w:r>
      <w:r w:rsidRPr="00ED1883">
        <w:rPr>
          <w:bCs/>
          <w:sz w:val="20"/>
          <w:szCs w:val="18"/>
        </w:rPr>
        <w:t>’s</w:t>
      </w:r>
      <w:r w:rsidR="00795D9F" w:rsidRPr="00ED1883">
        <w:rPr>
          <w:bCs/>
          <w:sz w:val="20"/>
          <w:szCs w:val="18"/>
        </w:rPr>
        <w:t xml:space="preserve"> Charter Letter</w:t>
      </w:r>
      <w:r w:rsidR="00795D9F">
        <w:rPr>
          <w:bCs/>
          <w:sz w:val="20"/>
          <w:szCs w:val="18"/>
        </w:rPr>
        <w:t xml:space="preserve"> will</w:t>
      </w:r>
      <w:r w:rsidRPr="00B24FBC">
        <w:rPr>
          <w:bCs/>
          <w:sz w:val="20"/>
          <w:szCs w:val="18"/>
        </w:rPr>
        <w:t xml:space="preserve"> be</w:t>
      </w:r>
      <w:r w:rsidR="00795D9F">
        <w:rPr>
          <w:bCs/>
          <w:sz w:val="20"/>
          <w:szCs w:val="18"/>
        </w:rPr>
        <w:t xml:space="preserve"> a matter for</w:t>
      </w:r>
      <w:r w:rsidRPr="00B24FBC">
        <w:rPr>
          <w:bCs/>
          <w:sz w:val="20"/>
          <w:szCs w:val="18"/>
        </w:rPr>
        <w:t xml:space="preserve"> the Minister </w:t>
      </w:r>
      <w:r w:rsidR="00A97957">
        <w:rPr>
          <w:bCs/>
          <w:sz w:val="20"/>
          <w:szCs w:val="18"/>
        </w:rPr>
        <w:t xml:space="preserve">for Health </w:t>
      </w:r>
      <w:r w:rsidRPr="00B24FBC">
        <w:rPr>
          <w:bCs/>
          <w:sz w:val="20"/>
          <w:szCs w:val="18"/>
        </w:rPr>
        <w:t>and will no doubt include some consultation with stakeholder</w:t>
      </w:r>
      <w:r w:rsidR="00795D9F">
        <w:rPr>
          <w:bCs/>
          <w:sz w:val="20"/>
          <w:szCs w:val="18"/>
        </w:rPr>
        <w:t>s across the sector and</w:t>
      </w:r>
      <w:r w:rsidRPr="00B24FBC">
        <w:rPr>
          <w:bCs/>
          <w:sz w:val="20"/>
          <w:szCs w:val="18"/>
        </w:rPr>
        <w:t xml:space="preserve"> the NMHC, some indicative elements to consider including are present</w:t>
      </w:r>
      <w:r w:rsidR="00B24FBC">
        <w:rPr>
          <w:bCs/>
          <w:sz w:val="20"/>
          <w:szCs w:val="18"/>
        </w:rPr>
        <w:t>ed</w:t>
      </w:r>
      <w:r w:rsidRPr="00B24FBC">
        <w:rPr>
          <w:bCs/>
          <w:sz w:val="20"/>
          <w:szCs w:val="18"/>
        </w:rPr>
        <w:t xml:space="preserve"> below:</w:t>
      </w:r>
    </w:p>
    <w:p w:rsidR="00105C6A" w:rsidRPr="00541D0E" w:rsidRDefault="00105C6A" w:rsidP="00D8278D">
      <w:pPr>
        <w:pStyle w:val="ListParagraph"/>
        <w:numPr>
          <w:ilvl w:val="0"/>
          <w:numId w:val="33"/>
        </w:numPr>
        <w:rPr>
          <w:b/>
          <w:bCs/>
          <w:sz w:val="20"/>
          <w:szCs w:val="18"/>
        </w:rPr>
      </w:pPr>
      <w:r w:rsidRPr="00541D0E">
        <w:rPr>
          <w:b/>
          <w:bCs/>
          <w:sz w:val="20"/>
          <w:szCs w:val="18"/>
        </w:rPr>
        <w:t>Role of the NMHC</w:t>
      </w:r>
    </w:p>
    <w:p w:rsidR="00B24FBC" w:rsidRDefault="00B24FBC" w:rsidP="00D8278D">
      <w:pPr>
        <w:pStyle w:val="ListParagraph"/>
        <w:numPr>
          <w:ilvl w:val="1"/>
          <w:numId w:val="33"/>
        </w:numPr>
        <w:rPr>
          <w:bCs/>
          <w:sz w:val="20"/>
          <w:szCs w:val="18"/>
        </w:rPr>
      </w:pPr>
      <w:r>
        <w:rPr>
          <w:bCs/>
          <w:sz w:val="20"/>
          <w:szCs w:val="18"/>
        </w:rPr>
        <w:t>Monitoring and reporting on performance of the entire mental health system (</w:t>
      </w:r>
      <w:r w:rsidR="008075F9">
        <w:rPr>
          <w:bCs/>
          <w:sz w:val="20"/>
          <w:szCs w:val="18"/>
        </w:rPr>
        <w:t xml:space="preserve">including </w:t>
      </w:r>
      <w:r w:rsidR="00F4433A">
        <w:rPr>
          <w:bCs/>
          <w:sz w:val="20"/>
          <w:szCs w:val="18"/>
        </w:rPr>
        <w:t>Commonwealth, State and Territory, health, soc</w:t>
      </w:r>
      <w:r w:rsidR="005454C5">
        <w:rPr>
          <w:bCs/>
          <w:sz w:val="20"/>
          <w:szCs w:val="18"/>
        </w:rPr>
        <w:t>ial services/welfare, economics and</w:t>
      </w:r>
      <w:r w:rsidR="00F4433A">
        <w:rPr>
          <w:bCs/>
          <w:sz w:val="20"/>
          <w:szCs w:val="18"/>
        </w:rPr>
        <w:t xml:space="preserve"> housing)</w:t>
      </w:r>
    </w:p>
    <w:p w:rsidR="00B24FBC" w:rsidRDefault="00541D0E" w:rsidP="00D8278D">
      <w:pPr>
        <w:pStyle w:val="ListParagraph"/>
        <w:numPr>
          <w:ilvl w:val="1"/>
          <w:numId w:val="33"/>
        </w:numPr>
        <w:rPr>
          <w:bCs/>
          <w:sz w:val="20"/>
          <w:szCs w:val="18"/>
        </w:rPr>
      </w:pPr>
      <w:r>
        <w:rPr>
          <w:bCs/>
          <w:sz w:val="20"/>
          <w:szCs w:val="18"/>
        </w:rPr>
        <w:t>Advise and input into mental health policy</w:t>
      </w:r>
      <w:r w:rsidR="00795D9F">
        <w:rPr>
          <w:bCs/>
          <w:sz w:val="20"/>
          <w:szCs w:val="18"/>
        </w:rPr>
        <w:t>, including outcomes to be delivered and priorities for reform and improvement</w:t>
      </w:r>
    </w:p>
    <w:p w:rsidR="00541D0E" w:rsidRPr="00B24FBC" w:rsidRDefault="00541D0E" w:rsidP="00D8278D">
      <w:pPr>
        <w:pStyle w:val="ListParagraph"/>
        <w:numPr>
          <w:ilvl w:val="1"/>
          <w:numId w:val="33"/>
        </w:numPr>
        <w:rPr>
          <w:bCs/>
          <w:sz w:val="20"/>
          <w:szCs w:val="18"/>
        </w:rPr>
      </w:pPr>
      <w:r>
        <w:rPr>
          <w:bCs/>
          <w:sz w:val="20"/>
          <w:szCs w:val="18"/>
        </w:rPr>
        <w:t xml:space="preserve">Engage and include </w:t>
      </w:r>
      <w:r w:rsidR="001A38F6">
        <w:rPr>
          <w:bCs/>
          <w:sz w:val="20"/>
          <w:szCs w:val="18"/>
        </w:rPr>
        <w:t xml:space="preserve">perspectives of </w:t>
      </w:r>
      <w:r>
        <w:rPr>
          <w:bCs/>
          <w:sz w:val="20"/>
          <w:szCs w:val="18"/>
        </w:rPr>
        <w:t>mental health consumers, families and carers</w:t>
      </w:r>
      <w:r w:rsidR="00556479">
        <w:rPr>
          <w:bCs/>
          <w:sz w:val="20"/>
          <w:szCs w:val="18"/>
        </w:rPr>
        <w:t>.</w:t>
      </w:r>
    </w:p>
    <w:p w:rsidR="00105C6A" w:rsidRPr="00B24FBC" w:rsidRDefault="00105C6A" w:rsidP="00105C6A">
      <w:pPr>
        <w:pStyle w:val="ListParagraph"/>
        <w:ind w:left="360"/>
        <w:rPr>
          <w:bCs/>
          <w:sz w:val="20"/>
          <w:szCs w:val="18"/>
        </w:rPr>
      </w:pPr>
    </w:p>
    <w:p w:rsidR="00105C6A" w:rsidRPr="00541D0E" w:rsidRDefault="00105C6A" w:rsidP="00D8278D">
      <w:pPr>
        <w:pStyle w:val="ListParagraph"/>
        <w:numPr>
          <w:ilvl w:val="0"/>
          <w:numId w:val="33"/>
        </w:numPr>
        <w:rPr>
          <w:b/>
          <w:bCs/>
          <w:sz w:val="20"/>
          <w:szCs w:val="18"/>
        </w:rPr>
      </w:pPr>
      <w:r w:rsidRPr="00541D0E">
        <w:rPr>
          <w:b/>
          <w:bCs/>
          <w:sz w:val="20"/>
          <w:szCs w:val="18"/>
        </w:rPr>
        <w:t xml:space="preserve">Functions and outputs </w:t>
      </w:r>
    </w:p>
    <w:p w:rsidR="00541D0E" w:rsidRDefault="00541D0E" w:rsidP="00D8278D">
      <w:pPr>
        <w:pStyle w:val="ListParagraph"/>
        <w:numPr>
          <w:ilvl w:val="1"/>
          <w:numId w:val="33"/>
        </w:numPr>
        <w:rPr>
          <w:bCs/>
          <w:sz w:val="20"/>
          <w:szCs w:val="18"/>
        </w:rPr>
      </w:pPr>
      <w:r>
        <w:rPr>
          <w:bCs/>
          <w:sz w:val="20"/>
          <w:szCs w:val="18"/>
        </w:rPr>
        <w:t>Deliver regular reporting that does not duplicate other sources of information and which is insightful to the sector</w:t>
      </w:r>
      <w:r w:rsidR="00795D9F">
        <w:rPr>
          <w:bCs/>
          <w:sz w:val="20"/>
          <w:szCs w:val="18"/>
        </w:rPr>
        <w:t xml:space="preserve"> might include a 3 yearly report against agreed outcomes (and some activity measurement) that describes the progress of reform in mental health services and identifies priorities for improvement, supplemented by annual deep dives into specific areas such as physical health, housing, employment or sub-populations</w:t>
      </w:r>
    </w:p>
    <w:p w:rsidR="00541D0E" w:rsidRDefault="00541D0E" w:rsidP="00D8278D">
      <w:pPr>
        <w:pStyle w:val="ListParagraph"/>
        <w:numPr>
          <w:ilvl w:val="1"/>
          <w:numId w:val="33"/>
        </w:numPr>
        <w:rPr>
          <w:bCs/>
          <w:sz w:val="20"/>
          <w:szCs w:val="18"/>
        </w:rPr>
      </w:pPr>
      <w:r>
        <w:rPr>
          <w:bCs/>
          <w:sz w:val="20"/>
          <w:szCs w:val="18"/>
        </w:rPr>
        <w:t>As part of, or in addition to, the above, conduct monitoring and reporting of implementation and impact of the Fifth National Mental Health Plan</w:t>
      </w:r>
    </w:p>
    <w:p w:rsidR="00541D0E" w:rsidRPr="00B24FBC" w:rsidRDefault="00541D0E" w:rsidP="00D8278D">
      <w:pPr>
        <w:pStyle w:val="ListParagraph"/>
        <w:numPr>
          <w:ilvl w:val="1"/>
          <w:numId w:val="33"/>
        </w:numPr>
        <w:rPr>
          <w:bCs/>
          <w:sz w:val="20"/>
          <w:szCs w:val="18"/>
        </w:rPr>
      </w:pPr>
      <w:r>
        <w:rPr>
          <w:bCs/>
          <w:sz w:val="20"/>
          <w:szCs w:val="18"/>
        </w:rPr>
        <w:t>Conduct bespoke research, engagement and analysis on priority issues in mental health – particularly with a cross-sectoral focus</w:t>
      </w:r>
      <w:r w:rsidR="00556479">
        <w:rPr>
          <w:bCs/>
          <w:sz w:val="20"/>
          <w:szCs w:val="18"/>
        </w:rPr>
        <w:t>.</w:t>
      </w:r>
    </w:p>
    <w:p w:rsidR="00105C6A" w:rsidRPr="00B24FBC" w:rsidRDefault="00105C6A" w:rsidP="00105C6A">
      <w:pPr>
        <w:pStyle w:val="ListParagraph"/>
        <w:rPr>
          <w:bCs/>
          <w:sz w:val="20"/>
          <w:szCs w:val="18"/>
        </w:rPr>
      </w:pPr>
    </w:p>
    <w:p w:rsidR="00105C6A" w:rsidRPr="00541D0E" w:rsidRDefault="00105C6A" w:rsidP="00D8278D">
      <w:pPr>
        <w:pStyle w:val="ListParagraph"/>
        <w:numPr>
          <w:ilvl w:val="0"/>
          <w:numId w:val="33"/>
        </w:numPr>
        <w:rPr>
          <w:b/>
          <w:bCs/>
          <w:sz w:val="20"/>
          <w:szCs w:val="18"/>
        </w:rPr>
      </w:pPr>
      <w:r w:rsidRPr="00541D0E">
        <w:rPr>
          <w:b/>
          <w:bCs/>
          <w:sz w:val="20"/>
          <w:szCs w:val="18"/>
        </w:rPr>
        <w:t>Scope of the NMHC’s operations</w:t>
      </w:r>
    </w:p>
    <w:p w:rsidR="002C50AC" w:rsidRDefault="00541D0E" w:rsidP="00D8278D">
      <w:pPr>
        <w:pStyle w:val="ListParagraph"/>
        <w:numPr>
          <w:ilvl w:val="1"/>
          <w:numId w:val="33"/>
        </w:numPr>
        <w:rPr>
          <w:bCs/>
          <w:sz w:val="20"/>
          <w:szCs w:val="18"/>
        </w:rPr>
      </w:pPr>
      <w:r>
        <w:rPr>
          <w:bCs/>
          <w:sz w:val="20"/>
          <w:szCs w:val="18"/>
        </w:rPr>
        <w:t>Ensure a cross-sectoral focus, including principles, data and stakeholders from across government portfolios. This should include social services/welfare, economics, family violence and Aboriginal and Torres St</w:t>
      </w:r>
      <w:r w:rsidR="00556479">
        <w:rPr>
          <w:bCs/>
          <w:sz w:val="20"/>
          <w:szCs w:val="18"/>
        </w:rPr>
        <w:t>rait Issues</w:t>
      </w:r>
    </w:p>
    <w:p w:rsidR="00541D0E" w:rsidRDefault="002C50AC" w:rsidP="00D8278D">
      <w:pPr>
        <w:pStyle w:val="ListParagraph"/>
        <w:numPr>
          <w:ilvl w:val="1"/>
          <w:numId w:val="33"/>
        </w:numPr>
        <w:rPr>
          <w:bCs/>
          <w:sz w:val="20"/>
          <w:szCs w:val="18"/>
        </w:rPr>
      </w:pPr>
      <w:r>
        <w:rPr>
          <w:bCs/>
          <w:sz w:val="20"/>
          <w:szCs w:val="18"/>
        </w:rPr>
        <w:t>All Commonwealth policy and services that affect or contribute to the lives of people with mental health issues and their carers</w:t>
      </w:r>
    </w:p>
    <w:p w:rsidR="00541D0E" w:rsidRPr="00B24FBC" w:rsidRDefault="00541D0E" w:rsidP="00D8278D">
      <w:pPr>
        <w:pStyle w:val="ListParagraph"/>
        <w:numPr>
          <w:ilvl w:val="1"/>
          <w:numId w:val="33"/>
        </w:numPr>
        <w:rPr>
          <w:bCs/>
          <w:sz w:val="20"/>
          <w:szCs w:val="18"/>
        </w:rPr>
      </w:pPr>
      <w:r>
        <w:rPr>
          <w:bCs/>
          <w:sz w:val="20"/>
          <w:szCs w:val="18"/>
        </w:rPr>
        <w:t>Consider mental health policy, activity and outcomes at a national, state &amp; territory and sub-state level wherever possible.</w:t>
      </w:r>
    </w:p>
    <w:p w:rsidR="00105C6A" w:rsidRPr="00B24FBC" w:rsidRDefault="00105C6A" w:rsidP="00105C6A">
      <w:pPr>
        <w:pStyle w:val="ListParagraph"/>
        <w:rPr>
          <w:bCs/>
          <w:sz w:val="20"/>
          <w:szCs w:val="18"/>
        </w:rPr>
      </w:pPr>
    </w:p>
    <w:p w:rsidR="00105C6A" w:rsidRPr="00541D0E" w:rsidRDefault="00105C6A" w:rsidP="00D8278D">
      <w:pPr>
        <w:pStyle w:val="ListParagraph"/>
        <w:numPr>
          <w:ilvl w:val="0"/>
          <w:numId w:val="33"/>
        </w:numPr>
        <w:rPr>
          <w:b/>
          <w:bCs/>
          <w:sz w:val="20"/>
          <w:szCs w:val="18"/>
        </w:rPr>
      </w:pPr>
      <w:r w:rsidRPr="00541D0E">
        <w:rPr>
          <w:b/>
          <w:bCs/>
          <w:sz w:val="20"/>
          <w:szCs w:val="18"/>
        </w:rPr>
        <w:t>Governance and performance reporting</w:t>
      </w:r>
    </w:p>
    <w:p w:rsidR="00541D0E" w:rsidRDefault="00541D0E" w:rsidP="00D8278D">
      <w:pPr>
        <w:pStyle w:val="ListParagraph"/>
        <w:numPr>
          <w:ilvl w:val="1"/>
          <w:numId w:val="33"/>
        </w:numPr>
        <w:rPr>
          <w:bCs/>
          <w:sz w:val="20"/>
          <w:szCs w:val="18"/>
        </w:rPr>
      </w:pPr>
      <w:r>
        <w:rPr>
          <w:bCs/>
          <w:sz w:val="20"/>
          <w:szCs w:val="18"/>
        </w:rPr>
        <w:t>The NMHC advises the Minister</w:t>
      </w:r>
      <w:r w:rsidR="00A97957">
        <w:rPr>
          <w:bCs/>
          <w:sz w:val="20"/>
          <w:szCs w:val="18"/>
        </w:rPr>
        <w:t xml:space="preserve"> for Health</w:t>
      </w:r>
      <w:r>
        <w:rPr>
          <w:bCs/>
          <w:sz w:val="20"/>
          <w:szCs w:val="18"/>
        </w:rPr>
        <w:t>, operating with sufficient independence from agencies which fund and deliver mental health policy and services, as is enabled under its Executive Agency form</w:t>
      </w:r>
    </w:p>
    <w:p w:rsidR="001A38F6" w:rsidRPr="00B24FBC" w:rsidRDefault="001A38F6" w:rsidP="00D8278D">
      <w:pPr>
        <w:pStyle w:val="ListParagraph"/>
        <w:numPr>
          <w:ilvl w:val="1"/>
          <w:numId w:val="33"/>
        </w:numPr>
        <w:rPr>
          <w:bCs/>
          <w:sz w:val="20"/>
          <w:szCs w:val="18"/>
        </w:rPr>
      </w:pPr>
      <w:r>
        <w:rPr>
          <w:bCs/>
          <w:sz w:val="20"/>
          <w:szCs w:val="18"/>
        </w:rPr>
        <w:t>The CEO is the accountable authority for the NMHC, responsible for delivering against the strategy and work plan</w:t>
      </w:r>
    </w:p>
    <w:p w:rsidR="00541D0E" w:rsidRDefault="00541D0E" w:rsidP="00D8278D">
      <w:pPr>
        <w:pStyle w:val="ListParagraph"/>
        <w:numPr>
          <w:ilvl w:val="1"/>
          <w:numId w:val="33"/>
        </w:numPr>
        <w:rPr>
          <w:bCs/>
          <w:sz w:val="20"/>
          <w:szCs w:val="18"/>
        </w:rPr>
      </w:pPr>
      <w:r>
        <w:rPr>
          <w:bCs/>
          <w:sz w:val="20"/>
          <w:szCs w:val="18"/>
        </w:rPr>
        <w:t xml:space="preserve">Advice is provided from the CEO, on behalf of the NMHC, Chair and Commissioners, to the Minister </w:t>
      </w:r>
      <w:r w:rsidR="00282789">
        <w:rPr>
          <w:bCs/>
          <w:sz w:val="20"/>
          <w:szCs w:val="18"/>
        </w:rPr>
        <w:t xml:space="preserve">for Health </w:t>
      </w:r>
      <w:r>
        <w:rPr>
          <w:bCs/>
          <w:sz w:val="20"/>
          <w:szCs w:val="18"/>
        </w:rPr>
        <w:t>directly</w:t>
      </w:r>
    </w:p>
    <w:p w:rsidR="00541D0E" w:rsidRDefault="00541D0E" w:rsidP="00D8278D">
      <w:pPr>
        <w:pStyle w:val="ListParagraph"/>
        <w:numPr>
          <w:ilvl w:val="1"/>
          <w:numId w:val="33"/>
        </w:numPr>
        <w:rPr>
          <w:bCs/>
          <w:sz w:val="20"/>
          <w:szCs w:val="18"/>
        </w:rPr>
      </w:pPr>
      <w:r>
        <w:rPr>
          <w:bCs/>
          <w:sz w:val="20"/>
          <w:szCs w:val="18"/>
        </w:rPr>
        <w:lastRenderedPageBreak/>
        <w:t xml:space="preserve">Wherever possible, consultation with the </w:t>
      </w:r>
      <w:proofErr w:type="spellStart"/>
      <w:r>
        <w:rPr>
          <w:bCs/>
          <w:sz w:val="20"/>
          <w:szCs w:val="18"/>
        </w:rPr>
        <w:t>DoH</w:t>
      </w:r>
      <w:proofErr w:type="spellEnd"/>
      <w:r>
        <w:rPr>
          <w:bCs/>
          <w:sz w:val="20"/>
          <w:szCs w:val="18"/>
        </w:rPr>
        <w:t xml:space="preserve"> should occur to streamline translation of advice into policy and action</w:t>
      </w:r>
    </w:p>
    <w:p w:rsidR="00541D0E" w:rsidRDefault="00541D0E" w:rsidP="00D8278D">
      <w:pPr>
        <w:pStyle w:val="ListParagraph"/>
        <w:numPr>
          <w:ilvl w:val="1"/>
          <w:numId w:val="33"/>
        </w:numPr>
        <w:rPr>
          <w:bCs/>
          <w:sz w:val="20"/>
          <w:szCs w:val="18"/>
        </w:rPr>
      </w:pPr>
      <w:r>
        <w:rPr>
          <w:bCs/>
          <w:sz w:val="20"/>
          <w:szCs w:val="18"/>
        </w:rPr>
        <w:t>Commissioners act as an Advisory Group to the NMHC</w:t>
      </w:r>
      <w:r w:rsidR="001A38F6">
        <w:rPr>
          <w:bCs/>
          <w:sz w:val="20"/>
          <w:szCs w:val="18"/>
        </w:rPr>
        <w:t xml:space="preserve"> CEO to provide expert input into the NMHC’s work</w:t>
      </w:r>
    </w:p>
    <w:p w:rsidR="001A38F6" w:rsidRDefault="001A38F6" w:rsidP="00D8278D">
      <w:pPr>
        <w:pStyle w:val="ListParagraph"/>
        <w:numPr>
          <w:ilvl w:val="1"/>
          <w:numId w:val="33"/>
        </w:numPr>
        <w:rPr>
          <w:bCs/>
          <w:sz w:val="20"/>
          <w:szCs w:val="18"/>
        </w:rPr>
      </w:pPr>
      <w:r>
        <w:rPr>
          <w:bCs/>
          <w:sz w:val="20"/>
          <w:szCs w:val="18"/>
        </w:rPr>
        <w:t xml:space="preserve">The annual work-plan should be developed by the CEO in close consultation with the Chair and Commissioners, and together with the </w:t>
      </w:r>
      <w:proofErr w:type="spellStart"/>
      <w:r>
        <w:rPr>
          <w:bCs/>
          <w:sz w:val="20"/>
          <w:szCs w:val="18"/>
        </w:rPr>
        <w:t>DoH</w:t>
      </w:r>
      <w:proofErr w:type="spellEnd"/>
      <w:r>
        <w:rPr>
          <w:bCs/>
          <w:sz w:val="20"/>
          <w:szCs w:val="18"/>
        </w:rPr>
        <w:t xml:space="preserve"> and the Of</w:t>
      </w:r>
      <w:r w:rsidR="008075F9">
        <w:rPr>
          <w:bCs/>
          <w:sz w:val="20"/>
          <w:szCs w:val="18"/>
        </w:rPr>
        <w:t xml:space="preserve">fice of the Minister for Health. </w:t>
      </w:r>
      <w:r>
        <w:rPr>
          <w:bCs/>
          <w:sz w:val="20"/>
          <w:szCs w:val="18"/>
        </w:rPr>
        <w:t>It should:</w:t>
      </w:r>
    </w:p>
    <w:p w:rsidR="001A38F6" w:rsidRDefault="001A38F6" w:rsidP="00D8278D">
      <w:pPr>
        <w:pStyle w:val="ListParagraph"/>
        <w:numPr>
          <w:ilvl w:val="2"/>
          <w:numId w:val="33"/>
        </w:numPr>
        <w:rPr>
          <w:bCs/>
          <w:sz w:val="20"/>
          <w:szCs w:val="18"/>
        </w:rPr>
      </w:pPr>
      <w:r>
        <w:rPr>
          <w:bCs/>
          <w:sz w:val="20"/>
          <w:szCs w:val="18"/>
        </w:rPr>
        <w:t>Outline priority deliverables for the given period</w:t>
      </w:r>
    </w:p>
    <w:p w:rsidR="001A38F6" w:rsidRDefault="001A38F6" w:rsidP="00D8278D">
      <w:pPr>
        <w:pStyle w:val="ListParagraph"/>
        <w:numPr>
          <w:ilvl w:val="2"/>
          <w:numId w:val="33"/>
        </w:numPr>
        <w:rPr>
          <w:bCs/>
          <w:sz w:val="20"/>
          <w:szCs w:val="18"/>
        </w:rPr>
      </w:pPr>
      <w:r>
        <w:rPr>
          <w:bCs/>
          <w:sz w:val="20"/>
          <w:szCs w:val="18"/>
        </w:rPr>
        <w:t>Affirm processes and principles for conduct and delivering work</w:t>
      </w:r>
    </w:p>
    <w:p w:rsidR="001A38F6" w:rsidRPr="001A38F6" w:rsidRDefault="001A38F6" w:rsidP="00D8278D">
      <w:pPr>
        <w:pStyle w:val="ListParagraph"/>
        <w:numPr>
          <w:ilvl w:val="1"/>
          <w:numId w:val="33"/>
        </w:numPr>
        <w:spacing w:after="200" w:line="276" w:lineRule="auto"/>
        <w:rPr>
          <w:bCs/>
          <w:color w:val="000000" w:themeColor="text1"/>
          <w:sz w:val="20"/>
          <w:szCs w:val="18"/>
        </w:rPr>
      </w:pPr>
      <w:r>
        <w:rPr>
          <w:bCs/>
          <w:color w:val="000000" w:themeColor="text1"/>
          <w:sz w:val="20"/>
          <w:szCs w:val="18"/>
        </w:rPr>
        <w:t>The NMHC should issue an annual report of its activities and impact, including qualitative and impact measures wherever possible</w:t>
      </w:r>
    </w:p>
    <w:p w:rsidR="00C41389" w:rsidRPr="00ED1883" w:rsidRDefault="001A38F6" w:rsidP="00D8278D">
      <w:pPr>
        <w:pStyle w:val="ListParagraph"/>
        <w:numPr>
          <w:ilvl w:val="1"/>
          <w:numId w:val="33"/>
        </w:numPr>
        <w:spacing w:after="200" w:line="276" w:lineRule="auto"/>
        <w:rPr>
          <w:bCs/>
          <w:color w:val="000000" w:themeColor="text1"/>
          <w:sz w:val="20"/>
          <w:szCs w:val="18"/>
        </w:rPr>
      </w:pPr>
      <w:r w:rsidRPr="002C50AC">
        <w:rPr>
          <w:bCs/>
          <w:sz w:val="20"/>
          <w:szCs w:val="18"/>
        </w:rPr>
        <w:t>The CEO and Chair should meet with the Minister</w:t>
      </w:r>
      <w:r w:rsidR="00282789" w:rsidRPr="002C50AC">
        <w:rPr>
          <w:bCs/>
          <w:sz w:val="20"/>
          <w:szCs w:val="18"/>
        </w:rPr>
        <w:t xml:space="preserve"> for Health</w:t>
      </w:r>
      <w:r w:rsidR="002C50AC" w:rsidRPr="002C50AC">
        <w:rPr>
          <w:bCs/>
          <w:sz w:val="20"/>
          <w:szCs w:val="18"/>
        </w:rPr>
        <w:t xml:space="preserve"> at least 4</w:t>
      </w:r>
      <w:r w:rsidRPr="002C50AC">
        <w:rPr>
          <w:bCs/>
          <w:sz w:val="20"/>
          <w:szCs w:val="18"/>
        </w:rPr>
        <w:t xml:space="preserve"> times </w:t>
      </w:r>
      <w:r w:rsidRPr="00ED1883">
        <w:rPr>
          <w:bCs/>
          <w:sz w:val="20"/>
          <w:szCs w:val="18"/>
        </w:rPr>
        <w:t>per year to provide progress updates on priority issues and work.</w:t>
      </w:r>
    </w:p>
    <w:p w:rsidR="00C41389" w:rsidRPr="00ED1883" w:rsidRDefault="00C41389" w:rsidP="00D8278D">
      <w:pPr>
        <w:pStyle w:val="ListParagraph"/>
        <w:numPr>
          <w:ilvl w:val="1"/>
          <w:numId w:val="33"/>
        </w:numPr>
        <w:spacing w:after="200" w:line="276" w:lineRule="auto"/>
        <w:rPr>
          <w:bCs/>
          <w:color w:val="000000" w:themeColor="text1"/>
          <w:sz w:val="20"/>
          <w:szCs w:val="18"/>
        </w:rPr>
      </w:pPr>
      <w:r w:rsidRPr="00ED1883">
        <w:rPr>
          <w:bCs/>
          <w:sz w:val="20"/>
          <w:szCs w:val="18"/>
        </w:rPr>
        <w:t xml:space="preserve">The </w:t>
      </w:r>
      <w:r w:rsidR="00ED1883" w:rsidRPr="00ED1883">
        <w:rPr>
          <w:bCs/>
          <w:sz w:val="20"/>
          <w:szCs w:val="18"/>
        </w:rPr>
        <w:t xml:space="preserve">Minister for Health, </w:t>
      </w:r>
      <w:r w:rsidRPr="00ED1883">
        <w:rPr>
          <w:bCs/>
          <w:sz w:val="20"/>
          <w:szCs w:val="18"/>
        </w:rPr>
        <w:t xml:space="preserve">CEO and Chair should meet with the Prime Minister at least </w:t>
      </w:r>
      <w:r w:rsidR="00ED1883" w:rsidRPr="00ED1883">
        <w:rPr>
          <w:bCs/>
          <w:sz w:val="20"/>
          <w:szCs w:val="18"/>
        </w:rPr>
        <w:t>once</w:t>
      </w:r>
      <w:r w:rsidRPr="00ED1883">
        <w:rPr>
          <w:bCs/>
          <w:sz w:val="20"/>
          <w:szCs w:val="18"/>
        </w:rPr>
        <w:t xml:space="preserve"> a year to provide progress updates on priority issues and work that are cross-sectoral and inter-jurisdictional. </w:t>
      </w:r>
    </w:p>
    <w:p w:rsidR="0000502F" w:rsidRPr="001A38F6" w:rsidRDefault="0000502F" w:rsidP="00D8278D">
      <w:pPr>
        <w:pStyle w:val="ListParagraph"/>
        <w:numPr>
          <w:ilvl w:val="0"/>
          <w:numId w:val="33"/>
        </w:numPr>
        <w:spacing w:after="200" w:line="276" w:lineRule="auto"/>
        <w:rPr>
          <w:bCs/>
          <w:color w:val="000000" w:themeColor="text1"/>
          <w:sz w:val="20"/>
          <w:szCs w:val="18"/>
        </w:rPr>
      </w:pPr>
      <w:r w:rsidRPr="001A38F6">
        <w:rPr>
          <w:bCs/>
          <w:color w:val="000000" w:themeColor="text1"/>
          <w:sz w:val="20"/>
          <w:szCs w:val="18"/>
        </w:rPr>
        <w:br w:type="page"/>
      </w:r>
    </w:p>
    <w:p w:rsidR="0000502F" w:rsidRPr="00264435" w:rsidRDefault="0000502F" w:rsidP="0000502F">
      <w:pPr>
        <w:pStyle w:val="Heading1"/>
        <w:spacing w:after="0"/>
      </w:pPr>
      <w:bookmarkStart w:id="24" w:name="_Toc482809641"/>
      <w:r w:rsidRPr="00264435">
        <w:lastRenderedPageBreak/>
        <w:t xml:space="preserve">Appendix </w:t>
      </w:r>
      <w:r w:rsidR="00D33910" w:rsidRPr="00264435">
        <w:t>D</w:t>
      </w:r>
      <w:r w:rsidRPr="00264435">
        <w:t>: Stakeholder Register</w:t>
      </w:r>
      <w:bookmarkEnd w:id="24"/>
    </w:p>
    <w:p w:rsidR="0000502F" w:rsidRPr="00264435" w:rsidRDefault="0000502F" w:rsidP="0000502F">
      <w:pPr>
        <w:rPr>
          <w:sz w:val="60"/>
          <w:szCs w:val="60"/>
        </w:rPr>
      </w:pPr>
    </w:p>
    <w:p w:rsidR="00C65FB8" w:rsidRPr="00264435" w:rsidRDefault="00C65FB8" w:rsidP="00C65FB8">
      <w:pPr>
        <w:pStyle w:val="aBodycopy"/>
        <w:rPr>
          <w:rFonts w:asciiTheme="minorHAnsi" w:hAnsiTheme="minorHAnsi"/>
        </w:rPr>
      </w:pPr>
      <w:r w:rsidRPr="00264435">
        <w:rPr>
          <w:rFonts w:asciiTheme="minorHAnsi" w:hAnsiTheme="minorHAnsi"/>
        </w:rPr>
        <w:t>In conducting this review, the following stakeholders were consulted – either in-person or via telephone interviews:</w:t>
      </w:r>
    </w:p>
    <w:tbl>
      <w:tblPr>
        <w:tblStyle w:val="TableDeloitteStone3"/>
        <w:tblW w:w="9498" w:type="dxa"/>
        <w:tblLook w:val="04A0" w:firstRow="1" w:lastRow="0" w:firstColumn="1" w:lastColumn="0" w:noHBand="0" w:noVBand="1"/>
        <w:tblCaption w:val="Table of stakeholder register"/>
        <w:tblDescription w:val="This table contains the name, position and organisation of stakeholders who were consulted either in person or via telephone interview"/>
      </w:tblPr>
      <w:tblGrid>
        <w:gridCol w:w="2410"/>
        <w:gridCol w:w="2473"/>
        <w:gridCol w:w="4615"/>
      </w:tblGrid>
      <w:tr w:rsidR="0050038D" w:rsidRPr="00264435" w:rsidTr="00BE60A6">
        <w:trPr>
          <w:cnfStyle w:val="100000000000" w:firstRow="1" w:lastRow="0" w:firstColumn="0" w:lastColumn="0" w:oddVBand="0" w:evenVBand="0" w:oddHBand="0" w:evenHBand="0" w:firstRowFirstColumn="0" w:firstRowLastColumn="0" w:lastRowFirstColumn="0" w:lastRowLastColumn="0"/>
          <w:trHeight w:val="300"/>
          <w:tblHeader/>
        </w:trPr>
        <w:tc>
          <w:tcPr>
            <w:tcW w:w="2410" w:type="dxa"/>
            <w:noWrap/>
          </w:tcPr>
          <w:p w:rsidR="008D0737" w:rsidRPr="00264435" w:rsidRDefault="008D0737" w:rsidP="008D0737">
            <w:pPr>
              <w:spacing w:after="0" w:line="240" w:lineRule="auto"/>
              <w:jc w:val="center"/>
              <w:rPr>
                <w:rFonts w:asciiTheme="minorHAnsi" w:hAnsiTheme="minorHAnsi" w:cs="Arial"/>
                <w:bCs/>
                <w:color w:val="FFFFFF" w:themeColor="background1"/>
                <w:szCs w:val="18"/>
              </w:rPr>
            </w:pPr>
            <w:r w:rsidRPr="00264435">
              <w:rPr>
                <w:rFonts w:asciiTheme="minorHAnsi" w:hAnsiTheme="minorHAnsi" w:cs="Arial"/>
                <w:bCs/>
                <w:color w:val="FFFFFF" w:themeColor="background1"/>
                <w:szCs w:val="18"/>
              </w:rPr>
              <w:t>Name</w:t>
            </w:r>
          </w:p>
        </w:tc>
        <w:tc>
          <w:tcPr>
            <w:tcW w:w="2473" w:type="dxa"/>
            <w:noWrap/>
          </w:tcPr>
          <w:p w:rsidR="008D0737" w:rsidRPr="00264435" w:rsidRDefault="008D0737" w:rsidP="008D0737">
            <w:pPr>
              <w:spacing w:after="0" w:line="240" w:lineRule="auto"/>
              <w:jc w:val="center"/>
              <w:rPr>
                <w:rFonts w:asciiTheme="minorHAnsi" w:hAnsiTheme="minorHAnsi" w:cs="Arial"/>
                <w:bCs/>
                <w:color w:val="FFFFFF" w:themeColor="background1"/>
                <w:szCs w:val="18"/>
              </w:rPr>
            </w:pPr>
            <w:r w:rsidRPr="00264435">
              <w:rPr>
                <w:rFonts w:asciiTheme="minorHAnsi" w:hAnsiTheme="minorHAnsi" w:cs="Arial"/>
                <w:bCs/>
                <w:color w:val="FFFFFF" w:themeColor="background1"/>
                <w:szCs w:val="18"/>
              </w:rPr>
              <w:t>Position</w:t>
            </w:r>
          </w:p>
        </w:tc>
        <w:tc>
          <w:tcPr>
            <w:tcW w:w="4615" w:type="dxa"/>
            <w:noWrap/>
          </w:tcPr>
          <w:p w:rsidR="008D0737" w:rsidRPr="00264435" w:rsidRDefault="008D0737" w:rsidP="008D0737">
            <w:pPr>
              <w:spacing w:after="0" w:line="240" w:lineRule="auto"/>
              <w:jc w:val="center"/>
              <w:rPr>
                <w:rFonts w:asciiTheme="minorHAnsi" w:hAnsiTheme="minorHAnsi" w:cs="Arial"/>
                <w:bCs/>
                <w:color w:val="FFFFFF" w:themeColor="background1"/>
                <w:szCs w:val="18"/>
              </w:rPr>
            </w:pPr>
            <w:r w:rsidRPr="00264435">
              <w:rPr>
                <w:rFonts w:asciiTheme="minorHAnsi" w:hAnsiTheme="minorHAnsi" w:cs="Arial"/>
                <w:bCs/>
                <w:color w:val="FFFFFF" w:themeColor="background1"/>
                <w:szCs w:val="18"/>
              </w:rPr>
              <w:t>Organisation</w:t>
            </w:r>
          </w:p>
        </w:tc>
      </w:tr>
      <w:tr w:rsidR="00C65FB8" w:rsidRPr="00264435">
        <w:trPr>
          <w:cnfStyle w:val="000000100000" w:firstRow="0" w:lastRow="0" w:firstColumn="0" w:lastColumn="0" w:oddVBand="0" w:evenVBand="0" w:oddHBand="1" w:evenHBand="0" w:firstRowFirstColumn="0" w:firstRowLastColumn="0" w:lastRowFirstColumn="0" w:lastRowLastColumn="0"/>
          <w:trHeight w:val="300"/>
        </w:trPr>
        <w:tc>
          <w:tcPr>
            <w:tcW w:w="9498" w:type="dxa"/>
            <w:gridSpan w:val="3"/>
            <w:shd w:val="clear" w:color="auto" w:fill="D9D9D9" w:themeFill="background1" w:themeFillShade="D9"/>
            <w:noWrap/>
            <w:vAlign w:val="center"/>
          </w:tcPr>
          <w:p w:rsidR="00C65FB8" w:rsidRPr="00264435" w:rsidRDefault="00C65FB8" w:rsidP="00C65FB8">
            <w:pPr>
              <w:spacing w:after="0" w:line="240" w:lineRule="auto"/>
              <w:jc w:val="center"/>
              <w:rPr>
                <w:rFonts w:asciiTheme="minorHAnsi" w:hAnsiTheme="minorHAnsi" w:cs="Arial"/>
                <w:szCs w:val="18"/>
              </w:rPr>
            </w:pPr>
            <w:r w:rsidRPr="00264435">
              <w:rPr>
                <w:rFonts w:asciiTheme="minorHAnsi" w:hAnsiTheme="minorHAnsi" w:cs="Arial"/>
                <w:b/>
                <w:szCs w:val="18"/>
              </w:rPr>
              <w:t>NMHC Stakeholders</w:t>
            </w:r>
          </w:p>
        </w:tc>
      </w:tr>
      <w:tr w:rsidR="00C65FB8"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C65FB8" w:rsidRPr="00264435" w:rsidRDefault="00C65FB8" w:rsidP="008D0737">
            <w:pPr>
              <w:spacing w:after="0" w:line="240" w:lineRule="auto"/>
              <w:rPr>
                <w:rFonts w:asciiTheme="minorHAnsi" w:hAnsiTheme="minorHAnsi" w:cs="Arial"/>
                <w:b/>
                <w:szCs w:val="18"/>
              </w:rPr>
            </w:pPr>
            <w:proofErr w:type="spellStart"/>
            <w:r w:rsidRPr="00264435">
              <w:rPr>
                <w:rFonts w:asciiTheme="minorHAnsi" w:hAnsiTheme="minorHAnsi" w:cs="Arial"/>
                <w:b/>
                <w:szCs w:val="18"/>
              </w:rPr>
              <w:t>Prof.</w:t>
            </w:r>
            <w:proofErr w:type="spellEnd"/>
            <w:r w:rsidRPr="00264435">
              <w:rPr>
                <w:rFonts w:asciiTheme="minorHAnsi" w:hAnsiTheme="minorHAnsi" w:cs="Arial"/>
                <w:b/>
                <w:szCs w:val="18"/>
              </w:rPr>
              <w:t xml:space="preserve"> Allan </w:t>
            </w:r>
            <w:proofErr w:type="spellStart"/>
            <w:r w:rsidRPr="00264435">
              <w:rPr>
                <w:rFonts w:asciiTheme="minorHAnsi" w:hAnsiTheme="minorHAnsi" w:cs="Arial"/>
                <w:b/>
                <w:szCs w:val="18"/>
              </w:rPr>
              <w:t>Fels</w:t>
            </w:r>
            <w:proofErr w:type="spellEnd"/>
            <w:r w:rsidRPr="00264435">
              <w:rPr>
                <w:rFonts w:asciiTheme="minorHAnsi" w:hAnsiTheme="minorHAnsi" w:cs="Arial"/>
                <w:b/>
                <w:szCs w:val="18"/>
              </w:rPr>
              <w:t xml:space="preserve"> AO</w:t>
            </w:r>
          </w:p>
        </w:tc>
        <w:tc>
          <w:tcPr>
            <w:tcW w:w="2473" w:type="dxa"/>
            <w:noWrap/>
          </w:tcPr>
          <w:p w:rsidR="00C65FB8" w:rsidRPr="00264435" w:rsidRDefault="00C65FB8" w:rsidP="008D0737">
            <w:pPr>
              <w:spacing w:after="0" w:line="240" w:lineRule="auto"/>
              <w:rPr>
                <w:rFonts w:asciiTheme="minorHAnsi" w:hAnsiTheme="minorHAnsi" w:cs="Arial"/>
                <w:szCs w:val="18"/>
              </w:rPr>
            </w:pPr>
            <w:r w:rsidRPr="00264435">
              <w:rPr>
                <w:rFonts w:asciiTheme="minorHAnsi" w:hAnsiTheme="minorHAnsi" w:cs="Arial"/>
                <w:szCs w:val="18"/>
              </w:rPr>
              <w:t>Chair</w:t>
            </w:r>
          </w:p>
        </w:tc>
        <w:tc>
          <w:tcPr>
            <w:tcW w:w="4615" w:type="dxa"/>
            <w:noWrap/>
          </w:tcPr>
          <w:p w:rsidR="00C65FB8" w:rsidRPr="00264435" w:rsidRDefault="00C65FB8" w:rsidP="008D0737">
            <w:pPr>
              <w:spacing w:after="0" w:line="240" w:lineRule="auto"/>
              <w:rPr>
                <w:rFonts w:asciiTheme="minorHAnsi" w:hAnsiTheme="minorHAnsi" w:cs="Arial"/>
                <w:szCs w:val="18"/>
              </w:rPr>
            </w:pPr>
            <w:r w:rsidRPr="00264435">
              <w:rPr>
                <w:rFonts w:asciiTheme="minorHAnsi" w:hAnsiTheme="minorHAnsi" w:cs="Arial"/>
                <w:szCs w:val="18"/>
              </w:rPr>
              <w:t>NMHC</w:t>
            </w:r>
          </w:p>
        </w:tc>
      </w:tr>
      <w:tr w:rsidR="00C65FB8"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C65FB8" w:rsidRPr="00264435" w:rsidRDefault="00C65FB8" w:rsidP="008D0737">
            <w:pPr>
              <w:spacing w:after="0" w:line="240" w:lineRule="auto"/>
              <w:rPr>
                <w:rFonts w:asciiTheme="minorHAnsi" w:hAnsiTheme="minorHAnsi" w:cs="Arial"/>
                <w:b/>
                <w:szCs w:val="18"/>
              </w:rPr>
            </w:pPr>
            <w:r w:rsidRPr="00264435">
              <w:rPr>
                <w:rFonts w:asciiTheme="minorHAnsi" w:hAnsiTheme="minorHAnsi" w:cs="Arial"/>
                <w:b/>
                <w:szCs w:val="18"/>
              </w:rPr>
              <w:t>Dr Peggy Brown</w:t>
            </w:r>
          </w:p>
        </w:tc>
        <w:tc>
          <w:tcPr>
            <w:tcW w:w="2473" w:type="dxa"/>
            <w:noWrap/>
          </w:tcPr>
          <w:p w:rsidR="00C65FB8" w:rsidRPr="00264435" w:rsidRDefault="00C65FB8" w:rsidP="00C65FB8">
            <w:pPr>
              <w:spacing w:after="0" w:line="240" w:lineRule="auto"/>
              <w:rPr>
                <w:rFonts w:asciiTheme="minorHAnsi" w:hAnsiTheme="minorHAnsi" w:cs="Arial"/>
                <w:szCs w:val="18"/>
              </w:rPr>
            </w:pPr>
            <w:r w:rsidRPr="00264435">
              <w:rPr>
                <w:rFonts w:asciiTheme="minorHAnsi" w:hAnsiTheme="minorHAnsi" w:cs="Arial"/>
                <w:szCs w:val="18"/>
              </w:rPr>
              <w:t>CEO</w:t>
            </w:r>
          </w:p>
        </w:tc>
        <w:tc>
          <w:tcPr>
            <w:tcW w:w="4615" w:type="dxa"/>
            <w:noWrap/>
          </w:tcPr>
          <w:p w:rsidR="00C65FB8" w:rsidRPr="00264435" w:rsidRDefault="00C65FB8" w:rsidP="008D0737">
            <w:pPr>
              <w:spacing w:after="0" w:line="240" w:lineRule="auto"/>
              <w:rPr>
                <w:rFonts w:asciiTheme="minorHAnsi" w:hAnsiTheme="minorHAnsi" w:cs="Arial"/>
                <w:szCs w:val="18"/>
              </w:rPr>
            </w:pPr>
            <w:r w:rsidRPr="00264435">
              <w:rPr>
                <w:rFonts w:asciiTheme="minorHAnsi" w:hAnsiTheme="minorHAnsi" w:cs="Arial"/>
                <w:szCs w:val="18"/>
              </w:rPr>
              <w:t>NMHC</w:t>
            </w:r>
          </w:p>
        </w:tc>
      </w:tr>
      <w:tr w:rsidR="00C65FB8"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C65FB8" w:rsidRPr="00264435" w:rsidRDefault="00D33910" w:rsidP="008D0737">
            <w:pPr>
              <w:spacing w:after="0" w:line="240" w:lineRule="auto"/>
              <w:rPr>
                <w:rFonts w:asciiTheme="minorHAnsi" w:hAnsiTheme="minorHAnsi" w:cs="Arial"/>
                <w:b/>
                <w:szCs w:val="18"/>
              </w:rPr>
            </w:pPr>
            <w:r w:rsidRPr="00264435">
              <w:rPr>
                <w:rFonts w:asciiTheme="minorHAnsi" w:hAnsiTheme="minorHAnsi" w:cs="Arial"/>
                <w:b/>
                <w:szCs w:val="18"/>
              </w:rPr>
              <w:t>Prof Pat Dudgeon</w:t>
            </w:r>
          </w:p>
        </w:tc>
        <w:tc>
          <w:tcPr>
            <w:tcW w:w="2473" w:type="dxa"/>
            <w:noWrap/>
          </w:tcPr>
          <w:p w:rsidR="00C65FB8" w:rsidRPr="00264435" w:rsidRDefault="00C65FB8" w:rsidP="008D0737">
            <w:pPr>
              <w:spacing w:after="0" w:line="240" w:lineRule="auto"/>
              <w:rPr>
                <w:rFonts w:asciiTheme="minorHAnsi" w:hAnsiTheme="minorHAnsi" w:cs="Arial"/>
                <w:szCs w:val="18"/>
              </w:rPr>
            </w:pPr>
            <w:r w:rsidRPr="00264435">
              <w:rPr>
                <w:rFonts w:asciiTheme="minorHAnsi" w:hAnsiTheme="minorHAnsi" w:cs="Arial"/>
                <w:szCs w:val="18"/>
              </w:rPr>
              <w:t>Commissioner</w:t>
            </w:r>
          </w:p>
        </w:tc>
        <w:tc>
          <w:tcPr>
            <w:tcW w:w="4615" w:type="dxa"/>
            <w:noWrap/>
          </w:tcPr>
          <w:p w:rsidR="00C65FB8" w:rsidRPr="00264435" w:rsidRDefault="00C65FB8" w:rsidP="008D0737">
            <w:pPr>
              <w:spacing w:after="0" w:line="240" w:lineRule="auto"/>
              <w:rPr>
                <w:rFonts w:asciiTheme="minorHAnsi" w:hAnsiTheme="minorHAnsi" w:cs="Arial"/>
                <w:szCs w:val="18"/>
              </w:rPr>
            </w:pPr>
            <w:r w:rsidRPr="00264435">
              <w:rPr>
                <w:rFonts w:asciiTheme="minorHAnsi" w:hAnsiTheme="minorHAnsi" w:cs="Arial"/>
                <w:szCs w:val="18"/>
              </w:rPr>
              <w:t>NMHC</w:t>
            </w:r>
          </w:p>
        </w:tc>
      </w:tr>
      <w:tr w:rsidR="00147ADB"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147ADB" w:rsidRPr="00264435" w:rsidRDefault="00147ADB" w:rsidP="00147ADB">
            <w:pPr>
              <w:spacing w:after="0" w:line="240" w:lineRule="auto"/>
              <w:rPr>
                <w:rFonts w:asciiTheme="minorHAnsi" w:hAnsiTheme="minorHAnsi" w:cs="Arial"/>
                <w:b/>
                <w:szCs w:val="18"/>
              </w:rPr>
            </w:pPr>
            <w:r w:rsidRPr="00264435">
              <w:rPr>
                <w:rFonts w:asciiTheme="minorHAnsi" w:hAnsiTheme="minorHAnsi" w:cs="Arial"/>
                <w:b/>
                <w:szCs w:val="18"/>
              </w:rPr>
              <w:t>Rob Knowles</w:t>
            </w:r>
          </w:p>
        </w:tc>
        <w:tc>
          <w:tcPr>
            <w:tcW w:w="2473" w:type="dxa"/>
            <w:noWra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Commissioner</w:t>
            </w:r>
          </w:p>
        </w:tc>
        <w:tc>
          <w:tcPr>
            <w:tcW w:w="4615" w:type="dxa"/>
            <w:noWrap/>
            <w:vAlign w:val="to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NMHC</w:t>
            </w:r>
          </w:p>
        </w:tc>
      </w:tr>
      <w:tr w:rsidR="00147ADB"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147ADB" w:rsidRPr="00264435" w:rsidRDefault="00147ADB" w:rsidP="00147ADB">
            <w:pPr>
              <w:spacing w:after="0" w:line="240" w:lineRule="auto"/>
              <w:rPr>
                <w:rFonts w:asciiTheme="minorHAnsi" w:hAnsiTheme="minorHAnsi" w:cs="Arial"/>
                <w:b/>
                <w:szCs w:val="18"/>
              </w:rPr>
            </w:pPr>
            <w:r w:rsidRPr="00264435">
              <w:rPr>
                <w:rFonts w:asciiTheme="minorHAnsi" w:hAnsiTheme="minorHAnsi" w:cs="Arial"/>
                <w:b/>
                <w:szCs w:val="18"/>
              </w:rPr>
              <w:t xml:space="preserve">Prof Ian </w:t>
            </w:r>
            <w:proofErr w:type="spellStart"/>
            <w:r w:rsidRPr="00264435">
              <w:rPr>
                <w:rFonts w:asciiTheme="minorHAnsi" w:hAnsiTheme="minorHAnsi" w:cs="Arial"/>
                <w:b/>
                <w:szCs w:val="18"/>
              </w:rPr>
              <w:t>Hickie</w:t>
            </w:r>
            <w:proofErr w:type="spellEnd"/>
          </w:p>
        </w:tc>
        <w:tc>
          <w:tcPr>
            <w:tcW w:w="2473" w:type="dxa"/>
            <w:noWrap/>
            <w:vAlign w:val="to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Commissioner</w:t>
            </w:r>
          </w:p>
        </w:tc>
        <w:tc>
          <w:tcPr>
            <w:tcW w:w="4615" w:type="dxa"/>
            <w:noWrap/>
            <w:vAlign w:val="to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NMHC</w:t>
            </w:r>
          </w:p>
        </w:tc>
      </w:tr>
      <w:tr w:rsidR="00147ADB"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147ADB" w:rsidRPr="00264435" w:rsidRDefault="00147ADB" w:rsidP="00147ADB">
            <w:pPr>
              <w:spacing w:after="0" w:line="240" w:lineRule="auto"/>
              <w:rPr>
                <w:rFonts w:asciiTheme="minorHAnsi" w:hAnsiTheme="minorHAnsi" w:cs="Arial"/>
                <w:b/>
                <w:szCs w:val="18"/>
              </w:rPr>
            </w:pPr>
            <w:r w:rsidRPr="00264435">
              <w:rPr>
                <w:rFonts w:asciiTheme="minorHAnsi" w:hAnsiTheme="minorHAnsi" w:cs="Arial"/>
                <w:b/>
                <w:szCs w:val="18"/>
              </w:rPr>
              <w:t>Jackie Crowe</w:t>
            </w:r>
          </w:p>
        </w:tc>
        <w:tc>
          <w:tcPr>
            <w:tcW w:w="2473" w:type="dxa"/>
            <w:noWrap/>
            <w:vAlign w:val="to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Commissioner</w:t>
            </w:r>
          </w:p>
        </w:tc>
        <w:tc>
          <w:tcPr>
            <w:tcW w:w="4615" w:type="dxa"/>
            <w:noWrap/>
            <w:vAlign w:val="to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NMHC</w:t>
            </w:r>
          </w:p>
        </w:tc>
      </w:tr>
      <w:tr w:rsidR="00147ADB"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147ADB" w:rsidRPr="00264435" w:rsidRDefault="00147ADB" w:rsidP="00147ADB">
            <w:pPr>
              <w:spacing w:after="0" w:line="240" w:lineRule="auto"/>
              <w:rPr>
                <w:rFonts w:asciiTheme="minorHAnsi" w:hAnsiTheme="minorHAnsi" w:cs="Arial"/>
                <w:b/>
                <w:szCs w:val="18"/>
              </w:rPr>
            </w:pPr>
            <w:r w:rsidRPr="00264435">
              <w:rPr>
                <w:rFonts w:asciiTheme="minorHAnsi" w:hAnsiTheme="minorHAnsi" w:cs="Arial"/>
                <w:b/>
                <w:szCs w:val="18"/>
              </w:rPr>
              <w:t xml:space="preserve">Lucinda </w:t>
            </w:r>
            <w:proofErr w:type="spellStart"/>
            <w:r w:rsidRPr="00264435">
              <w:rPr>
                <w:rFonts w:asciiTheme="minorHAnsi" w:hAnsiTheme="minorHAnsi" w:cs="Arial"/>
                <w:b/>
                <w:szCs w:val="18"/>
              </w:rPr>
              <w:t>Brogden</w:t>
            </w:r>
            <w:proofErr w:type="spellEnd"/>
          </w:p>
        </w:tc>
        <w:tc>
          <w:tcPr>
            <w:tcW w:w="2473" w:type="dxa"/>
            <w:noWrap/>
            <w:vAlign w:val="to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Commissioner</w:t>
            </w:r>
          </w:p>
        </w:tc>
        <w:tc>
          <w:tcPr>
            <w:tcW w:w="4615" w:type="dxa"/>
            <w:noWrap/>
            <w:vAlign w:val="to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NMHC</w:t>
            </w:r>
          </w:p>
        </w:tc>
      </w:tr>
      <w:tr w:rsidR="00147ADB"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147ADB" w:rsidRPr="00264435" w:rsidRDefault="00147ADB" w:rsidP="00147ADB">
            <w:pPr>
              <w:spacing w:after="0" w:line="240" w:lineRule="auto"/>
              <w:rPr>
                <w:rFonts w:asciiTheme="minorHAnsi" w:hAnsiTheme="minorHAnsi" w:cs="Arial"/>
                <w:b/>
                <w:szCs w:val="18"/>
              </w:rPr>
            </w:pPr>
            <w:r w:rsidRPr="00264435">
              <w:rPr>
                <w:rFonts w:asciiTheme="minorHAnsi" w:hAnsiTheme="minorHAnsi" w:cs="Arial"/>
                <w:b/>
                <w:szCs w:val="18"/>
              </w:rPr>
              <w:t>Nicole Gibson</w:t>
            </w:r>
          </w:p>
        </w:tc>
        <w:tc>
          <w:tcPr>
            <w:tcW w:w="2473" w:type="dxa"/>
            <w:noWrap/>
            <w:vAlign w:val="to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Commissioner</w:t>
            </w:r>
          </w:p>
        </w:tc>
        <w:tc>
          <w:tcPr>
            <w:tcW w:w="4615" w:type="dxa"/>
            <w:noWrap/>
            <w:vAlign w:val="top"/>
          </w:tcPr>
          <w:p w:rsidR="00147ADB" w:rsidRPr="00264435" w:rsidRDefault="00147ADB" w:rsidP="00147ADB">
            <w:pPr>
              <w:spacing w:after="0" w:line="240" w:lineRule="auto"/>
              <w:rPr>
                <w:rFonts w:asciiTheme="minorHAnsi" w:hAnsiTheme="minorHAnsi" w:cs="Arial"/>
                <w:szCs w:val="18"/>
              </w:rPr>
            </w:pPr>
            <w:r w:rsidRPr="00264435">
              <w:rPr>
                <w:rFonts w:asciiTheme="minorHAnsi" w:hAnsiTheme="minorHAnsi" w:cs="Arial"/>
                <w:szCs w:val="18"/>
              </w:rPr>
              <w:t>NMHC</w:t>
            </w:r>
          </w:p>
        </w:tc>
      </w:tr>
      <w:tr w:rsidR="002734DC" w:rsidRPr="00264435">
        <w:trPr>
          <w:cnfStyle w:val="000000010000" w:firstRow="0" w:lastRow="0" w:firstColumn="0" w:lastColumn="0" w:oddVBand="0" w:evenVBand="0" w:oddHBand="0" w:evenHBand="1" w:firstRowFirstColumn="0" w:firstRowLastColumn="0" w:lastRowFirstColumn="0" w:lastRowLastColumn="0"/>
          <w:trHeight w:val="300"/>
        </w:trPr>
        <w:tc>
          <w:tcPr>
            <w:tcW w:w="9498" w:type="dxa"/>
            <w:gridSpan w:val="3"/>
            <w:shd w:val="clear" w:color="auto" w:fill="D9D9D9" w:themeFill="background1" w:themeFillShade="D9"/>
            <w:noWrap/>
            <w:vAlign w:val="center"/>
          </w:tcPr>
          <w:p w:rsidR="002734DC" w:rsidRPr="00264435" w:rsidRDefault="002734DC" w:rsidP="002734DC">
            <w:pPr>
              <w:spacing w:after="0" w:line="240" w:lineRule="auto"/>
              <w:jc w:val="center"/>
              <w:rPr>
                <w:rFonts w:asciiTheme="minorHAnsi" w:hAnsiTheme="minorHAnsi" w:cs="Arial"/>
                <w:szCs w:val="18"/>
              </w:rPr>
            </w:pPr>
            <w:r w:rsidRPr="00264435">
              <w:rPr>
                <w:rFonts w:asciiTheme="minorHAnsi" w:hAnsiTheme="minorHAnsi" w:cs="Arial"/>
                <w:b/>
                <w:szCs w:val="18"/>
              </w:rPr>
              <w:t>Commonwealth Department of Health Stakeholders</w:t>
            </w:r>
          </w:p>
        </w:tc>
      </w:tr>
      <w:tr w:rsidR="00147ADB"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147ADB" w:rsidRPr="00264435" w:rsidRDefault="00147ADB" w:rsidP="00D30F34">
            <w:pPr>
              <w:spacing w:after="0" w:line="240" w:lineRule="auto"/>
              <w:rPr>
                <w:rFonts w:asciiTheme="minorHAnsi" w:hAnsiTheme="minorHAnsi" w:cs="Arial"/>
                <w:b/>
                <w:szCs w:val="18"/>
              </w:rPr>
            </w:pPr>
            <w:r w:rsidRPr="00264435">
              <w:rPr>
                <w:rFonts w:asciiTheme="minorHAnsi" w:hAnsiTheme="minorHAnsi" w:cs="Arial"/>
                <w:b/>
                <w:szCs w:val="18"/>
              </w:rPr>
              <w:t>Mark  Cormack</w:t>
            </w:r>
          </w:p>
        </w:tc>
        <w:tc>
          <w:tcPr>
            <w:tcW w:w="2473" w:type="dxa"/>
            <w:noWrap/>
          </w:tcPr>
          <w:p w:rsidR="00147ADB" w:rsidRPr="00264435" w:rsidRDefault="00147ADB" w:rsidP="00D30F34">
            <w:pPr>
              <w:spacing w:after="0" w:line="240" w:lineRule="auto"/>
              <w:rPr>
                <w:rFonts w:asciiTheme="minorHAnsi" w:hAnsiTheme="minorHAnsi" w:cs="Arial"/>
                <w:szCs w:val="18"/>
              </w:rPr>
            </w:pPr>
            <w:r w:rsidRPr="00264435">
              <w:rPr>
                <w:rFonts w:asciiTheme="minorHAnsi" w:hAnsiTheme="minorHAnsi" w:cs="Arial"/>
                <w:szCs w:val="18"/>
              </w:rPr>
              <w:t>Deputy Secretary</w:t>
            </w:r>
          </w:p>
        </w:tc>
        <w:tc>
          <w:tcPr>
            <w:tcW w:w="4615" w:type="dxa"/>
            <w:noWrap/>
          </w:tcPr>
          <w:p w:rsidR="00147ADB" w:rsidRPr="00264435" w:rsidRDefault="00147ADB" w:rsidP="00D30F34">
            <w:pPr>
              <w:spacing w:after="0" w:line="240" w:lineRule="auto"/>
              <w:rPr>
                <w:rFonts w:asciiTheme="minorHAnsi" w:hAnsiTheme="minorHAnsi" w:cs="Arial"/>
                <w:szCs w:val="18"/>
              </w:rPr>
            </w:pPr>
            <w:r w:rsidRPr="00264435">
              <w:rPr>
                <w:rFonts w:asciiTheme="minorHAnsi" w:hAnsiTheme="minorHAnsi" w:cs="Arial"/>
                <w:szCs w:val="18"/>
              </w:rPr>
              <w:t>Department of Health</w:t>
            </w:r>
          </w:p>
        </w:tc>
      </w:tr>
      <w:tr w:rsidR="00147ADB"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147ADB" w:rsidRPr="00264435" w:rsidRDefault="00147ADB" w:rsidP="00D30F34">
            <w:pPr>
              <w:spacing w:after="0" w:line="240" w:lineRule="auto"/>
              <w:rPr>
                <w:rFonts w:asciiTheme="minorHAnsi" w:hAnsiTheme="minorHAnsi" w:cs="Arial"/>
                <w:b/>
                <w:szCs w:val="18"/>
              </w:rPr>
            </w:pPr>
            <w:r w:rsidRPr="00264435">
              <w:rPr>
                <w:rFonts w:asciiTheme="minorHAnsi" w:hAnsiTheme="minorHAnsi" w:cs="Arial"/>
                <w:b/>
                <w:szCs w:val="18"/>
              </w:rPr>
              <w:t>Natasha Cole</w:t>
            </w:r>
          </w:p>
        </w:tc>
        <w:tc>
          <w:tcPr>
            <w:tcW w:w="2473" w:type="dxa"/>
            <w:noWrap/>
          </w:tcPr>
          <w:p w:rsidR="00147ADB" w:rsidRPr="00264435" w:rsidRDefault="00147ADB" w:rsidP="00D30F34">
            <w:pPr>
              <w:spacing w:after="0" w:line="240" w:lineRule="auto"/>
              <w:rPr>
                <w:rFonts w:asciiTheme="minorHAnsi" w:hAnsiTheme="minorHAnsi" w:cs="Arial"/>
                <w:szCs w:val="18"/>
              </w:rPr>
            </w:pPr>
            <w:r w:rsidRPr="00264435">
              <w:rPr>
                <w:rFonts w:asciiTheme="minorHAnsi" w:hAnsiTheme="minorHAnsi" w:cs="Arial"/>
                <w:szCs w:val="18"/>
              </w:rPr>
              <w:t>First Assistant Secretary</w:t>
            </w:r>
          </w:p>
        </w:tc>
        <w:tc>
          <w:tcPr>
            <w:tcW w:w="4615" w:type="dxa"/>
            <w:noWrap/>
          </w:tcPr>
          <w:p w:rsidR="00147ADB" w:rsidRPr="00264435" w:rsidRDefault="00147ADB" w:rsidP="00D30F34">
            <w:pPr>
              <w:spacing w:after="0" w:line="240" w:lineRule="auto"/>
              <w:rPr>
                <w:rFonts w:asciiTheme="minorHAnsi" w:hAnsiTheme="minorHAnsi" w:cs="Arial"/>
                <w:szCs w:val="18"/>
              </w:rPr>
            </w:pPr>
            <w:r w:rsidRPr="00264435">
              <w:rPr>
                <w:rFonts w:asciiTheme="minorHAnsi" w:hAnsiTheme="minorHAnsi" w:cs="Arial"/>
                <w:szCs w:val="18"/>
              </w:rPr>
              <w:t>Department of Health</w:t>
            </w:r>
          </w:p>
        </w:tc>
      </w:tr>
      <w:tr w:rsidR="00147ADB"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147ADB" w:rsidRPr="00264435" w:rsidRDefault="00147ADB" w:rsidP="00D30F34">
            <w:pPr>
              <w:spacing w:after="0" w:line="240" w:lineRule="auto"/>
              <w:rPr>
                <w:rFonts w:asciiTheme="minorHAnsi" w:hAnsiTheme="minorHAnsi" w:cs="Arial"/>
                <w:b/>
                <w:szCs w:val="18"/>
              </w:rPr>
            </w:pPr>
            <w:r w:rsidRPr="00264435">
              <w:rPr>
                <w:rFonts w:asciiTheme="minorHAnsi" w:hAnsiTheme="minorHAnsi" w:cs="Arial"/>
                <w:b/>
                <w:szCs w:val="18"/>
              </w:rPr>
              <w:t>Shane Porter</w:t>
            </w:r>
          </w:p>
        </w:tc>
        <w:tc>
          <w:tcPr>
            <w:tcW w:w="2473" w:type="dxa"/>
            <w:noWrap/>
          </w:tcPr>
          <w:p w:rsidR="00147ADB" w:rsidRPr="00264435" w:rsidRDefault="00147ADB" w:rsidP="00D30F34">
            <w:pPr>
              <w:spacing w:after="0" w:line="240" w:lineRule="auto"/>
              <w:rPr>
                <w:rFonts w:asciiTheme="minorHAnsi" w:hAnsiTheme="minorHAnsi" w:cs="Arial"/>
                <w:szCs w:val="18"/>
              </w:rPr>
            </w:pPr>
            <w:r w:rsidRPr="00264435">
              <w:rPr>
                <w:rFonts w:asciiTheme="minorHAnsi" w:hAnsiTheme="minorHAnsi" w:cs="Arial"/>
                <w:szCs w:val="18"/>
              </w:rPr>
              <w:t>Assistant Secretary</w:t>
            </w:r>
          </w:p>
        </w:tc>
        <w:tc>
          <w:tcPr>
            <w:tcW w:w="4615" w:type="dxa"/>
            <w:noWrap/>
          </w:tcPr>
          <w:p w:rsidR="00147ADB" w:rsidRPr="00264435" w:rsidRDefault="00147ADB" w:rsidP="00D30F34">
            <w:pPr>
              <w:spacing w:after="0" w:line="240" w:lineRule="auto"/>
              <w:rPr>
                <w:rFonts w:asciiTheme="minorHAnsi" w:hAnsiTheme="minorHAnsi" w:cs="Arial"/>
                <w:szCs w:val="18"/>
              </w:rPr>
            </w:pPr>
            <w:r w:rsidRPr="00264435">
              <w:rPr>
                <w:rFonts w:asciiTheme="minorHAnsi" w:hAnsiTheme="minorHAnsi" w:cs="Arial"/>
                <w:szCs w:val="18"/>
              </w:rPr>
              <w:t>Department of Health</w:t>
            </w:r>
          </w:p>
        </w:tc>
      </w:tr>
      <w:tr w:rsidR="002734DC" w:rsidRPr="00264435">
        <w:trPr>
          <w:cnfStyle w:val="000000010000" w:firstRow="0" w:lastRow="0" w:firstColumn="0" w:lastColumn="0" w:oddVBand="0" w:evenVBand="0" w:oddHBand="0" w:evenHBand="1" w:firstRowFirstColumn="0" w:firstRowLastColumn="0" w:lastRowFirstColumn="0" w:lastRowLastColumn="0"/>
          <w:trHeight w:val="300"/>
        </w:trPr>
        <w:tc>
          <w:tcPr>
            <w:tcW w:w="9498" w:type="dxa"/>
            <w:gridSpan w:val="3"/>
            <w:shd w:val="clear" w:color="auto" w:fill="D9D9D9" w:themeFill="background1" w:themeFillShade="D9"/>
            <w:noWrap/>
            <w:vAlign w:val="center"/>
          </w:tcPr>
          <w:p w:rsidR="002734DC" w:rsidRPr="00264435" w:rsidRDefault="002734DC" w:rsidP="002734DC">
            <w:pPr>
              <w:spacing w:after="0" w:line="240" w:lineRule="auto"/>
              <w:jc w:val="center"/>
              <w:rPr>
                <w:rFonts w:asciiTheme="minorHAnsi" w:hAnsiTheme="minorHAnsi" w:cs="Arial"/>
                <w:szCs w:val="18"/>
              </w:rPr>
            </w:pPr>
            <w:r w:rsidRPr="00264435">
              <w:rPr>
                <w:rFonts w:asciiTheme="minorHAnsi" w:hAnsiTheme="minorHAnsi" w:cs="Arial"/>
                <w:b/>
                <w:szCs w:val="18"/>
              </w:rPr>
              <w:t>Other Stakeholders</w:t>
            </w:r>
          </w:p>
        </w:tc>
      </w:tr>
      <w:tr w:rsidR="00147ADB"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147ADB" w:rsidRPr="00264435" w:rsidRDefault="00147ADB" w:rsidP="00D30F34">
            <w:pPr>
              <w:spacing w:after="0" w:line="240" w:lineRule="auto"/>
              <w:rPr>
                <w:rFonts w:asciiTheme="minorHAnsi" w:hAnsiTheme="minorHAnsi" w:cs="Arial"/>
                <w:b/>
                <w:szCs w:val="18"/>
              </w:rPr>
            </w:pPr>
            <w:r w:rsidRPr="00264435">
              <w:rPr>
                <w:rFonts w:asciiTheme="minorHAnsi" w:hAnsiTheme="minorHAnsi" w:cs="Arial"/>
                <w:b/>
                <w:szCs w:val="18"/>
              </w:rPr>
              <w:t>Nathan Williamson</w:t>
            </w:r>
          </w:p>
        </w:tc>
        <w:tc>
          <w:tcPr>
            <w:tcW w:w="2473" w:type="dxa"/>
            <w:noWrap/>
          </w:tcPr>
          <w:p w:rsidR="00147ADB" w:rsidRPr="00264435" w:rsidRDefault="00147ADB" w:rsidP="00D30F34">
            <w:pPr>
              <w:spacing w:after="0" w:line="240" w:lineRule="auto"/>
              <w:rPr>
                <w:rFonts w:asciiTheme="minorHAnsi" w:hAnsiTheme="minorHAnsi" w:cs="Arial"/>
                <w:szCs w:val="18"/>
              </w:rPr>
            </w:pPr>
            <w:r w:rsidRPr="00264435">
              <w:rPr>
                <w:rFonts w:asciiTheme="minorHAnsi" w:hAnsiTheme="minorHAnsi" w:cs="Arial"/>
                <w:szCs w:val="18"/>
              </w:rPr>
              <w:t>First Assistant Secretary</w:t>
            </w:r>
          </w:p>
        </w:tc>
        <w:tc>
          <w:tcPr>
            <w:tcW w:w="4615" w:type="dxa"/>
            <w:noWrap/>
          </w:tcPr>
          <w:p w:rsidR="00147ADB" w:rsidRPr="00264435" w:rsidRDefault="00147ADB" w:rsidP="0042120D">
            <w:pPr>
              <w:spacing w:after="0" w:line="240" w:lineRule="auto"/>
              <w:rPr>
                <w:rFonts w:asciiTheme="minorHAnsi" w:hAnsiTheme="minorHAnsi" w:cs="Arial"/>
                <w:szCs w:val="18"/>
              </w:rPr>
            </w:pPr>
            <w:r w:rsidRPr="00264435">
              <w:rPr>
                <w:rFonts w:asciiTheme="minorHAnsi" w:hAnsiTheme="minorHAnsi" w:cs="Arial"/>
                <w:szCs w:val="18"/>
              </w:rPr>
              <w:t>Department of Prime Minister and Cabinet</w:t>
            </w:r>
          </w:p>
        </w:tc>
      </w:tr>
      <w:tr w:rsidR="00147ADB"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147ADB" w:rsidRPr="00264435" w:rsidRDefault="00147ADB" w:rsidP="00D30F34">
            <w:pPr>
              <w:spacing w:after="0" w:line="240" w:lineRule="auto"/>
              <w:rPr>
                <w:rFonts w:asciiTheme="minorHAnsi" w:hAnsiTheme="minorHAnsi" w:cs="Arial"/>
                <w:b/>
                <w:szCs w:val="18"/>
              </w:rPr>
            </w:pPr>
            <w:r w:rsidRPr="00264435">
              <w:rPr>
                <w:rFonts w:asciiTheme="minorHAnsi" w:hAnsiTheme="minorHAnsi" w:cs="Arial"/>
                <w:b/>
                <w:szCs w:val="18"/>
              </w:rPr>
              <w:t>Barry Sandison</w:t>
            </w:r>
          </w:p>
        </w:tc>
        <w:tc>
          <w:tcPr>
            <w:tcW w:w="2473" w:type="dxa"/>
            <w:noWrap/>
          </w:tcPr>
          <w:p w:rsidR="00147ADB" w:rsidRPr="00264435" w:rsidRDefault="00147ADB" w:rsidP="00D30F34">
            <w:pPr>
              <w:spacing w:after="0" w:line="240" w:lineRule="auto"/>
              <w:rPr>
                <w:rFonts w:asciiTheme="minorHAnsi" w:hAnsiTheme="minorHAnsi" w:cs="Arial"/>
                <w:szCs w:val="18"/>
              </w:rPr>
            </w:pPr>
            <w:r w:rsidRPr="00264435">
              <w:rPr>
                <w:rFonts w:asciiTheme="minorHAnsi" w:hAnsiTheme="minorHAnsi" w:cs="Arial"/>
                <w:szCs w:val="18"/>
              </w:rPr>
              <w:t>Director</w:t>
            </w:r>
          </w:p>
        </w:tc>
        <w:tc>
          <w:tcPr>
            <w:tcW w:w="4615" w:type="dxa"/>
            <w:noWrap/>
          </w:tcPr>
          <w:p w:rsidR="00147ADB" w:rsidRPr="00264435" w:rsidRDefault="00147ADB" w:rsidP="00D30F34">
            <w:pPr>
              <w:spacing w:after="0" w:line="240" w:lineRule="auto"/>
              <w:rPr>
                <w:rFonts w:asciiTheme="minorHAnsi" w:hAnsiTheme="minorHAnsi" w:cs="Arial"/>
                <w:szCs w:val="18"/>
              </w:rPr>
            </w:pPr>
            <w:r w:rsidRPr="00264435">
              <w:rPr>
                <w:rFonts w:asciiTheme="minorHAnsi" w:hAnsiTheme="minorHAnsi" w:cs="Arial"/>
                <w:szCs w:val="18"/>
              </w:rPr>
              <w:t>Australian Institute of Health and Welfare</w:t>
            </w:r>
          </w:p>
        </w:tc>
      </w:tr>
      <w:tr w:rsidR="0050038D"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8D0737" w:rsidRPr="00264435" w:rsidRDefault="008D0737" w:rsidP="008D0737">
            <w:pPr>
              <w:spacing w:after="0" w:line="240" w:lineRule="auto"/>
              <w:rPr>
                <w:rFonts w:asciiTheme="minorHAnsi" w:hAnsiTheme="minorHAnsi" w:cs="Arial"/>
                <w:b/>
                <w:szCs w:val="18"/>
              </w:rPr>
            </w:pPr>
            <w:r w:rsidRPr="00264435">
              <w:rPr>
                <w:rFonts w:asciiTheme="minorHAnsi" w:hAnsiTheme="minorHAnsi" w:cs="Arial"/>
                <w:b/>
                <w:szCs w:val="18"/>
              </w:rPr>
              <w:t>Leanne Wells</w:t>
            </w:r>
          </w:p>
        </w:tc>
        <w:tc>
          <w:tcPr>
            <w:tcW w:w="2473"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Chief Executive Officer</w:t>
            </w:r>
          </w:p>
        </w:tc>
        <w:tc>
          <w:tcPr>
            <w:tcW w:w="4615"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Consumers Health Forum of Australia</w:t>
            </w:r>
          </w:p>
        </w:tc>
      </w:tr>
      <w:tr w:rsidR="0050038D"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8D0737" w:rsidRPr="00264435" w:rsidRDefault="008D0737" w:rsidP="008D0737">
            <w:pPr>
              <w:spacing w:after="0" w:line="240" w:lineRule="auto"/>
              <w:rPr>
                <w:rFonts w:asciiTheme="minorHAnsi" w:hAnsiTheme="minorHAnsi" w:cs="Arial"/>
                <w:b/>
                <w:szCs w:val="18"/>
              </w:rPr>
            </w:pPr>
            <w:r w:rsidRPr="00264435">
              <w:rPr>
                <w:rFonts w:asciiTheme="minorHAnsi" w:hAnsiTheme="minorHAnsi" w:cs="Arial"/>
                <w:b/>
                <w:szCs w:val="18"/>
              </w:rPr>
              <w:t>Frank Quinlan</w:t>
            </w:r>
          </w:p>
        </w:tc>
        <w:tc>
          <w:tcPr>
            <w:tcW w:w="2473"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Chief Executive Officer</w:t>
            </w:r>
          </w:p>
        </w:tc>
        <w:tc>
          <w:tcPr>
            <w:tcW w:w="4615"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Mental Health Australia</w:t>
            </w:r>
          </w:p>
        </w:tc>
      </w:tr>
      <w:tr w:rsidR="0050038D"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8D0737" w:rsidRPr="00264435" w:rsidRDefault="008D0737" w:rsidP="008D0737">
            <w:pPr>
              <w:spacing w:after="0" w:line="240" w:lineRule="auto"/>
              <w:rPr>
                <w:rFonts w:asciiTheme="minorHAnsi" w:hAnsiTheme="minorHAnsi" w:cs="Arial"/>
                <w:b/>
                <w:szCs w:val="18"/>
              </w:rPr>
            </w:pPr>
            <w:r w:rsidRPr="00264435">
              <w:rPr>
                <w:rFonts w:asciiTheme="minorHAnsi" w:hAnsiTheme="minorHAnsi" w:cs="Arial"/>
                <w:b/>
                <w:szCs w:val="18"/>
              </w:rPr>
              <w:t>David Butt</w:t>
            </w:r>
          </w:p>
        </w:tc>
        <w:tc>
          <w:tcPr>
            <w:tcW w:w="2473"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Chief Executive Officer</w:t>
            </w:r>
          </w:p>
        </w:tc>
        <w:tc>
          <w:tcPr>
            <w:tcW w:w="4615"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National Rural Health Alliance</w:t>
            </w:r>
          </w:p>
        </w:tc>
      </w:tr>
      <w:tr w:rsidR="0050038D"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8D0737" w:rsidRPr="00264435" w:rsidRDefault="008D0737" w:rsidP="008D0737">
            <w:pPr>
              <w:spacing w:after="0" w:line="240" w:lineRule="auto"/>
              <w:rPr>
                <w:rFonts w:asciiTheme="minorHAnsi" w:hAnsiTheme="minorHAnsi" w:cs="Arial"/>
                <w:b/>
                <w:szCs w:val="18"/>
              </w:rPr>
            </w:pPr>
            <w:r w:rsidRPr="00264435">
              <w:rPr>
                <w:rFonts w:asciiTheme="minorHAnsi" w:hAnsiTheme="minorHAnsi" w:cs="Arial"/>
                <w:b/>
                <w:szCs w:val="18"/>
              </w:rPr>
              <w:t xml:space="preserve">John </w:t>
            </w:r>
            <w:proofErr w:type="spellStart"/>
            <w:r w:rsidRPr="00264435">
              <w:rPr>
                <w:rFonts w:asciiTheme="minorHAnsi" w:hAnsiTheme="minorHAnsi" w:cs="Arial"/>
                <w:b/>
                <w:szCs w:val="18"/>
              </w:rPr>
              <w:t>Feneley</w:t>
            </w:r>
            <w:proofErr w:type="spellEnd"/>
          </w:p>
        </w:tc>
        <w:tc>
          <w:tcPr>
            <w:tcW w:w="2473"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Commissioner</w:t>
            </w:r>
          </w:p>
        </w:tc>
        <w:tc>
          <w:tcPr>
            <w:tcW w:w="4615"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New South Wales Mental Health Commission</w:t>
            </w:r>
          </w:p>
        </w:tc>
      </w:tr>
      <w:tr w:rsidR="0050038D"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8D0737" w:rsidRPr="00264435" w:rsidRDefault="008D0737" w:rsidP="008D0737">
            <w:pPr>
              <w:spacing w:after="0" w:line="240" w:lineRule="auto"/>
              <w:rPr>
                <w:rFonts w:asciiTheme="minorHAnsi" w:hAnsiTheme="minorHAnsi" w:cs="Arial"/>
                <w:b/>
                <w:szCs w:val="18"/>
              </w:rPr>
            </w:pPr>
            <w:r w:rsidRPr="00264435">
              <w:rPr>
                <w:rFonts w:asciiTheme="minorHAnsi" w:hAnsiTheme="minorHAnsi" w:cs="Arial"/>
                <w:b/>
                <w:szCs w:val="18"/>
              </w:rPr>
              <w:t>Sue Murray</w:t>
            </w:r>
          </w:p>
        </w:tc>
        <w:tc>
          <w:tcPr>
            <w:tcW w:w="2473"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Chief Executive Officer</w:t>
            </w:r>
          </w:p>
        </w:tc>
        <w:tc>
          <w:tcPr>
            <w:tcW w:w="4615"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Suicide Prevention Australia</w:t>
            </w:r>
          </w:p>
        </w:tc>
      </w:tr>
      <w:tr w:rsidR="0050038D"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8D0737" w:rsidRPr="00264435" w:rsidRDefault="008D0737" w:rsidP="008D0737">
            <w:pPr>
              <w:spacing w:after="0" w:line="240" w:lineRule="auto"/>
              <w:rPr>
                <w:rFonts w:asciiTheme="minorHAnsi" w:hAnsiTheme="minorHAnsi" w:cs="Arial"/>
                <w:b/>
                <w:szCs w:val="18"/>
              </w:rPr>
            </w:pPr>
            <w:r w:rsidRPr="00264435">
              <w:rPr>
                <w:rFonts w:asciiTheme="minorHAnsi" w:hAnsiTheme="minorHAnsi" w:cs="Arial"/>
                <w:b/>
                <w:szCs w:val="18"/>
              </w:rPr>
              <w:t>Lyn Littlefield OAM</w:t>
            </w:r>
          </w:p>
        </w:tc>
        <w:tc>
          <w:tcPr>
            <w:tcW w:w="2473"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Executive Director</w:t>
            </w:r>
          </w:p>
        </w:tc>
        <w:tc>
          <w:tcPr>
            <w:tcW w:w="4615"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Australian Psychological Society</w:t>
            </w:r>
          </w:p>
        </w:tc>
      </w:tr>
      <w:tr w:rsidR="0050038D" w:rsidRPr="00264435">
        <w:trPr>
          <w:cnfStyle w:val="000000100000" w:firstRow="0" w:lastRow="0" w:firstColumn="0" w:lastColumn="0" w:oddVBand="0" w:evenVBand="0" w:oddHBand="1" w:evenHBand="0" w:firstRowFirstColumn="0" w:firstRowLastColumn="0" w:lastRowFirstColumn="0" w:lastRowLastColumn="0"/>
          <w:trHeight w:val="300"/>
        </w:trPr>
        <w:tc>
          <w:tcPr>
            <w:tcW w:w="2410" w:type="dxa"/>
            <w:noWrap/>
          </w:tcPr>
          <w:p w:rsidR="008D0737" w:rsidRPr="00264435" w:rsidRDefault="008D0737" w:rsidP="008D0737">
            <w:pPr>
              <w:spacing w:after="0" w:line="240" w:lineRule="auto"/>
              <w:rPr>
                <w:rFonts w:asciiTheme="minorHAnsi" w:hAnsiTheme="minorHAnsi" w:cs="Arial"/>
                <w:b/>
                <w:szCs w:val="18"/>
              </w:rPr>
            </w:pPr>
            <w:r w:rsidRPr="00264435">
              <w:rPr>
                <w:rFonts w:asciiTheme="minorHAnsi" w:hAnsiTheme="minorHAnsi" w:cs="Arial"/>
                <w:b/>
                <w:szCs w:val="18"/>
              </w:rPr>
              <w:t>Malcolm Hopwood</w:t>
            </w:r>
          </w:p>
        </w:tc>
        <w:tc>
          <w:tcPr>
            <w:tcW w:w="2473"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President</w:t>
            </w:r>
          </w:p>
        </w:tc>
        <w:tc>
          <w:tcPr>
            <w:tcW w:w="4615"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Royal Australian &amp; New Zealand College of Psychiatrists</w:t>
            </w:r>
          </w:p>
        </w:tc>
      </w:tr>
      <w:tr w:rsidR="0050038D" w:rsidRPr="00264435">
        <w:trPr>
          <w:cnfStyle w:val="000000010000" w:firstRow="0" w:lastRow="0" w:firstColumn="0" w:lastColumn="0" w:oddVBand="0" w:evenVBand="0" w:oddHBand="0" w:evenHBand="1" w:firstRowFirstColumn="0" w:firstRowLastColumn="0" w:lastRowFirstColumn="0" w:lastRowLastColumn="0"/>
          <w:trHeight w:val="300"/>
        </w:trPr>
        <w:tc>
          <w:tcPr>
            <w:tcW w:w="2410" w:type="dxa"/>
            <w:noWrap/>
          </w:tcPr>
          <w:p w:rsidR="008D0737" w:rsidRPr="00264435" w:rsidRDefault="008D0737" w:rsidP="008D0737">
            <w:pPr>
              <w:spacing w:after="0" w:line="240" w:lineRule="auto"/>
              <w:rPr>
                <w:rFonts w:asciiTheme="minorHAnsi" w:hAnsiTheme="minorHAnsi" w:cs="Arial"/>
                <w:b/>
                <w:szCs w:val="18"/>
              </w:rPr>
            </w:pPr>
            <w:r w:rsidRPr="00264435">
              <w:rPr>
                <w:rFonts w:asciiTheme="minorHAnsi" w:hAnsiTheme="minorHAnsi" w:cs="Arial"/>
                <w:b/>
                <w:szCs w:val="18"/>
              </w:rPr>
              <w:t xml:space="preserve">Michael </w:t>
            </w:r>
            <w:proofErr w:type="spellStart"/>
            <w:r w:rsidRPr="00264435">
              <w:rPr>
                <w:rFonts w:asciiTheme="minorHAnsi" w:hAnsiTheme="minorHAnsi" w:cs="Arial"/>
                <w:b/>
                <w:szCs w:val="18"/>
              </w:rPr>
              <w:t>Pervan</w:t>
            </w:r>
            <w:proofErr w:type="spellEnd"/>
          </w:p>
        </w:tc>
        <w:tc>
          <w:tcPr>
            <w:tcW w:w="2473" w:type="dxa"/>
            <w:noWrap/>
          </w:tcPr>
          <w:p w:rsidR="008D0737" w:rsidRPr="00264435" w:rsidRDefault="008D0737" w:rsidP="008D0737">
            <w:pPr>
              <w:spacing w:after="0" w:line="240" w:lineRule="auto"/>
              <w:rPr>
                <w:rFonts w:asciiTheme="minorHAnsi" w:hAnsiTheme="minorHAnsi" w:cs="Arial"/>
                <w:szCs w:val="18"/>
              </w:rPr>
            </w:pPr>
            <w:r w:rsidRPr="00264435">
              <w:rPr>
                <w:rFonts w:asciiTheme="minorHAnsi" w:hAnsiTheme="minorHAnsi" w:cs="Arial"/>
                <w:szCs w:val="18"/>
              </w:rPr>
              <w:t>Secretary</w:t>
            </w:r>
          </w:p>
        </w:tc>
        <w:tc>
          <w:tcPr>
            <w:tcW w:w="4615" w:type="dxa"/>
            <w:noWrap/>
          </w:tcPr>
          <w:p w:rsidR="008D0737" w:rsidRPr="00264435" w:rsidRDefault="008D0737" w:rsidP="00147ADB">
            <w:pPr>
              <w:spacing w:after="0" w:line="240" w:lineRule="auto"/>
              <w:rPr>
                <w:rFonts w:asciiTheme="minorHAnsi" w:hAnsiTheme="minorHAnsi" w:cs="Arial"/>
                <w:szCs w:val="18"/>
              </w:rPr>
            </w:pPr>
            <w:r w:rsidRPr="00264435">
              <w:rPr>
                <w:rFonts w:asciiTheme="minorHAnsi" w:hAnsiTheme="minorHAnsi" w:cs="Arial"/>
                <w:szCs w:val="18"/>
              </w:rPr>
              <w:t xml:space="preserve">Tasmanian </w:t>
            </w:r>
            <w:r w:rsidR="00147ADB" w:rsidRPr="00264435">
              <w:rPr>
                <w:rFonts w:asciiTheme="minorHAnsi" w:hAnsiTheme="minorHAnsi" w:cs="Arial"/>
                <w:szCs w:val="18"/>
              </w:rPr>
              <w:t>DHHS</w:t>
            </w:r>
          </w:p>
        </w:tc>
      </w:tr>
    </w:tbl>
    <w:p w:rsidR="00E452E7" w:rsidRPr="00264435" w:rsidRDefault="00E452E7" w:rsidP="00E452E7">
      <w:pPr>
        <w:rPr>
          <w:bCs/>
          <w:color w:val="000000" w:themeColor="text1"/>
          <w:sz w:val="20"/>
          <w:szCs w:val="18"/>
        </w:rPr>
      </w:pPr>
    </w:p>
    <w:p w:rsidR="00E452E7" w:rsidRPr="00264435" w:rsidRDefault="002E243F" w:rsidP="00F916D6">
      <w:pPr>
        <w:pStyle w:val="Paneltext"/>
      </w:pPr>
      <w:r w:rsidRPr="00264435">
        <w:rPr>
          <w:bCs/>
          <w:color w:val="000000" w:themeColor="text1"/>
          <w:sz w:val="20"/>
          <w:szCs w:val="18"/>
        </w:rPr>
        <w:br w:type="page"/>
      </w:r>
    </w:p>
    <w:p w:rsidR="00E452E7" w:rsidRPr="00264435" w:rsidRDefault="00E452E7" w:rsidP="00E452E7">
      <w:pPr>
        <w:rPr>
          <w:rFonts w:cs="Segoe UI Light"/>
          <w:sz w:val="60"/>
        </w:rPr>
      </w:pPr>
      <w:r w:rsidRPr="00264435">
        <w:rPr>
          <w:rFonts w:cs="Segoe UI Light"/>
          <w:noProof/>
          <w:lang w:eastAsia="en-AU"/>
        </w:rPr>
        <w:lastRenderedPageBreak/>
        <w:drawing>
          <wp:inline distT="0" distB="0" distL="0" distR="0" wp14:anchorId="50E5C20B" wp14:editId="1952059A">
            <wp:extent cx="1831975" cy="345440"/>
            <wp:effectExtent l="0" t="0" r="0" b="0"/>
            <wp:docPr id="3" name="Picture 3" descr="This is an image of the Deloitte logo which is simply the company name displayed in thick stylised lettering" title="Deloitte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inline>
        </w:drawing>
      </w:r>
    </w:p>
    <w:p w:rsidR="009668E8" w:rsidRDefault="009668E8" w:rsidP="009668E8">
      <w:pPr>
        <w:rPr>
          <w:rFonts w:cs="Segoe UI Light"/>
          <w:sz w:val="60"/>
        </w:rPr>
      </w:pPr>
    </w:p>
    <w:p w:rsidR="00BF6F8B" w:rsidRPr="009668E8" w:rsidRDefault="009039B4" w:rsidP="009668E8">
      <w:pPr>
        <w:rPr>
          <w:rFonts w:cs="Segoe UI Light"/>
        </w:rPr>
      </w:pPr>
      <w:r>
        <w:rPr>
          <w:rFonts w:cs="Segoe UI Light"/>
          <w:noProof/>
          <w:lang w:eastAsia="en-AU"/>
        </w:rPr>
        <mc:AlternateContent>
          <mc:Choice Requires="wps">
            <w:drawing>
              <wp:anchor distT="0" distB="0" distL="114300" distR="114300" simplePos="0" relativeHeight="251673600" behindDoc="0" locked="0" layoutInCell="1" allowOverlap="1" wp14:anchorId="7AADA41B" wp14:editId="727DA4BB">
                <wp:simplePos x="0" y="0"/>
                <wp:positionH relativeFrom="column">
                  <wp:posOffset>2796540</wp:posOffset>
                </wp:positionH>
                <wp:positionV relativeFrom="paragraph">
                  <wp:posOffset>2366010</wp:posOffset>
                </wp:positionV>
                <wp:extent cx="3131820" cy="5146040"/>
                <wp:effectExtent l="0" t="0" r="0" b="0"/>
                <wp:wrapNone/>
                <wp:docPr id="10"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1820" cy="5146040"/>
                        </a:xfrm>
                        <a:prstGeom prst="rect">
                          <a:avLst/>
                        </a:prstGeom>
                      </wps:spPr>
                      <wps:txbx>
                        <w:txbxContent>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b/>
                                <w:bCs/>
                                <w:color w:val="262626" w:themeColor="text1" w:themeTint="D9"/>
                                <w:kern w:val="24"/>
                                <w:sz w:val="15"/>
                                <w:szCs w:val="15"/>
                              </w:rPr>
                              <w:t>About Deloitte</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Deloitte refers to one or more of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Limited, a UK private company limited by guarantee, and its network of member firms, each of which is a legally separate and independent entity. Please see www.deloitte.com/au/about for a detailed description of the legal structure of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Limited and its member firms.</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Deloitte provides audit, tax, consulting, and financial advisory services to public and private clients spanning multiple industries. With a globally connected network of member firms in more than 150 countries, Deloitte brings world-class capabilities and deep local expertise to help clients succeed wherever they operate. Deloitte's approximately 170,000 professionals are committed to becoming the standard of excellence</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b/>
                                <w:bCs/>
                                <w:color w:val="262626" w:themeColor="text1" w:themeTint="D9"/>
                                <w:kern w:val="24"/>
                                <w:sz w:val="15"/>
                                <w:szCs w:val="15"/>
                              </w:rPr>
                              <w:t>About Deloitte Australia</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In Australia, the member firm is the Australian partnership of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As one of Australia’s leading professional services firms,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and its affiliates provide audit, tax, consulting, and financial advisory services through approximately 5,400 people across the country. Focused on the creation of value and growth, and known as an employer of choice for innovative human resources programs, we are dedicated to helping our clients and our people excel. For more information, please visit Deloitte’s web site at www.deloitte.com.au.</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Liability limited by a scheme approved under Professional Standards Legislation.</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Member of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Limited</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 2017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w:t>
                            </w:r>
                          </w:p>
                        </w:txbxContent>
                      </wps:txbx>
                      <wps:bodyPr rIns="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ontent Placeholder 1" o:spid="_x0000_s1026" type="#_x0000_t202" style="position:absolute;margin-left:220.2pt;margin-top:186.3pt;width:246.6pt;height:40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" filled="f" stroked="f">
                <v:path arrowok="t"/>
                <v:textbox inset=",,0">
                  <w:txbxContent>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b/>
                          <w:bCs/>
                          <w:color w:val="262626" w:themeColor="text1" w:themeTint="D9"/>
                          <w:kern w:val="24"/>
                          <w:sz w:val="15"/>
                          <w:szCs w:val="15"/>
                        </w:rPr>
                        <w:t>About Deloitte</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Deloitte refers to one or more of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Limited, a UK private company limited by guarantee, and its network of member firms, each of which is a legally separate and independent entity. Please see www.deloitte.com/au/about for a detailed description of the legal structure of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Limited and its member firms.</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Deloitte provides audit, tax, consulting, and financial advisory services to public and private clients spanning multiple industries. With a globally connected network of member firms in more than 150 countries, Deloitte brings world-class capabilities and deep local expertise to help clients succeed wherever they operate. Deloitte's approximately 170,000 professionals are committed to becoming the standard of excellence</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b/>
                          <w:bCs/>
                          <w:color w:val="262626" w:themeColor="text1" w:themeTint="D9"/>
                          <w:kern w:val="24"/>
                          <w:sz w:val="15"/>
                          <w:szCs w:val="15"/>
                        </w:rPr>
                        <w:t>About Deloitte Australia</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In Australia, the member firm is the Australian partnership of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As one of Australia’s leading professional services firms,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and its affiliates provide audit, tax, consulting, and financial advisory services through approximately 5,400 people across the country. Focused on the creation of value and growth, and known as an employer of choice for innovative human resources programs, we are dedicated to helping our clients and our people excel. For more information, please visit Deloitte’s web site at www.deloitte.com.au.</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Liability limited by a scheme approved under Professional Standards Legislation.</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Member of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 Limited</w:t>
                      </w:r>
                    </w:p>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 2017 Deloitte </w:t>
                      </w:r>
                      <w:proofErr w:type="spellStart"/>
                      <w:r w:rsidRPr="00757B8B">
                        <w:rPr>
                          <w:rFonts w:ascii="Segoe UI Light" w:eastAsia="Verdana" w:hAnsi="Segoe UI Light" w:cs="Segoe UI Light"/>
                          <w:color w:val="262626" w:themeColor="text1" w:themeTint="D9"/>
                          <w:kern w:val="24"/>
                          <w:sz w:val="15"/>
                          <w:szCs w:val="15"/>
                        </w:rPr>
                        <w:t>Touche</w:t>
                      </w:r>
                      <w:proofErr w:type="spellEnd"/>
                      <w:r w:rsidRPr="00757B8B">
                        <w:rPr>
                          <w:rFonts w:ascii="Segoe UI Light" w:eastAsia="Verdana" w:hAnsi="Segoe UI Light" w:cs="Segoe UI Light"/>
                          <w:color w:val="262626" w:themeColor="text1" w:themeTint="D9"/>
                          <w:kern w:val="24"/>
                          <w:sz w:val="15"/>
                          <w:szCs w:val="15"/>
                        </w:rPr>
                        <w:t xml:space="preserve"> Tohmatsu</w:t>
                      </w:r>
                    </w:p>
                  </w:txbxContent>
                </v:textbox>
              </v:shape>
            </w:pict>
          </mc:Fallback>
        </mc:AlternateContent>
      </w:r>
    </w:p>
    <w:p w:rsidR="00D01239" w:rsidRPr="00264435" w:rsidRDefault="00D01239" w:rsidP="009B139F"/>
    <w:p w:rsidR="00BF6F8B" w:rsidRPr="00264435" w:rsidRDefault="009039B4" w:rsidP="009B139F">
      <w:r>
        <w:rPr>
          <w:rFonts w:cs="Segoe UI Light"/>
          <w:noProof/>
          <w:lang w:eastAsia="en-AU"/>
        </w:rPr>
        <mc:AlternateContent>
          <mc:Choice Requires="wps">
            <w:drawing>
              <wp:anchor distT="0" distB="0" distL="114300" distR="114300" simplePos="0" relativeHeight="251671552" behindDoc="0" locked="0" layoutInCell="1" allowOverlap="1" wp14:anchorId="59257C9D" wp14:editId="0E2A756B">
                <wp:simplePos x="0" y="0"/>
                <wp:positionH relativeFrom="column">
                  <wp:posOffset>3950</wp:posOffset>
                </wp:positionH>
                <wp:positionV relativeFrom="paragraph">
                  <wp:posOffset>1918714</wp:posOffset>
                </wp:positionV>
                <wp:extent cx="2012315" cy="1920875"/>
                <wp:effectExtent l="0" t="0" r="0" b="0"/>
                <wp:wrapNone/>
                <wp:docPr id="5"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315" cy="1920875"/>
                        </a:xfrm>
                        <a:prstGeom prst="rect">
                          <a:avLst/>
                        </a:prstGeom>
                      </wps:spPr>
                      <wps:txbx>
                        <w:txbxContent>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b/>
                                <w:bCs/>
                                <w:color w:val="92D400"/>
                                <w:kern w:val="24"/>
                              </w:rPr>
                              <w:t>Contact us</w:t>
                            </w:r>
                          </w:p>
                          <w:p w:rsidR="00F916D6" w:rsidRPr="00757B8B" w:rsidRDefault="00F916D6" w:rsidP="00E452E7">
                            <w:pPr>
                              <w:pStyle w:val="NormalWeb"/>
                              <w:spacing w:before="0" w:beforeAutospacing="0" w:after="0" w:afterAutospacing="0"/>
                              <w:rPr>
                                <w:rFonts w:ascii="Segoe UI Light" w:hAnsi="Segoe UI Light" w:cs="Segoe UI Light"/>
                              </w:rPr>
                            </w:pPr>
                            <w:r w:rsidRPr="00757B8B">
                              <w:rPr>
                                <w:rFonts w:ascii="Segoe UI Light" w:eastAsia="Verdana" w:hAnsi="Segoe UI Light" w:cs="Segoe UI Light"/>
                                <w:b/>
                                <w:bCs/>
                                <w:color w:val="262626" w:themeColor="text1" w:themeTint="D9"/>
                                <w:kern w:val="24"/>
                                <w:sz w:val="15"/>
                                <w:szCs w:val="15"/>
                                <w:lang w:val="en-GB"/>
                              </w:rPr>
                              <w:t>Deloitte</w:t>
                            </w:r>
                            <w:r w:rsidRPr="00757B8B">
                              <w:rPr>
                                <w:rFonts w:ascii="Segoe UI Light" w:eastAsia="Verdana" w:hAnsi="Segoe UI Light" w:cs="Segoe UI Light"/>
                                <w:color w:val="262626" w:themeColor="text1" w:themeTint="D9"/>
                                <w:kern w:val="24"/>
                                <w:sz w:val="15"/>
                                <w:szCs w:val="15"/>
                                <w:lang w:val="en-GB"/>
                              </w:rPr>
                              <w:br/>
                            </w:r>
                            <w:r w:rsidRPr="00757B8B">
                              <w:rPr>
                                <w:rFonts w:ascii="Segoe UI Light" w:eastAsia="Verdana" w:hAnsi="Segoe UI Light" w:cs="Segoe UI Light"/>
                                <w:color w:val="262626" w:themeColor="text1" w:themeTint="D9"/>
                                <w:kern w:val="24"/>
                                <w:sz w:val="15"/>
                                <w:szCs w:val="15"/>
                                <w:lang w:val="en-GB"/>
                              </w:rPr>
                              <w:br/>
                            </w:r>
                            <w:r w:rsidRPr="00757B8B">
                              <w:rPr>
                                <w:rFonts w:ascii="Segoe UI Light" w:eastAsia="Verdana" w:hAnsi="Segoe UI Light" w:cs="Segoe UI Light"/>
                                <w:color w:val="262626" w:themeColor="text1" w:themeTint="D9"/>
                                <w:kern w:val="24"/>
                                <w:sz w:val="15"/>
                                <w:szCs w:val="15"/>
                              </w:rPr>
                              <w:t>550 Bourke Street</w:t>
                            </w:r>
                          </w:p>
                          <w:p w:rsidR="00F916D6" w:rsidRPr="00757B8B" w:rsidRDefault="00F916D6" w:rsidP="00E452E7">
                            <w:pPr>
                              <w:pStyle w:val="NormalWeb"/>
                              <w:spacing w:before="0" w:beforeAutospacing="0" w:after="0" w:afterAutospacing="0"/>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Melbourne VIC 3000</w:t>
                            </w:r>
                          </w:p>
                          <w:p w:rsidR="00F916D6" w:rsidRPr="00757B8B" w:rsidRDefault="00F916D6" w:rsidP="00E452E7">
                            <w:pPr>
                              <w:pStyle w:val="NormalWeb"/>
                              <w:spacing w:before="0" w:beforeAutospacing="0" w:after="0" w:afterAutospacing="0"/>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 Australia</w:t>
                            </w:r>
                          </w:p>
                          <w:p w:rsidR="00F916D6" w:rsidRPr="00757B8B" w:rsidRDefault="00F916D6" w:rsidP="00E452E7">
                            <w:pPr>
                              <w:pStyle w:val="NormalWeb"/>
                              <w:spacing w:before="30" w:beforeAutospacing="0" w:after="0" w:afterAutospacing="0"/>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Tel: +61 3 9671 7000</w:t>
                            </w:r>
                            <w:r w:rsidRPr="00757B8B">
                              <w:rPr>
                                <w:rFonts w:ascii="Segoe UI Light" w:eastAsia="Verdana" w:hAnsi="Segoe UI Light" w:cs="Segoe UI Light"/>
                                <w:color w:val="262626" w:themeColor="text1" w:themeTint="D9"/>
                                <w:kern w:val="24"/>
                                <w:sz w:val="15"/>
                                <w:szCs w:val="15"/>
                              </w:rPr>
                              <w:br/>
                              <w:t>www.deloitte.com.au</w:t>
                            </w:r>
                          </w:p>
                        </w:txbxContent>
                      </wps:txbx>
                      <wps:bodyPr lIns="0" rIns="36000"/>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pt;margin-top:151.1pt;width:158.45pt;height:15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" filled="f" stroked="f">
                <v:path arrowok="t"/>
                <v:textbox inset="0,,1mm">
                  <w:txbxContent>
                    <w:p w:rsidR="00F916D6" w:rsidRPr="00757B8B" w:rsidRDefault="00F916D6" w:rsidP="00E452E7">
                      <w:pPr>
                        <w:pStyle w:val="NormalWeb"/>
                        <w:spacing w:before="40" w:beforeAutospacing="0" w:after="40" w:afterAutospacing="0" w:line="240" w:lineRule="exact"/>
                        <w:rPr>
                          <w:rFonts w:ascii="Segoe UI Light" w:hAnsi="Segoe UI Light" w:cs="Segoe UI Light"/>
                        </w:rPr>
                      </w:pPr>
                      <w:r w:rsidRPr="00757B8B">
                        <w:rPr>
                          <w:rFonts w:ascii="Segoe UI Light" w:eastAsia="Verdana" w:hAnsi="Segoe UI Light" w:cs="Segoe UI Light"/>
                          <w:b/>
                          <w:bCs/>
                          <w:color w:val="92D400"/>
                          <w:kern w:val="24"/>
                        </w:rPr>
                        <w:t>Contact us</w:t>
                      </w:r>
                    </w:p>
                    <w:p w:rsidR="00F916D6" w:rsidRPr="00757B8B" w:rsidRDefault="00F916D6" w:rsidP="00E452E7">
                      <w:pPr>
                        <w:pStyle w:val="NormalWeb"/>
                        <w:spacing w:before="0" w:beforeAutospacing="0" w:after="0" w:afterAutospacing="0"/>
                        <w:rPr>
                          <w:rFonts w:ascii="Segoe UI Light" w:hAnsi="Segoe UI Light" w:cs="Segoe UI Light"/>
                        </w:rPr>
                      </w:pPr>
                      <w:r w:rsidRPr="00757B8B">
                        <w:rPr>
                          <w:rFonts w:ascii="Segoe UI Light" w:eastAsia="Verdana" w:hAnsi="Segoe UI Light" w:cs="Segoe UI Light"/>
                          <w:b/>
                          <w:bCs/>
                          <w:color w:val="262626" w:themeColor="text1" w:themeTint="D9"/>
                          <w:kern w:val="24"/>
                          <w:sz w:val="15"/>
                          <w:szCs w:val="15"/>
                          <w:lang w:val="en-GB"/>
                        </w:rPr>
                        <w:t>Deloitte</w:t>
                      </w:r>
                      <w:r w:rsidRPr="00757B8B">
                        <w:rPr>
                          <w:rFonts w:ascii="Segoe UI Light" w:eastAsia="Verdana" w:hAnsi="Segoe UI Light" w:cs="Segoe UI Light"/>
                          <w:color w:val="262626" w:themeColor="text1" w:themeTint="D9"/>
                          <w:kern w:val="24"/>
                          <w:sz w:val="15"/>
                          <w:szCs w:val="15"/>
                          <w:lang w:val="en-GB"/>
                        </w:rPr>
                        <w:br/>
                      </w:r>
                      <w:r w:rsidRPr="00757B8B">
                        <w:rPr>
                          <w:rFonts w:ascii="Segoe UI Light" w:eastAsia="Verdana" w:hAnsi="Segoe UI Light" w:cs="Segoe UI Light"/>
                          <w:color w:val="262626" w:themeColor="text1" w:themeTint="D9"/>
                          <w:kern w:val="24"/>
                          <w:sz w:val="15"/>
                          <w:szCs w:val="15"/>
                          <w:lang w:val="en-GB"/>
                        </w:rPr>
                        <w:br/>
                      </w:r>
                      <w:r w:rsidRPr="00757B8B">
                        <w:rPr>
                          <w:rFonts w:ascii="Segoe UI Light" w:eastAsia="Verdana" w:hAnsi="Segoe UI Light" w:cs="Segoe UI Light"/>
                          <w:color w:val="262626" w:themeColor="text1" w:themeTint="D9"/>
                          <w:kern w:val="24"/>
                          <w:sz w:val="15"/>
                          <w:szCs w:val="15"/>
                        </w:rPr>
                        <w:t>550 Bourke Street</w:t>
                      </w:r>
                    </w:p>
                    <w:p w:rsidR="00F916D6" w:rsidRPr="00757B8B" w:rsidRDefault="00F916D6" w:rsidP="00E452E7">
                      <w:pPr>
                        <w:pStyle w:val="NormalWeb"/>
                        <w:spacing w:before="0" w:beforeAutospacing="0" w:after="0" w:afterAutospacing="0"/>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Melbourne VIC 3000</w:t>
                      </w:r>
                    </w:p>
                    <w:p w:rsidR="00F916D6" w:rsidRPr="00757B8B" w:rsidRDefault="00F916D6" w:rsidP="00E452E7">
                      <w:pPr>
                        <w:pStyle w:val="NormalWeb"/>
                        <w:spacing w:before="0" w:beforeAutospacing="0" w:after="0" w:afterAutospacing="0"/>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 xml:space="preserve"> Australia</w:t>
                      </w:r>
                    </w:p>
                    <w:p w:rsidR="00F916D6" w:rsidRPr="00757B8B" w:rsidRDefault="00F916D6" w:rsidP="00E452E7">
                      <w:pPr>
                        <w:pStyle w:val="NormalWeb"/>
                        <w:spacing w:before="30" w:beforeAutospacing="0" w:after="0" w:afterAutospacing="0"/>
                        <w:rPr>
                          <w:rFonts w:ascii="Segoe UI Light" w:hAnsi="Segoe UI Light" w:cs="Segoe UI Light"/>
                        </w:rPr>
                      </w:pPr>
                      <w:r w:rsidRPr="00757B8B">
                        <w:rPr>
                          <w:rFonts w:ascii="Segoe UI Light" w:eastAsia="Verdana" w:hAnsi="Segoe UI Light" w:cs="Segoe UI Light"/>
                          <w:color w:val="262626" w:themeColor="text1" w:themeTint="D9"/>
                          <w:kern w:val="24"/>
                          <w:sz w:val="15"/>
                          <w:szCs w:val="15"/>
                        </w:rPr>
                        <w:t>Tel: +61 3 9671 7000</w:t>
                      </w:r>
                      <w:r w:rsidRPr="00757B8B">
                        <w:rPr>
                          <w:rFonts w:ascii="Segoe UI Light" w:eastAsia="Verdana" w:hAnsi="Segoe UI Light" w:cs="Segoe UI Light"/>
                          <w:color w:val="262626" w:themeColor="text1" w:themeTint="D9"/>
                          <w:kern w:val="24"/>
                          <w:sz w:val="15"/>
                          <w:szCs w:val="15"/>
                        </w:rPr>
                        <w:br/>
                        <w:t>www.deloitte.com.au</w:t>
                      </w:r>
                    </w:p>
                  </w:txbxContent>
                </v:textbox>
              </v:shape>
            </w:pict>
          </mc:Fallback>
        </mc:AlternateContent>
      </w:r>
    </w:p>
    <w:sectPr w:rsidR="00BF6F8B" w:rsidRPr="00264435" w:rsidSect="002000DC">
      <w:headerReference w:type="default" r:id="rId26"/>
      <w:headerReference w:type="first" r:id="rId27"/>
      <w:footerReference w:type="first" r:id="rId28"/>
      <w:pgSz w:w="11906" w:h="16838" w:code="9"/>
      <w:pgMar w:top="1440" w:right="1440" w:bottom="1440" w:left="1440" w:header="680" w:footer="567"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D6" w:rsidRDefault="00F916D6" w:rsidP="00C702C7">
      <w:pPr>
        <w:spacing w:after="0" w:line="240" w:lineRule="auto"/>
      </w:pPr>
      <w:r>
        <w:separator/>
      </w:r>
    </w:p>
  </w:endnote>
  <w:endnote w:type="continuationSeparator" w:id="0">
    <w:p w:rsidR="00F916D6" w:rsidRDefault="00F916D6"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450967"/>
      <w:docPartObj>
        <w:docPartGallery w:val="Page Numbers (Bottom of Page)"/>
        <w:docPartUnique/>
      </w:docPartObj>
    </w:sdtPr>
    <w:sdtEndPr>
      <w:rPr>
        <w:noProof/>
      </w:rPr>
    </w:sdtEndPr>
    <w:sdtContent>
      <w:p w:rsidR="00F916D6" w:rsidRDefault="00F916D6">
        <w:pPr>
          <w:pStyle w:val="Footer"/>
          <w:jc w:val="right"/>
        </w:pPr>
        <w:r>
          <w:fldChar w:fldCharType="begin"/>
        </w:r>
        <w:r>
          <w:instrText xml:space="preserve"> PAGE   \* MERGEFORMAT </w:instrText>
        </w:r>
        <w:r>
          <w:fldChar w:fldCharType="separate"/>
        </w:r>
        <w:r w:rsidR="007872FA">
          <w:rPr>
            <w:noProof/>
          </w:rPr>
          <w:t>3</w:t>
        </w:r>
        <w:r>
          <w:rPr>
            <w:noProof/>
          </w:rPr>
          <w:fldChar w:fldCharType="end"/>
        </w:r>
      </w:p>
    </w:sdtContent>
  </w:sdt>
  <w:p w:rsidR="00F916D6" w:rsidRPr="00904097" w:rsidRDefault="00F916D6" w:rsidP="00904097">
    <w:pPr>
      <w:pStyle w:val="Footer"/>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D6" w:rsidRDefault="00F916D6">
    <w:pPr>
      <w:pStyle w:val="Footer"/>
    </w:pPr>
    <w:r>
      <w:fldChar w:fldCharType="begin"/>
    </w:r>
    <w:r>
      <w:instrText xml:space="preserve"> IF </w:instrText>
    </w:r>
    <w:r>
      <w:fldChar w:fldCharType="begin"/>
    </w:r>
    <w:r>
      <w:instrText xml:space="preserve"> PAGE  \* Arabic  \* MERGEFORMAT </w:instrText>
    </w:r>
    <w:r>
      <w:fldChar w:fldCharType="separate"/>
    </w:r>
    <w:r w:rsidR="00225509">
      <w:rPr>
        <w:noProof/>
      </w:rPr>
      <w:instrText>0</w:instrText>
    </w:r>
    <w:r>
      <w:rPr>
        <w:noProof/>
      </w:rPr>
      <w:fldChar w:fldCharType="end"/>
    </w:r>
    <w:r>
      <w:instrText xml:space="preserve"> &lt; "10" "0</w:instrText>
    </w:r>
    <w:r>
      <w:fldChar w:fldCharType="begin"/>
    </w:r>
    <w:r>
      <w:instrText xml:space="preserve"> PAGE  \* Arabic  \* MERGEFORMAT </w:instrText>
    </w:r>
    <w:r>
      <w:fldChar w:fldCharType="separate"/>
    </w:r>
    <w:r w:rsidR="00225509">
      <w:rPr>
        <w:noProof/>
      </w:rPr>
      <w:instrText>0</w:instrText>
    </w:r>
    <w:r>
      <w:rPr>
        <w:noProof/>
      </w:rPr>
      <w:fldChar w:fldCharType="end"/>
    </w:r>
    <w:r>
      <w:instrText xml:space="preserve">" \* MERGEFORMAT </w:instrText>
    </w:r>
    <w:r>
      <w:fldChar w:fldCharType="separate"/>
    </w:r>
    <w:r w:rsidR="00225509">
      <w:rPr>
        <w:noProof/>
      </w:rPr>
      <w:t>00</w:t>
    </w:r>
    <w:r>
      <w:fldChar w:fldCharType="end"/>
    </w:r>
  </w:p>
  <w:p w:rsidR="00F916D6" w:rsidRPr="00904097" w:rsidRDefault="00F916D6" w:rsidP="00904097">
    <w:pPr>
      <w:pStyle w:val="Footer"/>
      <w:spacing w:line="240" w:lineRule="auto"/>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D6" w:rsidRDefault="00F916D6">
    <w:pPr>
      <w:pStyle w:val="Footer"/>
    </w:pPr>
    <w:r>
      <w:fldChar w:fldCharType="begin"/>
    </w:r>
    <w:r>
      <w:instrText xml:space="preserve"> IF </w:instrText>
    </w:r>
    <w:r>
      <w:fldChar w:fldCharType="begin"/>
    </w:r>
    <w:r>
      <w:instrText xml:space="preserve"> PAGE  \* Arabic  \* MERGEFORMAT </w:instrText>
    </w:r>
    <w:r>
      <w:fldChar w:fldCharType="separate"/>
    </w:r>
    <w:r w:rsidR="007872FA">
      <w:rPr>
        <w:noProof/>
      </w:rPr>
      <w:instrText>2</w:instrText>
    </w:r>
    <w:r>
      <w:rPr>
        <w:noProof/>
      </w:rPr>
      <w:fldChar w:fldCharType="end"/>
    </w:r>
    <w:r>
      <w:instrText xml:space="preserve"> &lt; "10" "0</w:instrText>
    </w:r>
    <w:r>
      <w:fldChar w:fldCharType="begin"/>
    </w:r>
    <w:r>
      <w:instrText xml:space="preserve"> PAGE  \* Arabic  \* MERGEFORMAT </w:instrText>
    </w:r>
    <w:r>
      <w:fldChar w:fldCharType="separate"/>
    </w:r>
    <w:r w:rsidR="007872FA">
      <w:rPr>
        <w:noProof/>
      </w:rPr>
      <w:instrText>2</w:instrText>
    </w:r>
    <w:r>
      <w:rPr>
        <w:noProof/>
      </w:rPr>
      <w:fldChar w:fldCharType="end"/>
    </w:r>
    <w:r>
      <w:instrText xml:space="preserve">" \* MERGEFORMAT </w:instrText>
    </w:r>
    <w:r>
      <w:fldChar w:fldCharType="separate"/>
    </w:r>
    <w:r w:rsidR="007872FA">
      <w:rPr>
        <w:noProof/>
      </w:rPr>
      <w:t>02</w:t>
    </w:r>
    <w:r>
      <w:fldChar w:fldCharType="end"/>
    </w:r>
  </w:p>
  <w:p w:rsidR="00F916D6" w:rsidRPr="00904097" w:rsidRDefault="00F916D6" w:rsidP="00904097">
    <w:pPr>
      <w:pStyle w:val="Footer"/>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D6" w:rsidRDefault="00F916D6" w:rsidP="00C702C7">
      <w:pPr>
        <w:spacing w:after="0" w:line="240" w:lineRule="auto"/>
      </w:pPr>
      <w:r>
        <w:separator/>
      </w:r>
    </w:p>
  </w:footnote>
  <w:footnote w:type="continuationSeparator" w:id="0">
    <w:p w:rsidR="00F916D6" w:rsidRDefault="00F916D6" w:rsidP="00C702C7">
      <w:pPr>
        <w:spacing w:after="0" w:line="240" w:lineRule="auto"/>
      </w:pPr>
      <w:r>
        <w:continuationSeparator/>
      </w:r>
    </w:p>
  </w:footnote>
  <w:footnote w:id="1">
    <w:p w:rsidR="00F916D6" w:rsidRPr="00120668" w:rsidRDefault="00F916D6" w:rsidP="002E243F">
      <w:pPr>
        <w:pStyle w:val="FootnoteText"/>
      </w:pPr>
      <w:r>
        <w:rPr>
          <w:rStyle w:val="FootnoteReference"/>
        </w:rPr>
        <w:footnoteRef/>
      </w:r>
      <w:r>
        <w:t xml:space="preserve"> </w:t>
      </w:r>
      <w:r w:rsidRPr="003D379D">
        <w:t>Prime Minister'</w:t>
      </w:r>
      <w:r>
        <w:t xml:space="preserve">s Statement of Expectations, Dec </w:t>
      </w:r>
      <w:r w:rsidRPr="003D379D">
        <w:t>2011</w:t>
      </w:r>
    </w:p>
  </w:footnote>
  <w:footnote w:id="2">
    <w:p w:rsidR="00F916D6" w:rsidRDefault="00F916D6">
      <w:pPr>
        <w:pStyle w:val="FootnoteText"/>
      </w:pPr>
      <w:r>
        <w:rPr>
          <w:rStyle w:val="FootnoteReference"/>
        </w:rPr>
        <w:footnoteRef/>
      </w:r>
      <w:r>
        <w:t xml:space="preserve"> Minister for Health’s</w:t>
      </w:r>
      <w:r w:rsidRPr="00476FFA">
        <w:t xml:space="preserve"> response to </w:t>
      </w:r>
      <w:r w:rsidRPr="00476FFA">
        <w:rPr>
          <w:i/>
          <w:iCs/>
        </w:rPr>
        <w:t xml:space="preserve">Contributing Lives </w:t>
      </w:r>
      <w:r w:rsidRPr="00476FFA">
        <w:t>(2015)</w:t>
      </w:r>
    </w:p>
  </w:footnote>
  <w:footnote w:id="3">
    <w:p w:rsidR="00F916D6" w:rsidRPr="00524B0B" w:rsidRDefault="00F916D6" w:rsidP="00247DFA">
      <w:pPr>
        <w:pStyle w:val="FootnoteText"/>
      </w:pPr>
      <w:r>
        <w:rPr>
          <w:rStyle w:val="FootnoteReference"/>
        </w:rPr>
        <w:footnoteRef/>
      </w:r>
      <w:r>
        <w:t xml:space="preserve"> </w:t>
      </w:r>
      <w:r w:rsidRPr="00524B0B">
        <w:t>The Coalition’s plan to strengthen mental health care across Australia (26 June 2016)</w:t>
      </w:r>
    </w:p>
  </w:footnote>
  <w:footnote w:id="4">
    <w:p w:rsidR="00F916D6" w:rsidRPr="00524B0B" w:rsidRDefault="00F916D6">
      <w:pPr>
        <w:pStyle w:val="FootnoteText"/>
      </w:pPr>
      <w:r>
        <w:rPr>
          <w:rStyle w:val="FootnoteReference"/>
        </w:rPr>
        <w:footnoteRef/>
      </w:r>
      <w:r>
        <w:t xml:space="preserve"> </w:t>
      </w:r>
      <w:r w:rsidRPr="00524B0B">
        <w:t>Prime Minister's S</w:t>
      </w:r>
      <w:r>
        <w:t>tatement of Expectations (2011)</w:t>
      </w:r>
    </w:p>
  </w:footnote>
  <w:footnote w:id="5">
    <w:p w:rsidR="00F916D6" w:rsidRPr="00524B0B" w:rsidRDefault="00F916D6">
      <w:pPr>
        <w:pStyle w:val="FootnoteText"/>
      </w:pPr>
      <w:r>
        <w:rPr>
          <w:rStyle w:val="FootnoteReference"/>
        </w:rPr>
        <w:footnoteRef/>
      </w:r>
      <w:r>
        <w:t xml:space="preserve"> </w:t>
      </w:r>
      <w:r w:rsidRPr="006D4493">
        <w:rPr>
          <w:i/>
        </w:rPr>
        <w:t>Public Governance, Performance and Accountability Rule 2014</w:t>
      </w:r>
      <w:r w:rsidRPr="00524B0B">
        <w:t>, section 15</w:t>
      </w:r>
      <w:r>
        <w:t xml:space="preserve"> (e)</w:t>
      </w:r>
    </w:p>
  </w:footnote>
  <w:footnote w:id="6">
    <w:p w:rsidR="00F916D6" w:rsidRPr="00524B0B" w:rsidRDefault="00F916D6">
      <w:pPr>
        <w:pStyle w:val="FootnoteText"/>
      </w:pPr>
      <w:r>
        <w:rPr>
          <w:rStyle w:val="FootnoteReference"/>
        </w:rPr>
        <w:footnoteRef/>
      </w:r>
      <w:r>
        <w:t xml:space="preserve"> </w:t>
      </w:r>
      <w:r w:rsidRPr="00524B0B">
        <w:t>Health Minister’s respon</w:t>
      </w:r>
      <w:r>
        <w:t xml:space="preserve">se to </w:t>
      </w:r>
      <w:r w:rsidRPr="006D4493">
        <w:rPr>
          <w:i/>
        </w:rPr>
        <w:t>Contributing Lives</w:t>
      </w:r>
      <w:r>
        <w:t xml:space="preserve"> (2015)</w:t>
      </w:r>
    </w:p>
  </w:footnote>
  <w:footnote w:id="7">
    <w:p w:rsidR="00F916D6" w:rsidRPr="0007354F" w:rsidRDefault="00F916D6">
      <w:pPr>
        <w:pStyle w:val="FootnoteText"/>
      </w:pPr>
      <w:r>
        <w:rPr>
          <w:rStyle w:val="FootnoteReference"/>
        </w:rPr>
        <w:footnoteRef/>
      </w:r>
      <w:r>
        <w:t xml:space="preserve"> Data sourced from NMHC Annual Reports 2013-14 and 2015-16. </w:t>
      </w:r>
    </w:p>
  </w:footnote>
  <w:footnote w:id="8">
    <w:p w:rsidR="00F916D6" w:rsidRDefault="00F916D6">
      <w:pPr>
        <w:pStyle w:val="FootnoteText"/>
      </w:pPr>
      <w:r>
        <w:rPr>
          <w:rStyle w:val="FootnoteReference"/>
        </w:rPr>
        <w:footnoteRef/>
      </w:r>
      <w:r>
        <w:t xml:space="preserve"> For comparison, the NMHC has 45% of its FTE at, or above, the EL grade</w:t>
      </w:r>
    </w:p>
  </w:footnote>
  <w:footnote w:id="9">
    <w:p w:rsidR="00F916D6" w:rsidRDefault="00F916D6">
      <w:pPr>
        <w:pStyle w:val="FootnoteText"/>
      </w:pPr>
      <w:r>
        <w:rPr>
          <w:rStyle w:val="FootnoteReference"/>
        </w:rPr>
        <w:footnoteRef/>
      </w:r>
      <w:r>
        <w:t xml:space="preserve"> Data for the NHPA is for its final full year of operation</w:t>
      </w:r>
    </w:p>
  </w:footnote>
  <w:footnote w:id="10">
    <w:p w:rsidR="00F916D6" w:rsidRPr="007C77CF" w:rsidRDefault="00F916D6" w:rsidP="00262BF3">
      <w:pPr>
        <w:pStyle w:val="FootnoteText"/>
      </w:pPr>
      <w:r>
        <w:rPr>
          <w:rStyle w:val="FootnoteReference"/>
        </w:rPr>
        <w:footnoteRef/>
      </w:r>
      <w:r>
        <w:t xml:space="preserve"> Department of Finance, </w:t>
      </w:r>
      <w:r w:rsidRPr="007C77CF">
        <w:rPr>
          <w:i/>
        </w:rPr>
        <w:t>Governance Arrangements for Australian Government Bodies</w:t>
      </w:r>
      <w:r>
        <w:t>, 2005</w:t>
      </w:r>
    </w:p>
  </w:footnote>
  <w:footnote w:id="11">
    <w:p w:rsidR="00F916D6" w:rsidRPr="007C77CF" w:rsidRDefault="00F916D6" w:rsidP="00262BF3">
      <w:pPr>
        <w:pStyle w:val="FootnoteText"/>
      </w:pPr>
      <w:r>
        <w:rPr>
          <w:rStyle w:val="FootnoteReference"/>
        </w:rPr>
        <w:footnoteRef/>
      </w:r>
      <w:r>
        <w:t xml:space="preserve"> Ibid at Appendix D</w:t>
      </w:r>
    </w:p>
  </w:footnote>
  <w:footnote w:id="12">
    <w:p w:rsidR="00F916D6" w:rsidRPr="00BC0C47" w:rsidRDefault="00F916D6" w:rsidP="00432842">
      <w:pPr>
        <w:pStyle w:val="FootnoteText"/>
      </w:pPr>
      <w:r>
        <w:rPr>
          <w:rStyle w:val="FootnoteReference"/>
        </w:rPr>
        <w:footnoteRef/>
      </w:r>
      <w:r>
        <w:t xml:space="preserve"> </w:t>
      </w:r>
      <w:r w:rsidRPr="00A5580C">
        <w:rPr>
          <w:i/>
        </w:rPr>
        <w:t>Ibid</w:t>
      </w:r>
    </w:p>
  </w:footnote>
  <w:footnote w:id="13">
    <w:p w:rsidR="00F916D6" w:rsidRPr="00B9604A" w:rsidRDefault="00F916D6" w:rsidP="00EE04D9">
      <w:pPr>
        <w:pStyle w:val="FootnoteText"/>
      </w:pPr>
      <w:r>
        <w:rPr>
          <w:rStyle w:val="FootnoteReference"/>
        </w:rPr>
        <w:footnoteRef/>
      </w:r>
      <w:r>
        <w:t xml:space="preserve"> PGPA Rule, s. 15(c)</w:t>
      </w:r>
    </w:p>
  </w:footnote>
  <w:footnote w:id="14">
    <w:p w:rsidR="00F916D6" w:rsidRPr="00A5580C" w:rsidRDefault="00F916D6" w:rsidP="00EE04D9">
      <w:pPr>
        <w:pStyle w:val="FootnoteText"/>
      </w:pPr>
      <w:r>
        <w:rPr>
          <w:rStyle w:val="FootnoteReference"/>
        </w:rPr>
        <w:footnoteRef/>
      </w:r>
      <w:r>
        <w:t xml:space="preserve"> PGPA Act, s. 15(1)</w:t>
      </w:r>
    </w:p>
  </w:footnote>
  <w:footnote w:id="15">
    <w:p w:rsidR="00F916D6" w:rsidRPr="00311D5D" w:rsidRDefault="00F916D6" w:rsidP="00D552BD">
      <w:pPr>
        <w:pStyle w:val="FootnoteText"/>
      </w:pPr>
      <w:r>
        <w:rPr>
          <w:rStyle w:val="FootnoteReference"/>
        </w:rPr>
        <w:footnoteRef/>
      </w:r>
      <w:r>
        <w:t xml:space="preserve"> PGPA Act, Division 3</w:t>
      </w:r>
    </w:p>
  </w:footnote>
  <w:footnote w:id="16">
    <w:p w:rsidR="00F916D6" w:rsidRPr="007C77CF" w:rsidRDefault="00F916D6">
      <w:pPr>
        <w:pStyle w:val="FootnoteText"/>
      </w:pPr>
      <w:r>
        <w:rPr>
          <w:rStyle w:val="FootnoteReference"/>
        </w:rPr>
        <w:footnoteRef/>
      </w:r>
      <w:r>
        <w:t xml:space="preserve"> </w:t>
      </w:r>
      <w:r w:rsidRPr="00B9604A">
        <w:rPr>
          <w:i/>
        </w:rPr>
        <w:t>Australian National Preventive Health Agency Act</w:t>
      </w:r>
      <w:r>
        <w:t xml:space="preserve"> 2010, Part 4, section 30</w:t>
      </w:r>
    </w:p>
  </w:footnote>
  <w:footnote w:id="17">
    <w:p w:rsidR="00F916D6" w:rsidRPr="007C77CF" w:rsidRDefault="00F916D6">
      <w:pPr>
        <w:pStyle w:val="FootnoteText"/>
      </w:pPr>
      <w:r>
        <w:rPr>
          <w:rStyle w:val="FootnoteReference"/>
        </w:rPr>
        <w:footnoteRef/>
      </w:r>
      <w:r>
        <w:t xml:space="preserve"> </w:t>
      </w:r>
      <w:r w:rsidRPr="007C77CF">
        <w:rPr>
          <w:i/>
          <w:iCs/>
        </w:rPr>
        <w:t>Australian Charities and Not</w:t>
      </w:r>
      <w:r w:rsidRPr="007C77CF">
        <w:rPr>
          <w:i/>
          <w:iCs/>
        </w:rPr>
        <w:noBreakHyphen/>
        <w:t>for</w:t>
      </w:r>
      <w:r w:rsidRPr="007C77CF">
        <w:rPr>
          <w:i/>
          <w:iCs/>
        </w:rPr>
        <w:noBreakHyphen/>
        <w:t>profits Commission Act 2012</w:t>
      </w:r>
      <w:r>
        <w:t>, Chapter 6, section 135-15</w:t>
      </w:r>
    </w:p>
  </w:footnote>
  <w:footnote w:id="18">
    <w:p w:rsidR="00F916D6" w:rsidRPr="0084025F" w:rsidRDefault="00F916D6">
      <w:pPr>
        <w:pStyle w:val="FootnoteText"/>
      </w:pPr>
      <w:r>
        <w:rPr>
          <w:rStyle w:val="FootnoteReference"/>
        </w:rPr>
        <w:footnoteRef/>
      </w:r>
      <w:r>
        <w:t xml:space="preserve"> NMHC Operating Principles,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D6" w:rsidRPr="00D36E73" w:rsidRDefault="00F916D6">
    <w:pPr>
      <w:pStyle w:val="Header"/>
      <w:rPr>
        <w:b w:val="0"/>
      </w:rPr>
    </w:pPr>
    <w:fldSimple w:instr=" STYLEREF  &quot;Document title&quot;  \* MERGEFORMAT ">
      <w:r w:rsidR="00225509">
        <w:rPr>
          <w:noProof/>
        </w:rPr>
        <w:t>Department of Health</w:t>
      </w:r>
    </w:fldSimple>
    <w:r w:rsidRPr="00D36E73">
      <w:rPr>
        <w:b w:val="0"/>
      </w:rPr>
      <w:t xml:space="preserve"> | </w:t>
    </w:r>
    <w:r>
      <w:rPr>
        <w:b w:val="0"/>
      </w:rPr>
      <w:t>Review of NMHC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D6" w:rsidRPr="00D36E73" w:rsidRDefault="00F916D6">
    <w:pPr>
      <w:pStyle w:val="Header"/>
      <w:rPr>
        <w:b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D6" w:rsidRPr="00D36E73" w:rsidRDefault="00F916D6" w:rsidP="00F6769E">
    <w:pPr>
      <w:pStyle w:val="Header"/>
      <w:rPr>
        <w:b w:val="0"/>
      </w:rPr>
    </w:pPr>
    <w:fldSimple w:instr=" STYLEREF  &quot;Document title&quot;  \* MERGEFORMAT ">
      <w:r w:rsidR="007872FA" w:rsidRPr="007872FA">
        <w:rPr>
          <w:b w:val="0"/>
          <w:bCs/>
          <w:noProof/>
        </w:rPr>
        <w:t>Department of</w:t>
      </w:r>
      <w:r w:rsidR="007872FA">
        <w:rPr>
          <w:noProof/>
        </w:rPr>
        <w:t xml:space="preserve"> Health</w:t>
      </w:r>
    </w:fldSimple>
    <w:r w:rsidRPr="00D36E73">
      <w:rPr>
        <w:b w:val="0"/>
      </w:rPr>
      <w:t xml:space="preserve"> | </w:t>
    </w:r>
    <w:r>
      <w:rPr>
        <w:b w:val="0"/>
      </w:rPr>
      <w:t>Review of the NMHC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DA8222E"/>
    <w:lvl w:ilvl="0">
      <w:start w:val="1"/>
      <w:numFmt w:val="lowerLetter"/>
      <w:pStyle w:val="ListNumber2"/>
      <w:lvlText w:val="%1."/>
      <w:lvlJc w:val="left"/>
      <w:pPr>
        <w:ind w:left="644" w:hanging="360"/>
      </w:pPr>
    </w:lvl>
  </w:abstractNum>
  <w:abstractNum w:abstractNumId="1">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9E5E94"/>
    <w:multiLevelType w:val="hybridMultilevel"/>
    <w:tmpl w:val="1D246BD6"/>
    <w:lvl w:ilvl="0" w:tplc="225ED87E">
      <w:start w:val="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32B364F"/>
    <w:multiLevelType w:val="multilevel"/>
    <w:tmpl w:val="5C34B1E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nsid w:val="038A78F4"/>
    <w:multiLevelType w:val="hybridMultilevel"/>
    <w:tmpl w:val="F03E2138"/>
    <w:lvl w:ilvl="0" w:tplc="0C090001">
      <w:start w:val="1"/>
      <w:numFmt w:val="bullet"/>
      <w:lvlText w:val=""/>
      <w:lvlJc w:val="left"/>
      <w:pPr>
        <w:tabs>
          <w:tab w:val="num" w:pos="720"/>
        </w:tabs>
        <w:ind w:left="720" w:hanging="360"/>
      </w:pPr>
      <w:rPr>
        <w:rFonts w:ascii="Symbol" w:hAnsi="Symbol" w:hint="default"/>
      </w:rPr>
    </w:lvl>
    <w:lvl w:ilvl="1" w:tplc="873C92BA" w:tentative="1">
      <w:start w:val="1"/>
      <w:numFmt w:val="bullet"/>
      <w:lvlText w:val="•"/>
      <w:lvlJc w:val="left"/>
      <w:pPr>
        <w:tabs>
          <w:tab w:val="num" w:pos="1440"/>
        </w:tabs>
        <w:ind w:left="1440" w:hanging="360"/>
      </w:pPr>
      <w:rPr>
        <w:rFonts w:ascii="Arial" w:hAnsi="Arial" w:hint="default"/>
      </w:rPr>
    </w:lvl>
    <w:lvl w:ilvl="2" w:tplc="7ECA9B1C" w:tentative="1">
      <w:start w:val="1"/>
      <w:numFmt w:val="bullet"/>
      <w:lvlText w:val="•"/>
      <w:lvlJc w:val="left"/>
      <w:pPr>
        <w:tabs>
          <w:tab w:val="num" w:pos="2160"/>
        </w:tabs>
        <w:ind w:left="2160" w:hanging="360"/>
      </w:pPr>
      <w:rPr>
        <w:rFonts w:ascii="Arial" w:hAnsi="Arial" w:hint="default"/>
      </w:rPr>
    </w:lvl>
    <w:lvl w:ilvl="3" w:tplc="1F1E474A" w:tentative="1">
      <w:start w:val="1"/>
      <w:numFmt w:val="bullet"/>
      <w:lvlText w:val="•"/>
      <w:lvlJc w:val="left"/>
      <w:pPr>
        <w:tabs>
          <w:tab w:val="num" w:pos="2880"/>
        </w:tabs>
        <w:ind w:left="2880" w:hanging="360"/>
      </w:pPr>
      <w:rPr>
        <w:rFonts w:ascii="Arial" w:hAnsi="Arial" w:hint="default"/>
      </w:rPr>
    </w:lvl>
    <w:lvl w:ilvl="4" w:tplc="36A014F6" w:tentative="1">
      <w:start w:val="1"/>
      <w:numFmt w:val="bullet"/>
      <w:lvlText w:val="•"/>
      <w:lvlJc w:val="left"/>
      <w:pPr>
        <w:tabs>
          <w:tab w:val="num" w:pos="3600"/>
        </w:tabs>
        <w:ind w:left="3600" w:hanging="360"/>
      </w:pPr>
      <w:rPr>
        <w:rFonts w:ascii="Arial" w:hAnsi="Arial" w:hint="default"/>
      </w:rPr>
    </w:lvl>
    <w:lvl w:ilvl="5" w:tplc="9DE4A2DA" w:tentative="1">
      <w:start w:val="1"/>
      <w:numFmt w:val="bullet"/>
      <w:lvlText w:val="•"/>
      <w:lvlJc w:val="left"/>
      <w:pPr>
        <w:tabs>
          <w:tab w:val="num" w:pos="4320"/>
        </w:tabs>
        <w:ind w:left="4320" w:hanging="360"/>
      </w:pPr>
      <w:rPr>
        <w:rFonts w:ascii="Arial" w:hAnsi="Arial" w:hint="default"/>
      </w:rPr>
    </w:lvl>
    <w:lvl w:ilvl="6" w:tplc="182A6350" w:tentative="1">
      <w:start w:val="1"/>
      <w:numFmt w:val="bullet"/>
      <w:lvlText w:val="•"/>
      <w:lvlJc w:val="left"/>
      <w:pPr>
        <w:tabs>
          <w:tab w:val="num" w:pos="5040"/>
        </w:tabs>
        <w:ind w:left="5040" w:hanging="360"/>
      </w:pPr>
      <w:rPr>
        <w:rFonts w:ascii="Arial" w:hAnsi="Arial" w:hint="default"/>
      </w:rPr>
    </w:lvl>
    <w:lvl w:ilvl="7" w:tplc="5180F892" w:tentative="1">
      <w:start w:val="1"/>
      <w:numFmt w:val="bullet"/>
      <w:lvlText w:val="•"/>
      <w:lvlJc w:val="left"/>
      <w:pPr>
        <w:tabs>
          <w:tab w:val="num" w:pos="5760"/>
        </w:tabs>
        <w:ind w:left="5760" w:hanging="360"/>
      </w:pPr>
      <w:rPr>
        <w:rFonts w:ascii="Arial" w:hAnsi="Arial" w:hint="default"/>
      </w:rPr>
    </w:lvl>
    <w:lvl w:ilvl="8" w:tplc="BD0AC102" w:tentative="1">
      <w:start w:val="1"/>
      <w:numFmt w:val="bullet"/>
      <w:lvlText w:val="•"/>
      <w:lvlJc w:val="left"/>
      <w:pPr>
        <w:tabs>
          <w:tab w:val="num" w:pos="6480"/>
        </w:tabs>
        <w:ind w:left="6480" w:hanging="360"/>
      </w:pPr>
      <w:rPr>
        <w:rFonts w:ascii="Arial" w:hAnsi="Arial" w:hint="default"/>
      </w:rPr>
    </w:lvl>
  </w:abstractNum>
  <w:abstractNum w:abstractNumId="8">
    <w:nsid w:val="054A0AF4"/>
    <w:multiLevelType w:val="hybridMultilevel"/>
    <w:tmpl w:val="DA3CBAB4"/>
    <w:lvl w:ilvl="0" w:tplc="0C090001">
      <w:start w:val="1"/>
      <w:numFmt w:val="bullet"/>
      <w:lvlText w:val=""/>
      <w:lvlJc w:val="left"/>
      <w:pPr>
        <w:tabs>
          <w:tab w:val="num" w:pos="720"/>
        </w:tabs>
        <w:ind w:left="720" w:hanging="360"/>
      </w:pPr>
      <w:rPr>
        <w:rFonts w:ascii="Symbol" w:hAnsi="Symbol" w:hint="default"/>
      </w:rPr>
    </w:lvl>
    <w:lvl w:ilvl="1" w:tplc="064E2D9E" w:tentative="1">
      <w:start w:val="1"/>
      <w:numFmt w:val="bullet"/>
      <w:lvlText w:val="•"/>
      <w:lvlJc w:val="left"/>
      <w:pPr>
        <w:tabs>
          <w:tab w:val="num" w:pos="1440"/>
        </w:tabs>
        <w:ind w:left="1440" w:hanging="360"/>
      </w:pPr>
      <w:rPr>
        <w:rFonts w:ascii="Arial" w:hAnsi="Arial" w:hint="default"/>
      </w:rPr>
    </w:lvl>
    <w:lvl w:ilvl="2" w:tplc="6ED67EDE" w:tentative="1">
      <w:start w:val="1"/>
      <w:numFmt w:val="bullet"/>
      <w:lvlText w:val="•"/>
      <w:lvlJc w:val="left"/>
      <w:pPr>
        <w:tabs>
          <w:tab w:val="num" w:pos="2160"/>
        </w:tabs>
        <w:ind w:left="2160" w:hanging="360"/>
      </w:pPr>
      <w:rPr>
        <w:rFonts w:ascii="Arial" w:hAnsi="Arial" w:hint="default"/>
      </w:rPr>
    </w:lvl>
    <w:lvl w:ilvl="3" w:tplc="6930CF36" w:tentative="1">
      <w:start w:val="1"/>
      <w:numFmt w:val="bullet"/>
      <w:lvlText w:val="•"/>
      <w:lvlJc w:val="left"/>
      <w:pPr>
        <w:tabs>
          <w:tab w:val="num" w:pos="2880"/>
        </w:tabs>
        <w:ind w:left="2880" w:hanging="360"/>
      </w:pPr>
      <w:rPr>
        <w:rFonts w:ascii="Arial" w:hAnsi="Arial" w:hint="default"/>
      </w:rPr>
    </w:lvl>
    <w:lvl w:ilvl="4" w:tplc="D5F6E1E0" w:tentative="1">
      <w:start w:val="1"/>
      <w:numFmt w:val="bullet"/>
      <w:lvlText w:val="•"/>
      <w:lvlJc w:val="left"/>
      <w:pPr>
        <w:tabs>
          <w:tab w:val="num" w:pos="3600"/>
        </w:tabs>
        <w:ind w:left="3600" w:hanging="360"/>
      </w:pPr>
      <w:rPr>
        <w:rFonts w:ascii="Arial" w:hAnsi="Arial" w:hint="default"/>
      </w:rPr>
    </w:lvl>
    <w:lvl w:ilvl="5" w:tplc="E97CED04" w:tentative="1">
      <w:start w:val="1"/>
      <w:numFmt w:val="bullet"/>
      <w:lvlText w:val="•"/>
      <w:lvlJc w:val="left"/>
      <w:pPr>
        <w:tabs>
          <w:tab w:val="num" w:pos="4320"/>
        </w:tabs>
        <w:ind w:left="4320" w:hanging="360"/>
      </w:pPr>
      <w:rPr>
        <w:rFonts w:ascii="Arial" w:hAnsi="Arial" w:hint="default"/>
      </w:rPr>
    </w:lvl>
    <w:lvl w:ilvl="6" w:tplc="54C6BA12" w:tentative="1">
      <w:start w:val="1"/>
      <w:numFmt w:val="bullet"/>
      <w:lvlText w:val="•"/>
      <w:lvlJc w:val="left"/>
      <w:pPr>
        <w:tabs>
          <w:tab w:val="num" w:pos="5040"/>
        </w:tabs>
        <w:ind w:left="5040" w:hanging="360"/>
      </w:pPr>
      <w:rPr>
        <w:rFonts w:ascii="Arial" w:hAnsi="Arial" w:hint="default"/>
      </w:rPr>
    </w:lvl>
    <w:lvl w:ilvl="7" w:tplc="D96A5CC8" w:tentative="1">
      <w:start w:val="1"/>
      <w:numFmt w:val="bullet"/>
      <w:lvlText w:val="•"/>
      <w:lvlJc w:val="left"/>
      <w:pPr>
        <w:tabs>
          <w:tab w:val="num" w:pos="5760"/>
        </w:tabs>
        <w:ind w:left="5760" w:hanging="360"/>
      </w:pPr>
      <w:rPr>
        <w:rFonts w:ascii="Arial" w:hAnsi="Arial" w:hint="default"/>
      </w:rPr>
    </w:lvl>
    <w:lvl w:ilvl="8" w:tplc="F5DE0D86" w:tentative="1">
      <w:start w:val="1"/>
      <w:numFmt w:val="bullet"/>
      <w:lvlText w:val="•"/>
      <w:lvlJc w:val="left"/>
      <w:pPr>
        <w:tabs>
          <w:tab w:val="num" w:pos="6480"/>
        </w:tabs>
        <w:ind w:left="6480" w:hanging="360"/>
      </w:pPr>
      <w:rPr>
        <w:rFonts w:ascii="Arial" w:hAnsi="Arial" w:hint="default"/>
      </w:rPr>
    </w:lvl>
  </w:abstractNum>
  <w:abstractNum w:abstractNumId="9">
    <w:nsid w:val="06051A23"/>
    <w:multiLevelType w:val="hybridMultilevel"/>
    <w:tmpl w:val="D9F647D6"/>
    <w:lvl w:ilvl="0" w:tplc="48E02318">
      <w:start w:val="1"/>
      <w:numFmt w:val="bullet"/>
      <w:lvlText w:val="•"/>
      <w:lvlJc w:val="left"/>
      <w:pPr>
        <w:tabs>
          <w:tab w:val="num" w:pos="720"/>
        </w:tabs>
        <w:ind w:left="720" w:hanging="360"/>
      </w:pPr>
      <w:rPr>
        <w:rFonts w:ascii="Arial" w:hAnsi="Arial" w:hint="default"/>
      </w:rPr>
    </w:lvl>
    <w:lvl w:ilvl="1" w:tplc="A9BAB66E" w:tentative="1">
      <w:start w:val="1"/>
      <w:numFmt w:val="bullet"/>
      <w:lvlText w:val="•"/>
      <w:lvlJc w:val="left"/>
      <w:pPr>
        <w:tabs>
          <w:tab w:val="num" w:pos="1440"/>
        </w:tabs>
        <w:ind w:left="1440" w:hanging="360"/>
      </w:pPr>
      <w:rPr>
        <w:rFonts w:ascii="Arial" w:hAnsi="Arial" w:hint="default"/>
      </w:rPr>
    </w:lvl>
    <w:lvl w:ilvl="2" w:tplc="372CF1C0" w:tentative="1">
      <w:start w:val="1"/>
      <w:numFmt w:val="bullet"/>
      <w:lvlText w:val="•"/>
      <w:lvlJc w:val="left"/>
      <w:pPr>
        <w:tabs>
          <w:tab w:val="num" w:pos="2160"/>
        </w:tabs>
        <w:ind w:left="2160" w:hanging="360"/>
      </w:pPr>
      <w:rPr>
        <w:rFonts w:ascii="Arial" w:hAnsi="Arial" w:hint="default"/>
      </w:rPr>
    </w:lvl>
    <w:lvl w:ilvl="3" w:tplc="FCD4ECA0" w:tentative="1">
      <w:start w:val="1"/>
      <w:numFmt w:val="bullet"/>
      <w:lvlText w:val="•"/>
      <w:lvlJc w:val="left"/>
      <w:pPr>
        <w:tabs>
          <w:tab w:val="num" w:pos="2880"/>
        </w:tabs>
        <w:ind w:left="2880" w:hanging="360"/>
      </w:pPr>
      <w:rPr>
        <w:rFonts w:ascii="Arial" w:hAnsi="Arial" w:hint="default"/>
      </w:rPr>
    </w:lvl>
    <w:lvl w:ilvl="4" w:tplc="46B0282C" w:tentative="1">
      <w:start w:val="1"/>
      <w:numFmt w:val="bullet"/>
      <w:lvlText w:val="•"/>
      <w:lvlJc w:val="left"/>
      <w:pPr>
        <w:tabs>
          <w:tab w:val="num" w:pos="3600"/>
        </w:tabs>
        <w:ind w:left="3600" w:hanging="360"/>
      </w:pPr>
      <w:rPr>
        <w:rFonts w:ascii="Arial" w:hAnsi="Arial" w:hint="default"/>
      </w:rPr>
    </w:lvl>
    <w:lvl w:ilvl="5" w:tplc="8FA8BCE2" w:tentative="1">
      <w:start w:val="1"/>
      <w:numFmt w:val="bullet"/>
      <w:lvlText w:val="•"/>
      <w:lvlJc w:val="left"/>
      <w:pPr>
        <w:tabs>
          <w:tab w:val="num" w:pos="4320"/>
        </w:tabs>
        <w:ind w:left="4320" w:hanging="360"/>
      </w:pPr>
      <w:rPr>
        <w:rFonts w:ascii="Arial" w:hAnsi="Arial" w:hint="default"/>
      </w:rPr>
    </w:lvl>
    <w:lvl w:ilvl="6" w:tplc="9EDE4D20" w:tentative="1">
      <w:start w:val="1"/>
      <w:numFmt w:val="bullet"/>
      <w:lvlText w:val="•"/>
      <w:lvlJc w:val="left"/>
      <w:pPr>
        <w:tabs>
          <w:tab w:val="num" w:pos="5040"/>
        </w:tabs>
        <w:ind w:left="5040" w:hanging="360"/>
      </w:pPr>
      <w:rPr>
        <w:rFonts w:ascii="Arial" w:hAnsi="Arial" w:hint="default"/>
      </w:rPr>
    </w:lvl>
    <w:lvl w:ilvl="7" w:tplc="4E7438D6" w:tentative="1">
      <w:start w:val="1"/>
      <w:numFmt w:val="bullet"/>
      <w:lvlText w:val="•"/>
      <w:lvlJc w:val="left"/>
      <w:pPr>
        <w:tabs>
          <w:tab w:val="num" w:pos="5760"/>
        </w:tabs>
        <w:ind w:left="5760" w:hanging="360"/>
      </w:pPr>
      <w:rPr>
        <w:rFonts w:ascii="Arial" w:hAnsi="Arial" w:hint="default"/>
      </w:rPr>
    </w:lvl>
    <w:lvl w:ilvl="8" w:tplc="B83C6CA0" w:tentative="1">
      <w:start w:val="1"/>
      <w:numFmt w:val="bullet"/>
      <w:lvlText w:val="•"/>
      <w:lvlJc w:val="left"/>
      <w:pPr>
        <w:tabs>
          <w:tab w:val="num" w:pos="6480"/>
        </w:tabs>
        <w:ind w:left="6480" w:hanging="360"/>
      </w:pPr>
      <w:rPr>
        <w:rFonts w:ascii="Arial" w:hAnsi="Arial" w:hint="default"/>
      </w:rPr>
    </w:lvl>
  </w:abstractNum>
  <w:abstractNum w:abstractNumId="10">
    <w:nsid w:val="068B2B09"/>
    <w:multiLevelType w:val="hybridMultilevel"/>
    <w:tmpl w:val="6E88E47A"/>
    <w:lvl w:ilvl="0" w:tplc="D2B8951E">
      <w:start w:val="1"/>
      <w:numFmt w:val="bullet"/>
      <w:lvlText w:val="•"/>
      <w:lvlJc w:val="left"/>
      <w:pPr>
        <w:tabs>
          <w:tab w:val="num" w:pos="720"/>
        </w:tabs>
        <w:ind w:left="720" w:hanging="360"/>
      </w:pPr>
      <w:rPr>
        <w:rFonts w:ascii="Arial" w:hAnsi="Arial" w:hint="default"/>
      </w:rPr>
    </w:lvl>
    <w:lvl w:ilvl="1" w:tplc="10A6FA50" w:tentative="1">
      <w:start w:val="1"/>
      <w:numFmt w:val="bullet"/>
      <w:lvlText w:val="•"/>
      <w:lvlJc w:val="left"/>
      <w:pPr>
        <w:tabs>
          <w:tab w:val="num" w:pos="1440"/>
        </w:tabs>
        <w:ind w:left="1440" w:hanging="360"/>
      </w:pPr>
      <w:rPr>
        <w:rFonts w:ascii="Arial" w:hAnsi="Arial" w:hint="default"/>
      </w:rPr>
    </w:lvl>
    <w:lvl w:ilvl="2" w:tplc="64882F20" w:tentative="1">
      <w:start w:val="1"/>
      <w:numFmt w:val="bullet"/>
      <w:lvlText w:val="•"/>
      <w:lvlJc w:val="left"/>
      <w:pPr>
        <w:tabs>
          <w:tab w:val="num" w:pos="2160"/>
        </w:tabs>
        <w:ind w:left="2160" w:hanging="360"/>
      </w:pPr>
      <w:rPr>
        <w:rFonts w:ascii="Arial" w:hAnsi="Arial" w:hint="default"/>
      </w:rPr>
    </w:lvl>
    <w:lvl w:ilvl="3" w:tplc="4DA4035A" w:tentative="1">
      <w:start w:val="1"/>
      <w:numFmt w:val="bullet"/>
      <w:lvlText w:val="•"/>
      <w:lvlJc w:val="left"/>
      <w:pPr>
        <w:tabs>
          <w:tab w:val="num" w:pos="2880"/>
        </w:tabs>
        <w:ind w:left="2880" w:hanging="360"/>
      </w:pPr>
      <w:rPr>
        <w:rFonts w:ascii="Arial" w:hAnsi="Arial" w:hint="default"/>
      </w:rPr>
    </w:lvl>
    <w:lvl w:ilvl="4" w:tplc="0F62A60C" w:tentative="1">
      <w:start w:val="1"/>
      <w:numFmt w:val="bullet"/>
      <w:lvlText w:val="•"/>
      <w:lvlJc w:val="left"/>
      <w:pPr>
        <w:tabs>
          <w:tab w:val="num" w:pos="3600"/>
        </w:tabs>
        <w:ind w:left="3600" w:hanging="360"/>
      </w:pPr>
      <w:rPr>
        <w:rFonts w:ascii="Arial" w:hAnsi="Arial" w:hint="default"/>
      </w:rPr>
    </w:lvl>
    <w:lvl w:ilvl="5" w:tplc="8E6A1E42" w:tentative="1">
      <w:start w:val="1"/>
      <w:numFmt w:val="bullet"/>
      <w:lvlText w:val="•"/>
      <w:lvlJc w:val="left"/>
      <w:pPr>
        <w:tabs>
          <w:tab w:val="num" w:pos="4320"/>
        </w:tabs>
        <w:ind w:left="4320" w:hanging="360"/>
      </w:pPr>
      <w:rPr>
        <w:rFonts w:ascii="Arial" w:hAnsi="Arial" w:hint="default"/>
      </w:rPr>
    </w:lvl>
    <w:lvl w:ilvl="6" w:tplc="1AD83B3E" w:tentative="1">
      <w:start w:val="1"/>
      <w:numFmt w:val="bullet"/>
      <w:lvlText w:val="•"/>
      <w:lvlJc w:val="left"/>
      <w:pPr>
        <w:tabs>
          <w:tab w:val="num" w:pos="5040"/>
        </w:tabs>
        <w:ind w:left="5040" w:hanging="360"/>
      </w:pPr>
      <w:rPr>
        <w:rFonts w:ascii="Arial" w:hAnsi="Arial" w:hint="default"/>
      </w:rPr>
    </w:lvl>
    <w:lvl w:ilvl="7" w:tplc="493A9744" w:tentative="1">
      <w:start w:val="1"/>
      <w:numFmt w:val="bullet"/>
      <w:lvlText w:val="•"/>
      <w:lvlJc w:val="left"/>
      <w:pPr>
        <w:tabs>
          <w:tab w:val="num" w:pos="5760"/>
        </w:tabs>
        <w:ind w:left="5760" w:hanging="360"/>
      </w:pPr>
      <w:rPr>
        <w:rFonts w:ascii="Arial" w:hAnsi="Arial" w:hint="default"/>
      </w:rPr>
    </w:lvl>
    <w:lvl w:ilvl="8" w:tplc="8AECEF96" w:tentative="1">
      <w:start w:val="1"/>
      <w:numFmt w:val="bullet"/>
      <w:lvlText w:val="•"/>
      <w:lvlJc w:val="left"/>
      <w:pPr>
        <w:tabs>
          <w:tab w:val="num" w:pos="6480"/>
        </w:tabs>
        <w:ind w:left="6480" w:hanging="360"/>
      </w:pPr>
      <w:rPr>
        <w:rFonts w:ascii="Arial" w:hAnsi="Arial" w:hint="default"/>
      </w:rPr>
    </w:lvl>
  </w:abstractNum>
  <w:abstractNum w:abstractNumId="11">
    <w:nsid w:val="0FE33022"/>
    <w:multiLevelType w:val="hybridMultilevel"/>
    <w:tmpl w:val="88C0A794"/>
    <w:lvl w:ilvl="0" w:tplc="0C090001">
      <w:start w:val="1"/>
      <w:numFmt w:val="bullet"/>
      <w:lvlText w:val=""/>
      <w:lvlJc w:val="left"/>
      <w:pPr>
        <w:tabs>
          <w:tab w:val="num" w:pos="720"/>
        </w:tabs>
        <w:ind w:left="720" w:hanging="360"/>
      </w:pPr>
      <w:rPr>
        <w:rFonts w:ascii="Symbol" w:hAnsi="Symbol" w:hint="default"/>
      </w:rPr>
    </w:lvl>
    <w:lvl w:ilvl="1" w:tplc="3DB0D96E" w:tentative="1">
      <w:start w:val="1"/>
      <w:numFmt w:val="bullet"/>
      <w:lvlText w:val="•"/>
      <w:lvlJc w:val="left"/>
      <w:pPr>
        <w:tabs>
          <w:tab w:val="num" w:pos="1440"/>
        </w:tabs>
        <w:ind w:left="1440" w:hanging="360"/>
      </w:pPr>
      <w:rPr>
        <w:rFonts w:ascii="Arial" w:hAnsi="Arial" w:hint="default"/>
      </w:rPr>
    </w:lvl>
    <w:lvl w:ilvl="2" w:tplc="E5FEE5DA" w:tentative="1">
      <w:start w:val="1"/>
      <w:numFmt w:val="bullet"/>
      <w:lvlText w:val="•"/>
      <w:lvlJc w:val="left"/>
      <w:pPr>
        <w:tabs>
          <w:tab w:val="num" w:pos="2160"/>
        </w:tabs>
        <w:ind w:left="2160" w:hanging="360"/>
      </w:pPr>
      <w:rPr>
        <w:rFonts w:ascii="Arial" w:hAnsi="Arial" w:hint="default"/>
      </w:rPr>
    </w:lvl>
    <w:lvl w:ilvl="3" w:tplc="63866712" w:tentative="1">
      <w:start w:val="1"/>
      <w:numFmt w:val="bullet"/>
      <w:lvlText w:val="•"/>
      <w:lvlJc w:val="left"/>
      <w:pPr>
        <w:tabs>
          <w:tab w:val="num" w:pos="2880"/>
        </w:tabs>
        <w:ind w:left="2880" w:hanging="360"/>
      </w:pPr>
      <w:rPr>
        <w:rFonts w:ascii="Arial" w:hAnsi="Arial" w:hint="default"/>
      </w:rPr>
    </w:lvl>
    <w:lvl w:ilvl="4" w:tplc="A8184CC2" w:tentative="1">
      <w:start w:val="1"/>
      <w:numFmt w:val="bullet"/>
      <w:lvlText w:val="•"/>
      <w:lvlJc w:val="left"/>
      <w:pPr>
        <w:tabs>
          <w:tab w:val="num" w:pos="3600"/>
        </w:tabs>
        <w:ind w:left="3600" w:hanging="360"/>
      </w:pPr>
      <w:rPr>
        <w:rFonts w:ascii="Arial" w:hAnsi="Arial" w:hint="default"/>
      </w:rPr>
    </w:lvl>
    <w:lvl w:ilvl="5" w:tplc="10B8D210" w:tentative="1">
      <w:start w:val="1"/>
      <w:numFmt w:val="bullet"/>
      <w:lvlText w:val="•"/>
      <w:lvlJc w:val="left"/>
      <w:pPr>
        <w:tabs>
          <w:tab w:val="num" w:pos="4320"/>
        </w:tabs>
        <w:ind w:left="4320" w:hanging="360"/>
      </w:pPr>
      <w:rPr>
        <w:rFonts w:ascii="Arial" w:hAnsi="Arial" w:hint="default"/>
      </w:rPr>
    </w:lvl>
    <w:lvl w:ilvl="6" w:tplc="258A9C90" w:tentative="1">
      <w:start w:val="1"/>
      <w:numFmt w:val="bullet"/>
      <w:lvlText w:val="•"/>
      <w:lvlJc w:val="left"/>
      <w:pPr>
        <w:tabs>
          <w:tab w:val="num" w:pos="5040"/>
        </w:tabs>
        <w:ind w:left="5040" w:hanging="360"/>
      </w:pPr>
      <w:rPr>
        <w:rFonts w:ascii="Arial" w:hAnsi="Arial" w:hint="default"/>
      </w:rPr>
    </w:lvl>
    <w:lvl w:ilvl="7" w:tplc="A68AA0EE" w:tentative="1">
      <w:start w:val="1"/>
      <w:numFmt w:val="bullet"/>
      <w:lvlText w:val="•"/>
      <w:lvlJc w:val="left"/>
      <w:pPr>
        <w:tabs>
          <w:tab w:val="num" w:pos="5760"/>
        </w:tabs>
        <w:ind w:left="5760" w:hanging="360"/>
      </w:pPr>
      <w:rPr>
        <w:rFonts w:ascii="Arial" w:hAnsi="Arial" w:hint="default"/>
      </w:rPr>
    </w:lvl>
    <w:lvl w:ilvl="8" w:tplc="430A324E" w:tentative="1">
      <w:start w:val="1"/>
      <w:numFmt w:val="bullet"/>
      <w:lvlText w:val="•"/>
      <w:lvlJc w:val="left"/>
      <w:pPr>
        <w:tabs>
          <w:tab w:val="num" w:pos="6480"/>
        </w:tabs>
        <w:ind w:left="6480" w:hanging="360"/>
      </w:pPr>
      <w:rPr>
        <w:rFonts w:ascii="Arial" w:hAnsi="Arial" w:hint="default"/>
      </w:rPr>
    </w:lvl>
  </w:abstractNum>
  <w:abstractNum w:abstractNumId="12">
    <w:nsid w:val="14E8411B"/>
    <w:multiLevelType w:val="hybridMultilevel"/>
    <w:tmpl w:val="CEC28668"/>
    <w:lvl w:ilvl="0" w:tplc="B762CA4E">
      <w:start w:val="1"/>
      <w:numFmt w:val="bullet"/>
      <w:lvlText w:val="•"/>
      <w:lvlJc w:val="left"/>
      <w:pPr>
        <w:tabs>
          <w:tab w:val="num" w:pos="720"/>
        </w:tabs>
        <w:ind w:left="720" w:hanging="360"/>
      </w:pPr>
      <w:rPr>
        <w:rFonts w:ascii="Arial" w:hAnsi="Arial" w:hint="default"/>
      </w:rPr>
    </w:lvl>
    <w:lvl w:ilvl="1" w:tplc="917A7D34" w:tentative="1">
      <w:start w:val="1"/>
      <w:numFmt w:val="bullet"/>
      <w:lvlText w:val="•"/>
      <w:lvlJc w:val="left"/>
      <w:pPr>
        <w:tabs>
          <w:tab w:val="num" w:pos="1440"/>
        </w:tabs>
        <w:ind w:left="1440" w:hanging="360"/>
      </w:pPr>
      <w:rPr>
        <w:rFonts w:ascii="Arial" w:hAnsi="Arial" w:hint="default"/>
      </w:rPr>
    </w:lvl>
    <w:lvl w:ilvl="2" w:tplc="B25294A8" w:tentative="1">
      <w:start w:val="1"/>
      <w:numFmt w:val="bullet"/>
      <w:lvlText w:val="•"/>
      <w:lvlJc w:val="left"/>
      <w:pPr>
        <w:tabs>
          <w:tab w:val="num" w:pos="2160"/>
        </w:tabs>
        <w:ind w:left="2160" w:hanging="360"/>
      </w:pPr>
      <w:rPr>
        <w:rFonts w:ascii="Arial" w:hAnsi="Arial" w:hint="default"/>
      </w:rPr>
    </w:lvl>
    <w:lvl w:ilvl="3" w:tplc="82EACB9C" w:tentative="1">
      <w:start w:val="1"/>
      <w:numFmt w:val="bullet"/>
      <w:lvlText w:val="•"/>
      <w:lvlJc w:val="left"/>
      <w:pPr>
        <w:tabs>
          <w:tab w:val="num" w:pos="2880"/>
        </w:tabs>
        <w:ind w:left="2880" w:hanging="360"/>
      </w:pPr>
      <w:rPr>
        <w:rFonts w:ascii="Arial" w:hAnsi="Arial" w:hint="default"/>
      </w:rPr>
    </w:lvl>
    <w:lvl w:ilvl="4" w:tplc="9E2EF53C" w:tentative="1">
      <w:start w:val="1"/>
      <w:numFmt w:val="bullet"/>
      <w:lvlText w:val="•"/>
      <w:lvlJc w:val="left"/>
      <w:pPr>
        <w:tabs>
          <w:tab w:val="num" w:pos="3600"/>
        </w:tabs>
        <w:ind w:left="3600" w:hanging="360"/>
      </w:pPr>
      <w:rPr>
        <w:rFonts w:ascii="Arial" w:hAnsi="Arial" w:hint="default"/>
      </w:rPr>
    </w:lvl>
    <w:lvl w:ilvl="5" w:tplc="926E1092" w:tentative="1">
      <w:start w:val="1"/>
      <w:numFmt w:val="bullet"/>
      <w:lvlText w:val="•"/>
      <w:lvlJc w:val="left"/>
      <w:pPr>
        <w:tabs>
          <w:tab w:val="num" w:pos="4320"/>
        </w:tabs>
        <w:ind w:left="4320" w:hanging="360"/>
      </w:pPr>
      <w:rPr>
        <w:rFonts w:ascii="Arial" w:hAnsi="Arial" w:hint="default"/>
      </w:rPr>
    </w:lvl>
    <w:lvl w:ilvl="6" w:tplc="14E03146" w:tentative="1">
      <w:start w:val="1"/>
      <w:numFmt w:val="bullet"/>
      <w:lvlText w:val="•"/>
      <w:lvlJc w:val="left"/>
      <w:pPr>
        <w:tabs>
          <w:tab w:val="num" w:pos="5040"/>
        </w:tabs>
        <w:ind w:left="5040" w:hanging="360"/>
      </w:pPr>
      <w:rPr>
        <w:rFonts w:ascii="Arial" w:hAnsi="Arial" w:hint="default"/>
      </w:rPr>
    </w:lvl>
    <w:lvl w:ilvl="7" w:tplc="A00ED204" w:tentative="1">
      <w:start w:val="1"/>
      <w:numFmt w:val="bullet"/>
      <w:lvlText w:val="•"/>
      <w:lvlJc w:val="left"/>
      <w:pPr>
        <w:tabs>
          <w:tab w:val="num" w:pos="5760"/>
        </w:tabs>
        <w:ind w:left="5760" w:hanging="360"/>
      </w:pPr>
      <w:rPr>
        <w:rFonts w:ascii="Arial" w:hAnsi="Arial" w:hint="default"/>
      </w:rPr>
    </w:lvl>
    <w:lvl w:ilvl="8" w:tplc="82EC1304" w:tentative="1">
      <w:start w:val="1"/>
      <w:numFmt w:val="bullet"/>
      <w:lvlText w:val="•"/>
      <w:lvlJc w:val="left"/>
      <w:pPr>
        <w:tabs>
          <w:tab w:val="num" w:pos="6480"/>
        </w:tabs>
        <w:ind w:left="6480" w:hanging="360"/>
      </w:pPr>
      <w:rPr>
        <w:rFonts w:ascii="Arial" w:hAnsi="Arial" w:hint="default"/>
      </w:rPr>
    </w:lvl>
  </w:abstractNum>
  <w:abstractNum w:abstractNumId="13">
    <w:nsid w:val="170253D1"/>
    <w:multiLevelType w:val="multilevel"/>
    <w:tmpl w:val="04906C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19C967E4"/>
    <w:multiLevelType w:val="hybridMultilevel"/>
    <w:tmpl w:val="AAB6A780"/>
    <w:lvl w:ilvl="0" w:tplc="35BA8E20">
      <w:start w:val="1"/>
      <w:numFmt w:val="bullet"/>
      <w:lvlText w:val="•"/>
      <w:lvlJc w:val="left"/>
      <w:pPr>
        <w:tabs>
          <w:tab w:val="num" w:pos="360"/>
        </w:tabs>
        <w:ind w:left="360" w:hanging="360"/>
      </w:pPr>
      <w:rPr>
        <w:rFonts w:ascii="Arial" w:hAnsi="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BC9E9086">
      <w:start w:val="61"/>
      <w:numFmt w:val="bullet"/>
      <w:lvlText w:val="o"/>
      <w:lvlJc w:val="left"/>
      <w:pPr>
        <w:tabs>
          <w:tab w:val="num" w:pos="1800"/>
        </w:tabs>
        <w:ind w:left="1800" w:hanging="360"/>
      </w:pPr>
      <w:rPr>
        <w:rFonts w:ascii="Courier New" w:hAnsi="Courier New" w:hint="default"/>
      </w:rPr>
    </w:lvl>
    <w:lvl w:ilvl="3" w:tplc="E132D288" w:tentative="1">
      <w:start w:val="1"/>
      <w:numFmt w:val="bullet"/>
      <w:lvlText w:val="•"/>
      <w:lvlJc w:val="left"/>
      <w:pPr>
        <w:tabs>
          <w:tab w:val="num" w:pos="2520"/>
        </w:tabs>
        <w:ind w:left="2520" w:hanging="360"/>
      </w:pPr>
      <w:rPr>
        <w:rFonts w:ascii="Arial" w:hAnsi="Arial" w:hint="default"/>
      </w:rPr>
    </w:lvl>
    <w:lvl w:ilvl="4" w:tplc="56CE7614" w:tentative="1">
      <w:start w:val="1"/>
      <w:numFmt w:val="bullet"/>
      <w:lvlText w:val="•"/>
      <w:lvlJc w:val="left"/>
      <w:pPr>
        <w:tabs>
          <w:tab w:val="num" w:pos="3240"/>
        </w:tabs>
        <w:ind w:left="3240" w:hanging="360"/>
      </w:pPr>
      <w:rPr>
        <w:rFonts w:ascii="Arial" w:hAnsi="Arial" w:hint="default"/>
      </w:rPr>
    </w:lvl>
    <w:lvl w:ilvl="5" w:tplc="4B44C896" w:tentative="1">
      <w:start w:val="1"/>
      <w:numFmt w:val="bullet"/>
      <w:lvlText w:val="•"/>
      <w:lvlJc w:val="left"/>
      <w:pPr>
        <w:tabs>
          <w:tab w:val="num" w:pos="3960"/>
        </w:tabs>
        <w:ind w:left="3960" w:hanging="360"/>
      </w:pPr>
      <w:rPr>
        <w:rFonts w:ascii="Arial" w:hAnsi="Arial" w:hint="default"/>
      </w:rPr>
    </w:lvl>
    <w:lvl w:ilvl="6" w:tplc="ABBE19C8" w:tentative="1">
      <w:start w:val="1"/>
      <w:numFmt w:val="bullet"/>
      <w:lvlText w:val="•"/>
      <w:lvlJc w:val="left"/>
      <w:pPr>
        <w:tabs>
          <w:tab w:val="num" w:pos="4680"/>
        </w:tabs>
        <w:ind w:left="4680" w:hanging="360"/>
      </w:pPr>
      <w:rPr>
        <w:rFonts w:ascii="Arial" w:hAnsi="Arial" w:hint="default"/>
      </w:rPr>
    </w:lvl>
    <w:lvl w:ilvl="7" w:tplc="75107088" w:tentative="1">
      <w:start w:val="1"/>
      <w:numFmt w:val="bullet"/>
      <w:lvlText w:val="•"/>
      <w:lvlJc w:val="left"/>
      <w:pPr>
        <w:tabs>
          <w:tab w:val="num" w:pos="5400"/>
        </w:tabs>
        <w:ind w:left="5400" w:hanging="360"/>
      </w:pPr>
      <w:rPr>
        <w:rFonts w:ascii="Arial" w:hAnsi="Arial" w:hint="default"/>
      </w:rPr>
    </w:lvl>
    <w:lvl w:ilvl="8" w:tplc="A582F284" w:tentative="1">
      <w:start w:val="1"/>
      <w:numFmt w:val="bullet"/>
      <w:lvlText w:val="•"/>
      <w:lvlJc w:val="left"/>
      <w:pPr>
        <w:tabs>
          <w:tab w:val="num" w:pos="6120"/>
        </w:tabs>
        <w:ind w:left="6120" w:hanging="360"/>
      </w:pPr>
      <w:rPr>
        <w:rFonts w:ascii="Arial" w:hAnsi="Arial" w:hint="default"/>
      </w:rPr>
    </w:lvl>
  </w:abstractNum>
  <w:abstractNum w:abstractNumId="15">
    <w:nsid w:val="1B135240"/>
    <w:multiLevelType w:val="hybridMultilevel"/>
    <w:tmpl w:val="3C5E3264"/>
    <w:lvl w:ilvl="0" w:tplc="8BB6643A">
      <w:start w:val="1"/>
      <w:numFmt w:val="bullet"/>
      <w:lvlText w:val="•"/>
      <w:lvlJc w:val="left"/>
      <w:pPr>
        <w:tabs>
          <w:tab w:val="num" w:pos="720"/>
        </w:tabs>
        <w:ind w:left="720" w:hanging="360"/>
      </w:pPr>
      <w:rPr>
        <w:rFonts w:ascii="Arial" w:hAnsi="Arial" w:hint="default"/>
      </w:rPr>
    </w:lvl>
    <w:lvl w:ilvl="1" w:tplc="938AACCE" w:tentative="1">
      <w:start w:val="1"/>
      <w:numFmt w:val="bullet"/>
      <w:lvlText w:val="•"/>
      <w:lvlJc w:val="left"/>
      <w:pPr>
        <w:tabs>
          <w:tab w:val="num" w:pos="1440"/>
        </w:tabs>
        <w:ind w:left="1440" w:hanging="360"/>
      </w:pPr>
      <w:rPr>
        <w:rFonts w:ascii="Arial" w:hAnsi="Arial" w:hint="default"/>
      </w:rPr>
    </w:lvl>
    <w:lvl w:ilvl="2" w:tplc="E23E0088" w:tentative="1">
      <w:start w:val="1"/>
      <w:numFmt w:val="bullet"/>
      <w:lvlText w:val="•"/>
      <w:lvlJc w:val="left"/>
      <w:pPr>
        <w:tabs>
          <w:tab w:val="num" w:pos="2160"/>
        </w:tabs>
        <w:ind w:left="2160" w:hanging="360"/>
      </w:pPr>
      <w:rPr>
        <w:rFonts w:ascii="Arial" w:hAnsi="Arial" w:hint="default"/>
      </w:rPr>
    </w:lvl>
    <w:lvl w:ilvl="3" w:tplc="98708060" w:tentative="1">
      <w:start w:val="1"/>
      <w:numFmt w:val="bullet"/>
      <w:lvlText w:val="•"/>
      <w:lvlJc w:val="left"/>
      <w:pPr>
        <w:tabs>
          <w:tab w:val="num" w:pos="2880"/>
        </w:tabs>
        <w:ind w:left="2880" w:hanging="360"/>
      </w:pPr>
      <w:rPr>
        <w:rFonts w:ascii="Arial" w:hAnsi="Arial" w:hint="default"/>
      </w:rPr>
    </w:lvl>
    <w:lvl w:ilvl="4" w:tplc="7DC8C7D0" w:tentative="1">
      <w:start w:val="1"/>
      <w:numFmt w:val="bullet"/>
      <w:lvlText w:val="•"/>
      <w:lvlJc w:val="left"/>
      <w:pPr>
        <w:tabs>
          <w:tab w:val="num" w:pos="3600"/>
        </w:tabs>
        <w:ind w:left="3600" w:hanging="360"/>
      </w:pPr>
      <w:rPr>
        <w:rFonts w:ascii="Arial" w:hAnsi="Arial" w:hint="default"/>
      </w:rPr>
    </w:lvl>
    <w:lvl w:ilvl="5" w:tplc="20D4C394" w:tentative="1">
      <w:start w:val="1"/>
      <w:numFmt w:val="bullet"/>
      <w:lvlText w:val="•"/>
      <w:lvlJc w:val="left"/>
      <w:pPr>
        <w:tabs>
          <w:tab w:val="num" w:pos="4320"/>
        </w:tabs>
        <w:ind w:left="4320" w:hanging="360"/>
      </w:pPr>
      <w:rPr>
        <w:rFonts w:ascii="Arial" w:hAnsi="Arial" w:hint="default"/>
      </w:rPr>
    </w:lvl>
    <w:lvl w:ilvl="6" w:tplc="916C4136" w:tentative="1">
      <w:start w:val="1"/>
      <w:numFmt w:val="bullet"/>
      <w:lvlText w:val="•"/>
      <w:lvlJc w:val="left"/>
      <w:pPr>
        <w:tabs>
          <w:tab w:val="num" w:pos="5040"/>
        </w:tabs>
        <w:ind w:left="5040" w:hanging="360"/>
      </w:pPr>
      <w:rPr>
        <w:rFonts w:ascii="Arial" w:hAnsi="Arial" w:hint="default"/>
      </w:rPr>
    </w:lvl>
    <w:lvl w:ilvl="7" w:tplc="FE5E1E2C" w:tentative="1">
      <w:start w:val="1"/>
      <w:numFmt w:val="bullet"/>
      <w:lvlText w:val="•"/>
      <w:lvlJc w:val="left"/>
      <w:pPr>
        <w:tabs>
          <w:tab w:val="num" w:pos="5760"/>
        </w:tabs>
        <w:ind w:left="5760" w:hanging="360"/>
      </w:pPr>
      <w:rPr>
        <w:rFonts w:ascii="Arial" w:hAnsi="Arial" w:hint="default"/>
      </w:rPr>
    </w:lvl>
    <w:lvl w:ilvl="8" w:tplc="CDF0E5F8" w:tentative="1">
      <w:start w:val="1"/>
      <w:numFmt w:val="bullet"/>
      <w:lvlText w:val="•"/>
      <w:lvlJc w:val="left"/>
      <w:pPr>
        <w:tabs>
          <w:tab w:val="num" w:pos="6480"/>
        </w:tabs>
        <w:ind w:left="6480" w:hanging="360"/>
      </w:pPr>
      <w:rPr>
        <w:rFonts w:ascii="Arial" w:hAnsi="Arial" w:hint="default"/>
      </w:rPr>
    </w:lvl>
  </w:abstractNum>
  <w:abstractNum w:abstractNumId="16">
    <w:nsid w:val="1D7267B6"/>
    <w:multiLevelType w:val="hybridMultilevel"/>
    <w:tmpl w:val="E8EE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1D3842"/>
    <w:multiLevelType w:val="hybridMultilevel"/>
    <w:tmpl w:val="D5C8122E"/>
    <w:lvl w:ilvl="0" w:tplc="DDCA0C9E">
      <w:start w:val="1"/>
      <w:numFmt w:val="bullet"/>
      <w:lvlText w:val="•"/>
      <w:lvlJc w:val="left"/>
      <w:pPr>
        <w:tabs>
          <w:tab w:val="num" w:pos="720"/>
        </w:tabs>
        <w:ind w:left="720" w:hanging="360"/>
      </w:pPr>
      <w:rPr>
        <w:rFonts w:ascii="Arial" w:hAnsi="Arial" w:hint="default"/>
      </w:rPr>
    </w:lvl>
    <w:lvl w:ilvl="1" w:tplc="7D5A7A54" w:tentative="1">
      <w:start w:val="1"/>
      <w:numFmt w:val="bullet"/>
      <w:lvlText w:val="•"/>
      <w:lvlJc w:val="left"/>
      <w:pPr>
        <w:tabs>
          <w:tab w:val="num" w:pos="1440"/>
        </w:tabs>
        <w:ind w:left="1440" w:hanging="360"/>
      </w:pPr>
      <w:rPr>
        <w:rFonts w:ascii="Arial" w:hAnsi="Arial" w:hint="default"/>
      </w:rPr>
    </w:lvl>
    <w:lvl w:ilvl="2" w:tplc="5A8E96F4" w:tentative="1">
      <w:start w:val="1"/>
      <w:numFmt w:val="bullet"/>
      <w:lvlText w:val="•"/>
      <w:lvlJc w:val="left"/>
      <w:pPr>
        <w:tabs>
          <w:tab w:val="num" w:pos="2160"/>
        </w:tabs>
        <w:ind w:left="2160" w:hanging="360"/>
      </w:pPr>
      <w:rPr>
        <w:rFonts w:ascii="Arial" w:hAnsi="Arial" w:hint="default"/>
      </w:rPr>
    </w:lvl>
    <w:lvl w:ilvl="3" w:tplc="A1163522" w:tentative="1">
      <w:start w:val="1"/>
      <w:numFmt w:val="bullet"/>
      <w:lvlText w:val="•"/>
      <w:lvlJc w:val="left"/>
      <w:pPr>
        <w:tabs>
          <w:tab w:val="num" w:pos="2880"/>
        </w:tabs>
        <w:ind w:left="2880" w:hanging="360"/>
      </w:pPr>
      <w:rPr>
        <w:rFonts w:ascii="Arial" w:hAnsi="Arial" w:hint="default"/>
      </w:rPr>
    </w:lvl>
    <w:lvl w:ilvl="4" w:tplc="BFFA57C6" w:tentative="1">
      <w:start w:val="1"/>
      <w:numFmt w:val="bullet"/>
      <w:lvlText w:val="•"/>
      <w:lvlJc w:val="left"/>
      <w:pPr>
        <w:tabs>
          <w:tab w:val="num" w:pos="3600"/>
        </w:tabs>
        <w:ind w:left="3600" w:hanging="360"/>
      </w:pPr>
      <w:rPr>
        <w:rFonts w:ascii="Arial" w:hAnsi="Arial" w:hint="default"/>
      </w:rPr>
    </w:lvl>
    <w:lvl w:ilvl="5" w:tplc="D09CA3B8" w:tentative="1">
      <w:start w:val="1"/>
      <w:numFmt w:val="bullet"/>
      <w:lvlText w:val="•"/>
      <w:lvlJc w:val="left"/>
      <w:pPr>
        <w:tabs>
          <w:tab w:val="num" w:pos="4320"/>
        </w:tabs>
        <w:ind w:left="4320" w:hanging="360"/>
      </w:pPr>
      <w:rPr>
        <w:rFonts w:ascii="Arial" w:hAnsi="Arial" w:hint="default"/>
      </w:rPr>
    </w:lvl>
    <w:lvl w:ilvl="6" w:tplc="54A80CA8" w:tentative="1">
      <w:start w:val="1"/>
      <w:numFmt w:val="bullet"/>
      <w:lvlText w:val="•"/>
      <w:lvlJc w:val="left"/>
      <w:pPr>
        <w:tabs>
          <w:tab w:val="num" w:pos="5040"/>
        </w:tabs>
        <w:ind w:left="5040" w:hanging="360"/>
      </w:pPr>
      <w:rPr>
        <w:rFonts w:ascii="Arial" w:hAnsi="Arial" w:hint="default"/>
      </w:rPr>
    </w:lvl>
    <w:lvl w:ilvl="7" w:tplc="E970F6B0" w:tentative="1">
      <w:start w:val="1"/>
      <w:numFmt w:val="bullet"/>
      <w:lvlText w:val="•"/>
      <w:lvlJc w:val="left"/>
      <w:pPr>
        <w:tabs>
          <w:tab w:val="num" w:pos="5760"/>
        </w:tabs>
        <w:ind w:left="5760" w:hanging="360"/>
      </w:pPr>
      <w:rPr>
        <w:rFonts w:ascii="Arial" w:hAnsi="Arial" w:hint="default"/>
      </w:rPr>
    </w:lvl>
    <w:lvl w:ilvl="8" w:tplc="3F7A882A" w:tentative="1">
      <w:start w:val="1"/>
      <w:numFmt w:val="bullet"/>
      <w:lvlText w:val="•"/>
      <w:lvlJc w:val="left"/>
      <w:pPr>
        <w:tabs>
          <w:tab w:val="num" w:pos="6480"/>
        </w:tabs>
        <w:ind w:left="6480" w:hanging="360"/>
      </w:pPr>
      <w:rPr>
        <w:rFonts w:ascii="Arial" w:hAnsi="Arial" w:hint="default"/>
      </w:rPr>
    </w:lvl>
  </w:abstractNum>
  <w:abstractNum w:abstractNumId="18">
    <w:nsid w:val="22AF4B2D"/>
    <w:multiLevelType w:val="hybridMultilevel"/>
    <w:tmpl w:val="95C63FC0"/>
    <w:lvl w:ilvl="0" w:tplc="35BA8E20">
      <w:start w:val="1"/>
      <w:numFmt w:val="bullet"/>
      <w:lvlText w:val="•"/>
      <w:lvlJc w:val="left"/>
      <w:pPr>
        <w:tabs>
          <w:tab w:val="num" w:pos="360"/>
        </w:tabs>
        <w:ind w:left="360" w:hanging="360"/>
      </w:pPr>
      <w:rPr>
        <w:rFonts w:ascii="Arial" w:hAnsi="Arial" w:hint="default"/>
      </w:rPr>
    </w:lvl>
    <w:lvl w:ilvl="1" w:tplc="04DA6BCA">
      <w:start w:val="1"/>
      <w:numFmt w:val="bullet"/>
      <w:lvlText w:val="•"/>
      <w:lvlJc w:val="left"/>
      <w:pPr>
        <w:tabs>
          <w:tab w:val="num" w:pos="1080"/>
        </w:tabs>
        <w:ind w:left="1080" w:hanging="360"/>
      </w:pPr>
      <w:rPr>
        <w:rFonts w:ascii="Arial" w:hAnsi="Arial" w:hint="default"/>
      </w:rPr>
    </w:lvl>
    <w:lvl w:ilvl="2" w:tplc="BC9E9086">
      <w:start w:val="61"/>
      <w:numFmt w:val="bullet"/>
      <w:lvlText w:val="o"/>
      <w:lvlJc w:val="left"/>
      <w:pPr>
        <w:tabs>
          <w:tab w:val="num" w:pos="1800"/>
        </w:tabs>
        <w:ind w:left="1800" w:hanging="360"/>
      </w:pPr>
      <w:rPr>
        <w:rFonts w:ascii="Courier New" w:hAnsi="Courier New" w:hint="default"/>
      </w:rPr>
    </w:lvl>
    <w:lvl w:ilvl="3" w:tplc="E132D288" w:tentative="1">
      <w:start w:val="1"/>
      <w:numFmt w:val="bullet"/>
      <w:lvlText w:val="•"/>
      <w:lvlJc w:val="left"/>
      <w:pPr>
        <w:tabs>
          <w:tab w:val="num" w:pos="2520"/>
        </w:tabs>
        <w:ind w:left="2520" w:hanging="360"/>
      </w:pPr>
      <w:rPr>
        <w:rFonts w:ascii="Arial" w:hAnsi="Arial" w:hint="default"/>
      </w:rPr>
    </w:lvl>
    <w:lvl w:ilvl="4" w:tplc="56CE7614" w:tentative="1">
      <w:start w:val="1"/>
      <w:numFmt w:val="bullet"/>
      <w:lvlText w:val="•"/>
      <w:lvlJc w:val="left"/>
      <w:pPr>
        <w:tabs>
          <w:tab w:val="num" w:pos="3240"/>
        </w:tabs>
        <w:ind w:left="3240" w:hanging="360"/>
      </w:pPr>
      <w:rPr>
        <w:rFonts w:ascii="Arial" w:hAnsi="Arial" w:hint="default"/>
      </w:rPr>
    </w:lvl>
    <w:lvl w:ilvl="5" w:tplc="4B44C896" w:tentative="1">
      <w:start w:val="1"/>
      <w:numFmt w:val="bullet"/>
      <w:lvlText w:val="•"/>
      <w:lvlJc w:val="left"/>
      <w:pPr>
        <w:tabs>
          <w:tab w:val="num" w:pos="3960"/>
        </w:tabs>
        <w:ind w:left="3960" w:hanging="360"/>
      </w:pPr>
      <w:rPr>
        <w:rFonts w:ascii="Arial" w:hAnsi="Arial" w:hint="default"/>
      </w:rPr>
    </w:lvl>
    <w:lvl w:ilvl="6" w:tplc="ABBE19C8" w:tentative="1">
      <w:start w:val="1"/>
      <w:numFmt w:val="bullet"/>
      <w:lvlText w:val="•"/>
      <w:lvlJc w:val="left"/>
      <w:pPr>
        <w:tabs>
          <w:tab w:val="num" w:pos="4680"/>
        </w:tabs>
        <w:ind w:left="4680" w:hanging="360"/>
      </w:pPr>
      <w:rPr>
        <w:rFonts w:ascii="Arial" w:hAnsi="Arial" w:hint="default"/>
      </w:rPr>
    </w:lvl>
    <w:lvl w:ilvl="7" w:tplc="75107088" w:tentative="1">
      <w:start w:val="1"/>
      <w:numFmt w:val="bullet"/>
      <w:lvlText w:val="•"/>
      <w:lvlJc w:val="left"/>
      <w:pPr>
        <w:tabs>
          <w:tab w:val="num" w:pos="5400"/>
        </w:tabs>
        <w:ind w:left="5400" w:hanging="360"/>
      </w:pPr>
      <w:rPr>
        <w:rFonts w:ascii="Arial" w:hAnsi="Arial" w:hint="default"/>
      </w:rPr>
    </w:lvl>
    <w:lvl w:ilvl="8" w:tplc="A582F284" w:tentative="1">
      <w:start w:val="1"/>
      <w:numFmt w:val="bullet"/>
      <w:lvlText w:val="•"/>
      <w:lvlJc w:val="left"/>
      <w:pPr>
        <w:tabs>
          <w:tab w:val="num" w:pos="6120"/>
        </w:tabs>
        <w:ind w:left="6120" w:hanging="360"/>
      </w:pPr>
      <w:rPr>
        <w:rFonts w:ascii="Arial" w:hAnsi="Arial" w:hint="default"/>
      </w:rPr>
    </w:lvl>
  </w:abstractNum>
  <w:abstractNum w:abstractNumId="19">
    <w:nsid w:val="23FF15D5"/>
    <w:multiLevelType w:val="hybridMultilevel"/>
    <w:tmpl w:val="82264E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F449FE"/>
    <w:multiLevelType w:val="multilevel"/>
    <w:tmpl w:val="D8FE1A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nsid w:val="2FF63961"/>
    <w:multiLevelType w:val="hybridMultilevel"/>
    <w:tmpl w:val="FDF42AF8"/>
    <w:lvl w:ilvl="0" w:tplc="E08E575E">
      <w:start w:val="1"/>
      <w:numFmt w:val="bullet"/>
      <w:lvlText w:val="•"/>
      <w:lvlJc w:val="left"/>
      <w:pPr>
        <w:tabs>
          <w:tab w:val="num" w:pos="720"/>
        </w:tabs>
        <w:ind w:left="720" w:hanging="360"/>
      </w:pPr>
      <w:rPr>
        <w:rFonts w:ascii="Arial" w:hAnsi="Arial" w:hint="default"/>
      </w:rPr>
    </w:lvl>
    <w:lvl w:ilvl="1" w:tplc="3280E83E" w:tentative="1">
      <w:start w:val="1"/>
      <w:numFmt w:val="bullet"/>
      <w:lvlText w:val="•"/>
      <w:lvlJc w:val="left"/>
      <w:pPr>
        <w:tabs>
          <w:tab w:val="num" w:pos="1440"/>
        </w:tabs>
        <w:ind w:left="1440" w:hanging="360"/>
      </w:pPr>
      <w:rPr>
        <w:rFonts w:ascii="Arial" w:hAnsi="Arial" w:hint="default"/>
      </w:rPr>
    </w:lvl>
    <w:lvl w:ilvl="2" w:tplc="2D14ADA6" w:tentative="1">
      <w:start w:val="1"/>
      <w:numFmt w:val="bullet"/>
      <w:lvlText w:val="•"/>
      <w:lvlJc w:val="left"/>
      <w:pPr>
        <w:tabs>
          <w:tab w:val="num" w:pos="2160"/>
        </w:tabs>
        <w:ind w:left="2160" w:hanging="360"/>
      </w:pPr>
      <w:rPr>
        <w:rFonts w:ascii="Arial" w:hAnsi="Arial" w:hint="default"/>
      </w:rPr>
    </w:lvl>
    <w:lvl w:ilvl="3" w:tplc="5406FD6A" w:tentative="1">
      <w:start w:val="1"/>
      <w:numFmt w:val="bullet"/>
      <w:lvlText w:val="•"/>
      <w:lvlJc w:val="left"/>
      <w:pPr>
        <w:tabs>
          <w:tab w:val="num" w:pos="2880"/>
        </w:tabs>
        <w:ind w:left="2880" w:hanging="360"/>
      </w:pPr>
      <w:rPr>
        <w:rFonts w:ascii="Arial" w:hAnsi="Arial" w:hint="default"/>
      </w:rPr>
    </w:lvl>
    <w:lvl w:ilvl="4" w:tplc="8B9ECF48" w:tentative="1">
      <w:start w:val="1"/>
      <w:numFmt w:val="bullet"/>
      <w:lvlText w:val="•"/>
      <w:lvlJc w:val="left"/>
      <w:pPr>
        <w:tabs>
          <w:tab w:val="num" w:pos="3600"/>
        </w:tabs>
        <w:ind w:left="3600" w:hanging="360"/>
      </w:pPr>
      <w:rPr>
        <w:rFonts w:ascii="Arial" w:hAnsi="Arial" w:hint="default"/>
      </w:rPr>
    </w:lvl>
    <w:lvl w:ilvl="5" w:tplc="ACC6B3FC" w:tentative="1">
      <w:start w:val="1"/>
      <w:numFmt w:val="bullet"/>
      <w:lvlText w:val="•"/>
      <w:lvlJc w:val="left"/>
      <w:pPr>
        <w:tabs>
          <w:tab w:val="num" w:pos="4320"/>
        </w:tabs>
        <w:ind w:left="4320" w:hanging="360"/>
      </w:pPr>
      <w:rPr>
        <w:rFonts w:ascii="Arial" w:hAnsi="Arial" w:hint="default"/>
      </w:rPr>
    </w:lvl>
    <w:lvl w:ilvl="6" w:tplc="5AA4C3A0" w:tentative="1">
      <w:start w:val="1"/>
      <w:numFmt w:val="bullet"/>
      <w:lvlText w:val="•"/>
      <w:lvlJc w:val="left"/>
      <w:pPr>
        <w:tabs>
          <w:tab w:val="num" w:pos="5040"/>
        </w:tabs>
        <w:ind w:left="5040" w:hanging="360"/>
      </w:pPr>
      <w:rPr>
        <w:rFonts w:ascii="Arial" w:hAnsi="Arial" w:hint="default"/>
      </w:rPr>
    </w:lvl>
    <w:lvl w:ilvl="7" w:tplc="8438BD40" w:tentative="1">
      <w:start w:val="1"/>
      <w:numFmt w:val="bullet"/>
      <w:lvlText w:val="•"/>
      <w:lvlJc w:val="left"/>
      <w:pPr>
        <w:tabs>
          <w:tab w:val="num" w:pos="5760"/>
        </w:tabs>
        <w:ind w:left="5760" w:hanging="360"/>
      </w:pPr>
      <w:rPr>
        <w:rFonts w:ascii="Arial" w:hAnsi="Arial" w:hint="default"/>
      </w:rPr>
    </w:lvl>
    <w:lvl w:ilvl="8" w:tplc="E854A360" w:tentative="1">
      <w:start w:val="1"/>
      <w:numFmt w:val="bullet"/>
      <w:lvlText w:val="•"/>
      <w:lvlJc w:val="left"/>
      <w:pPr>
        <w:tabs>
          <w:tab w:val="num" w:pos="6480"/>
        </w:tabs>
        <w:ind w:left="6480" w:hanging="360"/>
      </w:pPr>
      <w:rPr>
        <w:rFonts w:ascii="Arial" w:hAnsi="Arial" w:hint="default"/>
      </w:rPr>
    </w:lvl>
  </w:abstractNum>
  <w:abstractNum w:abstractNumId="22">
    <w:nsid w:val="300C0B39"/>
    <w:multiLevelType w:val="hybridMultilevel"/>
    <w:tmpl w:val="ADE2607C"/>
    <w:lvl w:ilvl="0" w:tplc="75BABF1C">
      <w:start w:val="1"/>
      <w:numFmt w:val="lowerLetter"/>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36745C4"/>
    <w:multiLevelType w:val="hybridMultilevel"/>
    <w:tmpl w:val="7C985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B13AF2"/>
    <w:multiLevelType w:val="hybridMultilevel"/>
    <w:tmpl w:val="504AB054"/>
    <w:lvl w:ilvl="0" w:tplc="3126C41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F00B3C"/>
    <w:multiLevelType w:val="hybridMultilevel"/>
    <w:tmpl w:val="36C820E6"/>
    <w:lvl w:ilvl="0" w:tplc="0C090015">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nsid w:val="3B502CAD"/>
    <w:multiLevelType w:val="hybridMultilevel"/>
    <w:tmpl w:val="F13C24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CD21052"/>
    <w:multiLevelType w:val="multilevel"/>
    <w:tmpl w:val="E888469E"/>
    <w:lvl w:ilvl="0">
      <w:start w:val="1"/>
      <w:numFmt w:val="bullet"/>
      <w:pStyle w:val="Parafor1stBullet"/>
      <w:lvlText w:val="■"/>
      <w:lvlJc w:val="left"/>
      <w:pPr>
        <w:tabs>
          <w:tab w:val="num" w:pos="357"/>
        </w:tabs>
        <w:ind w:left="357" w:hanging="357"/>
      </w:pPr>
      <w:rPr>
        <w:rFonts w:ascii="Times New Roman" w:hAnsi="Times New Roman" w:cs="Times New Roman" w:hint="default"/>
        <w:color w:val="3333FF"/>
        <w:position w:val="2"/>
        <w:sz w:val="16"/>
        <w:szCs w:val="16"/>
      </w:rPr>
    </w:lvl>
    <w:lvl w:ilvl="1">
      <w:start w:val="1"/>
      <w:numFmt w:val="bullet"/>
      <w:pStyle w:val="Parafor2ndBullet"/>
      <w:lvlText w:val="●"/>
      <w:lvlJc w:val="left"/>
      <w:pPr>
        <w:tabs>
          <w:tab w:val="num" w:pos="720"/>
        </w:tabs>
        <w:ind w:left="720" w:hanging="363"/>
      </w:pPr>
      <w:rPr>
        <w:rFonts w:ascii="Times New Roman" w:hAnsi="Times New Roman" w:cs="Times New Roman" w:hint="default"/>
        <w:color w:val="8C9CDE"/>
        <w:sz w:val="16"/>
        <w:szCs w:val="22"/>
      </w:rPr>
    </w:lvl>
    <w:lvl w:ilvl="2">
      <w:start w:val="1"/>
      <w:numFmt w:val="bullet"/>
      <w:pStyle w:val="Parafor3rdBullet"/>
      <w:lvlText w:val="–"/>
      <w:lvlJc w:val="left"/>
      <w:pPr>
        <w:tabs>
          <w:tab w:val="num" w:pos="1077"/>
        </w:tabs>
        <w:ind w:left="1077" w:hanging="357"/>
      </w:pPr>
      <w:rPr>
        <w:rFonts w:ascii="Times New Roman" w:hAnsi="Times New Roman" w:cs="Times New Roman" w:hint="default"/>
        <w:color w:val="CC00CC"/>
        <w:sz w:val="20"/>
      </w:rPr>
    </w:lvl>
    <w:lvl w:ilvl="3">
      <w:start w:val="1"/>
      <w:numFmt w:val="bullet"/>
      <w:lvlText w:val="•"/>
      <w:lvlJc w:val="left"/>
      <w:pPr>
        <w:tabs>
          <w:tab w:val="num" w:pos="1440"/>
        </w:tabs>
        <w:ind w:left="1440" w:hanging="363"/>
      </w:pPr>
      <w:rPr>
        <w:rFonts w:ascii="Times New Roman" w:hAnsi="Times New Roman" w:cs="Times New Roman" w:hint="default"/>
        <w:color w:val="33A7A7"/>
        <w:sz w:val="20"/>
        <w:szCs w:val="20"/>
      </w:rPr>
    </w:lvl>
    <w:lvl w:ilvl="4">
      <w:start w:val="1"/>
      <w:numFmt w:val="bullet"/>
      <w:lvlText w:val="○"/>
      <w:lvlJc w:val="left"/>
      <w:pPr>
        <w:tabs>
          <w:tab w:val="num" w:pos="1797"/>
        </w:tabs>
        <w:ind w:left="1797" w:hanging="357"/>
      </w:pPr>
      <w:rPr>
        <w:rFonts w:ascii="Times New Roman" w:hAnsi="Times New Roman" w:cs="Times New Roman" w:hint="default"/>
        <w:position w:val="2"/>
        <w:sz w:val="16"/>
        <w:szCs w:val="16"/>
      </w:rPr>
    </w:lvl>
    <w:lvl w:ilvl="5">
      <w:start w:val="1"/>
      <w:numFmt w:val="bullet"/>
      <w:lvlText w:val="■"/>
      <w:lvlJc w:val="left"/>
      <w:pPr>
        <w:tabs>
          <w:tab w:val="num" w:pos="2160"/>
        </w:tabs>
        <w:ind w:left="2160" w:hanging="363"/>
      </w:pPr>
      <w:rPr>
        <w:rFonts w:ascii="Times New Roman" w:hAnsi="Times New Roman" w:cs="Times New Roman" w:hint="default"/>
        <w:color w:val="auto"/>
        <w:position w:val="2"/>
        <w:sz w:val="16"/>
        <w:szCs w:val="16"/>
      </w:rPr>
    </w:lvl>
    <w:lvl w:ilvl="6">
      <w:start w:val="1"/>
      <w:numFmt w:val="bullet"/>
      <w:lvlText w:val="●"/>
      <w:lvlJc w:val="left"/>
      <w:pPr>
        <w:tabs>
          <w:tab w:val="num" w:pos="2517"/>
        </w:tabs>
        <w:ind w:left="2517" w:hanging="357"/>
      </w:pPr>
      <w:rPr>
        <w:rFonts w:ascii="Times New Roman" w:hAnsi="Times New Roman" w:cs="Times New Roman" w:hint="default"/>
        <w:color w:val="auto"/>
        <w:sz w:val="16"/>
        <w:szCs w:val="16"/>
      </w:rPr>
    </w:lvl>
    <w:lvl w:ilvl="7">
      <w:start w:val="1"/>
      <w:numFmt w:val="bullet"/>
      <w:lvlText w:val="–"/>
      <w:lvlJc w:val="left"/>
      <w:pPr>
        <w:tabs>
          <w:tab w:val="num" w:pos="2880"/>
        </w:tabs>
        <w:ind w:left="2880" w:hanging="363"/>
      </w:pPr>
      <w:rPr>
        <w:rFonts w:ascii="Times New Roman" w:hAnsi="Times New Roman" w:cs="Times New Roman" w:hint="default"/>
      </w:rPr>
    </w:lvl>
    <w:lvl w:ilvl="8">
      <w:start w:val="1"/>
      <w:numFmt w:val="bullet"/>
      <w:lvlText w:val="•"/>
      <w:lvlJc w:val="left"/>
      <w:pPr>
        <w:tabs>
          <w:tab w:val="num" w:pos="3238"/>
        </w:tabs>
        <w:ind w:left="3238" w:hanging="358"/>
      </w:pPr>
      <w:rPr>
        <w:rFonts w:ascii="Times New Roman" w:hAnsi="Times New Roman" w:cs="Times New Roman" w:hint="default"/>
        <w:sz w:val="16"/>
      </w:rPr>
    </w:lvl>
  </w:abstractNum>
  <w:abstractNum w:abstractNumId="29">
    <w:nsid w:val="3D7F6B22"/>
    <w:multiLevelType w:val="hybridMultilevel"/>
    <w:tmpl w:val="82264E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272543A"/>
    <w:multiLevelType w:val="hybridMultilevel"/>
    <w:tmpl w:val="DA22EF44"/>
    <w:lvl w:ilvl="0" w:tplc="C93CA1EC">
      <w:start w:val="1"/>
      <w:numFmt w:val="bullet"/>
      <w:lvlText w:val="•"/>
      <w:lvlJc w:val="left"/>
      <w:pPr>
        <w:tabs>
          <w:tab w:val="num" w:pos="720"/>
        </w:tabs>
        <w:ind w:left="720" w:hanging="360"/>
      </w:pPr>
      <w:rPr>
        <w:rFonts w:ascii="Arial" w:hAnsi="Arial" w:hint="default"/>
      </w:rPr>
    </w:lvl>
    <w:lvl w:ilvl="1" w:tplc="46BCEAE2" w:tentative="1">
      <w:start w:val="1"/>
      <w:numFmt w:val="bullet"/>
      <w:lvlText w:val="•"/>
      <w:lvlJc w:val="left"/>
      <w:pPr>
        <w:tabs>
          <w:tab w:val="num" w:pos="1440"/>
        </w:tabs>
        <w:ind w:left="1440" w:hanging="360"/>
      </w:pPr>
      <w:rPr>
        <w:rFonts w:ascii="Arial" w:hAnsi="Arial" w:hint="default"/>
      </w:rPr>
    </w:lvl>
    <w:lvl w:ilvl="2" w:tplc="894CB6E6" w:tentative="1">
      <w:start w:val="1"/>
      <w:numFmt w:val="bullet"/>
      <w:lvlText w:val="•"/>
      <w:lvlJc w:val="left"/>
      <w:pPr>
        <w:tabs>
          <w:tab w:val="num" w:pos="2160"/>
        </w:tabs>
        <w:ind w:left="2160" w:hanging="360"/>
      </w:pPr>
      <w:rPr>
        <w:rFonts w:ascii="Arial" w:hAnsi="Arial" w:hint="default"/>
      </w:rPr>
    </w:lvl>
    <w:lvl w:ilvl="3" w:tplc="23304D3A" w:tentative="1">
      <w:start w:val="1"/>
      <w:numFmt w:val="bullet"/>
      <w:lvlText w:val="•"/>
      <w:lvlJc w:val="left"/>
      <w:pPr>
        <w:tabs>
          <w:tab w:val="num" w:pos="2880"/>
        </w:tabs>
        <w:ind w:left="2880" w:hanging="360"/>
      </w:pPr>
      <w:rPr>
        <w:rFonts w:ascii="Arial" w:hAnsi="Arial" w:hint="default"/>
      </w:rPr>
    </w:lvl>
    <w:lvl w:ilvl="4" w:tplc="3752BC6E" w:tentative="1">
      <w:start w:val="1"/>
      <w:numFmt w:val="bullet"/>
      <w:lvlText w:val="•"/>
      <w:lvlJc w:val="left"/>
      <w:pPr>
        <w:tabs>
          <w:tab w:val="num" w:pos="3600"/>
        </w:tabs>
        <w:ind w:left="3600" w:hanging="360"/>
      </w:pPr>
      <w:rPr>
        <w:rFonts w:ascii="Arial" w:hAnsi="Arial" w:hint="default"/>
      </w:rPr>
    </w:lvl>
    <w:lvl w:ilvl="5" w:tplc="4D843FFE" w:tentative="1">
      <w:start w:val="1"/>
      <w:numFmt w:val="bullet"/>
      <w:lvlText w:val="•"/>
      <w:lvlJc w:val="left"/>
      <w:pPr>
        <w:tabs>
          <w:tab w:val="num" w:pos="4320"/>
        </w:tabs>
        <w:ind w:left="4320" w:hanging="360"/>
      </w:pPr>
      <w:rPr>
        <w:rFonts w:ascii="Arial" w:hAnsi="Arial" w:hint="default"/>
      </w:rPr>
    </w:lvl>
    <w:lvl w:ilvl="6" w:tplc="60F8776C" w:tentative="1">
      <w:start w:val="1"/>
      <w:numFmt w:val="bullet"/>
      <w:lvlText w:val="•"/>
      <w:lvlJc w:val="left"/>
      <w:pPr>
        <w:tabs>
          <w:tab w:val="num" w:pos="5040"/>
        </w:tabs>
        <w:ind w:left="5040" w:hanging="360"/>
      </w:pPr>
      <w:rPr>
        <w:rFonts w:ascii="Arial" w:hAnsi="Arial" w:hint="default"/>
      </w:rPr>
    </w:lvl>
    <w:lvl w:ilvl="7" w:tplc="F1DC3ED2" w:tentative="1">
      <w:start w:val="1"/>
      <w:numFmt w:val="bullet"/>
      <w:lvlText w:val="•"/>
      <w:lvlJc w:val="left"/>
      <w:pPr>
        <w:tabs>
          <w:tab w:val="num" w:pos="5760"/>
        </w:tabs>
        <w:ind w:left="5760" w:hanging="360"/>
      </w:pPr>
      <w:rPr>
        <w:rFonts w:ascii="Arial" w:hAnsi="Arial" w:hint="default"/>
      </w:rPr>
    </w:lvl>
    <w:lvl w:ilvl="8" w:tplc="5BA8BA26" w:tentative="1">
      <w:start w:val="1"/>
      <w:numFmt w:val="bullet"/>
      <w:lvlText w:val="•"/>
      <w:lvlJc w:val="left"/>
      <w:pPr>
        <w:tabs>
          <w:tab w:val="num" w:pos="6480"/>
        </w:tabs>
        <w:ind w:left="6480" w:hanging="360"/>
      </w:pPr>
      <w:rPr>
        <w:rFonts w:ascii="Arial" w:hAnsi="Arial" w:hint="default"/>
      </w:rPr>
    </w:lvl>
  </w:abstractNum>
  <w:abstractNum w:abstractNumId="31">
    <w:nsid w:val="43C52E6A"/>
    <w:multiLevelType w:val="hybridMultilevel"/>
    <w:tmpl w:val="A9FCBC56"/>
    <w:lvl w:ilvl="0" w:tplc="C24454C4">
      <w:start w:val="1"/>
      <w:numFmt w:val="bullet"/>
      <w:lvlText w:val="•"/>
      <w:lvlJc w:val="left"/>
      <w:pPr>
        <w:tabs>
          <w:tab w:val="num" w:pos="720"/>
        </w:tabs>
        <w:ind w:left="720" w:hanging="360"/>
      </w:pPr>
      <w:rPr>
        <w:rFonts w:ascii="Arial" w:hAnsi="Arial" w:hint="default"/>
      </w:rPr>
    </w:lvl>
    <w:lvl w:ilvl="1" w:tplc="7A6AD28A">
      <w:start w:val="1"/>
      <w:numFmt w:val="bullet"/>
      <w:lvlText w:val="•"/>
      <w:lvlJc w:val="left"/>
      <w:pPr>
        <w:tabs>
          <w:tab w:val="num" w:pos="1440"/>
        </w:tabs>
        <w:ind w:left="1440" w:hanging="360"/>
      </w:pPr>
      <w:rPr>
        <w:rFonts w:ascii="Arial" w:hAnsi="Arial" w:hint="default"/>
      </w:rPr>
    </w:lvl>
    <w:lvl w:ilvl="2" w:tplc="86B0AA3E" w:tentative="1">
      <w:start w:val="1"/>
      <w:numFmt w:val="bullet"/>
      <w:lvlText w:val="•"/>
      <w:lvlJc w:val="left"/>
      <w:pPr>
        <w:tabs>
          <w:tab w:val="num" w:pos="2160"/>
        </w:tabs>
        <w:ind w:left="2160" w:hanging="360"/>
      </w:pPr>
      <w:rPr>
        <w:rFonts w:ascii="Arial" w:hAnsi="Arial" w:hint="default"/>
      </w:rPr>
    </w:lvl>
    <w:lvl w:ilvl="3" w:tplc="A9C8EF8C" w:tentative="1">
      <w:start w:val="1"/>
      <w:numFmt w:val="bullet"/>
      <w:lvlText w:val="•"/>
      <w:lvlJc w:val="left"/>
      <w:pPr>
        <w:tabs>
          <w:tab w:val="num" w:pos="2880"/>
        </w:tabs>
        <w:ind w:left="2880" w:hanging="360"/>
      </w:pPr>
      <w:rPr>
        <w:rFonts w:ascii="Arial" w:hAnsi="Arial" w:hint="default"/>
      </w:rPr>
    </w:lvl>
    <w:lvl w:ilvl="4" w:tplc="511E8470" w:tentative="1">
      <w:start w:val="1"/>
      <w:numFmt w:val="bullet"/>
      <w:lvlText w:val="•"/>
      <w:lvlJc w:val="left"/>
      <w:pPr>
        <w:tabs>
          <w:tab w:val="num" w:pos="3600"/>
        </w:tabs>
        <w:ind w:left="3600" w:hanging="360"/>
      </w:pPr>
      <w:rPr>
        <w:rFonts w:ascii="Arial" w:hAnsi="Arial" w:hint="default"/>
      </w:rPr>
    </w:lvl>
    <w:lvl w:ilvl="5" w:tplc="29F28B96" w:tentative="1">
      <w:start w:val="1"/>
      <w:numFmt w:val="bullet"/>
      <w:lvlText w:val="•"/>
      <w:lvlJc w:val="left"/>
      <w:pPr>
        <w:tabs>
          <w:tab w:val="num" w:pos="4320"/>
        </w:tabs>
        <w:ind w:left="4320" w:hanging="360"/>
      </w:pPr>
      <w:rPr>
        <w:rFonts w:ascii="Arial" w:hAnsi="Arial" w:hint="default"/>
      </w:rPr>
    </w:lvl>
    <w:lvl w:ilvl="6" w:tplc="9F76E4CC" w:tentative="1">
      <w:start w:val="1"/>
      <w:numFmt w:val="bullet"/>
      <w:lvlText w:val="•"/>
      <w:lvlJc w:val="left"/>
      <w:pPr>
        <w:tabs>
          <w:tab w:val="num" w:pos="5040"/>
        </w:tabs>
        <w:ind w:left="5040" w:hanging="360"/>
      </w:pPr>
      <w:rPr>
        <w:rFonts w:ascii="Arial" w:hAnsi="Arial" w:hint="default"/>
      </w:rPr>
    </w:lvl>
    <w:lvl w:ilvl="7" w:tplc="298EB5D2" w:tentative="1">
      <w:start w:val="1"/>
      <w:numFmt w:val="bullet"/>
      <w:lvlText w:val="•"/>
      <w:lvlJc w:val="left"/>
      <w:pPr>
        <w:tabs>
          <w:tab w:val="num" w:pos="5760"/>
        </w:tabs>
        <w:ind w:left="5760" w:hanging="360"/>
      </w:pPr>
      <w:rPr>
        <w:rFonts w:ascii="Arial" w:hAnsi="Arial" w:hint="default"/>
      </w:rPr>
    </w:lvl>
    <w:lvl w:ilvl="8" w:tplc="B53C2C8E" w:tentative="1">
      <w:start w:val="1"/>
      <w:numFmt w:val="bullet"/>
      <w:lvlText w:val="•"/>
      <w:lvlJc w:val="left"/>
      <w:pPr>
        <w:tabs>
          <w:tab w:val="num" w:pos="6480"/>
        </w:tabs>
        <w:ind w:left="6480" w:hanging="360"/>
      </w:pPr>
      <w:rPr>
        <w:rFonts w:ascii="Arial" w:hAnsi="Arial" w:hint="default"/>
      </w:rPr>
    </w:lvl>
  </w:abstractNum>
  <w:abstractNum w:abstractNumId="32">
    <w:nsid w:val="599B65F3"/>
    <w:multiLevelType w:val="hybridMultilevel"/>
    <w:tmpl w:val="D3A4E2CA"/>
    <w:lvl w:ilvl="0" w:tplc="0C090001">
      <w:start w:val="1"/>
      <w:numFmt w:val="bullet"/>
      <w:lvlText w:val=""/>
      <w:lvlJc w:val="left"/>
      <w:pPr>
        <w:tabs>
          <w:tab w:val="num" w:pos="720"/>
        </w:tabs>
        <w:ind w:left="720" w:hanging="360"/>
      </w:pPr>
      <w:rPr>
        <w:rFonts w:ascii="Symbol" w:hAnsi="Symbol" w:hint="default"/>
      </w:rPr>
    </w:lvl>
    <w:lvl w:ilvl="1" w:tplc="BB24DE62" w:tentative="1">
      <w:start w:val="1"/>
      <w:numFmt w:val="bullet"/>
      <w:lvlText w:val="•"/>
      <w:lvlJc w:val="left"/>
      <w:pPr>
        <w:tabs>
          <w:tab w:val="num" w:pos="1440"/>
        </w:tabs>
        <w:ind w:left="1440" w:hanging="360"/>
      </w:pPr>
      <w:rPr>
        <w:rFonts w:ascii="Arial" w:hAnsi="Arial" w:hint="default"/>
      </w:rPr>
    </w:lvl>
    <w:lvl w:ilvl="2" w:tplc="E096579E" w:tentative="1">
      <w:start w:val="1"/>
      <w:numFmt w:val="bullet"/>
      <w:lvlText w:val="•"/>
      <w:lvlJc w:val="left"/>
      <w:pPr>
        <w:tabs>
          <w:tab w:val="num" w:pos="2160"/>
        </w:tabs>
        <w:ind w:left="2160" w:hanging="360"/>
      </w:pPr>
      <w:rPr>
        <w:rFonts w:ascii="Arial" w:hAnsi="Arial" w:hint="default"/>
      </w:rPr>
    </w:lvl>
    <w:lvl w:ilvl="3" w:tplc="B4522752" w:tentative="1">
      <w:start w:val="1"/>
      <w:numFmt w:val="bullet"/>
      <w:lvlText w:val="•"/>
      <w:lvlJc w:val="left"/>
      <w:pPr>
        <w:tabs>
          <w:tab w:val="num" w:pos="2880"/>
        </w:tabs>
        <w:ind w:left="2880" w:hanging="360"/>
      </w:pPr>
      <w:rPr>
        <w:rFonts w:ascii="Arial" w:hAnsi="Arial" w:hint="default"/>
      </w:rPr>
    </w:lvl>
    <w:lvl w:ilvl="4" w:tplc="E1AE4E68" w:tentative="1">
      <w:start w:val="1"/>
      <w:numFmt w:val="bullet"/>
      <w:lvlText w:val="•"/>
      <w:lvlJc w:val="left"/>
      <w:pPr>
        <w:tabs>
          <w:tab w:val="num" w:pos="3600"/>
        </w:tabs>
        <w:ind w:left="3600" w:hanging="360"/>
      </w:pPr>
      <w:rPr>
        <w:rFonts w:ascii="Arial" w:hAnsi="Arial" w:hint="default"/>
      </w:rPr>
    </w:lvl>
    <w:lvl w:ilvl="5" w:tplc="3BA6CC3E" w:tentative="1">
      <w:start w:val="1"/>
      <w:numFmt w:val="bullet"/>
      <w:lvlText w:val="•"/>
      <w:lvlJc w:val="left"/>
      <w:pPr>
        <w:tabs>
          <w:tab w:val="num" w:pos="4320"/>
        </w:tabs>
        <w:ind w:left="4320" w:hanging="360"/>
      </w:pPr>
      <w:rPr>
        <w:rFonts w:ascii="Arial" w:hAnsi="Arial" w:hint="default"/>
      </w:rPr>
    </w:lvl>
    <w:lvl w:ilvl="6" w:tplc="F7AABE80" w:tentative="1">
      <w:start w:val="1"/>
      <w:numFmt w:val="bullet"/>
      <w:lvlText w:val="•"/>
      <w:lvlJc w:val="left"/>
      <w:pPr>
        <w:tabs>
          <w:tab w:val="num" w:pos="5040"/>
        </w:tabs>
        <w:ind w:left="5040" w:hanging="360"/>
      </w:pPr>
      <w:rPr>
        <w:rFonts w:ascii="Arial" w:hAnsi="Arial" w:hint="default"/>
      </w:rPr>
    </w:lvl>
    <w:lvl w:ilvl="7" w:tplc="B414FF52" w:tentative="1">
      <w:start w:val="1"/>
      <w:numFmt w:val="bullet"/>
      <w:lvlText w:val="•"/>
      <w:lvlJc w:val="left"/>
      <w:pPr>
        <w:tabs>
          <w:tab w:val="num" w:pos="5760"/>
        </w:tabs>
        <w:ind w:left="5760" w:hanging="360"/>
      </w:pPr>
      <w:rPr>
        <w:rFonts w:ascii="Arial" w:hAnsi="Arial" w:hint="default"/>
      </w:rPr>
    </w:lvl>
    <w:lvl w:ilvl="8" w:tplc="892E155A" w:tentative="1">
      <w:start w:val="1"/>
      <w:numFmt w:val="bullet"/>
      <w:lvlText w:val="•"/>
      <w:lvlJc w:val="left"/>
      <w:pPr>
        <w:tabs>
          <w:tab w:val="num" w:pos="6480"/>
        </w:tabs>
        <w:ind w:left="6480" w:hanging="360"/>
      </w:pPr>
      <w:rPr>
        <w:rFonts w:ascii="Arial" w:hAnsi="Arial" w:hint="default"/>
      </w:rPr>
    </w:lvl>
  </w:abstractNum>
  <w:abstractNum w:abstractNumId="33">
    <w:nsid w:val="686255CF"/>
    <w:multiLevelType w:val="hybridMultilevel"/>
    <w:tmpl w:val="FF38CFE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8E32692"/>
    <w:multiLevelType w:val="hybridMultilevel"/>
    <w:tmpl w:val="47FCF44E"/>
    <w:lvl w:ilvl="0" w:tplc="0C090001">
      <w:start w:val="1"/>
      <w:numFmt w:val="bullet"/>
      <w:lvlText w:val=""/>
      <w:lvlJc w:val="left"/>
      <w:pPr>
        <w:tabs>
          <w:tab w:val="num" w:pos="360"/>
        </w:tabs>
        <w:ind w:left="360" w:hanging="360"/>
      </w:pPr>
      <w:rPr>
        <w:rFonts w:ascii="Symbol" w:hAnsi="Symbol" w:hint="default"/>
      </w:rPr>
    </w:lvl>
    <w:lvl w:ilvl="1" w:tplc="0D967664">
      <w:start w:val="1"/>
      <w:numFmt w:val="bullet"/>
      <w:lvlText w:val="•"/>
      <w:lvlJc w:val="left"/>
      <w:pPr>
        <w:tabs>
          <w:tab w:val="num" w:pos="1080"/>
        </w:tabs>
        <w:ind w:left="1080" w:hanging="360"/>
      </w:pPr>
      <w:rPr>
        <w:rFonts w:ascii="Arial" w:hAnsi="Arial" w:hint="default"/>
      </w:rPr>
    </w:lvl>
    <w:lvl w:ilvl="2" w:tplc="476E9F38">
      <w:start w:val="217"/>
      <w:numFmt w:val="bullet"/>
      <w:lvlText w:val="o"/>
      <w:lvlJc w:val="left"/>
      <w:pPr>
        <w:tabs>
          <w:tab w:val="num" w:pos="1800"/>
        </w:tabs>
        <w:ind w:left="1800" w:hanging="360"/>
      </w:pPr>
      <w:rPr>
        <w:rFonts w:ascii="Courier New" w:hAnsi="Courier New" w:hint="default"/>
      </w:rPr>
    </w:lvl>
    <w:lvl w:ilvl="3" w:tplc="9418F8FE" w:tentative="1">
      <w:start w:val="1"/>
      <w:numFmt w:val="bullet"/>
      <w:lvlText w:val="•"/>
      <w:lvlJc w:val="left"/>
      <w:pPr>
        <w:tabs>
          <w:tab w:val="num" w:pos="2520"/>
        </w:tabs>
        <w:ind w:left="2520" w:hanging="360"/>
      </w:pPr>
      <w:rPr>
        <w:rFonts w:ascii="Arial" w:hAnsi="Arial" w:hint="default"/>
      </w:rPr>
    </w:lvl>
    <w:lvl w:ilvl="4" w:tplc="D948245E" w:tentative="1">
      <w:start w:val="1"/>
      <w:numFmt w:val="bullet"/>
      <w:lvlText w:val="•"/>
      <w:lvlJc w:val="left"/>
      <w:pPr>
        <w:tabs>
          <w:tab w:val="num" w:pos="3240"/>
        </w:tabs>
        <w:ind w:left="3240" w:hanging="360"/>
      </w:pPr>
      <w:rPr>
        <w:rFonts w:ascii="Arial" w:hAnsi="Arial" w:hint="default"/>
      </w:rPr>
    </w:lvl>
    <w:lvl w:ilvl="5" w:tplc="A17225F2" w:tentative="1">
      <w:start w:val="1"/>
      <w:numFmt w:val="bullet"/>
      <w:lvlText w:val="•"/>
      <w:lvlJc w:val="left"/>
      <w:pPr>
        <w:tabs>
          <w:tab w:val="num" w:pos="3960"/>
        </w:tabs>
        <w:ind w:left="3960" w:hanging="360"/>
      </w:pPr>
      <w:rPr>
        <w:rFonts w:ascii="Arial" w:hAnsi="Arial" w:hint="default"/>
      </w:rPr>
    </w:lvl>
    <w:lvl w:ilvl="6" w:tplc="3DE04C38" w:tentative="1">
      <w:start w:val="1"/>
      <w:numFmt w:val="bullet"/>
      <w:lvlText w:val="•"/>
      <w:lvlJc w:val="left"/>
      <w:pPr>
        <w:tabs>
          <w:tab w:val="num" w:pos="4680"/>
        </w:tabs>
        <w:ind w:left="4680" w:hanging="360"/>
      </w:pPr>
      <w:rPr>
        <w:rFonts w:ascii="Arial" w:hAnsi="Arial" w:hint="default"/>
      </w:rPr>
    </w:lvl>
    <w:lvl w:ilvl="7" w:tplc="5492E3CC" w:tentative="1">
      <w:start w:val="1"/>
      <w:numFmt w:val="bullet"/>
      <w:lvlText w:val="•"/>
      <w:lvlJc w:val="left"/>
      <w:pPr>
        <w:tabs>
          <w:tab w:val="num" w:pos="5400"/>
        </w:tabs>
        <w:ind w:left="5400" w:hanging="360"/>
      </w:pPr>
      <w:rPr>
        <w:rFonts w:ascii="Arial" w:hAnsi="Arial" w:hint="default"/>
      </w:rPr>
    </w:lvl>
    <w:lvl w:ilvl="8" w:tplc="8F066A42" w:tentative="1">
      <w:start w:val="1"/>
      <w:numFmt w:val="bullet"/>
      <w:lvlText w:val="•"/>
      <w:lvlJc w:val="left"/>
      <w:pPr>
        <w:tabs>
          <w:tab w:val="num" w:pos="6120"/>
        </w:tabs>
        <w:ind w:left="6120" w:hanging="360"/>
      </w:pPr>
      <w:rPr>
        <w:rFonts w:ascii="Arial" w:hAnsi="Arial" w:hint="default"/>
      </w:rPr>
    </w:lvl>
  </w:abstractNum>
  <w:abstractNum w:abstractNumId="35">
    <w:nsid w:val="69FC3D65"/>
    <w:multiLevelType w:val="multilevel"/>
    <w:tmpl w:val="1C1A65AA"/>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nsid w:val="6D5C386D"/>
    <w:multiLevelType w:val="hybridMultilevel"/>
    <w:tmpl w:val="BD54EAB8"/>
    <w:lvl w:ilvl="0" w:tplc="52A61946">
      <w:start w:val="1"/>
      <w:numFmt w:val="bullet"/>
      <w:lvlText w:val="•"/>
      <w:lvlJc w:val="left"/>
      <w:pPr>
        <w:tabs>
          <w:tab w:val="num" w:pos="720"/>
        </w:tabs>
        <w:ind w:left="720" w:hanging="360"/>
      </w:pPr>
      <w:rPr>
        <w:rFonts w:ascii="Arial" w:hAnsi="Arial" w:hint="default"/>
      </w:rPr>
    </w:lvl>
    <w:lvl w:ilvl="1" w:tplc="18B683F0" w:tentative="1">
      <w:start w:val="1"/>
      <w:numFmt w:val="bullet"/>
      <w:lvlText w:val="•"/>
      <w:lvlJc w:val="left"/>
      <w:pPr>
        <w:tabs>
          <w:tab w:val="num" w:pos="1440"/>
        </w:tabs>
        <w:ind w:left="1440" w:hanging="360"/>
      </w:pPr>
      <w:rPr>
        <w:rFonts w:ascii="Arial" w:hAnsi="Arial" w:hint="default"/>
      </w:rPr>
    </w:lvl>
    <w:lvl w:ilvl="2" w:tplc="285E1208" w:tentative="1">
      <w:start w:val="1"/>
      <w:numFmt w:val="bullet"/>
      <w:lvlText w:val="•"/>
      <w:lvlJc w:val="left"/>
      <w:pPr>
        <w:tabs>
          <w:tab w:val="num" w:pos="2160"/>
        </w:tabs>
        <w:ind w:left="2160" w:hanging="360"/>
      </w:pPr>
      <w:rPr>
        <w:rFonts w:ascii="Arial" w:hAnsi="Arial" w:hint="default"/>
      </w:rPr>
    </w:lvl>
    <w:lvl w:ilvl="3" w:tplc="0DB63C36" w:tentative="1">
      <w:start w:val="1"/>
      <w:numFmt w:val="bullet"/>
      <w:lvlText w:val="•"/>
      <w:lvlJc w:val="left"/>
      <w:pPr>
        <w:tabs>
          <w:tab w:val="num" w:pos="2880"/>
        </w:tabs>
        <w:ind w:left="2880" w:hanging="360"/>
      </w:pPr>
      <w:rPr>
        <w:rFonts w:ascii="Arial" w:hAnsi="Arial" w:hint="default"/>
      </w:rPr>
    </w:lvl>
    <w:lvl w:ilvl="4" w:tplc="5D1C9760" w:tentative="1">
      <w:start w:val="1"/>
      <w:numFmt w:val="bullet"/>
      <w:lvlText w:val="•"/>
      <w:lvlJc w:val="left"/>
      <w:pPr>
        <w:tabs>
          <w:tab w:val="num" w:pos="3600"/>
        </w:tabs>
        <w:ind w:left="3600" w:hanging="360"/>
      </w:pPr>
      <w:rPr>
        <w:rFonts w:ascii="Arial" w:hAnsi="Arial" w:hint="default"/>
      </w:rPr>
    </w:lvl>
    <w:lvl w:ilvl="5" w:tplc="E7740824" w:tentative="1">
      <w:start w:val="1"/>
      <w:numFmt w:val="bullet"/>
      <w:lvlText w:val="•"/>
      <w:lvlJc w:val="left"/>
      <w:pPr>
        <w:tabs>
          <w:tab w:val="num" w:pos="4320"/>
        </w:tabs>
        <w:ind w:left="4320" w:hanging="360"/>
      </w:pPr>
      <w:rPr>
        <w:rFonts w:ascii="Arial" w:hAnsi="Arial" w:hint="default"/>
      </w:rPr>
    </w:lvl>
    <w:lvl w:ilvl="6" w:tplc="87E4C060" w:tentative="1">
      <w:start w:val="1"/>
      <w:numFmt w:val="bullet"/>
      <w:lvlText w:val="•"/>
      <w:lvlJc w:val="left"/>
      <w:pPr>
        <w:tabs>
          <w:tab w:val="num" w:pos="5040"/>
        </w:tabs>
        <w:ind w:left="5040" w:hanging="360"/>
      </w:pPr>
      <w:rPr>
        <w:rFonts w:ascii="Arial" w:hAnsi="Arial" w:hint="default"/>
      </w:rPr>
    </w:lvl>
    <w:lvl w:ilvl="7" w:tplc="A0EE670A" w:tentative="1">
      <w:start w:val="1"/>
      <w:numFmt w:val="bullet"/>
      <w:lvlText w:val="•"/>
      <w:lvlJc w:val="left"/>
      <w:pPr>
        <w:tabs>
          <w:tab w:val="num" w:pos="5760"/>
        </w:tabs>
        <w:ind w:left="5760" w:hanging="360"/>
      </w:pPr>
      <w:rPr>
        <w:rFonts w:ascii="Arial" w:hAnsi="Arial" w:hint="default"/>
      </w:rPr>
    </w:lvl>
    <w:lvl w:ilvl="8" w:tplc="51E2CE0A" w:tentative="1">
      <w:start w:val="1"/>
      <w:numFmt w:val="bullet"/>
      <w:lvlText w:val="•"/>
      <w:lvlJc w:val="left"/>
      <w:pPr>
        <w:tabs>
          <w:tab w:val="num" w:pos="6480"/>
        </w:tabs>
        <w:ind w:left="6480" w:hanging="360"/>
      </w:pPr>
      <w:rPr>
        <w:rFonts w:ascii="Arial" w:hAnsi="Arial" w:hint="default"/>
      </w:rPr>
    </w:lvl>
  </w:abstractNum>
  <w:abstractNum w:abstractNumId="37">
    <w:nsid w:val="6EF61A49"/>
    <w:multiLevelType w:val="hybridMultilevel"/>
    <w:tmpl w:val="56821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F3752E1"/>
    <w:multiLevelType w:val="hybridMultilevel"/>
    <w:tmpl w:val="A484D9B4"/>
    <w:lvl w:ilvl="0" w:tplc="90A811A0">
      <w:start w:val="1"/>
      <w:numFmt w:val="bullet"/>
      <w:lvlText w:val="•"/>
      <w:lvlJc w:val="left"/>
      <w:pPr>
        <w:tabs>
          <w:tab w:val="num" w:pos="720"/>
        </w:tabs>
        <w:ind w:left="720" w:hanging="360"/>
      </w:pPr>
      <w:rPr>
        <w:rFonts w:ascii="Arial" w:hAnsi="Arial" w:hint="default"/>
      </w:rPr>
    </w:lvl>
    <w:lvl w:ilvl="1" w:tplc="7C564BAC" w:tentative="1">
      <w:start w:val="1"/>
      <w:numFmt w:val="bullet"/>
      <w:lvlText w:val="•"/>
      <w:lvlJc w:val="left"/>
      <w:pPr>
        <w:tabs>
          <w:tab w:val="num" w:pos="1440"/>
        </w:tabs>
        <w:ind w:left="1440" w:hanging="360"/>
      </w:pPr>
      <w:rPr>
        <w:rFonts w:ascii="Arial" w:hAnsi="Arial" w:hint="default"/>
      </w:rPr>
    </w:lvl>
    <w:lvl w:ilvl="2" w:tplc="856640E0" w:tentative="1">
      <w:start w:val="1"/>
      <w:numFmt w:val="bullet"/>
      <w:lvlText w:val="•"/>
      <w:lvlJc w:val="left"/>
      <w:pPr>
        <w:tabs>
          <w:tab w:val="num" w:pos="2160"/>
        </w:tabs>
        <w:ind w:left="2160" w:hanging="360"/>
      </w:pPr>
      <w:rPr>
        <w:rFonts w:ascii="Arial" w:hAnsi="Arial" w:hint="default"/>
      </w:rPr>
    </w:lvl>
    <w:lvl w:ilvl="3" w:tplc="40E4D39E" w:tentative="1">
      <w:start w:val="1"/>
      <w:numFmt w:val="bullet"/>
      <w:lvlText w:val="•"/>
      <w:lvlJc w:val="left"/>
      <w:pPr>
        <w:tabs>
          <w:tab w:val="num" w:pos="2880"/>
        </w:tabs>
        <w:ind w:left="2880" w:hanging="360"/>
      </w:pPr>
      <w:rPr>
        <w:rFonts w:ascii="Arial" w:hAnsi="Arial" w:hint="default"/>
      </w:rPr>
    </w:lvl>
    <w:lvl w:ilvl="4" w:tplc="115E7EB8" w:tentative="1">
      <w:start w:val="1"/>
      <w:numFmt w:val="bullet"/>
      <w:lvlText w:val="•"/>
      <w:lvlJc w:val="left"/>
      <w:pPr>
        <w:tabs>
          <w:tab w:val="num" w:pos="3600"/>
        </w:tabs>
        <w:ind w:left="3600" w:hanging="360"/>
      </w:pPr>
      <w:rPr>
        <w:rFonts w:ascii="Arial" w:hAnsi="Arial" w:hint="default"/>
      </w:rPr>
    </w:lvl>
    <w:lvl w:ilvl="5" w:tplc="DC3EC6EE" w:tentative="1">
      <w:start w:val="1"/>
      <w:numFmt w:val="bullet"/>
      <w:lvlText w:val="•"/>
      <w:lvlJc w:val="left"/>
      <w:pPr>
        <w:tabs>
          <w:tab w:val="num" w:pos="4320"/>
        </w:tabs>
        <w:ind w:left="4320" w:hanging="360"/>
      </w:pPr>
      <w:rPr>
        <w:rFonts w:ascii="Arial" w:hAnsi="Arial" w:hint="default"/>
      </w:rPr>
    </w:lvl>
    <w:lvl w:ilvl="6" w:tplc="51A48DB8" w:tentative="1">
      <w:start w:val="1"/>
      <w:numFmt w:val="bullet"/>
      <w:lvlText w:val="•"/>
      <w:lvlJc w:val="left"/>
      <w:pPr>
        <w:tabs>
          <w:tab w:val="num" w:pos="5040"/>
        </w:tabs>
        <w:ind w:left="5040" w:hanging="360"/>
      </w:pPr>
      <w:rPr>
        <w:rFonts w:ascii="Arial" w:hAnsi="Arial" w:hint="default"/>
      </w:rPr>
    </w:lvl>
    <w:lvl w:ilvl="7" w:tplc="343AF4D0" w:tentative="1">
      <w:start w:val="1"/>
      <w:numFmt w:val="bullet"/>
      <w:lvlText w:val="•"/>
      <w:lvlJc w:val="left"/>
      <w:pPr>
        <w:tabs>
          <w:tab w:val="num" w:pos="5760"/>
        </w:tabs>
        <w:ind w:left="5760" w:hanging="360"/>
      </w:pPr>
      <w:rPr>
        <w:rFonts w:ascii="Arial" w:hAnsi="Arial" w:hint="default"/>
      </w:rPr>
    </w:lvl>
    <w:lvl w:ilvl="8" w:tplc="85CA3042" w:tentative="1">
      <w:start w:val="1"/>
      <w:numFmt w:val="bullet"/>
      <w:lvlText w:val="•"/>
      <w:lvlJc w:val="left"/>
      <w:pPr>
        <w:tabs>
          <w:tab w:val="num" w:pos="6480"/>
        </w:tabs>
        <w:ind w:left="6480" w:hanging="360"/>
      </w:pPr>
      <w:rPr>
        <w:rFonts w:ascii="Arial" w:hAnsi="Arial" w:hint="default"/>
      </w:rPr>
    </w:lvl>
  </w:abstractNum>
  <w:abstractNum w:abstractNumId="39">
    <w:nsid w:val="724C2ED7"/>
    <w:multiLevelType w:val="hybridMultilevel"/>
    <w:tmpl w:val="49A262C6"/>
    <w:lvl w:ilvl="0" w:tplc="AED0D7C2">
      <w:start w:val="1"/>
      <w:numFmt w:val="bullet"/>
      <w:lvlText w:val="•"/>
      <w:lvlJc w:val="left"/>
      <w:pPr>
        <w:tabs>
          <w:tab w:val="num" w:pos="720"/>
        </w:tabs>
        <w:ind w:left="720" w:hanging="360"/>
      </w:pPr>
      <w:rPr>
        <w:rFonts w:ascii="Arial" w:hAnsi="Arial" w:hint="default"/>
      </w:rPr>
    </w:lvl>
    <w:lvl w:ilvl="1" w:tplc="AC90A8A2" w:tentative="1">
      <w:start w:val="1"/>
      <w:numFmt w:val="bullet"/>
      <w:lvlText w:val="•"/>
      <w:lvlJc w:val="left"/>
      <w:pPr>
        <w:tabs>
          <w:tab w:val="num" w:pos="1440"/>
        </w:tabs>
        <w:ind w:left="1440" w:hanging="360"/>
      </w:pPr>
      <w:rPr>
        <w:rFonts w:ascii="Arial" w:hAnsi="Arial" w:hint="default"/>
      </w:rPr>
    </w:lvl>
    <w:lvl w:ilvl="2" w:tplc="03F2BAAA" w:tentative="1">
      <w:start w:val="1"/>
      <w:numFmt w:val="bullet"/>
      <w:lvlText w:val="•"/>
      <w:lvlJc w:val="left"/>
      <w:pPr>
        <w:tabs>
          <w:tab w:val="num" w:pos="2160"/>
        </w:tabs>
        <w:ind w:left="2160" w:hanging="360"/>
      </w:pPr>
      <w:rPr>
        <w:rFonts w:ascii="Arial" w:hAnsi="Arial" w:hint="default"/>
      </w:rPr>
    </w:lvl>
    <w:lvl w:ilvl="3" w:tplc="A1860F1C" w:tentative="1">
      <w:start w:val="1"/>
      <w:numFmt w:val="bullet"/>
      <w:lvlText w:val="•"/>
      <w:lvlJc w:val="left"/>
      <w:pPr>
        <w:tabs>
          <w:tab w:val="num" w:pos="2880"/>
        </w:tabs>
        <w:ind w:left="2880" w:hanging="360"/>
      </w:pPr>
      <w:rPr>
        <w:rFonts w:ascii="Arial" w:hAnsi="Arial" w:hint="default"/>
      </w:rPr>
    </w:lvl>
    <w:lvl w:ilvl="4" w:tplc="0DF24704" w:tentative="1">
      <w:start w:val="1"/>
      <w:numFmt w:val="bullet"/>
      <w:lvlText w:val="•"/>
      <w:lvlJc w:val="left"/>
      <w:pPr>
        <w:tabs>
          <w:tab w:val="num" w:pos="3600"/>
        </w:tabs>
        <w:ind w:left="3600" w:hanging="360"/>
      </w:pPr>
      <w:rPr>
        <w:rFonts w:ascii="Arial" w:hAnsi="Arial" w:hint="default"/>
      </w:rPr>
    </w:lvl>
    <w:lvl w:ilvl="5" w:tplc="C924E498" w:tentative="1">
      <w:start w:val="1"/>
      <w:numFmt w:val="bullet"/>
      <w:lvlText w:val="•"/>
      <w:lvlJc w:val="left"/>
      <w:pPr>
        <w:tabs>
          <w:tab w:val="num" w:pos="4320"/>
        </w:tabs>
        <w:ind w:left="4320" w:hanging="360"/>
      </w:pPr>
      <w:rPr>
        <w:rFonts w:ascii="Arial" w:hAnsi="Arial" w:hint="default"/>
      </w:rPr>
    </w:lvl>
    <w:lvl w:ilvl="6" w:tplc="1B40EBA6" w:tentative="1">
      <w:start w:val="1"/>
      <w:numFmt w:val="bullet"/>
      <w:lvlText w:val="•"/>
      <w:lvlJc w:val="left"/>
      <w:pPr>
        <w:tabs>
          <w:tab w:val="num" w:pos="5040"/>
        </w:tabs>
        <w:ind w:left="5040" w:hanging="360"/>
      </w:pPr>
      <w:rPr>
        <w:rFonts w:ascii="Arial" w:hAnsi="Arial" w:hint="default"/>
      </w:rPr>
    </w:lvl>
    <w:lvl w:ilvl="7" w:tplc="E75EA63C" w:tentative="1">
      <w:start w:val="1"/>
      <w:numFmt w:val="bullet"/>
      <w:lvlText w:val="•"/>
      <w:lvlJc w:val="left"/>
      <w:pPr>
        <w:tabs>
          <w:tab w:val="num" w:pos="5760"/>
        </w:tabs>
        <w:ind w:left="5760" w:hanging="360"/>
      </w:pPr>
      <w:rPr>
        <w:rFonts w:ascii="Arial" w:hAnsi="Arial" w:hint="default"/>
      </w:rPr>
    </w:lvl>
    <w:lvl w:ilvl="8" w:tplc="C6BE15F2" w:tentative="1">
      <w:start w:val="1"/>
      <w:numFmt w:val="bullet"/>
      <w:lvlText w:val="•"/>
      <w:lvlJc w:val="left"/>
      <w:pPr>
        <w:tabs>
          <w:tab w:val="num" w:pos="6480"/>
        </w:tabs>
        <w:ind w:left="6480" w:hanging="360"/>
      </w:pPr>
      <w:rPr>
        <w:rFonts w:ascii="Arial" w:hAnsi="Arial" w:hint="default"/>
      </w:rPr>
    </w:lvl>
  </w:abstractNum>
  <w:abstractNum w:abstractNumId="40">
    <w:nsid w:val="74256FF3"/>
    <w:multiLevelType w:val="hybridMultilevel"/>
    <w:tmpl w:val="22823060"/>
    <w:lvl w:ilvl="0" w:tplc="23D4CC1E">
      <w:start w:val="1"/>
      <w:numFmt w:val="bullet"/>
      <w:lvlText w:val="•"/>
      <w:lvlJc w:val="left"/>
      <w:pPr>
        <w:tabs>
          <w:tab w:val="num" w:pos="720"/>
        </w:tabs>
        <w:ind w:left="720" w:hanging="360"/>
      </w:pPr>
      <w:rPr>
        <w:rFonts w:ascii="Arial" w:hAnsi="Arial" w:hint="default"/>
      </w:rPr>
    </w:lvl>
    <w:lvl w:ilvl="1" w:tplc="3CF0385E" w:tentative="1">
      <w:start w:val="1"/>
      <w:numFmt w:val="bullet"/>
      <w:lvlText w:val="•"/>
      <w:lvlJc w:val="left"/>
      <w:pPr>
        <w:tabs>
          <w:tab w:val="num" w:pos="1440"/>
        </w:tabs>
        <w:ind w:left="1440" w:hanging="360"/>
      </w:pPr>
      <w:rPr>
        <w:rFonts w:ascii="Arial" w:hAnsi="Arial" w:hint="default"/>
      </w:rPr>
    </w:lvl>
    <w:lvl w:ilvl="2" w:tplc="01A8D918" w:tentative="1">
      <w:start w:val="1"/>
      <w:numFmt w:val="bullet"/>
      <w:lvlText w:val="•"/>
      <w:lvlJc w:val="left"/>
      <w:pPr>
        <w:tabs>
          <w:tab w:val="num" w:pos="2160"/>
        </w:tabs>
        <w:ind w:left="2160" w:hanging="360"/>
      </w:pPr>
      <w:rPr>
        <w:rFonts w:ascii="Arial" w:hAnsi="Arial" w:hint="default"/>
      </w:rPr>
    </w:lvl>
    <w:lvl w:ilvl="3" w:tplc="FE0EF738" w:tentative="1">
      <w:start w:val="1"/>
      <w:numFmt w:val="bullet"/>
      <w:lvlText w:val="•"/>
      <w:lvlJc w:val="left"/>
      <w:pPr>
        <w:tabs>
          <w:tab w:val="num" w:pos="2880"/>
        </w:tabs>
        <w:ind w:left="2880" w:hanging="360"/>
      </w:pPr>
      <w:rPr>
        <w:rFonts w:ascii="Arial" w:hAnsi="Arial" w:hint="default"/>
      </w:rPr>
    </w:lvl>
    <w:lvl w:ilvl="4" w:tplc="A86EF04E" w:tentative="1">
      <w:start w:val="1"/>
      <w:numFmt w:val="bullet"/>
      <w:lvlText w:val="•"/>
      <w:lvlJc w:val="left"/>
      <w:pPr>
        <w:tabs>
          <w:tab w:val="num" w:pos="3600"/>
        </w:tabs>
        <w:ind w:left="3600" w:hanging="360"/>
      </w:pPr>
      <w:rPr>
        <w:rFonts w:ascii="Arial" w:hAnsi="Arial" w:hint="default"/>
      </w:rPr>
    </w:lvl>
    <w:lvl w:ilvl="5" w:tplc="6C684896" w:tentative="1">
      <w:start w:val="1"/>
      <w:numFmt w:val="bullet"/>
      <w:lvlText w:val="•"/>
      <w:lvlJc w:val="left"/>
      <w:pPr>
        <w:tabs>
          <w:tab w:val="num" w:pos="4320"/>
        </w:tabs>
        <w:ind w:left="4320" w:hanging="360"/>
      </w:pPr>
      <w:rPr>
        <w:rFonts w:ascii="Arial" w:hAnsi="Arial" w:hint="default"/>
      </w:rPr>
    </w:lvl>
    <w:lvl w:ilvl="6" w:tplc="0CC06AC0" w:tentative="1">
      <w:start w:val="1"/>
      <w:numFmt w:val="bullet"/>
      <w:lvlText w:val="•"/>
      <w:lvlJc w:val="left"/>
      <w:pPr>
        <w:tabs>
          <w:tab w:val="num" w:pos="5040"/>
        </w:tabs>
        <w:ind w:left="5040" w:hanging="360"/>
      </w:pPr>
      <w:rPr>
        <w:rFonts w:ascii="Arial" w:hAnsi="Arial" w:hint="default"/>
      </w:rPr>
    </w:lvl>
    <w:lvl w:ilvl="7" w:tplc="A96C000A" w:tentative="1">
      <w:start w:val="1"/>
      <w:numFmt w:val="bullet"/>
      <w:lvlText w:val="•"/>
      <w:lvlJc w:val="left"/>
      <w:pPr>
        <w:tabs>
          <w:tab w:val="num" w:pos="5760"/>
        </w:tabs>
        <w:ind w:left="5760" w:hanging="360"/>
      </w:pPr>
      <w:rPr>
        <w:rFonts w:ascii="Arial" w:hAnsi="Arial" w:hint="default"/>
      </w:rPr>
    </w:lvl>
    <w:lvl w:ilvl="8" w:tplc="D4B6ED78" w:tentative="1">
      <w:start w:val="1"/>
      <w:numFmt w:val="bullet"/>
      <w:lvlText w:val="•"/>
      <w:lvlJc w:val="left"/>
      <w:pPr>
        <w:tabs>
          <w:tab w:val="num" w:pos="6480"/>
        </w:tabs>
        <w:ind w:left="6480" w:hanging="360"/>
      </w:pPr>
      <w:rPr>
        <w:rFonts w:ascii="Arial" w:hAnsi="Arial" w:hint="default"/>
      </w:rPr>
    </w:lvl>
  </w:abstractNum>
  <w:abstractNum w:abstractNumId="41">
    <w:nsid w:val="792A22F4"/>
    <w:multiLevelType w:val="hybridMultilevel"/>
    <w:tmpl w:val="5F2ED73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DC37FAF"/>
    <w:multiLevelType w:val="hybridMultilevel"/>
    <w:tmpl w:val="44340DD6"/>
    <w:lvl w:ilvl="0" w:tplc="453C5C58">
      <w:start w:val="1"/>
      <w:numFmt w:val="bullet"/>
      <w:lvlText w:val="•"/>
      <w:lvlJc w:val="left"/>
      <w:pPr>
        <w:tabs>
          <w:tab w:val="num" w:pos="720"/>
        </w:tabs>
        <w:ind w:left="720" w:hanging="360"/>
      </w:pPr>
      <w:rPr>
        <w:rFonts w:ascii="Arial" w:hAnsi="Arial" w:hint="default"/>
      </w:rPr>
    </w:lvl>
    <w:lvl w:ilvl="1" w:tplc="FFE49364" w:tentative="1">
      <w:start w:val="1"/>
      <w:numFmt w:val="bullet"/>
      <w:lvlText w:val="•"/>
      <w:lvlJc w:val="left"/>
      <w:pPr>
        <w:tabs>
          <w:tab w:val="num" w:pos="1440"/>
        </w:tabs>
        <w:ind w:left="1440" w:hanging="360"/>
      </w:pPr>
      <w:rPr>
        <w:rFonts w:ascii="Arial" w:hAnsi="Arial" w:hint="default"/>
      </w:rPr>
    </w:lvl>
    <w:lvl w:ilvl="2" w:tplc="E9D4F4B0" w:tentative="1">
      <w:start w:val="1"/>
      <w:numFmt w:val="bullet"/>
      <w:lvlText w:val="•"/>
      <w:lvlJc w:val="left"/>
      <w:pPr>
        <w:tabs>
          <w:tab w:val="num" w:pos="2160"/>
        </w:tabs>
        <w:ind w:left="2160" w:hanging="360"/>
      </w:pPr>
      <w:rPr>
        <w:rFonts w:ascii="Arial" w:hAnsi="Arial" w:hint="default"/>
      </w:rPr>
    </w:lvl>
    <w:lvl w:ilvl="3" w:tplc="BFB6588A" w:tentative="1">
      <w:start w:val="1"/>
      <w:numFmt w:val="bullet"/>
      <w:lvlText w:val="•"/>
      <w:lvlJc w:val="left"/>
      <w:pPr>
        <w:tabs>
          <w:tab w:val="num" w:pos="2880"/>
        </w:tabs>
        <w:ind w:left="2880" w:hanging="360"/>
      </w:pPr>
      <w:rPr>
        <w:rFonts w:ascii="Arial" w:hAnsi="Arial" w:hint="default"/>
      </w:rPr>
    </w:lvl>
    <w:lvl w:ilvl="4" w:tplc="30F0AEA2" w:tentative="1">
      <w:start w:val="1"/>
      <w:numFmt w:val="bullet"/>
      <w:lvlText w:val="•"/>
      <w:lvlJc w:val="left"/>
      <w:pPr>
        <w:tabs>
          <w:tab w:val="num" w:pos="3600"/>
        </w:tabs>
        <w:ind w:left="3600" w:hanging="360"/>
      </w:pPr>
      <w:rPr>
        <w:rFonts w:ascii="Arial" w:hAnsi="Arial" w:hint="default"/>
      </w:rPr>
    </w:lvl>
    <w:lvl w:ilvl="5" w:tplc="07D6E58A" w:tentative="1">
      <w:start w:val="1"/>
      <w:numFmt w:val="bullet"/>
      <w:lvlText w:val="•"/>
      <w:lvlJc w:val="left"/>
      <w:pPr>
        <w:tabs>
          <w:tab w:val="num" w:pos="4320"/>
        </w:tabs>
        <w:ind w:left="4320" w:hanging="360"/>
      </w:pPr>
      <w:rPr>
        <w:rFonts w:ascii="Arial" w:hAnsi="Arial" w:hint="default"/>
      </w:rPr>
    </w:lvl>
    <w:lvl w:ilvl="6" w:tplc="6BC6294E" w:tentative="1">
      <w:start w:val="1"/>
      <w:numFmt w:val="bullet"/>
      <w:lvlText w:val="•"/>
      <w:lvlJc w:val="left"/>
      <w:pPr>
        <w:tabs>
          <w:tab w:val="num" w:pos="5040"/>
        </w:tabs>
        <w:ind w:left="5040" w:hanging="360"/>
      </w:pPr>
      <w:rPr>
        <w:rFonts w:ascii="Arial" w:hAnsi="Arial" w:hint="default"/>
      </w:rPr>
    </w:lvl>
    <w:lvl w:ilvl="7" w:tplc="1B6C572A" w:tentative="1">
      <w:start w:val="1"/>
      <w:numFmt w:val="bullet"/>
      <w:lvlText w:val="•"/>
      <w:lvlJc w:val="left"/>
      <w:pPr>
        <w:tabs>
          <w:tab w:val="num" w:pos="5760"/>
        </w:tabs>
        <w:ind w:left="5760" w:hanging="360"/>
      </w:pPr>
      <w:rPr>
        <w:rFonts w:ascii="Arial" w:hAnsi="Arial" w:hint="default"/>
      </w:rPr>
    </w:lvl>
    <w:lvl w:ilvl="8" w:tplc="7982088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 w:numId="5">
    <w:abstractNumId w:val="25"/>
  </w:num>
  <w:num w:numId="6">
    <w:abstractNumId w:val="5"/>
  </w:num>
  <w:num w:numId="7">
    <w:abstractNumId w:val="31"/>
  </w:num>
  <w:num w:numId="8">
    <w:abstractNumId w:val="28"/>
  </w:num>
  <w:num w:numId="9">
    <w:abstractNumId w:val="7"/>
  </w:num>
  <w:num w:numId="10">
    <w:abstractNumId w:val="32"/>
  </w:num>
  <w:num w:numId="11">
    <w:abstractNumId w:val="11"/>
  </w:num>
  <w:num w:numId="12">
    <w:abstractNumId w:val="8"/>
  </w:num>
  <w:num w:numId="13">
    <w:abstractNumId w:val="39"/>
  </w:num>
  <w:num w:numId="14">
    <w:abstractNumId w:val="9"/>
  </w:num>
  <w:num w:numId="15">
    <w:abstractNumId w:val="42"/>
  </w:num>
  <w:num w:numId="16">
    <w:abstractNumId w:val="15"/>
  </w:num>
  <w:num w:numId="17">
    <w:abstractNumId w:val="17"/>
  </w:num>
  <w:num w:numId="18">
    <w:abstractNumId w:val="40"/>
  </w:num>
  <w:num w:numId="19">
    <w:abstractNumId w:val="10"/>
  </w:num>
  <w:num w:numId="20">
    <w:abstractNumId w:val="30"/>
  </w:num>
  <w:num w:numId="21">
    <w:abstractNumId w:val="21"/>
  </w:num>
  <w:num w:numId="22">
    <w:abstractNumId w:val="38"/>
  </w:num>
  <w:num w:numId="23">
    <w:abstractNumId w:val="36"/>
  </w:num>
  <w:num w:numId="24">
    <w:abstractNumId w:val="12"/>
  </w:num>
  <w:num w:numId="25">
    <w:abstractNumId w:val="41"/>
  </w:num>
  <w:num w:numId="26">
    <w:abstractNumId w:val="34"/>
  </w:num>
  <w:num w:numId="27">
    <w:abstractNumId w:val="13"/>
  </w:num>
  <w:num w:numId="28">
    <w:abstractNumId w:val="6"/>
  </w:num>
  <w:num w:numId="29">
    <w:abstractNumId w:val="20"/>
  </w:num>
  <w:num w:numId="30">
    <w:abstractNumId w:val="35"/>
  </w:num>
  <w:num w:numId="31">
    <w:abstractNumId w:val="18"/>
  </w:num>
  <w:num w:numId="32">
    <w:abstractNumId w:val="14"/>
  </w:num>
  <w:num w:numId="33">
    <w:abstractNumId w:val="33"/>
  </w:num>
  <w:num w:numId="34">
    <w:abstractNumId w:val="37"/>
  </w:num>
  <w:num w:numId="35">
    <w:abstractNumId w:val="23"/>
  </w:num>
  <w:num w:numId="36">
    <w:abstractNumId w:val="24"/>
  </w:num>
  <w:num w:numId="37">
    <w:abstractNumId w:val="19"/>
  </w:num>
  <w:num w:numId="38">
    <w:abstractNumId w:val="26"/>
  </w:num>
  <w:num w:numId="39">
    <w:abstractNumId w:val="29"/>
  </w:num>
  <w:num w:numId="40">
    <w:abstractNumId w:val="22"/>
  </w:num>
  <w:num w:numId="41">
    <w:abstractNumId w:val="4"/>
  </w:num>
  <w:num w:numId="42">
    <w:abstractNumId w:val="16"/>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1F"/>
    <w:rsid w:val="000005FE"/>
    <w:rsid w:val="00001BCF"/>
    <w:rsid w:val="00003A03"/>
    <w:rsid w:val="0000502F"/>
    <w:rsid w:val="000131A3"/>
    <w:rsid w:val="0001448D"/>
    <w:rsid w:val="00014B89"/>
    <w:rsid w:val="000152A0"/>
    <w:rsid w:val="000173B3"/>
    <w:rsid w:val="00020D44"/>
    <w:rsid w:val="00021A39"/>
    <w:rsid w:val="00025E7D"/>
    <w:rsid w:val="000260E5"/>
    <w:rsid w:val="00026723"/>
    <w:rsid w:val="00033667"/>
    <w:rsid w:val="00035DBA"/>
    <w:rsid w:val="00037C17"/>
    <w:rsid w:val="00041DB4"/>
    <w:rsid w:val="000422E1"/>
    <w:rsid w:val="000429AC"/>
    <w:rsid w:val="00042B6A"/>
    <w:rsid w:val="00042B99"/>
    <w:rsid w:val="0004396F"/>
    <w:rsid w:val="000516C4"/>
    <w:rsid w:val="000517C0"/>
    <w:rsid w:val="00056DFA"/>
    <w:rsid w:val="00057D79"/>
    <w:rsid w:val="00061444"/>
    <w:rsid w:val="0006181D"/>
    <w:rsid w:val="000637A6"/>
    <w:rsid w:val="00066BBA"/>
    <w:rsid w:val="00067DDF"/>
    <w:rsid w:val="00071509"/>
    <w:rsid w:val="0007354F"/>
    <w:rsid w:val="00074C0E"/>
    <w:rsid w:val="000775BC"/>
    <w:rsid w:val="0008004C"/>
    <w:rsid w:val="000810CA"/>
    <w:rsid w:val="00083DD5"/>
    <w:rsid w:val="0008472C"/>
    <w:rsid w:val="00086977"/>
    <w:rsid w:val="00092341"/>
    <w:rsid w:val="000A3973"/>
    <w:rsid w:val="000A7F05"/>
    <w:rsid w:val="000B296A"/>
    <w:rsid w:val="000B2FFE"/>
    <w:rsid w:val="000B4FF0"/>
    <w:rsid w:val="000B6C05"/>
    <w:rsid w:val="000C20BD"/>
    <w:rsid w:val="000C2B24"/>
    <w:rsid w:val="000C5EA5"/>
    <w:rsid w:val="000C7F73"/>
    <w:rsid w:val="000D2DE0"/>
    <w:rsid w:val="000E2C94"/>
    <w:rsid w:val="000E356B"/>
    <w:rsid w:val="000E4AA4"/>
    <w:rsid w:val="000F1206"/>
    <w:rsid w:val="000F31F0"/>
    <w:rsid w:val="000F5C22"/>
    <w:rsid w:val="000F642B"/>
    <w:rsid w:val="0010113D"/>
    <w:rsid w:val="00102C64"/>
    <w:rsid w:val="0010462B"/>
    <w:rsid w:val="00105C6A"/>
    <w:rsid w:val="00111011"/>
    <w:rsid w:val="0011559D"/>
    <w:rsid w:val="00117DBD"/>
    <w:rsid w:val="001208A3"/>
    <w:rsid w:val="001211E3"/>
    <w:rsid w:val="00123AD3"/>
    <w:rsid w:val="00126087"/>
    <w:rsid w:val="001263B4"/>
    <w:rsid w:val="001265CF"/>
    <w:rsid w:val="00130191"/>
    <w:rsid w:val="00132E44"/>
    <w:rsid w:val="00135844"/>
    <w:rsid w:val="00136294"/>
    <w:rsid w:val="001457BC"/>
    <w:rsid w:val="00147ADB"/>
    <w:rsid w:val="00153D28"/>
    <w:rsid w:val="00156690"/>
    <w:rsid w:val="00157BD7"/>
    <w:rsid w:val="00162C45"/>
    <w:rsid w:val="00163881"/>
    <w:rsid w:val="001659E4"/>
    <w:rsid w:val="001708B9"/>
    <w:rsid w:val="0017280D"/>
    <w:rsid w:val="00174E12"/>
    <w:rsid w:val="001757CE"/>
    <w:rsid w:val="00180BDA"/>
    <w:rsid w:val="0018108F"/>
    <w:rsid w:val="001837F3"/>
    <w:rsid w:val="00186FC8"/>
    <w:rsid w:val="00187322"/>
    <w:rsid w:val="00196BD3"/>
    <w:rsid w:val="001975EF"/>
    <w:rsid w:val="0019765A"/>
    <w:rsid w:val="001A38F6"/>
    <w:rsid w:val="001A45CF"/>
    <w:rsid w:val="001B0F32"/>
    <w:rsid w:val="001B0F94"/>
    <w:rsid w:val="001B15C4"/>
    <w:rsid w:val="001B2D32"/>
    <w:rsid w:val="001B2FB3"/>
    <w:rsid w:val="001B3978"/>
    <w:rsid w:val="001B4518"/>
    <w:rsid w:val="001B5C19"/>
    <w:rsid w:val="001D03A7"/>
    <w:rsid w:val="001D3FD4"/>
    <w:rsid w:val="001E016B"/>
    <w:rsid w:val="001E1957"/>
    <w:rsid w:val="001E30D4"/>
    <w:rsid w:val="001E73B3"/>
    <w:rsid w:val="001E7D3E"/>
    <w:rsid w:val="001F04A4"/>
    <w:rsid w:val="001F2D18"/>
    <w:rsid w:val="001F38BE"/>
    <w:rsid w:val="001F51E6"/>
    <w:rsid w:val="001F61B8"/>
    <w:rsid w:val="001F6839"/>
    <w:rsid w:val="001F72BD"/>
    <w:rsid w:val="001F7D88"/>
    <w:rsid w:val="002000DC"/>
    <w:rsid w:val="00203566"/>
    <w:rsid w:val="00204CBA"/>
    <w:rsid w:val="00204D56"/>
    <w:rsid w:val="002053D7"/>
    <w:rsid w:val="00211AB1"/>
    <w:rsid w:val="00212852"/>
    <w:rsid w:val="0021328D"/>
    <w:rsid w:val="00216CF6"/>
    <w:rsid w:val="0021741E"/>
    <w:rsid w:val="002206EE"/>
    <w:rsid w:val="00220CCF"/>
    <w:rsid w:val="00221C6D"/>
    <w:rsid w:val="00225509"/>
    <w:rsid w:val="00227F1F"/>
    <w:rsid w:val="00231B44"/>
    <w:rsid w:val="00232D00"/>
    <w:rsid w:val="0023399A"/>
    <w:rsid w:val="002340B6"/>
    <w:rsid w:val="00234BA2"/>
    <w:rsid w:val="00235582"/>
    <w:rsid w:val="002359B1"/>
    <w:rsid w:val="002370AB"/>
    <w:rsid w:val="00237872"/>
    <w:rsid w:val="00240746"/>
    <w:rsid w:val="00244010"/>
    <w:rsid w:val="00245D67"/>
    <w:rsid w:val="00247DFA"/>
    <w:rsid w:val="0025094E"/>
    <w:rsid w:val="00252A56"/>
    <w:rsid w:val="00253D2A"/>
    <w:rsid w:val="00255D53"/>
    <w:rsid w:val="00261C71"/>
    <w:rsid w:val="00262BF3"/>
    <w:rsid w:val="00264435"/>
    <w:rsid w:val="00266E58"/>
    <w:rsid w:val="002734DC"/>
    <w:rsid w:val="00281FC8"/>
    <w:rsid w:val="00282789"/>
    <w:rsid w:val="00290804"/>
    <w:rsid w:val="002930B2"/>
    <w:rsid w:val="00293D07"/>
    <w:rsid w:val="00294BBA"/>
    <w:rsid w:val="00295B52"/>
    <w:rsid w:val="00297214"/>
    <w:rsid w:val="002A76BB"/>
    <w:rsid w:val="002B2376"/>
    <w:rsid w:val="002B4054"/>
    <w:rsid w:val="002B4D02"/>
    <w:rsid w:val="002B69D2"/>
    <w:rsid w:val="002B6D2E"/>
    <w:rsid w:val="002C2A53"/>
    <w:rsid w:val="002C30DF"/>
    <w:rsid w:val="002C3CAF"/>
    <w:rsid w:val="002C50AC"/>
    <w:rsid w:val="002C5FEA"/>
    <w:rsid w:val="002C690A"/>
    <w:rsid w:val="002C6F50"/>
    <w:rsid w:val="002D0CF1"/>
    <w:rsid w:val="002D41F7"/>
    <w:rsid w:val="002E1C00"/>
    <w:rsid w:val="002E243F"/>
    <w:rsid w:val="002E7099"/>
    <w:rsid w:val="002F2771"/>
    <w:rsid w:val="002F3828"/>
    <w:rsid w:val="002F7FF4"/>
    <w:rsid w:val="00304B37"/>
    <w:rsid w:val="003073A2"/>
    <w:rsid w:val="00307B48"/>
    <w:rsid w:val="003121C1"/>
    <w:rsid w:val="0031289A"/>
    <w:rsid w:val="0032373B"/>
    <w:rsid w:val="00325E85"/>
    <w:rsid w:val="00331D1F"/>
    <w:rsid w:val="00337680"/>
    <w:rsid w:val="003440D5"/>
    <w:rsid w:val="00344A48"/>
    <w:rsid w:val="00352A24"/>
    <w:rsid w:val="003551ED"/>
    <w:rsid w:val="00357E4F"/>
    <w:rsid w:val="00363858"/>
    <w:rsid w:val="003717F7"/>
    <w:rsid w:val="00372F8C"/>
    <w:rsid w:val="00375C99"/>
    <w:rsid w:val="00375EB8"/>
    <w:rsid w:val="00377AE4"/>
    <w:rsid w:val="00377BCF"/>
    <w:rsid w:val="00377DD7"/>
    <w:rsid w:val="003828D7"/>
    <w:rsid w:val="003863C7"/>
    <w:rsid w:val="0039004E"/>
    <w:rsid w:val="0039181B"/>
    <w:rsid w:val="003923FD"/>
    <w:rsid w:val="003A494E"/>
    <w:rsid w:val="003B3379"/>
    <w:rsid w:val="003B3A58"/>
    <w:rsid w:val="003B3C47"/>
    <w:rsid w:val="003B3F96"/>
    <w:rsid w:val="003C12AF"/>
    <w:rsid w:val="003C1C44"/>
    <w:rsid w:val="003C4BE4"/>
    <w:rsid w:val="003C4DE4"/>
    <w:rsid w:val="003D1A80"/>
    <w:rsid w:val="003D526D"/>
    <w:rsid w:val="003E0307"/>
    <w:rsid w:val="003E138D"/>
    <w:rsid w:val="003E1820"/>
    <w:rsid w:val="003E2C71"/>
    <w:rsid w:val="003E396A"/>
    <w:rsid w:val="003E42D5"/>
    <w:rsid w:val="003E49BA"/>
    <w:rsid w:val="003F0B63"/>
    <w:rsid w:val="003F2224"/>
    <w:rsid w:val="003F4C6A"/>
    <w:rsid w:val="00401C02"/>
    <w:rsid w:val="00404297"/>
    <w:rsid w:val="00404549"/>
    <w:rsid w:val="004052BC"/>
    <w:rsid w:val="004066C3"/>
    <w:rsid w:val="00406764"/>
    <w:rsid w:val="00407C25"/>
    <w:rsid w:val="00410309"/>
    <w:rsid w:val="00412EA0"/>
    <w:rsid w:val="004163A3"/>
    <w:rsid w:val="0042120D"/>
    <w:rsid w:val="004314E1"/>
    <w:rsid w:val="0043166C"/>
    <w:rsid w:val="00432002"/>
    <w:rsid w:val="00432842"/>
    <w:rsid w:val="00433240"/>
    <w:rsid w:val="004336CF"/>
    <w:rsid w:val="00436EDA"/>
    <w:rsid w:val="0044117C"/>
    <w:rsid w:val="0044325C"/>
    <w:rsid w:val="0044558B"/>
    <w:rsid w:val="004509E3"/>
    <w:rsid w:val="00451AD9"/>
    <w:rsid w:val="00457037"/>
    <w:rsid w:val="00473614"/>
    <w:rsid w:val="00476FFA"/>
    <w:rsid w:val="0048479F"/>
    <w:rsid w:val="004860A3"/>
    <w:rsid w:val="00486736"/>
    <w:rsid w:val="00494B7F"/>
    <w:rsid w:val="004A027D"/>
    <w:rsid w:val="004A0DCC"/>
    <w:rsid w:val="004A0DFA"/>
    <w:rsid w:val="004A2B06"/>
    <w:rsid w:val="004A3069"/>
    <w:rsid w:val="004A6C6D"/>
    <w:rsid w:val="004B2356"/>
    <w:rsid w:val="004C0269"/>
    <w:rsid w:val="004C2616"/>
    <w:rsid w:val="004C7A14"/>
    <w:rsid w:val="004D1392"/>
    <w:rsid w:val="004D159E"/>
    <w:rsid w:val="004D1C30"/>
    <w:rsid w:val="004D1F57"/>
    <w:rsid w:val="004D3432"/>
    <w:rsid w:val="004D49FC"/>
    <w:rsid w:val="004D584A"/>
    <w:rsid w:val="004E7A8C"/>
    <w:rsid w:val="004F47B4"/>
    <w:rsid w:val="004F4A4B"/>
    <w:rsid w:val="0050038D"/>
    <w:rsid w:val="00501BB1"/>
    <w:rsid w:val="00501EFF"/>
    <w:rsid w:val="00511B71"/>
    <w:rsid w:val="00513EF5"/>
    <w:rsid w:val="00524B0B"/>
    <w:rsid w:val="00526863"/>
    <w:rsid w:val="005270F9"/>
    <w:rsid w:val="00527D17"/>
    <w:rsid w:val="005303AA"/>
    <w:rsid w:val="00541D0E"/>
    <w:rsid w:val="00542505"/>
    <w:rsid w:val="00543BA8"/>
    <w:rsid w:val="00544D24"/>
    <w:rsid w:val="005454C5"/>
    <w:rsid w:val="005563C3"/>
    <w:rsid w:val="00556479"/>
    <w:rsid w:val="00563C6F"/>
    <w:rsid w:val="00563CF4"/>
    <w:rsid w:val="00564F21"/>
    <w:rsid w:val="00571DEF"/>
    <w:rsid w:val="00573556"/>
    <w:rsid w:val="00573D2F"/>
    <w:rsid w:val="00574821"/>
    <w:rsid w:val="005843DE"/>
    <w:rsid w:val="00593BF7"/>
    <w:rsid w:val="005967D7"/>
    <w:rsid w:val="0059682F"/>
    <w:rsid w:val="005969FB"/>
    <w:rsid w:val="00596D4B"/>
    <w:rsid w:val="005A3426"/>
    <w:rsid w:val="005A4855"/>
    <w:rsid w:val="005B2564"/>
    <w:rsid w:val="005B6B53"/>
    <w:rsid w:val="005D5512"/>
    <w:rsid w:val="005D743E"/>
    <w:rsid w:val="005E23E1"/>
    <w:rsid w:val="005E3501"/>
    <w:rsid w:val="005E6047"/>
    <w:rsid w:val="005F22D3"/>
    <w:rsid w:val="005F314F"/>
    <w:rsid w:val="005F3217"/>
    <w:rsid w:val="005F3D7B"/>
    <w:rsid w:val="005F525A"/>
    <w:rsid w:val="005F54F5"/>
    <w:rsid w:val="005F68FD"/>
    <w:rsid w:val="005F74C0"/>
    <w:rsid w:val="00602331"/>
    <w:rsid w:val="00605199"/>
    <w:rsid w:val="00605869"/>
    <w:rsid w:val="00610CE4"/>
    <w:rsid w:val="00623854"/>
    <w:rsid w:val="00624C5E"/>
    <w:rsid w:val="00626FD8"/>
    <w:rsid w:val="00637FB2"/>
    <w:rsid w:val="00644ABF"/>
    <w:rsid w:val="00644F5A"/>
    <w:rsid w:val="006464CD"/>
    <w:rsid w:val="00646FD6"/>
    <w:rsid w:val="00647E1E"/>
    <w:rsid w:val="00650D85"/>
    <w:rsid w:val="006528C9"/>
    <w:rsid w:val="006542DA"/>
    <w:rsid w:val="00655AA1"/>
    <w:rsid w:val="00664CFD"/>
    <w:rsid w:val="006673E8"/>
    <w:rsid w:val="00667DCA"/>
    <w:rsid w:val="00671EC0"/>
    <w:rsid w:val="00676F48"/>
    <w:rsid w:val="0067770B"/>
    <w:rsid w:val="006807E0"/>
    <w:rsid w:val="006841D9"/>
    <w:rsid w:val="00686056"/>
    <w:rsid w:val="00691C32"/>
    <w:rsid w:val="006A473D"/>
    <w:rsid w:val="006A627C"/>
    <w:rsid w:val="006A7B0B"/>
    <w:rsid w:val="006B0513"/>
    <w:rsid w:val="006B16E0"/>
    <w:rsid w:val="006B24BB"/>
    <w:rsid w:val="006B30D1"/>
    <w:rsid w:val="006B4816"/>
    <w:rsid w:val="006C482A"/>
    <w:rsid w:val="006C51F1"/>
    <w:rsid w:val="006C5AD3"/>
    <w:rsid w:val="006C617F"/>
    <w:rsid w:val="006C7363"/>
    <w:rsid w:val="006D201F"/>
    <w:rsid w:val="006D4493"/>
    <w:rsid w:val="006D67BC"/>
    <w:rsid w:val="006D6A17"/>
    <w:rsid w:val="006E1B10"/>
    <w:rsid w:val="006E2032"/>
    <w:rsid w:val="006E6BFF"/>
    <w:rsid w:val="006F4274"/>
    <w:rsid w:val="00705198"/>
    <w:rsid w:val="00705766"/>
    <w:rsid w:val="007102B8"/>
    <w:rsid w:val="007172D9"/>
    <w:rsid w:val="00720888"/>
    <w:rsid w:val="00720C32"/>
    <w:rsid w:val="00720EC5"/>
    <w:rsid w:val="0072123E"/>
    <w:rsid w:val="0072138D"/>
    <w:rsid w:val="007214CF"/>
    <w:rsid w:val="00722BFF"/>
    <w:rsid w:val="007246F7"/>
    <w:rsid w:val="007257DD"/>
    <w:rsid w:val="0072603A"/>
    <w:rsid w:val="0072746D"/>
    <w:rsid w:val="007276CC"/>
    <w:rsid w:val="00730194"/>
    <w:rsid w:val="007312AA"/>
    <w:rsid w:val="007342AA"/>
    <w:rsid w:val="00734B4F"/>
    <w:rsid w:val="00734C1B"/>
    <w:rsid w:val="00735639"/>
    <w:rsid w:val="00745B55"/>
    <w:rsid w:val="007460A4"/>
    <w:rsid w:val="00746FA6"/>
    <w:rsid w:val="00750D3B"/>
    <w:rsid w:val="007516F0"/>
    <w:rsid w:val="0075346E"/>
    <w:rsid w:val="00753A99"/>
    <w:rsid w:val="00754E11"/>
    <w:rsid w:val="007550AB"/>
    <w:rsid w:val="007560BE"/>
    <w:rsid w:val="007604FB"/>
    <w:rsid w:val="00763CC6"/>
    <w:rsid w:val="00764FC3"/>
    <w:rsid w:val="007653DA"/>
    <w:rsid w:val="0076614E"/>
    <w:rsid w:val="00773725"/>
    <w:rsid w:val="007746B3"/>
    <w:rsid w:val="00780E4B"/>
    <w:rsid w:val="007819CC"/>
    <w:rsid w:val="00783FA1"/>
    <w:rsid w:val="00784EB7"/>
    <w:rsid w:val="007869B9"/>
    <w:rsid w:val="007872FA"/>
    <w:rsid w:val="00792435"/>
    <w:rsid w:val="0079305A"/>
    <w:rsid w:val="007944A6"/>
    <w:rsid w:val="00795D9F"/>
    <w:rsid w:val="007A1421"/>
    <w:rsid w:val="007B29C4"/>
    <w:rsid w:val="007B2FB1"/>
    <w:rsid w:val="007C008A"/>
    <w:rsid w:val="007C0C20"/>
    <w:rsid w:val="007C0C99"/>
    <w:rsid w:val="007C20F8"/>
    <w:rsid w:val="007C5227"/>
    <w:rsid w:val="007C6366"/>
    <w:rsid w:val="007C77CF"/>
    <w:rsid w:val="007C7944"/>
    <w:rsid w:val="007C7C55"/>
    <w:rsid w:val="007D5B6D"/>
    <w:rsid w:val="007E03C0"/>
    <w:rsid w:val="007E2034"/>
    <w:rsid w:val="007E2836"/>
    <w:rsid w:val="007E3100"/>
    <w:rsid w:val="007E568A"/>
    <w:rsid w:val="007E7055"/>
    <w:rsid w:val="007F0D03"/>
    <w:rsid w:val="007F2387"/>
    <w:rsid w:val="007F4828"/>
    <w:rsid w:val="007F7B74"/>
    <w:rsid w:val="008005C8"/>
    <w:rsid w:val="008006BE"/>
    <w:rsid w:val="00802289"/>
    <w:rsid w:val="0080397A"/>
    <w:rsid w:val="00805576"/>
    <w:rsid w:val="00807054"/>
    <w:rsid w:val="0080728A"/>
    <w:rsid w:val="008075F9"/>
    <w:rsid w:val="00813DBC"/>
    <w:rsid w:val="00813F7A"/>
    <w:rsid w:val="00821362"/>
    <w:rsid w:val="00821F18"/>
    <w:rsid w:val="00822995"/>
    <w:rsid w:val="00822FC7"/>
    <w:rsid w:val="00825CB7"/>
    <w:rsid w:val="00833DB9"/>
    <w:rsid w:val="0084025F"/>
    <w:rsid w:val="00844454"/>
    <w:rsid w:val="00846D16"/>
    <w:rsid w:val="00855A9A"/>
    <w:rsid w:val="00856A0E"/>
    <w:rsid w:val="0086299F"/>
    <w:rsid w:val="008631CE"/>
    <w:rsid w:val="0086443E"/>
    <w:rsid w:val="00867ACE"/>
    <w:rsid w:val="00872FD2"/>
    <w:rsid w:val="00873C35"/>
    <w:rsid w:val="00873D35"/>
    <w:rsid w:val="00876869"/>
    <w:rsid w:val="00877C33"/>
    <w:rsid w:val="00892002"/>
    <w:rsid w:val="00894F9A"/>
    <w:rsid w:val="00896BD0"/>
    <w:rsid w:val="008A2C1F"/>
    <w:rsid w:val="008A3282"/>
    <w:rsid w:val="008A3CBB"/>
    <w:rsid w:val="008B1FEA"/>
    <w:rsid w:val="008B26FD"/>
    <w:rsid w:val="008B271D"/>
    <w:rsid w:val="008B2E86"/>
    <w:rsid w:val="008B34B8"/>
    <w:rsid w:val="008B5D85"/>
    <w:rsid w:val="008C0EAA"/>
    <w:rsid w:val="008C1008"/>
    <w:rsid w:val="008C46AB"/>
    <w:rsid w:val="008C5723"/>
    <w:rsid w:val="008C57EC"/>
    <w:rsid w:val="008C5A91"/>
    <w:rsid w:val="008D0737"/>
    <w:rsid w:val="008D25B7"/>
    <w:rsid w:val="008E0B3F"/>
    <w:rsid w:val="008E2830"/>
    <w:rsid w:val="008E3008"/>
    <w:rsid w:val="008E7B8E"/>
    <w:rsid w:val="008E7ED3"/>
    <w:rsid w:val="008F31BA"/>
    <w:rsid w:val="008F43FF"/>
    <w:rsid w:val="009035A2"/>
    <w:rsid w:val="009039B4"/>
    <w:rsid w:val="00904097"/>
    <w:rsid w:val="009053F7"/>
    <w:rsid w:val="00905422"/>
    <w:rsid w:val="00910C11"/>
    <w:rsid w:val="00913762"/>
    <w:rsid w:val="009145ED"/>
    <w:rsid w:val="00915E71"/>
    <w:rsid w:val="00920480"/>
    <w:rsid w:val="00923CD0"/>
    <w:rsid w:val="00924609"/>
    <w:rsid w:val="009249C8"/>
    <w:rsid w:val="00926BB1"/>
    <w:rsid w:val="00930258"/>
    <w:rsid w:val="00930A39"/>
    <w:rsid w:val="0093307C"/>
    <w:rsid w:val="0093352D"/>
    <w:rsid w:val="009350F0"/>
    <w:rsid w:val="00937282"/>
    <w:rsid w:val="00941294"/>
    <w:rsid w:val="00941948"/>
    <w:rsid w:val="009419A4"/>
    <w:rsid w:val="0094314D"/>
    <w:rsid w:val="00943D56"/>
    <w:rsid w:val="00945565"/>
    <w:rsid w:val="0095077D"/>
    <w:rsid w:val="00952D32"/>
    <w:rsid w:val="00954759"/>
    <w:rsid w:val="00957BA0"/>
    <w:rsid w:val="00966544"/>
    <w:rsid w:val="00966666"/>
    <w:rsid w:val="009668E8"/>
    <w:rsid w:val="00977BEA"/>
    <w:rsid w:val="00991538"/>
    <w:rsid w:val="0099372E"/>
    <w:rsid w:val="00994C96"/>
    <w:rsid w:val="00995104"/>
    <w:rsid w:val="009A0464"/>
    <w:rsid w:val="009A44A5"/>
    <w:rsid w:val="009B058D"/>
    <w:rsid w:val="009B139F"/>
    <w:rsid w:val="009B2D95"/>
    <w:rsid w:val="009B4D0A"/>
    <w:rsid w:val="009B60B8"/>
    <w:rsid w:val="009B6F38"/>
    <w:rsid w:val="009B7A73"/>
    <w:rsid w:val="009C403B"/>
    <w:rsid w:val="009C7B7B"/>
    <w:rsid w:val="009D3564"/>
    <w:rsid w:val="009D5174"/>
    <w:rsid w:val="009D57E3"/>
    <w:rsid w:val="009E006D"/>
    <w:rsid w:val="009E0A65"/>
    <w:rsid w:val="009E4AB5"/>
    <w:rsid w:val="009E5122"/>
    <w:rsid w:val="009F2E4D"/>
    <w:rsid w:val="009F3B1B"/>
    <w:rsid w:val="009F3C00"/>
    <w:rsid w:val="009F4DB4"/>
    <w:rsid w:val="009F4E9A"/>
    <w:rsid w:val="00A003CD"/>
    <w:rsid w:val="00A00489"/>
    <w:rsid w:val="00A063EE"/>
    <w:rsid w:val="00A161A4"/>
    <w:rsid w:val="00A17957"/>
    <w:rsid w:val="00A21FB4"/>
    <w:rsid w:val="00A22C63"/>
    <w:rsid w:val="00A23256"/>
    <w:rsid w:val="00A32258"/>
    <w:rsid w:val="00A33333"/>
    <w:rsid w:val="00A37554"/>
    <w:rsid w:val="00A43B3E"/>
    <w:rsid w:val="00A43DEA"/>
    <w:rsid w:val="00A44974"/>
    <w:rsid w:val="00A532A5"/>
    <w:rsid w:val="00A56650"/>
    <w:rsid w:val="00A659E1"/>
    <w:rsid w:val="00A7281A"/>
    <w:rsid w:val="00A73AD1"/>
    <w:rsid w:val="00A73E91"/>
    <w:rsid w:val="00A7460D"/>
    <w:rsid w:val="00A76AB6"/>
    <w:rsid w:val="00A80E26"/>
    <w:rsid w:val="00A85445"/>
    <w:rsid w:val="00A87CAC"/>
    <w:rsid w:val="00A900CC"/>
    <w:rsid w:val="00A9095F"/>
    <w:rsid w:val="00A96AEF"/>
    <w:rsid w:val="00A97957"/>
    <w:rsid w:val="00A97EDE"/>
    <w:rsid w:val="00AA0BFF"/>
    <w:rsid w:val="00AA34E3"/>
    <w:rsid w:val="00AA4905"/>
    <w:rsid w:val="00AB32A9"/>
    <w:rsid w:val="00AB3DD5"/>
    <w:rsid w:val="00AC02AA"/>
    <w:rsid w:val="00AC1111"/>
    <w:rsid w:val="00AC1D94"/>
    <w:rsid w:val="00AC2081"/>
    <w:rsid w:val="00AC29B3"/>
    <w:rsid w:val="00AD6475"/>
    <w:rsid w:val="00AE0FC7"/>
    <w:rsid w:val="00AE1560"/>
    <w:rsid w:val="00AE49BA"/>
    <w:rsid w:val="00AE6C40"/>
    <w:rsid w:val="00AE710A"/>
    <w:rsid w:val="00AF647F"/>
    <w:rsid w:val="00AF73BA"/>
    <w:rsid w:val="00B020E4"/>
    <w:rsid w:val="00B055B1"/>
    <w:rsid w:val="00B0660D"/>
    <w:rsid w:val="00B06697"/>
    <w:rsid w:val="00B07C7D"/>
    <w:rsid w:val="00B13645"/>
    <w:rsid w:val="00B176C3"/>
    <w:rsid w:val="00B20E03"/>
    <w:rsid w:val="00B21ECA"/>
    <w:rsid w:val="00B24FBC"/>
    <w:rsid w:val="00B253A1"/>
    <w:rsid w:val="00B262AB"/>
    <w:rsid w:val="00B33CB7"/>
    <w:rsid w:val="00B35010"/>
    <w:rsid w:val="00B352FA"/>
    <w:rsid w:val="00B36B5C"/>
    <w:rsid w:val="00B36D31"/>
    <w:rsid w:val="00B4212E"/>
    <w:rsid w:val="00B43146"/>
    <w:rsid w:val="00B43163"/>
    <w:rsid w:val="00B4516C"/>
    <w:rsid w:val="00B46969"/>
    <w:rsid w:val="00B47A1D"/>
    <w:rsid w:val="00B50499"/>
    <w:rsid w:val="00B5205D"/>
    <w:rsid w:val="00B617CD"/>
    <w:rsid w:val="00B64914"/>
    <w:rsid w:val="00B64F03"/>
    <w:rsid w:val="00B66FC9"/>
    <w:rsid w:val="00B75036"/>
    <w:rsid w:val="00B75245"/>
    <w:rsid w:val="00B76AF5"/>
    <w:rsid w:val="00B77BC4"/>
    <w:rsid w:val="00B805E0"/>
    <w:rsid w:val="00B81B40"/>
    <w:rsid w:val="00B842D8"/>
    <w:rsid w:val="00B85AB3"/>
    <w:rsid w:val="00B90580"/>
    <w:rsid w:val="00B955FF"/>
    <w:rsid w:val="00B962CB"/>
    <w:rsid w:val="00BB4A7A"/>
    <w:rsid w:val="00BB6CB3"/>
    <w:rsid w:val="00BC0047"/>
    <w:rsid w:val="00BC266F"/>
    <w:rsid w:val="00BC59B9"/>
    <w:rsid w:val="00BE1221"/>
    <w:rsid w:val="00BE357F"/>
    <w:rsid w:val="00BE48D2"/>
    <w:rsid w:val="00BE60A6"/>
    <w:rsid w:val="00BE77B1"/>
    <w:rsid w:val="00BE7D8F"/>
    <w:rsid w:val="00BF67EE"/>
    <w:rsid w:val="00BF6F8B"/>
    <w:rsid w:val="00C04DCF"/>
    <w:rsid w:val="00C04F0F"/>
    <w:rsid w:val="00C06177"/>
    <w:rsid w:val="00C075EA"/>
    <w:rsid w:val="00C11C5E"/>
    <w:rsid w:val="00C12B77"/>
    <w:rsid w:val="00C1309C"/>
    <w:rsid w:val="00C13914"/>
    <w:rsid w:val="00C158DA"/>
    <w:rsid w:val="00C162B3"/>
    <w:rsid w:val="00C23990"/>
    <w:rsid w:val="00C2555E"/>
    <w:rsid w:val="00C25BA2"/>
    <w:rsid w:val="00C25EC1"/>
    <w:rsid w:val="00C308FF"/>
    <w:rsid w:val="00C33D40"/>
    <w:rsid w:val="00C34C43"/>
    <w:rsid w:val="00C41389"/>
    <w:rsid w:val="00C41A9E"/>
    <w:rsid w:val="00C41BEB"/>
    <w:rsid w:val="00C422BC"/>
    <w:rsid w:val="00C47345"/>
    <w:rsid w:val="00C5091D"/>
    <w:rsid w:val="00C50A26"/>
    <w:rsid w:val="00C5286C"/>
    <w:rsid w:val="00C52BDC"/>
    <w:rsid w:val="00C61AC6"/>
    <w:rsid w:val="00C633D1"/>
    <w:rsid w:val="00C65FB8"/>
    <w:rsid w:val="00C702C7"/>
    <w:rsid w:val="00C71034"/>
    <w:rsid w:val="00C7429C"/>
    <w:rsid w:val="00C762EB"/>
    <w:rsid w:val="00C7789A"/>
    <w:rsid w:val="00C86713"/>
    <w:rsid w:val="00C8703B"/>
    <w:rsid w:val="00C95171"/>
    <w:rsid w:val="00CA36B5"/>
    <w:rsid w:val="00CA45CD"/>
    <w:rsid w:val="00CA4E63"/>
    <w:rsid w:val="00CA5683"/>
    <w:rsid w:val="00CA5B05"/>
    <w:rsid w:val="00CA73BF"/>
    <w:rsid w:val="00CB30B0"/>
    <w:rsid w:val="00CB5E90"/>
    <w:rsid w:val="00CC2A1A"/>
    <w:rsid w:val="00CC4965"/>
    <w:rsid w:val="00CC5E8F"/>
    <w:rsid w:val="00CD18C3"/>
    <w:rsid w:val="00CD4BCD"/>
    <w:rsid w:val="00CD5842"/>
    <w:rsid w:val="00CE1D9F"/>
    <w:rsid w:val="00CE5388"/>
    <w:rsid w:val="00CE7445"/>
    <w:rsid w:val="00CF1241"/>
    <w:rsid w:val="00CF1B09"/>
    <w:rsid w:val="00CF3CA4"/>
    <w:rsid w:val="00CF546E"/>
    <w:rsid w:val="00CF6B91"/>
    <w:rsid w:val="00CF7074"/>
    <w:rsid w:val="00CF7F7F"/>
    <w:rsid w:val="00D0023B"/>
    <w:rsid w:val="00D01239"/>
    <w:rsid w:val="00D10594"/>
    <w:rsid w:val="00D13187"/>
    <w:rsid w:val="00D13580"/>
    <w:rsid w:val="00D17462"/>
    <w:rsid w:val="00D22987"/>
    <w:rsid w:val="00D236E8"/>
    <w:rsid w:val="00D2576C"/>
    <w:rsid w:val="00D27B73"/>
    <w:rsid w:val="00D27CDF"/>
    <w:rsid w:val="00D30F34"/>
    <w:rsid w:val="00D329DF"/>
    <w:rsid w:val="00D33910"/>
    <w:rsid w:val="00D33A2B"/>
    <w:rsid w:val="00D35C72"/>
    <w:rsid w:val="00D36E73"/>
    <w:rsid w:val="00D4133F"/>
    <w:rsid w:val="00D41E2E"/>
    <w:rsid w:val="00D4280C"/>
    <w:rsid w:val="00D45802"/>
    <w:rsid w:val="00D5297D"/>
    <w:rsid w:val="00D52A6A"/>
    <w:rsid w:val="00D552BD"/>
    <w:rsid w:val="00D607E1"/>
    <w:rsid w:val="00D61DFC"/>
    <w:rsid w:val="00D63556"/>
    <w:rsid w:val="00D74255"/>
    <w:rsid w:val="00D768FD"/>
    <w:rsid w:val="00D7732D"/>
    <w:rsid w:val="00D815D0"/>
    <w:rsid w:val="00D8278D"/>
    <w:rsid w:val="00DA1962"/>
    <w:rsid w:val="00DA794F"/>
    <w:rsid w:val="00DB08E9"/>
    <w:rsid w:val="00DB0CB1"/>
    <w:rsid w:val="00DB5D79"/>
    <w:rsid w:val="00DC0135"/>
    <w:rsid w:val="00DC3C1A"/>
    <w:rsid w:val="00DC4D91"/>
    <w:rsid w:val="00DC65D0"/>
    <w:rsid w:val="00DC7919"/>
    <w:rsid w:val="00DD207B"/>
    <w:rsid w:val="00DD5A1B"/>
    <w:rsid w:val="00DD715C"/>
    <w:rsid w:val="00DE18BC"/>
    <w:rsid w:val="00DF2EAC"/>
    <w:rsid w:val="00DF4B62"/>
    <w:rsid w:val="00E0345F"/>
    <w:rsid w:val="00E0517E"/>
    <w:rsid w:val="00E05DC9"/>
    <w:rsid w:val="00E11C53"/>
    <w:rsid w:val="00E15DEF"/>
    <w:rsid w:val="00E15E9E"/>
    <w:rsid w:val="00E26113"/>
    <w:rsid w:val="00E266A4"/>
    <w:rsid w:val="00E32BC6"/>
    <w:rsid w:val="00E33D2A"/>
    <w:rsid w:val="00E348BA"/>
    <w:rsid w:val="00E35306"/>
    <w:rsid w:val="00E35778"/>
    <w:rsid w:val="00E35847"/>
    <w:rsid w:val="00E36C7A"/>
    <w:rsid w:val="00E42271"/>
    <w:rsid w:val="00E4362E"/>
    <w:rsid w:val="00E43DC6"/>
    <w:rsid w:val="00E452E7"/>
    <w:rsid w:val="00E46157"/>
    <w:rsid w:val="00E50E41"/>
    <w:rsid w:val="00E51605"/>
    <w:rsid w:val="00E54BEF"/>
    <w:rsid w:val="00E56993"/>
    <w:rsid w:val="00E56F4A"/>
    <w:rsid w:val="00E5778C"/>
    <w:rsid w:val="00E664BD"/>
    <w:rsid w:val="00E73D7C"/>
    <w:rsid w:val="00E74C9C"/>
    <w:rsid w:val="00E7797E"/>
    <w:rsid w:val="00E82807"/>
    <w:rsid w:val="00E83017"/>
    <w:rsid w:val="00E87432"/>
    <w:rsid w:val="00E943B8"/>
    <w:rsid w:val="00E94C20"/>
    <w:rsid w:val="00EA080A"/>
    <w:rsid w:val="00EB209E"/>
    <w:rsid w:val="00EB4D2C"/>
    <w:rsid w:val="00EB5CD1"/>
    <w:rsid w:val="00EC3121"/>
    <w:rsid w:val="00EC6CC9"/>
    <w:rsid w:val="00ED1883"/>
    <w:rsid w:val="00ED5DBC"/>
    <w:rsid w:val="00EE04D9"/>
    <w:rsid w:val="00EE16D4"/>
    <w:rsid w:val="00EE2C87"/>
    <w:rsid w:val="00EE61A2"/>
    <w:rsid w:val="00EF0925"/>
    <w:rsid w:val="00EF4086"/>
    <w:rsid w:val="00F045B9"/>
    <w:rsid w:val="00F05F88"/>
    <w:rsid w:val="00F07413"/>
    <w:rsid w:val="00F14838"/>
    <w:rsid w:val="00F1518C"/>
    <w:rsid w:val="00F15F5C"/>
    <w:rsid w:val="00F20B6C"/>
    <w:rsid w:val="00F2157B"/>
    <w:rsid w:val="00F22A90"/>
    <w:rsid w:val="00F23266"/>
    <w:rsid w:val="00F2442D"/>
    <w:rsid w:val="00F25700"/>
    <w:rsid w:val="00F3081C"/>
    <w:rsid w:val="00F372F2"/>
    <w:rsid w:val="00F41040"/>
    <w:rsid w:val="00F42F62"/>
    <w:rsid w:val="00F4433A"/>
    <w:rsid w:val="00F448EC"/>
    <w:rsid w:val="00F506EF"/>
    <w:rsid w:val="00F5140D"/>
    <w:rsid w:val="00F560ED"/>
    <w:rsid w:val="00F562FF"/>
    <w:rsid w:val="00F565A3"/>
    <w:rsid w:val="00F57C13"/>
    <w:rsid w:val="00F64334"/>
    <w:rsid w:val="00F64374"/>
    <w:rsid w:val="00F6769E"/>
    <w:rsid w:val="00F706D2"/>
    <w:rsid w:val="00F7435C"/>
    <w:rsid w:val="00F7673A"/>
    <w:rsid w:val="00F9119D"/>
    <w:rsid w:val="00F91265"/>
    <w:rsid w:val="00F916D6"/>
    <w:rsid w:val="00F973D7"/>
    <w:rsid w:val="00FA1801"/>
    <w:rsid w:val="00FA1C72"/>
    <w:rsid w:val="00FA6C3C"/>
    <w:rsid w:val="00FA6EC4"/>
    <w:rsid w:val="00FA7DA6"/>
    <w:rsid w:val="00FB0CB7"/>
    <w:rsid w:val="00FB25C1"/>
    <w:rsid w:val="00FB5EFC"/>
    <w:rsid w:val="00FB6C38"/>
    <w:rsid w:val="00FB6DC9"/>
    <w:rsid w:val="00FB6EF4"/>
    <w:rsid w:val="00FC2104"/>
    <w:rsid w:val="00FC227E"/>
    <w:rsid w:val="00FC2B0D"/>
    <w:rsid w:val="00FC2D7D"/>
    <w:rsid w:val="00FC39C7"/>
    <w:rsid w:val="00FC3A87"/>
    <w:rsid w:val="00FC5C06"/>
    <w:rsid w:val="00FC62BA"/>
    <w:rsid w:val="00FC6595"/>
    <w:rsid w:val="00FD0227"/>
    <w:rsid w:val="00FD505C"/>
    <w:rsid w:val="00FD5421"/>
    <w:rsid w:val="00FE0E99"/>
    <w:rsid w:val="00FE7E6F"/>
    <w:rsid w:val="00FF0F52"/>
    <w:rsid w:val="00FF1E8D"/>
    <w:rsid w:val="00FF433C"/>
    <w:rsid w:val="00FF7367"/>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semiHidden="0" w:uiPriority="35" w:qFormat="1"/>
    <w:lsdException w:name="footnote reference" w:semiHidden="0"/>
    <w:lsdException w:name="List Bullet" w:semiHidden="0" w:qFormat="1"/>
    <w:lsdException w:name="List Number" w:semiHidden="0" w:unhideWhenUsed="0" w:qFormat="1"/>
    <w:lsdException w:name="List 4" w:unhideWhenUsed="0"/>
    <w:lsdException w:name="List 5" w:unhideWhenUsed="0"/>
    <w:lsdException w:name="List Bullet 2" w:semiHidden="0" w:qFormat="1"/>
    <w:lsdException w:name="List Number 2" w:semiHidden="0"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AC"/>
    <w:pPr>
      <w:spacing w:after="240" w:line="240" w:lineRule="atLeast"/>
    </w:pPr>
    <w:rPr>
      <w:sz w:val="18"/>
      <w:lang w:val="en-AU"/>
    </w:rPr>
  </w:style>
  <w:style w:type="paragraph" w:styleId="Heading1">
    <w:name w:val="heading 1"/>
    <w:basedOn w:val="Sectiontitle"/>
    <w:next w:val="Normal"/>
    <w:link w:val="Heading1Char"/>
    <w:uiPriority w:val="9"/>
    <w:qFormat/>
    <w:rsid w:val="002000DC"/>
    <w:pPr>
      <w:outlineLvl w:val="0"/>
    </w:pPr>
  </w:style>
  <w:style w:type="paragraph" w:styleId="Heading2">
    <w:name w:val="heading 2"/>
    <w:basedOn w:val="Heading3"/>
    <w:next w:val="Normal"/>
    <w:link w:val="Heading2Char"/>
    <w:uiPriority w:val="9"/>
    <w:qFormat/>
    <w:rsid w:val="00F916D6"/>
    <w:pPr>
      <w:outlineLvl w:val="1"/>
    </w:pPr>
    <w:rPr>
      <w:rFonts w:asciiTheme="minorHAnsi" w:hAnsiTheme="minorHAnsi"/>
      <w:b/>
      <w:color w:val="0097A9" w:themeColor="accent5"/>
    </w:rPr>
  </w:style>
  <w:style w:type="paragraph" w:styleId="Heading3">
    <w:name w:val="heading 3"/>
    <w:basedOn w:val="Normal"/>
    <w:next w:val="Normal"/>
    <w:link w:val="Heading3Char"/>
    <w:uiPriority w:val="9"/>
    <w:qFormat/>
    <w:rsid w:val="00162C45"/>
    <w:pPr>
      <w:keepNext/>
      <w:keepLines/>
      <w:spacing w:after="0"/>
      <w:outlineLvl w:val="2"/>
    </w:pPr>
    <w:rPr>
      <w:rFonts w:asciiTheme="majorHAnsi" w:eastAsiaTheme="majorEastAsia" w:hAnsiTheme="majorHAnsi" w:cstheme="majorBidi"/>
      <w:bCs/>
      <w:color w:val="75787B" w:themeColor="accent6"/>
      <w:sz w:val="24"/>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0DC"/>
    <w:rPr>
      <w:sz w:val="60"/>
      <w:lang w:val="en-US"/>
    </w:rPr>
  </w:style>
  <w:style w:type="character" w:customStyle="1" w:styleId="Heading2Char">
    <w:name w:val="Heading 2 Char"/>
    <w:basedOn w:val="DefaultParagraphFont"/>
    <w:link w:val="Heading2"/>
    <w:uiPriority w:val="9"/>
    <w:rsid w:val="00F916D6"/>
    <w:rPr>
      <w:rFonts w:eastAsiaTheme="majorEastAsia" w:cstheme="majorBidi"/>
      <w:b/>
      <w:bCs/>
      <w:color w:val="0097A9" w:themeColor="accent5"/>
      <w:sz w:val="24"/>
      <w:lang w:val="en-AU"/>
    </w:rPr>
  </w:style>
  <w:style w:type="table" w:styleId="TableGrid">
    <w:name w:val="Table Grid"/>
    <w:basedOn w:val="TableNormal"/>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544D24"/>
    <w:pPr>
      <w:numPr>
        <w:numId w:val="1"/>
      </w:numPr>
      <w:tabs>
        <w:tab w:val="clear" w:pos="360"/>
      </w:tabs>
      <w:spacing w:after="0"/>
      <w:ind w:left="284" w:hanging="284"/>
      <w:contextualSpacing/>
    </w:pPr>
  </w:style>
  <w:style w:type="paragraph" w:styleId="ListBullet2">
    <w:name w:val="List Bullet 2"/>
    <w:basedOn w:val="Normal"/>
    <w:uiPriority w:val="99"/>
    <w:qFormat/>
    <w:rsid w:val="002B4D02"/>
    <w:pPr>
      <w:numPr>
        <w:numId w:val="2"/>
      </w:numPr>
      <w:ind w:left="568" w:hanging="284"/>
      <w:contextualSpacing/>
    </w:pPr>
  </w:style>
  <w:style w:type="paragraph" w:styleId="ListNumber">
    <w:name w:val="List Number"/>
    <w:basedOn w:val="Normal"/>
    <w:uiPriority w:val="99"/>
    <w:qFormat/>
    <w:rsid w:val="00544D24"/>
    <w:pPr>
      <w:numPr>
        <w:numId w:val="3"/>
      </w:numPr>
      <w:tabs>
        <w:tab w:val="clear" w:pos="360"/>
      </w:tabs>
      <w:spacing w:after="0"/>
      <w:ind w:left="284" w:hanging="284"/>
      <w:contextualSpacing/>
    </w:pPr>
  </w:style>
  <w:style w:type="paragraph" w:styleId="ListNumber2">
    <w:name w:val="List Number 2"/>
    <w:basedOn w:val="Normal"/>
    <w:uiPriority w:val="99"/>
    <w:qFormat/>
    <w:rsid w:val="00D35C72"/>
    <w:pPr>
      <w:numPr>
        <w:numId w:val="4"/>
      </w:numPr>
      <w:ind w:left="568" w:hanging="284"/>
      <w:contextualSpacing/>
    </w:pPr>
  </w:style>
  <w:style w:type="character" w:customStyle="1" w:styleId="Heading3Char">
    <w:name w:val="Heading 3 Char"/>
    <w:basedOn w:val="DefaultParagraphFont"/>
    <w:link w:val="Heading3"/>
    <w:uiPriority w:val="9"/>
    <w:rsid w:val="00162C45"/>
    <w:rPr>
      <w:rFonts w:asciiTheme="majorHAnsi" w:eastAsiaTheme="majorEastAsia" w:hAnsiTheme="majorHAnsi" w:cstheme="majorBidi"/>
      <w:bCs/>
      <w:color w:val="75787B" w:themeColor="accent6"/>
      <w:sz w:val="24"/>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A7281A"/>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62B5E5"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spacing w:line="240" w:lineRule="auto"/>
    </w:pPr>
    <w:rPr>
      <w:iCs/>
      <w:color w:val="75787B" w:themeColor="accent6"/>
      <w:sz w:val="17"/>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FE0E99"/>
    <w:pPr>
      <w:tabs>
        <w:tab w:val="right" w:pos="9026"/>
      </w:tabs>
      <w:spacing w:after="120" w:line="360" w:lineRule="atLeast"/>
    </w:pPr>
    <w:rPr>
      <w:b/>
      <w:noProof/>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
    <w:qFormat/>
    <w:rsid w:val="00BF6F8B"/>
    <w:pPr>
      <w:spacing w:after="0" w:line="180" w:lineRule="atLeast"/>
      <w:ind w:right="5387"/>
    </w:pPr>
    <w:rPr>
      <w:sz w:val="14"/>
    </w:rPr>
  </w:style>
  <w:style w:type="table" w:customStyle="1" w:styleId="Deloittetable">
    <w:name w:val="Deloitte table"/>
    <w:basedOn w:val="TableNormal"/>
    <w:uiPriority w:val="99"/>
    <w:rsid w:val="003B3379"/>
    <w:pPr>
      <w:spacing w:after="0" w:line="240" w:lineRule="auto"/>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
    <w:name w:val="Table text"/>
    <w:basedOn w:val="Normal"/>
    <w:qFormat/>
    <w:rsid w:val="004D1F57"/>
    <w:pPr>
      <w:spacing w:after="0" w:line="200" w:lineRule="atLeast"/>
    </w:pPr>
    <w:rPr>
      <w:sz w:val="17"/>
    </w:rPr>
  </w:style>
  <w:style w:type="paragraph" w:customStyle="1" w:styleId="Tabletitle">
    <w:name w:val="Table title"/>
    <w:basedOn w:val="Tabletext"/>
    <w:qFormat/>
    <w:rsid w:val="004D1F57"/>
    <w:rPr>
      <w:b/>
      <w:color w:val="62B5E5" w:themeColor="accent3"/>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Heading2"/>
    <w:qFormat/>
    <w:rsid w:val="00B66FC9"/>
  </w:style>
  <w:style w:type="paragraph" w:styleId="TOCHeading">
    <w:name w:val="TOC Heading"/>
    <w:basedOn w:val="Heading1"/>
    <w:next w:val="Normal"/>
    <w:uiPriority w:val="39"/>
    <w:unhideWhenUsed/>
    <w:qFormat/>
    <w:rsid w:val="00F6769E"/>
    <w:pPr>
      <w:keepNext/>
      <w:keepLines/>
      <w:spacing w:before="480" w:after="0" w:line="276" w:lineRule="auto"/>
      <w:outlineLvl w:val="9"/>
    </w:pPr>
    <w:rPr>
      <w:rFonts w:asciiTheme="majorHAnsi" w:eastAsiaTheme="majorEastAsia" w:hAnsiTheme="majorHAnsi" w:cstheme="majorBidi"/>
      <w:b/>
      <w:bCs/>
      <w:color w:val="638C1B" w:themeColor="accent1" w:themeShade="BF"/>
      <w:sz w:val="28"/>
      <w:szCs w:val="28"/>
      <w:lang w:eastAsia="ja-JP"/>
    </w:rPr>
  </w:style>
  <w:style w:type="paragraph" w:styleId="TOC3">
    <w:name w:val="toc 3"/>
    <w:basedOn w:val="Normal"/>
    <w:next w:val="Normal"/>
    <w:autoRedefine/>
    <w:uiPriority w:val="39"/>
    <w:rsid w:val="00F6769E"/>
    <w:pPr>
      <w:spacing w:after="100"/>
      <w:ind w:left="360"/>
    </w:pPr>
  </w:style>
  <w:style w:type="paragraph" w:styleId="TOC2">
    <w:name w:val="toc 2"/>
    <w:basedOn w:val="Normal"/>
    <w:next w:val="Normal"/>
    <w:autoRedefine/>
    <w:uiPriority w:val="39"/>
    <w:rsid w:val="00F6769E"/>
    <w:pPr>
      <w:spacing w:after="100"/>
      <w:ind w:left="180"/>
    </w:pPr>
  </w:style>
  <w:style w:type="paragraph" w:styleId="ListParagraph">
    <w:name w:val="List Paragraph"/>
    <w:aliases w:val="Page Titles,List Paragraph - bullets,Use Case List Paragraph,Bullet List,List Paragraph1,List Paragraph11,List Item,List 1,Other List,List Paragraph numbered,Lettre d'introduction,Bullet for no #'s,B1,Numbered Indented Text"/>
    <w:basedOn w:val="Normal"/>
    <w:link w:val="ListParagraphChar"/>
    <w:uiPriority w:val="34"/>
    <w:qFormat/>
    <w:rsid w:val="00F6769E"/>
    <w:pPr>
      <w:ind w:left="720"/>
      <w:contextualSpacing/>
    </w:pPr>
  </w:style>
  <w:style w:type="character" w:styleId="CommentReference">
    <w:name w:val="annotation reference"/>
    <w:basedOn w:val="DefaultParagraphFont"/>
    <w:uiPriority w:val="99"/>
    <w:semiHidden/>
    <w:rsid w:val="007869B9"/>
    <w:rPr>
      <w:sz w:val="16"/>
      <w:szCs w:val="16"/>
    </w:rPr>
  </w:style>
  <w:style w:type="paragraph" w:styleId="CommentText">
    <w:name w:val="annotation text"/>
    <w:basedOn w:val="Normal"/>
    <w:link w:val="CommentTextChar"/>
    <w:uiPriority w:val="99"/>
    <w:semiHidden/>
    <w:rsid w:val="007869B9"/>
    <w:pPr>
      <w:spacing w:line="240" w:lineRule="auto"/>
    </w:pPr>
    <w:rPr>
      <w:sz w:val="20"/>
      <w:szCs w:val="20"/>
    </w:rPr>
  </w:style>
  <w:style w:type="character" w:customStyle="1" w:styleId="CommentTextChar">
    <w:name w:val="Comment Text Char"/>
    <w:basedOn w:val="DefaultParagraphFont"/>
    <w:link w:val="CommentText"/>
    <w:uiPriority w:val="99"/>
    <w:semiHidden/>
    <w:rsid w:val="007869B9"/>
    <w:rPr>
      <w:sz w:val="20"/>
      <w:szCs w:val="20"/>
      <w:lang w:val="en-US"/>
    </w:rPr>
  </w:style>
  <w:style w:type="paragraph" w:styleId="CommentSubject">
    <w:name w:val="annotation subject"/>
    <w:basedOn w:val="CommentText"/>
    <w:next w:val="CommentText"/>
    <w:link w:val="CommentSubjectChar"/>
    <w:uiPriority w:val="99"/>
    <w:semiHidden/>
    <w:rsid w:val="007869B9"/>
    <w:rPr>
      <w:b/>
      <w:bCs/>
    </w:rPr>
  </w:style>
  <w:style w:type="character" w:customStyle="1" w:styleId="CommentSubjectChar">
    <w:name w:val="Comment Subject Char"/>
    <w:basedOn w:val="CommentTextChar"/>
    <w:link w:val="CommentSubject"/>
    <w:uiPriority w:val="99"/>
    <w:semiHidden/>
    <w:rsid w:val="007869B9"/>
    <w:rPr>
      <w:b/>
      <w:bCs/>
      <w:sz w:val="20"/>
      <w:szCs w:val="20"/>
      <w:lang w:val="en-US"/>
    </w:rPr>
  </w:style>
  <w:style w:type="table" w:styleId="LightShading">
    <w:name w:val="Light Shading"/>
    <w:basedOn w:val="TableNormal"/>
    <w:uiPriority w:val="60"/>
    <w:rsid w:val="00E0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rsid w:val="00D63556"/>
    <w:rPr>
      <w:color w:val="53565A" w:themeColor="followedHyperlink"/>
      <w:u w:val="single"/>
    </w:rPr>
  </w:style>
  <w:style w:type="paragraph" w:customStyle="1" w:styleId="Addressdetails">
    <w:name w:val="Address details"/>
    <w:basedOn w:val="Normal"/>
    <w:link w:val="AddressdetailsChar"/>
    <w:rsid w:val="00FC39C7"/>
    <w:pPr>
      <w:spacing w:before="85" w:after="0" w:line="180" w:lineRule="atLeast"/>
    </w:pPr>
    <w:rPr>
      <w:rFonts w:ascii="Arial" w:eastAsia="Times New Roman" w:hAnsi="Arial" w:cs="Times New Roman"/>
      <w:sz w:val="15"/>
      <w:szCs w:val="24"/>
    </w:rPr>
  </w:style>
  <w:style w:type="character" w:customStyle="1" w:styleId="AddressdetailsChar">
    <w:name w:val="Address details Char"/>
    <w:basedOn w:val="DefaultParagraphFont"/>
    <w:link w:val="Addressdetails"/>
    <w:rsid w:val="00FC39C7"/>
    <w:rPr>
      <w:rFonts w:ascii="Arial" w:eastAsia="Times New Roman" w:hAnsi="Arial" w:cs="Times New Roman"/>
      <w:sz w:val="15"/>
      <w:szCs w:val="24"/>
      <w:lang w:val="en-AU"/>
    </w:rPr>
  </w:style>
  <w:style w:type="paragraph" w:customStyle="1" w:styleId="LetterText">
    <w:name w:val="LetterText"/>
    <w:basedOn w:val="Normal"/>
    <w:link w:val="LetterTextChar"/>
    <w:rsid w:val="00FC39C7"/>
    <w:pPr>
      <w:spacing w:after="0" w:line="240" w:lineRule="auto"/>
    </w:pPr>
    <w:rPr>
      <w:rFonts w:ascii="Times New Roman" w:eastAsia="SimSun" w:hAnsi="Times New Roman" w:cs="Times New Roman"/>
      <w:sz w:val="20"/>
      <w:szCs w:val="24"/>
      <w:lang w:eastAsia="zh-CN"/>
    </w:rPr>
  </w:style>
  <w:style w:type="character" w:customStyle="1" w:styleId="LetterTextChar">
    <w:name w:val="LetterText Char"/>
    <w:basedOn w:val="DefaultParagraphFont"/>
    <w:link w:val="LetterText"/>
    <w:rsid w:val="00FC39C7"/>
    <w:rPr>
      <w:rFonts w:ascii="Times New Roman" w:eastAsia="SimSun" w:hAnsi="Times New Roman" w:cs="Times New Roman"/>
      <w:sz w:val="20"/>
      <w:szCs w:val="24"/>
      <w:lang w:val="en-AU" w:eastAsia="zh-CN"/>
    </w:rPr>
  </w:style>
  <w:style w:type="character" w:customStyle="1" w:styleId="aBodycopyChar">
    <w:name w:val="aBody copy Char"/>
    <w:basedOn w:val="DefaultParagraphFont"/>
    <w:link w:val="aBodycopy"/>
    <w:locked/>
    <w:rsid w:val="00FC39C7"/>
    <w:rPr>
      <w:rFonts w:ascii="Arial" w:hAnsi="Arial" w:cs="Arial"/>
      <w:szCs w:val="24"/>
    </w:rPr>
  </w:style>
  <w:style w:type="paragraph" w:customStyle="1" w:styleId="aBodycopy">
    <w:name w:val="aBody copy"/>
    <w:basedOn w:val="Normal"/>
    <w:link w:val="aBodycopyChar"/>
    <w:qFormat/>
    <w:rsid w:val="00FC39C7"/>
    <w:pPr>
      <w:spacing w:after="113"/>
    </w:pPr>
    <w:rPr>
      <w:rFonts w:ascii="Arial" w:hAnsi="Arial" w:cs="Arial"/>
      <w:sz w:val="22"/>
      <w:szCs w:val="24"/>
      <w:lang w:val="en-GB"/>
    </w:rPr>
  </w:style>
  <w:style w:type="character" w:customStyle="1" w:styleId="ListParagraphChar">
    <w:name w:val="List Paragraph Char"/>
    <w:aliases w:val="Page Titles Char,List Paragraph - bullets Char,Use Case List Paragraph Char,Bullet List Char,List Paragraph1 Char,List Paragraph11 Char,List Item Char,List 1 Char,Other List Char,List Paragraph numbered Char,Bullet for no #'s Char"/>
    <w:link w:val="ListParagraph"/>
    <w:uiPriority w:val="34"/>
    <w:locked/>
    <w:rsid w:val="00F2157B"/>
    <w:rPr>
      <w:sz w:val="18"/>
      <w:lang w:val="en-US"/>
    </w:rPr>
  </w:style>
  <w:style w:type="paragraph" w:customStyle="1" w:styleId="Bodycopy">
    <w:name w:val="Body copy"/>
    <w:basedOn w:val="Normal"/>
    <w:link w:val="BodycopyChar"/>
    <w:qFormat/>
    <w:rsid w:val="00057D79"/>
    <w:pPr>
      <w:spacing w:after="113"/>
    </w:pPr>
    <w:rPr>
      <w:rFonts w:ascii="Arial" w:eastAsia="Times New Roman" w:hAnsi="Arial" w:cs="Times New Roman"/>
      <w:sz w:val="20"/>
      <w:szCs w:val="24"/>
    </w:rPr>
  </w:style>
  <w:style w:type="table" w:customStyle="1" w:styleId="TableDeloitteStone">
    <w:name w:val="Table Deloitte Stone"/>
    <w:basedOn w:val="TableNormal"/>
    <w:rsid w:val="00057D79"/>
    <w:pPr>
      <w:spacing w:before="60" w:after="113" w:line="240" w:lineRule="atLeast"/>
    </w:pPr>
    <w:rPr>
      <w:rFonts w:ascii="Arial" w:eastAsia="Times New Roman" w:hAnsi="Arial" w:cs="Times New Roman"/>
      <w:sz w:val="16"/>
      <w:szCs w:val="20"/>
      <w:lang w:val="en-AU" w:eastAsia="en-AU"/>
    </w:rPr>
    <w:tblPr>
      <w:tblStyleRowBandSize w:val="1"/>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86BC25" w:themeFill="accent1"/>
      </w:tcPr>
    </w:tblStylePr>
    <w:tblStylePr w:type="band1Horz">
      <w:pPr>
        <w:wordWrap/>
        <w:spacing w:beforeLines="0" w:beforeAutospacing="0" w:afterLines="0" w:afterAutospacing="0" w:line="240" w:lineRule="atLeast"/>
      </w:pPr>
      <w:tblPr/>
      <w:tcPr>
        <w:tcBorders>
          <w:bottom w:val="single" w:sz="4" w:space="0" w:color="B9E370" w:themeColor="accent1" w:themeTint="99"/>
        </w:tcBorders>
        <w:shd w:val="clear" w:color="auto" w:fill="D0D0CE" w:themeFill="background2"/>
      </w:tcPr>
    </w:tblStylePr>
    <w:tblStylePr w:type="band2Horz">
      <w:pPr>
        <w:wordWrap/>
        <w:spacing w:beforeLines="0" w:beforeAutospacing="0" w:afterLines="0" w:afterAutospacing="0" w:line="240" w:lineRule="atLeast"/>
      </w:pPr>
      <w:tblPr/>
      <w:tcPr>
        <w:tcBorders>
          <w:bottom w:val="single" w:sz="4" w:space="0" w:color="B9E370" w:themeColor="accent1" w:themeTint="99"/>
        </w:tcBorders>
        <w:shd w:val="clear" w:color="auto" w:fill="D0D0CE" w:themeFill="background2"/>
      </w:tcPr>
    </w:tblStylePr>
  </w:style>
  <w:style w:type="paragraph" w:customStyle="1" w:styleId="TableEntryStyle">
    <w:name w:val="Table Entry Style"/>
    <w:basedOn w:val="Normal"/>
    <w:qFormat/>
    <w:rsid w:val="00057D79"/>
    <w:pPr>
      <w:spacing w:before="120" w:after="60" w:line="200" w:lineRule="atLeast"/>
    </w:pPr>
    <w:rPr>
      <w:rFonts w:ascii="Arial" w:eastAsia="SimSun" w:hAnsi="Arial" w:cs="Times New Roman"/>
      <w:szCs w:val="24"/>
    </w:rPr>
  </w:style>
  <w:style w:type="paragraph" w:customStyle="1" w:styleId="TableColumnHeaderRow">
    <w:name w:val="Table Column Header Row"/>
    <w:basedOn w:val="Normal"/>
    <w:qFormat/>
    <w:rsid w:val="00057D79"/>
    <w:pPr>
      <w:spacing w:before="60" w:after="113"/>
    </w:pPr>
    <w:rPr>
      <w:rFonts w:ascii="Arial" w:eastAsia="SimSun" w:hAnsi="Arial" w:cs="Times New Roman"/>
      <w:color w:val="D0D0CE" w:themeColor="background2"/>
      <w:szCs w:val="24"/>
    </w:rPr>
  </w:style>
  <w:style w:type="character" w:customStyle="1" w:styleId="BodycopyChar">
    <w:name w:val="Body copy Char"/>
    <w:basedOn w:val="DefaultParagraphFont"/>
    <w:link w:val="Bodycopy"/>
    <w:rsid w:val="00057D79"/>
    <w:rPr>
      <w:rFonts w:ascii="Arial" w:eastAsia="Times New Roman" w:hAnsi="Arial" w:cs="Times New Roman"/>
      <w:sz w:val="20"/>
      <w:szCs w:val="24"/>
      <w:lang w:val="en-AU"/>
    </w:rPr>
  </w:style>
  <w:style w:type="paragraph" w:customStyle="1" w:styleId="Parafor1stBullet">
    <w:name w:val="Para for 1st Bullet"/>
    <w:basedOn w:val="Normal"/>
    <w:rsid w:val="00057D79"/>
    <w:pPr>
      <w:numPr>
        <w:numId w:val="8"/>
      </w:numPr>
      <w:spacing w:before="120" w:line="240" w:lineRule="auto"/>
    </w:pPr>
    <w:rPr>
      <w:rFonts w:ascii="Times New Roman" w:eastAsia="Batang" w:hAnsi="Times New Roman" w:cs="Times New Roman"/>
      <w:sz w:val="22"/>
      <w:szCs w:val="24"/>
      <w:lang w:eastAsia="ko-KR"/>
    </w:rPr>
  </w:style>
  <w:style w:type="paragraph" w:customStyle="1" w:styleId="Parafor2ndBullet">
    <w:name w:val="Para for 2nd Bullet"/>
    <w:basedOn w:val="Normal"/>
    <w:rsid w:val="00057D79"/>
    <w:pPr>
      <w:numPr>
        <w:ilvl w:val="1"/>
        <w:numId w:val="8"/>
      </w:numPr>
      <w:spacing w:before="240" w:line="240" w:lineRule="auto"/>
    </w:pPr>
    <w:rPr>
      <w:rFonts w:ascii="Times New Roman" w:eastAsia="Batang" w:hAnsi="Times New Roman" w:cs="Times New Roman"/>
      <w:sz w:val="22"/>
      <w:szCs w:val="24"/>
      <w:lang w:eastAsia="ko-KR"/>
    </w:rPr>
  </w:style>
  <w:style w:type="paragraph" w:customStyle="1" w:styleId="Parafor3rdBullet">
    <w:name w:val="Para for 3rd Bullet"/>
    <w:basedOn w:val="Normal"/>
    <w:rsid w:val="00057D79"/>
    <w:pPr>
      <w:numPr>
        <w:ilvl w:val="2"/>
        <w:numId w:val="8"/>
      </w:numPr>
      <w:spacing w:line="240" w:lineRule="auto"/>
    </w:pPr>
    <w:rPr>
      <w:rFonts w:ascii="Times New Roman" w:eastAsia="Batang" w:hAnsi="Times New Roman" w:cs="Times New Roman"/>
      <w:sz w:val="22"/>
      <w:szCs w:val="24"/>
      <w:lang w:eastAsia="ko-KR"/>
    </w:rPr>
  </w:style>
  <w:style w:type="paragraph" w:customStyle="1" w:styleId="PulloutQuote">
    <w:name w:val="Pullout Quote"/>
    <w:rsid w:val="00057D79"/>
    <w:pPr>
      <w:pBdr>
        <w:top w:val="single" w:sz="4" w:space="4" w:color="00A1DE"/>
      </w:pBdr>
      <w:suppressAutoHyphens/>
      <w:spacing w:after="0" w:line="320" w:lineRule="exact"/>
    </w:pPr>
    <w:rPr>
      <w:rFonts w:ascii="Times New Roman" w:eastAsia="Times" w:hAnsi="Times New Roman" w:cs="Times New Roman"/>
      <w:color w:val="00A1DE"/>
      <w:sz w:val="32"/>
      <w:szCs w:val="20"/>
    </w:rPr>
  </w:style>
  <w:style w:type="paragraph" w:customStyle="1" w:styleId="BSubheading-Blue">
    <w:name w:val="B Subheading - Blue"/>
    <w:basedOn w:val="Heading2"/>
    <w:next w:val="Bodycopy"/>
    <w:link w:val="BSubheading-BlueChar"/>
    <w:qFormat/>
    <w:rsid w:val="00754E11"/>
    <w:pPr>
      <w:spacing w:before="320" w:after="120" w:line="240" w:lineRule="auto"/>
    </w:pPr>
    <w:rPr>
      <w:rFonts w:ascii="Arial" w:eastAsia="Times" w:hAnsi="Arial" w:cs="Arial"/>
      <w:noProof/>
      <w:color w:val="00A1DE"/>
      <w:szCs w:val="24"/>
    </w:rPr>
  </w:style>
  <w:style w:type="character" w:customStyle="1" w:styleId="BSubheading-BlueChar">
    <w:name w:val="B Subheading - Blue Char"/>
    <w:basedOn w:val="DefaultParagraphFont"/>
    <w:link w:val="BSubheading-Blue"/>
    <w:rsid w:val="00754E11"/>
    <w:rPr>
      <w:rFonts w:ascii="Arial" w:eastAsia="Times" w:hAnsi="Arial" w:cs="Arial"/>
      <w:b/>
      <w:noProof/>
      <w:color w:val="00A1DE"/>
      <w:sz w:val="24"/>
      <w:szCs w:val="24"/>
      <w:lang w:val="en-AU"/>
    </w:rPr>
  </w:style>
  <w:style w:type="paragraph" w:customStyle="1" w:styleId="TableHeading">
    <w:name w:val="Table Heading"/>
    <w:qFormat/>
    <w:rsid w:val="00FF433C"/>
    <w:pPr>
      <w:spacing w:before="60" w:after="60" w:line="240" w:lineRule="auto"/>
    </w:pPr>
    <w:rPr>
      <w:rFonts w:ascii="Calibri" w:eastAsia="Times New Roman" w:hAnsi="Calibri" w:cs="Calibri"/>
      <w:b/>
      <w:noProof/>
      <w:lang w:val="en-AU" w:eastAsia="en-AU"/>
    </w:rPr>
  </w:style>
  <w:style w:type="table" w:customStyle="1" w:styleId="TableDeloitteStone3">
    <w:name w:val="Table Deloitte Stone3"/>
    <w:basedOn w:val="TableNormal"/>
    <w:rsid w:val="00AC29B3"/>
    <w:pPr>
      <w:spacing w:before="60" w:after="113" w:line="240" w:lineRule="atLeast"/>
    </w:pPr>
    <w:rPr>
      <w:rFonts w:ascii="Arial" w:eastAsia="Times New Roman" w:hAnsi="Arial" w:cs="Times New Roman"/>
      <w:sz w:val="16"/>
      <w:szCs w:val="20"/>
      <w:lang w:val="en-AU" w:eastAsia="en-AU"/>
    </w:rPr>
    <w:tblPr>
      <w:tblStyleRowBandSize w:val="1"/>
    </w:tblPr>
    <w:tcPr>
      <w:shd w:val="clear" w:color="auto" w:fill="FFFFFF"/>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00A1DE"/>
      </w:tcPr>
    </w:tblStylePr>
    <w:tblStylePr w:type="band1Horz">
      <w:pPr>
        <w:wordWrap/>
        <w:spacing w:beforeLines="0" w:beforeAutospacing="0" w:afterLines="0" w:afterAutospacing="0" w:line="240" w:lineRule="atLeast"/>
      </w:pPr>
      <w:tblPr/>
      <w:tcPr>
        <w:tcBorders>
          <w:bottom w:val="single" w:sz="4" w:space="0" w:color="52CEFF"/>
        </w:tcBorders>
        <w:shd w:val="clear" w:color="auto" w:fill="FFFFFF"/>
      </w:tcPr>
    </w:tblStylePr>
    <w:tblStylePr w:type="band2Horz">
      <w:pPr>
        <w:wordWrap/>
        <w:spacing w:beforeLines="0" w:beforeAutospacing="0" w:afterLines="0" w:afterAutospacing="0" w:line="240" w:lineRule="atLeast"/>
      </w:pPr>
      <w:tblPr/>
      <w:tcPr>
        <w:tcBorders>
          <w:bottom w:val="single" w:sz="4" w:space="0" w:color="52CEFF"/>
        </w:tcBorders>
        <w:shd w:val="clear" w:color="auto" w:fill="FFFFFF"/>
      </w:tcPr>
    </w:tblStylePr>
  </w:style>
  <w:style w:type="table" w:customStyle="1" w:styleId="Tabbedtable2">
    <w:name w:val="Tabbed table2"/>
    <w:basedOn w:val="TableNormal"/>
    <w:uiPriority w:val="99"/>
    <w:rsid w:val="00AC29B3"/>
    <w:pPr>
      <w:spacing w:after="0" w:line="240" w:lineRule="auto"/>
    </w:pPr>
    <w:rPr>
      <w:rFonts w:ascii="Arial" w:eastAsia="Times New Roman" w:hAnsi="Arial" w:cs="Times New Roman"/>
      <w:sz w:val="20"/>
      <w:szCs w:val="20"/>
      <w:lang w:val="en-AU" w:eastAsia="en-AU"/>
    </w:rPr>
    <w:tblPr>
      <w:tblBorders>
        <w:top w:val="single" w:sz="8" w:space="0" w:color="auto"/>
        <w:left w:val="single" w:sz="8" w:space="0" w:color="auto"/>
        <w:bottom w:val="single" w:sz="8" w:space="0" w:color="auto"/>
        <w:right w:val="single" w:sz="8" w:space="0" w:color="auto"/>
        <w:insideH w:val="single" w:sz="8" w:space="0" w:color="BFBFBF"/>
        <w:insideV w:val="single" w:sz="8" w:space="0" w:color="BFBF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left w:val="single" w:sz="8" w:space="0" w:color="auto"/>
          <w:bottom w:val="single" w:sz="8" w:space="0" w:color="auto"/>
          <w:right w:val="single" w:sz="8" w:space="0" w:color="auto"/>
          <w:insideH w:val="nil"/>
          <w:insideV w:val="single" w:sz="8" w:space="0" w:color="BFBF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cPr>
    </w:tblStylePr>
    <w:tblStylePr w:type="seCell">
      <w:tblPr/>
      <w:tcPr>
        <w:tcBorders>
          <w:top w:val="single" w:sz="8" w:space="0" w:color="BFBFBF"/>
          <w:left w:val="single" w:sz="8" w:space="0" w:color="BFBF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left w:val="single" w:sz="8" w:space="0" w:color="auto"/>
          <w:bottom w:val="single" w:sz="8" w:space="0" w:color="auto"/>
          <w:right w:val="single" w:sz="8" w:space="0" w:color="BFBFBF"/>
          <w:insideH w:val="nil"/>
          <w:insideV w:val="nil"/>
          <w:tl2br w:val="nil"/>
          <w:tr2bl w:val="nil"/>
        </w:tcBorders>
        <w:shd w:val="clear" w:color="auto" w:fill="auto"/>
      </w:tcPr>
    </w:tblStylePr>
  </w:style>
  <w:style w:type="character" w:customStyle="1" w:styleId="ms-rtethemeforecolor-2-01">
    <w:name w:val="ms-rtethemeforecolor-2-01"/>
    <w:basedOn w:val="DefaultParagraphFont"/>
    <w:rsid w:val="00AC29B3"/>
    <w:rPr>
      <w:color w:val="000000"/>
    </w:rPr>
  </w:style>
  <w:style w:type="paragraph" w:customStyle="1" w:styleId="01Level2Greensubhead">
    <w:name w:val="01. Level 2 Green subhead"/>
    <w:basedOn w:val="Normal"/>
    <w:link w:val="01Level2GreensubheadChar"/>
    <w:qFormat/>
    <w:rsid w:val="00AC29B3"/>
    <w:pPr>
      <w:spacing w:before="260" w:line="260" w:lineRule="exact"/>
    </w:pPr>
    <w:rPr>
      <w:rFonts w:ascii="Arial" w:eastAsia="Times" w:hAnsi="Arial" w:cs="Times New Roman"/>
      <w:b/>
      <w:color w:val="92D400"/>
      <w:sz w:val="20"/>
      <w:szCs w:val="24"/>
    </w:rPr>
  </w:style>
  <w:style w:type="character" w:customStyle="1" w:styleId="01Level2GreensubheadChar">
    <w:name w:val="01. Level 2 Green subhead Char"/>
    <w:link w:val="01Level2Greensubhead"/>
    <w:rsid w:val="00AC29B3"/>
    <w:rPr>
      <w:rFonts w:ascii="Arial" w:eastAsia="Times" w:hAnsi="Arial" w:cs="Times New Roman"/>
      <w:b/>
      <w:color w:val="92D400"/>
      <w:sz w:val="20"/>
      <w:szCs w:val="24"/>
      <w:lang w:val="en-US"/>
    </w:rPr>
  </w:style>
  <w:style w:type="paragraph" w:styleId="NormalWeb">
    <w:name w:val="Normal (Web)"/>
    <w:basedOn w:val="Normal"/>
    <w:uiPriority w:val="99"/>
    <w:semiHidden/>
    <w:unhideWhenUsed/>
    <w:rsid w:val="000152A0"/>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GridTable1Light1">
    <w:name w:val="Grid Table 1 Light1"/>
    <w:basedOn w:val="TableNormal"/>
    <w:uiPriority w:val="46"/>
    <w:rsid w:val="008629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64F03"/>
    <w:pPr>
      <w:spacing w:after="0" w:line="240" w:lineRule="auto"/>
    </w:p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paragraph" w:styleId="Revision">
    <w:name w:val="Revision"/>
    <w:hidden/>
    <w:uiPriority w:val="99"/>
    <w:semiHidden/>
    <w:rsid w:val="00527D17"/>
    <w:pPr>
      <w:spacing w:after="0" w:line="240" w:lineRule="auto"/>
    </w:pPr>
    <w:rPr>
      <w:sz w:val="18"/>
      <w:lang w:val="en-AU"/>
    </w:rPr>
  </w:style>
  <w:style w:type="paragraph" w:customStyle="1" w:styleId="subsection">
    <w:name w:val="subsection"/>
    <w:basedOn w:val="Normal"/>
    <w:rsid w:val="00074C0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semiHidden="0" w:uiPriority="35" w:qFormat="1"/>
    <w:lsdException w:name="footnote reference" w:semiHidden="0"/>
    <w:lsdException w:name="List Bullet" w:semiHidden="0" w:qFormat="1"/>
    <w:lsdException w:name="List Number" w:semiHidden="0" w:unhideWhenUsed="0" w:qFormat="1"/>
    <w:lsdException w:name="List 4" w:unhideWhenUsed="0"/>
    <w:lsdException w:name="List 5" w:unhideWhenUsed="0"/>
    <w:lsdException w:name="List Bullet 2" w:semiHidden="0" w:qFormat="1"/>
    <w:lsdException w:name="List Number 2" w:semiHidden="0"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AC"/>
    <w:pPr>
      <w:spacing w:after="240" w:line="240" w:lineRule="atLeast"/>
    </w:pPr>
    <w:rPr>
      <w:sz w:val="18"/>
      <w:lang w:val="en-AU"/>
    </w:rPr>
  </w:style>
  <w:style w:type="paragraph" w:styleId="Heading1">
    <w:name w:val="heading 1"/>
    <w:basedOn w:val="Sectiontitle"/>
    <w:next w:val="Normal"/>
    <w:link w:val="Heading1Char"/>
    <w:uiPriority w:val="9"/>
    <w:qFormat/>
    <w:rsid w:val="002000DC"/>
    <w:pPr>
      <w:outlineLvl w:val="0"/>
    </w:pPr>
  </w:style>
  <w:style w:type="paragraph" w:styleId="Heading2">
    <w:name w:val="heading 2"/>
    <w:basedOn w:val="Heading3"/>
    <w:next w:val="Normal"/>
    <w:link w:val="Heading2Char"/>
    <w:uiPriority w:val="9"/>
    <w:qFormat/>
    <w:rsid w:val="00F916D6"/>
    <w:pPr>
      <w:outlineLvl w:val="1"/>
    </w:pPr>
    <w:rPr>
      <w:rFonts w:asciiTheme="minorHAnsi" w:hAnsiTheme="minorHAnsi"/>
      <w:b/>
      <w:color w:val="0097A9" w:themeColor="accent5"/>
    </w:rPr>
  </w:style>
  <w:style w:type="paragraph" w:styleId="Heading3">
    <w:name w:val="heading 3"/>
    <w:basedOn w:val="Normal"/>
    <w:next w:val="Normal"/>
    <w:link w:val="Heading3Char"/>
    <w:uiPriority w:val="9"/>
    <w:qFormat/>
    <w:rsid w:val="00162C45"/>
    <w:pPr>
      <w:keepNext/>
      <w:keepLines/>
      <w:spacing w:after="0"/>
      <w:outlineLvl w:val="2"/>
    </w:pPr>
    <w:rPr>
      <w:rFonts w:asciiTheme="majorHAnsi" w:eastAsiaTheme="majorEastAsia" w:hAnsiTheme="majorHAnsi" w:cstheme="majorBidi"/>
      <w:bCs/>
      <w:color w:val="75787B" w:themeColor="accent6"/>
      <w:sz w:val="24"/>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0DC"/>
    <w:rPr>
      <w:sz w:val="60"/>
      <w:lang w:val="en-US"/>
    </w:rPr>
  </w:style>
  <w:style w:type="character" w:customStyle="1" w:styleId="Heading2Char">
    <w:name w:val="Heading 2 Char"/>
    <w:basedOn w:val="DefaultParagraphFont"/>
    <w:link w:val="Heading2"/>
    <w:uiPriority w:val="9"/>
    <w:rsid w:val="00F916D6"/>
    <w:rPr>
      <w:rFonts w:eastAsiaTheme="majorEastAsia" w:cstheme="majorBidi"/>
      <w:b/>
      <w:bCs/>
      <w:color w:val="0097A9" w:themeColor="accent5"/>
      <w:sz w:val="24"/>
      <w:lang w:val="en-AU"/>
    </w:rPr>
  </w:style>
  <w:style w:type="table" w:styleId="TableGrid">
    <w:name w:val="Table Grid"/>
    <w:basedOn w:val="TableNormal"/>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544D24"/>
    <w:pPr>
      <w:numPr>
        <w:numId w:val="1"/>
      </w:numPr>
      <w:tabs>
        <w:tab w:val="clear" w:pos="360"/>
      </w:tabs>
      <w:spacing w:after="0"/>
      <w:ind w:left="284" w:hanging="284"/>
      <w:contextualSpacing/>
    </w:pPr>
  </w:style>
  <w:style w:type="paragraph" w:styleId="ListBullet2">
    <w:name w:val="List Bullet 2"/>
    <w:basedOn w:val="Normal"/>
    <w:uiPriority w:val="99"/>
    <w:qFormat/>
    <w:rsid w:val="002B4D02"/>
    <w:pPr>
      <w:numPr>
        <w:numId w:val="2"/>
      </w:numPr>
      <w:ind w:left="568" w:hanging="284"/>
      <w:contextualSpacing/>
    </w:pPr>
  </w:style>
  <w:style w:type="paragraph" w:styleId="ListNumber">
    <w:name w:val="List Number"/>
    <w:basedOn w:val="Normal"/>
    <w:uiPriority w:val="99"/>
    <w:qFormat/>
    <w:rsid w:val="00544D24"/>
    <w:pPr>
      <w:numPr>
        <w:numId w:val="3"/>
      </w:numPr>
      <w:tabs>
        <w:tab w:val="clear" w:pos="360"/>
      </w:tabs>
      <w:spacing w:after="0"/>
      <w:ind w:left="284" w:hanging="284"/>
      <w:contextualSpacing/>
    </w:pPr>
  </w:style>
  <w:style w:type="paragraph" w:styleId="ListNumber2">
    <w:name w:val="List Number 2"/>
    <w:basedOn w:val="Normal"/>
    <w:uiPriority w:val="99"/>
    <w:qFormat/>
    <w:rsid w:val="00D35C72"/>
    <w:pPr>
      <w:numPr>
        <w:numId w:val="4"/>
      </w:numPr>
      <w:ind w:left="568" w:hanging="284"/>
      <w:contextualSpacing/>
    </w:pPr>
  </w:style>
  <w:style w:type="character" w:customStyle="1" w:styleId="Heading3Char">
    <w:name w:val="Heading 3 Char"/>
    <w:basedOn w:val="DefaultParagraphFont"/>
    <w:link w:val="Heading3"/>
    <w:uiPriority w:val="9"/>
    <w:rsid w:val="00162C45"/>
    <w:rPr>
      <w:rFonts w:asciiTheme="majorHAnsi" w:eastAsiaTheme="majorEastAsia" w:hAnsiTheme="majorHAnsi" w:cstheme="majorBidi"/>
      <w:bCs/>
      <w:color w:val="75787B" w:themeColor="accent6"/>
      <w:sz w:val="24"/>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A7281A"/>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62B5E5"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spacing w:line="240" w:lineRule="auto"/>
    </w:pPr>
    <w:rPr>
      <w:iCs/>
      <w:color w:val="75787B" w:themeColor="accent6"/>
      <w:sz w:val="17"/>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FE0E99"/>
    <w:pPr>
      <w:tabs>
        <w:tab w:val="right" w:pos="9026"/>
      </w:tabs>
      <w:spacing w:after="120" w:line="360" w:lineRule="atLeast"/>
    </w:pPr>
    <w:rPr>
      <w:b/>
      <w:noProof/>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
    <w:qFormat/>
    <w:rsid w:val="00BF6F8B"/>
    <w:pPr>
      <w:spacing w:after="0" w:line="180" w:lineRule="atLeast"/>
      <w:ind w:right="5387"/>
    </w:pPr>
    <w:rPr>
      <w:sz w:val="14"/>
    </w:rPr>
  </w:style>
  <w:style w:type="table" w:customStyle="1" w:styleId="Deloittetable">
    <w:name w:val="Deloitte table"/>
    <w:basedOn w:val="TableNormal"/>
    <w:uiPriority w:val="99"/>
    <w:rsid w:val="003B3379"/>
    <w:pPr>
      <w:spacing w:after="0" w:line="240" w:lineRule="auto"/>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
    <w:name w:val="Table text"/>
    <w:basedOn w:val="Normal"/>
    <w:qFormat/>
    <w:rsid w:val="004D1F57"/>
    <w:pPr>
      <w:spacing w:after="0" w:line="200" w:lineRule="atLeast"/>
    </w:pPr>
    <w:rPr>
      <w:sz w:val="17"/>
    </w:rPr>
  </w:style>
  <w:style w:type="paragraph" w:customStyle="1" w:styleId="Tabletitle">
    <w:name w:val="Table title"/>
    <w:basedOn w:val="Tabletext"/>
    <w:qFormat/>
    <w:rsid w:val="004D1F57"/>
    <w:rPr>
      <w:b/>
      <w:color w:val="62B5E5" w:themeColor="accent3"/>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Heading2"/>
    <w:qFormat/>
    <w:rsid w:val="00B66FC9"/>
  </w:style>
  <w:style w:type="paragraph" w:styleId="TOCHeading">
    <w:name w:val="TOC Heading"/>
    <w:basedOn w:val="Heading1"/>
    <w:next w:val="Normal"/>
    <w:uiPriority w:val="39"/>
    <w:unhideWhenUsed/>
    <w:qFormat/>
    <w:rsid w:val="00F6769E"/>
    <w:pPr>
      <w:keepNext/>
      <w:keepLines/>
      <w:spacing w:before="480" w:after="0" w:line="276" w:lineRule="auto"/>
      <w:outlineLvl w:val="9"/>
    </w:pPr>
    <w:rPr>
      <w:rFonts w:asciiTheme="majorHAnsi" w:eastAsiaTheme="majorEastAsia" w:hAnsiTheme="majorHAnsi" w:cstheme="majorBidi"/>
      <w:b/>
      <w:bCs/>
      <w:color w:val="638C1B" w:themeColor="accent1" w:themeShade="BF"/>
      <w:sz w:val="28"/>
      <w:szCs w:val="28"/>
      <w:lang w:eastAsia="ja-JP"/>
    </w:rPr>
  </w:style>
  <w:style w:type="paragraph" w:styleId="TOC3">
    <w:name w:val="toc 3"/>
    <w:basedOn w:val="Normal"/>
    <w:next w:val="Normal"/>
    <w:autoRedefine/>
    <w:uiPriority w:val="39"/>
    <w:rsid w:val="00F6769E"/>
    <w:pPr>
      <w:spacing w:after="100"/>
      <w:ind w:left="360"/>
    </w:pPr>
  </w:style>
  <w:style w:type="paragraph" w:styleId="TOC2">
    <w:name w:val="toc 2"/>
    <w:basedOn w:val="Normal"/>
    <w:next w:val="Normal"/>
    <w:autoRedefine/>
    <w:uiPriority w:val="39"/>
    <w:rsid w:val="00F6769E"/>
    <w:pPr>
      <w:spacing w:after="100"/>
      <w:ind w:left="180"/>
    </w:pPr>
  </w:style>
  <w:style w:type="paragraph" w:styleId="ListParagraph">
    <w:name w:val="List Paragraph"/>
    <w:aliases w:val="Page Titles,List Paragraph - bullets,Use Case List Paragraph,Bullet List,List Paragraph1,List Paragraph11,List Item,List 1,Other List,List Paragraph numbered,Lettre d'introduction,Bullet for no #'s,B1,Numbered Indented Text"/>
    <w:basedOn w:val="Normal"/>
    <w:link w:val="ListParagraphChar"/>
    <w:uiPriority w:val="34"/>
    <w:qFormat/>
    <w:rsid w:val="00F6769E"/>
    <w:pPr>
      <w:ind w:left="720"/>
      <w:contextualSpacing/>
    </w:pPr>
  </w:style>
  <w:style w:type="character" w:styleId="CommentReference">
    <w:name w:val="annotation reference"/>
    <w:basedOn w:val="DefaultParagraphFont"/>
    <w:uiPriority w:val="99"/>
    <w:semiHidden/>
    <w:rsid w:val="007869B9"/>
    <w:rPr>
      <w:sz w:val="16"/>
      <w:szCs w:val="16"/>
    </w:rPr>
  </w:style>
  <w:style w:type="paragraph" w:styleId="CommentText">
    <w:name w:val="annotation text"/>
    <w:basedOn w:val="Normal"/>
    <w:link w:val="CommentTextChar"/>
    <w:uiPriority w:val="99"/>
    <w:semiHidden/>
    <w:rsid w:val="007869B9"/>
    <w:pPr>
      <w:spacing w:line="240" w:lineRule="auto"/>
    </w:pPr>
    <w:rPr>
      <w:sz w:val="20"/>
      <w:szCs w:val="20"/>
    </w:rPr>
  </w:style>
  <w:style w:type="character" w:customStyle="1" w:styleId="CommentTextChar">
    <w:name w:val="Comment Text Char"/>
    <w:basedOn w:val="DefaultParagraphFont"/>
    <w:link w:val="CommentText"/>
    <w:uiPriority w:val="99"/>
    <w:semiHidden/>
    <w:rsid w:val="007869B9"/>
    <w:rPr>
      <w:sz w:val="20"/>
      <w:szCs w:val="20"/>
      <w:lang w:val="en-US"/>
    </w:rPr>
  </w:style>
  <w:style w:type="paragraph" w:styleId="CommentSubject">
    <w:name w:val="annotation subject"/>
    <w:basedOn w:val="CommentText"/>
    <w:next w:val="CommentText"/>
    <w:link w:val="CommentSubjectChar"/>
    <w:uiPriority w:val="99"/>
    <w:semiHidden/>
    <w:rsid w:val="007869B9"/>
    <w:rPr>
      <w:b/>
      <w:bCs/>
    </w:rPr>
  </w:style>
  <w:style w:type="character" w:customStyle="1" w:styleId="CommentSubjectChar">
    <w:name w:val="Comment Subject Char"/>
    <w:basedOn w:val="CommentTextChar"/>
    <w:link w:val="CommentSubject"/>
    <w:uiPriority w:val="99"/>
    <w:semiHidden/>
    <w:rsid w:val="007869B9"/>
    <w:rPr>
      <w:b/>
      <w:bCs/>
      <w:sz w:val="20"/>
      <w:szCs w:val="20"/>
      <w:lang w:val="en-US"/>
    </w:rPr>
  </w:style>
  <w:style w:type="table" w:styleId="LightShading">
    <w:name w:val="Light Shading"/>
    <w:basedOn w:val="TableNormal"/>
    <w:uiPriority w:val="60"/>
    <w:rsid w:val="00E0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rsid w:val="00D63556"/>
    <w:rPr>
      <w:color w:val="53565A" w:themeColor="followedHyperlink"/>
      <w:u w:val="single"/>
    </w:rPr>
  </w:style>
  <w:style w:type="paragraph" w:customStyle="1" w:styleId="Addressdetails">
    <w:name w:val="Address details"/>
    <w:basedOn w:val="Normal"/>
    <w:link w:val="AddressdetailsChar"/>
    <w:rsid w:val="00FC39C7"/>
    <w:pPr>
      <w:spacing w:before="85" w:after="0" w:line="180" w:lineRule="atLeast"/>
    </w:pPr>
    <w:rPr>
      <w:rFonts w:ascii="Arial" w:eastAsia="Times New Roman" w:hAnsi="Arial" w:cs="Times New Roman"/>
      <w:sz w:val="15"/>
      <w:szCs w:val="24"/>
    </w:rPr>
  </w:style>
  <w:style w:type="character" w:customStyle="1" w:styleId="AddressdetailsChar">
    <w:name w:val="Address details Char"/>
    <w:basedOn w:val="DefaultParagraphFont"/>
    <w:link w:val="Addressdetails"/>
    <w:rsid w:val="00FC39C7"/>
    <w:rPr>
      <w:rFonts w:ascii="Arial" w:eastAsia="Times New Roman" w:hAnsi="Arial" w:cs="Times New Roman"/>
      <w:sz w:val="15"/>
      <w:szCs w:val="24"/>
      <w:lang w:val="en-AU"/>
    </w:rPr>
  </w:style>
  <w:style w:type="paragraph" w:customStyle="1" w:styleId="LetterText">
    <w:name w:val="LetterText"/>
    <w:basedOn w:val="Normal"/>
    <w:link w:val="LetterTextChar"/>
    <w:rsid w:val="00FC39C7"/>
    <w:pPr>
      <w:spacing w:after="0" w:line="240" w:lineRule="auto"/>
    </w:pPr>
    <w:rPr>
      <w:rFonts w:ascii="Times New Roman" w:eastAsia="SimSun" w:hAnsi="Times New Roman" w:cs="Times New Roman"/>
      <w:sz w:val="20"/>
      <w:szCs w:val="24"/>
      <w:lang w:eastAsia="zh-CN"/>
    </w:rPr>
  </w:style>
  <w:style w:type="character" w:customStyle="1" w:styleId="LetterTextChar">
    <w:name w:val="LetterText Char"/>
    <w:basedOn w:val="DefaultParagraphFont"/>
    <w:link w:val="LetterText"/>
    <w:rsid w:val="00FC39C7"/>
    <w:rPr>
      <w:rFonts w:ascii="Times New Roman" w:eastAsia="SimSun" w:hAnsi="Times New Roman" w:cs="Times New Roman"/>
      <w:sz w:val="20"/>
      <w:szCs w:val="24"/>
      <w:lang w:val="en-AU" w:eastAsia="zh-CN"/>
    </w:rPr>
  </w:style>
  <w:style w:type="character" w:customStyle="1" w:styleId="aBodycopyChar">
    <w:name w:val="aBody copy Char"/>
    <w:basedOn w:val="DefaultParagraphFont"/>
    <w:link w:val="aBodycopy"/>
    <w:locked/>
    <w:rsid w:val="00FC39C7"/>
    <w:rPr>
      <w:rFonts w:ascii="Arial" w:hAnsi="Arial" w:cs="Arial"/>
      <w:szCs w:val="24"/>
    </w:rPr>
  </w:style>
  <w:style w:type="paragraph" w:customStyle="1" w:styleId="aBodycopy">
    <w:name w:val="aBody copy"/>
    <w:basedOn w:val="Normal"/>
    <w:link w:val="aBodycopyChar"/>
    <w:qFormat/>
    <w:rsid w:val="00FC39C7"/>
    <w:pPr>
      <w:spacing w:after="113"/>
    </w:pPr>
    <w:rPr>
      <w:rFonts w:ascii="Arial" w:hAnsi="Arial" w:cs="Arial"/>
      <w:sz w:val="22"/>
      <w:szCs w:val="24"/>
      <w:lang w:val="en-GB"/>
    </w:rPr>
  </w:style>
  <w:style w:type="character" w:customStyle="1" w:styleId="ListParagraphChar">
    <w:name w:val="List Paragraph Char"/>
    <w:aliases w:val="Page Titles Char,List Paragraph - bullets Char,Use Case List Paragraph Char,Bullet List Char,List Paragraph1 Char,List Paragraph11 Char,List Item Char,List 1 Char,Other List Char,List Paragraph numbered Char,Bullet for no #'s Char"/>
    <w:link w:val="ListParagraph"/>
    <w:uiPriority w:val="34"/>
    <w:locked/>
    <w:rsid w:val="00F2157B"/>
    <w:rPr>
      <w:sz w:val="18"/>
      <w:lang w:val="en-US"/>
    </w:rPr>
  </w:style>
  <w:style w:type="paragraph" w:customStyle="1" w:styleId="Bodycopy">
    <w:name w:val="Body copy"/>
    <w:basedOn w:val="Normal"/>
    <w:link w:val="BodycopyChar"/>
    <w:qFormat/>
    <w:rsid w:val="00057D79"/>
    <w:pPr>
      <w:spacing w:after="113"/>
    </w:pPr>
    <w:rPr>
      <w:rFonts w:ascii="Arial" w:eastAsia="Times New Roman" w:hAnsi="Arial" w:cs="Times New Roman"/>
      <w:sz w:val="20"/>
      <w:szCs w:val="24"/>
    </w:rPr>
  </w:style>
  <w:style w:type="table" w:customStyle="1" w:styleId="TableDeloitteStone">
    <w:name w:val="Table Deloitte Stone"/>
    <w:basedOn w:val="TableNormal"/>
    <w:rsid w:val="00057D79"/>
    <w:pPr>
      <w:spacing w:before="60" w:after="113" w:line="240" w:lineRule="atLeast"/>
    </w:pPr>
    <w:rPr>
      <w:rFonts w:ascii="Arial" w:eastAsia="Times New Roman" w:hAnsi="Arial" w:cs="Times New Roman"/>
      <w:sz w:val="16"/>
      <w:szCs w:val="20"/>
      <w:lang w:val="en-AU" w:eastAsia="en-AU"/>
    </w:rPr>
    <w:tblPr>
      <w:tblStyleRowBandSize w:val="1"/>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86BC25" w:themeFill="accent1"/>
      </w:tcPr>
    </w:tblStylePr>
    <w:tblStylePr w:type="band1Horz">
      <w:pPr>
        <w:wordWrap/>
        <w:spacing w:beforeLines="0" w:beforeAutospacing="0" w:afterLines="0" w:afterAutospacing="0" w:line="240" w:lineRule="atLeast"/>
      </w:pPr>
      <w:tblPr/>
      <w:tcPr>
        <w:tcBorders>
          <w:bottom w:val="single" w:sz="4" w:space="0" w:color="B9E370" w:themeColor="accent1" w:themeTint="99"/>
        </w:tcBorders>
        <w:shd w:val="clear" w:color="auto" w:fill="D0D0CE" w:themeFill="background2"/>
      </w:tcPr>
    </w:tblStylePr>
    <w:tblStylePr w:type="band2Horz">
      <w:pPr>
        <w:wordWrap/>
        <w:spacing w:beforeLines="0" w:beforeAutospacing="0" w:afterLines="0" w:afterAutospacing="0" w:line="240" w:lineRule="atLeast"/>
      </w:pPr>
      <w:tblPr/>
      <w:tcPr>
        <w:tcBorders>
          <w:bottom w:val="single" w:sz="4" w:space="0" w:color="B9E370" w:themeColor="accent1" w:themeTint="99"/>
        </w:tcBorders>
        <w:shd w:val="clear" w:color="auto" w:fill="D0D0CE" w:themeFill="background2"/>
      </w:tcPr>
    </w:tblStylePr>
  </w:style>
  <w:style w:type="paragraph" w:customStyle="1" w:styleId="TableEntryStyle">
    <w:name w:val="Table Entry Style"/>
    <w:basedOn w:val="Normal"/>
    <w:qFormat/>
    <w:rsid w:val="00057D79"/>
    <w:pPr>
      <w:spacing w:before="120" w:after="60" w:line="200" w:lineRule="atLeast"/>
    </w:pPr>
    <w:rPr>
      <w:rFonts w:ascii="Arial" w:eastAsia="SimSun" w:hAnsi="Arial" w:cs="Times New Roman"/>
      <w:szCs w:val="24"/>
    </w:rPr>
  </w:style>
  <w:style w:type="paragraph" w:customStyle="1" w:styleId="TableColumnHeaderRow">
    <w:name w:val="Table Column Header Row"/>
    <w:basedOn w:val="Normal"/>
    <w:qFormat/>
    <w:rsid w:val="00057D79"/>
    <w:pPr>
      <w:spacing w:before="60" w:after="113"/>
    </w:pPr>
    <w:rPr>
      <w:rFonts w:ascii="Arial" w:eastAsia="SimSun" w:hAnsi="Arial" w:cs="Times New Roman"/>
      <w:color w:val="D0D0CE" w:themeColor="background2"/>
      <w:szCs w:val="24"/>
    </w:rPr>
  </w:style>
  <w:style w:type="character" w:customStyle="1" w:styleId="BodycopyChar">
    <w:name w:val="Body copy Char"/>
    <w:basedOn w:val="DefaultParagraphFont"/>
    <w:link w:val="Bodycopy"/>
    <w:rsid w:val="00057D79"/>
    <w:rPr>
      <w:rFonts w:ascii="Arial" w:eastAsia="Times New Roman" w:hAnsi="Arial" w:cs="Times New Roman"/>
      <w:sz w:val="20"/>
      <w:szCs w:val="24"/>
      <w:lang w:val="en-AU"/>
    </w:rPr>
  </w:style>
  <w:style w:type="paragraph" w:customStyle="1" w:styleId="Parafor1stBullet">
    <w:name w:val="Para for 1st Bullet"/>
    <w:basedOn w:val="Normal"/>
    <w:rsid w:val="00057D79"/>
    <w:pPr>
      <w:numPr>
        <w:numId w:val="8"/>
      </w:numPr>
      <w:spacing w:before="120" w:line="240" w:lineRule="auto"/>
    </w:pPr>
    <w:rPr>
      <w:rFonts w:ascii="Times New Roman" w:eastAsia="Batang" w:hAnsi="Times New Roman" w:cs="Times New Roman"/>
      <w:sz w:val="22"/>
      <w:szCs w:val="24"/>
      <w:lang w:eastAsia="ko-KR"/>
    </w:rPr>
  </w:style>
  <w:style w:type="paragraph" w:customStyle="1" w:styleId="Parafor2ndBullet">
    <w:name w:val="Para for 2nd Bullet"/>
    <w:basedOn w:val="Normal"/>
    <w:rsid w:val="00057D79"/>
    <w:pPr>
      <w:numPr>
        <w:ilvl w:val="1"/>
        <w:numId w:val="8"/>
      </w:numPr>
      <w:spacing w:before="240" w:line="240" w:lineRule="auto"/>
    </w:pPr>
    <w:rPr>
      <w:rFonts w:ascii="Times New Roman" w:eastAsia="Batang" w:hAnsi="Times New Roman" w:cs="Times New Roman"/>
      <w:sz w:val="22"/>
      <w:szCs w:val="24"/>
      <w:lang w:eastAsia="ko-KR"/>
    </w:rPr>
  </w:style>
  <w:style w:type="paragraph" w:customStyle="1" w:styleId="Parafor3rdBullet">
    <w:name w:val="Para for 3rd Bullet"/>
    <w:basedOn w:val="Normal"/>
    <w:rsid w:val="00057D79"/>
    <w:pPr>
      <w:numPr>
        <w:ilvl w:val="2"/>
        <w:numId w:val="8"/>
      </w:numPr>
      <w:spacing w:line="240" w:lineRule="auto"/>
    </w:pPr>
    <w:rPr>
      <w:rFonts w:ascii="Times New Roman" w:eastAsia="Batang" w:hAnsi="Times New Roman" w:cs="Times New Roman"/>
      <w:sz w:val="22"/>
      <w:szCs w:val="24"/>
      <w:lang w:eastAsia="ko-KR"/>
    </w:rPr>
  </w:style>
  <w:style w:type="paragraph" w:customStyle="1" w:styleId="PulloutQuote">
    <w:name w:val="Pullout Quote"/>
    <w:rsid w:val="00057D79"/>
    <w:pPr>
      <w:pBdr>
        <w:top w:val="single" w:sz="4" w:space="4" w:color="00A1DE"/>
      </w:pBdr>
      <w:suppressAutoHyphens/>
      <w:spacing w:after="0" w:line="320" w:lineRule="exact"/>
    </w:pPr>
    <w:rPr>
      <w:rFonts w:ascii="Times New Roman" w:eastAsia="Times" w:hAnsi="Times New Roman" w:cs="Times New Roman"/>
      <w:color w:val="00A1DE"/>
      <w:sz w:val="32"/>
      <w:szCs w:val="20"/>
    </w:rPr>
  </w:style>
  <w:style w:type="paragraph" w:customStyle="1" w:styleId="BSubheading-Blue">
    <w:name w:val="B Subheading - Blue"/>
    <w:basedOn w:val="Heading2"/>
    <w:next w:val="Bodycopy"/>
    <w:link w:val="BSubheading-BlueChar"/>
    <w:qFormat/>
    <w:rsid w:val="00754E11"/>
    <w:pPr>
      <w:spacing w:before="320" w:after="120" w:line="240" w:lineRule="auto"/>
    </w:pPr>
    <w:rPr>
      <w:rFonts w:ascii="Arial" w:eastAsia="Times" w:hAnsi="Arial" w:cs="Arial"/>
      <w:noProof/>
      <w:color w:val="00A1DE"/>
      <w:szCs w:val="24"/>
    </w:rPr>
  </w:style>
  <w:style w:type="character" w:customStyle="1" w:styleId="BSubheading-BlueChar">
    <w:name w:val="B Subheading - Blue Char"/>
    <w:basedOn w:val="DefaultParagraphFont"/>
    <w:link w:val="BSubheading-Blue"/>
    <w:rsid w:val="00754E11"/>
    <w:rPr>
      <w:rFonts w:ascii="Arial" w:eastAsia="Times" w:hAnsi="Arial" w:cs="Arial"/>
      <w:b/>
      <w:noProof/>
      <w:color w:val="00A1DE"/>
      <w:sz w:val="24"/>
      <w:szCs w:val="24"/>
      <w:lang w:val="en-AU"/>
    </w:rPr>
  </w:style>
  <w:style w:type="paragraph" w:customStyle="1" w:styleId="TableHeading">
    <w:name w:val="Table Heading"/>
    <w:qFormat/>
    <w:rsid w:val="00FF433C"/>
    <w:pPr>
      <w:spacing w:before="60" w:after="60" w:line="240" w:lineRule="auto"/>
    </w:pPr>
    <w:rPr>
      <w:rFonts w:ascii="Calibri" w:eastAsia="Times New Roman" w:hAnsi="Calibri" w:cs="Calibri"/>
      <w:b/>
      <w:noProof/>
      <w:lang w:val="en-AU" w:eastAsia="en-AU"/>
    </w:rPr>
  </w:style>
  <w:style w:type="table" w:customStyle="1" w:styleId="TableDeloitteStone3">
    <w:name w:val="Table Deloitte Stone3"/>
    <w:basedOn w:val="TableNormal"/>
    <w:rsid w:val="00AC29B3"/>
    <w:pPr>
      <w:spacing w:before="60" w:after="113" w:line="240" w:lineRule="atLeast"/>
    </w:pPr>
    <w:rPr>
      <w:rFonts w:ascii="Arial" w:eastAsia="Times New Roman" w:hAnsi="Arial" w:cs="Times New Roman"/>
      <w:sz w:val="16"/>
      <w:szCs w:val="20"/>
      <w:lang w:val="en-AU" w:eastAsia="en-AU"/>
    </w:rPr>
    <w:tblPr>
      <w:tblStyleRowBandSize w:val="1"/>
    </w:tblPr>
    <w:tcPr>
      <w:shd w:val="clear" w:color="auto" w:fill="FFFFFF"/>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00A1DE"/>
      </w:tcPr>
    </w:tblStylePr>
    <w:tblStylePr w:type="band1Horz">
      <w:pPr>
        <w:wordWrap/>
        <w:spacing w:beforeLines="0" w:beforeAutospacing="0" w:afterLines="0" w:afterAutospacing="0" w:line="240" w:lineRule="atLeast"/>
      </w:pPr>
      <w:tblPr/>
      <w:tcPr>
        <w:tcBorders>
          <w:bottom w:val="single" w:sz="4" w:space="0" w:color="52CEFF"/>
        </w:tcBorders>
        <w:shd w:val="clear" w:color="auto" w:fill="FFFFFF"/>
      </w:tcPr>
    </w:tblStylePr>
    <w:tblStylePr w:type="band2Horz">
      <w:pPr>
        <w:wordWrap/>
        <w:spacing w:beforeLines="0" w:beforeAutospacing="0" w:afterLines="0" w:afterAutospacing="0" w:line="240" w:lineRule="atLeast"/>
      </w:pPr>
      <w:tblPr/>
      <w:tcPr>
        <w:tcBorders>
          <w:bottom w:val="single" w:sz="4" w:space="0" w:color="52CEFF"/>
        </w:tcBorders>
        <w:shd w:val="clear" w:color="auto" w:fill="FFFFFF"/>
      </w:tcPr>
    </w:tblStylePr>
  </w:style>
  <w:style w:type="table" w:customStyle="1" w:styleId="Tabbedtable2">
    <w:name w:val="Tabbed table2"/>
    <w:basedOn w:val="TableNormal"/>
    <w:uiPriority w:val="99"/>
    <w:rsid w:val="00AC29B3"/>
    <w:pPr>
      <w:spacing w:after="0" w:line="240" w:lineRule="auto"/>
    </w:pPr>
    <w:rPr>
      <w:rFonts w:ascii="Arial" w:eastAsia="Times New Roman" w:hAnsi="Arial" w:cs="Times New Roman"/>
      <w:sz w:val="20"/>
      <w:szCs w:val="20"/>
      <w:lang w:val="en-AU" w:eastAsia="en-AU"/>
    </w:rPr>
    <w:tblPr>
      <w:tblBorders>
        <w:top w:val="single" w:sz="8" w:space="0" w:color="auto"/>
        <w:left w:val="single" w:sz="8" w:space="0" w:color="auto"/>
        <w:bottom w:val="single" w:sz="8" w:space="0" w:color="auto"/>
        <w:right w:val="single" w:sz="8" w:space="0" w:color="auto"/>
        <w:insideH w:val="single" w:sz="8" w:space="0" w:color="BFBFBF"/>
        <w:insideV w:val="single" w:sz="8" w:space="0" w:color="BFBF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left w:val="single" w:sz="8" w:space="0" w:color="auto"/>
          <w:bottom w:val="single" w:sz="8" w:space="0" w:color="auto"/>
          <w:right w:val="single" w:sz="8" w:space="0" w:color="auto"/>
          <w:insideH w:val="nil"/>
          <w:insideV w:val="single" w:sz="8" w:space="0" w:color="BFBF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cPr>
    </w:tblStylePr>
    <w:tblStylePr w:type="seCell">
      <w:tblPr/>
      <w:tcPr>
        <w:tcBorders>
          <w:top w:val="single" w:sz="8" w:space="0" w:color="BFBFBF"/>
          <w:left w:val="single" w:sz="8" w:space="0" w:color="BFBF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left w:val="single" w:sz="8" w:space="0" w:color="auto"/>
          <w:bottom w:val="single" w:sz="8" w:space="0" w:color="auto"/>
          <w:right w:val="single" w:sz="8" w:space="0" w:color="BFBFBF"/>
          <w:insideH w:val="nil"/>
          <w:insideV w:val="nil"/>
          <w:tl2br w:val="nil"/>
          <w:tr2bl w:val="nil"/>
        </w:tcBorders>
        <w:shd w:val="clear" w:color="auto" w:fill="auto"/>
      </w:tcPr>
    </w:tblStylePr>
  </w:style>
  <w:style w:type="character" w:customStyle="1" w:styleId="ms-rtethemeforecolor-2-01">
    <w:name w:val="ms-rtethemeforecolor-2-01"/>
    <w:basedOn w:val="DefaultParagraphFont"/>
    <w:rsid w:val="00AC29B3"/>
    <w:rPr>
      <w:color w:val="000000"/>
    </w:rPr>
  </w:style>
  <w:style w:type="paragraph" w:customStyle="1" w:styleId="01Level2Greensubhead">
    <w:name w:val="01. Level 2 Green subhead"/>
    <w:basedOn w:val="Normal"/>
    <w:link w:val="01Level2GreensubheadChar"/>
    <w:qFormat/>
    <w:rsid w:val="00AC29B3"/>
    <w:pPr>
      <w:spacing w:before="260" w:line="260" w:lineRule="exact"/>
    </w:pPr>
    <w:rPr>
      <w:rFonts w:ascii="Arial" w:eastAsia="Times" w:hAnsi="Arial" w:cs="Times New Roman"/>
      <w:b/>
      <w:color w:val="92D400"/>
      <w:sz w:val="20"/>
      <w:szCs w:val="24"/>
    </w:rPr>
  </w:style>
  <w:style w:type="character" w:customStyle="1" w:styleId="01Level2GreensubheadChar">
    <w:name w:val="01. Level 2 Green subhead Char"/>
    <w:link w:val="01Level2Greensubhead"/>
    <w:rsid w:val="00AC29B3"/>
    <w:rPr>
      <w:rFonts w:ascii="Arial" w:eastAsia="Times" w:hAnsi="Arial" w:cs="Times New Roman"/>
      <w:b/>
      <w:color w:val="92D400"/>
      <w:sz w:val="20"/>
      <w:szCs w:val="24"/>
      <w:lang w:val="en-US"/>
    </w:rPr>
  </w:style>
  <w:style w:type="paragraph" w:styleId="NormalWeb">
    <w:name w:val="Normal (Web)"/>
    <w:basedOn w:val="Normal"/>
    <w:uiPriority w:val="99"/>
    <w:semiHidden/>
    <w:unhideWhenUsed/>
    <w:rsid w:val="000152A0"/>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GridTable1Light1">
    <w:name w:val="Grid Table 1 Light1"/>
    <w:basedOn w:val="TableNormal"/>
    <w:uiPriority w:val="46"/>
    <w:rsid w:val="008629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64F03"/>
    <w:pPr>
      <w:spacing w:after="0" w:line="240" w:lineRule="auto"/>
    </w:p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paragraph" w:styleId="Revision">
    <w:name w:val="Revision"/>
    <w:hidden/>
    <w:uiPriority w:val="99"/>
    <w:semiHidden/>
    <w:rsid w:val="00527D17"/>
    <w:pPr>
      <w:spacing w:after="0" w:line="240" w:lineRule="auto"/>
    </w:pPr>
    <w:rPr>
      <w:sz w:val="18"/>
      <w:lang w:val="en-AU"/>
    </w:rPr>
  </w:style>
  <w:style w:type="paragraph" w:customStyle="1" w:styleId="subsection">
    <w:name w:val="subsection"/>
    <w:basedOn w:val="Normal"/>
    <w:rsid w:val="00074C0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760">
      <w:bodyDiv w:val="1"/>
      <w:marLeft w:val="0"/>
      <w:marRight w:val="0"/>
      <w:marTop w:val="0"/>
      <w:marBottom w:val="0"/>
      <w:divBdr>
        <w:top w:val="none" w:sz="0" w:space="0" w:color="auto"/>
        <w:left w:val="none" w:sz="0" w:space="0" w:color="auto"/>
        <w:bottom w:val="none" w:sz="0" w:space="0" w:color="auto"/>
        <w:right w:val="none" w:sz="0" w:space="0" w:color="auto"/>
      </w:divBdr>
    </w:div>
    <w:div w:id="72973764">
      <w:bodyDiv w:val="1"/>
      <w:marLeft w:val="0"/>
      <w:marRight w:val="0"/>
      <w:marTop w:val="0"/>
      <w:marBottom w:val="0"/>
      <w:divBdr>
        <w:top w:val="none" w:sz="0" w:space="0" w:color="auto"/>
        <w:left w:val="none" w:sz="0" w:space="0" w:color="auto"/>
        <w:bottom w:val="none" w:sz="0" w:space="0" w:color="auto"/>
        <w:right w:val="none" w:sz="0" w:space="0" w:color="auto"/>
      </w:divBdr>
    </w:div>
    <w:div w:id="111362136">
      <w:bodyDiv w:val="1"/>
      <w:marLeft w:val="0"/>
      <w:marRight w:val="0"/>
      <w:marTop w:val="0"/>
      <w:marBottom w:val="0"/>
      <w:divBdr>
        <w:top w:val="none" w:sz="0" w:space="0" w:color="auto"/>
        <w:left w:val="none" w:sz="0" w:space="0" w:color="auto"/>
        <w:bottom w:val="none" w:sz="0" w:space="0" w:color="auto"/>
        <w:right w:val="none" w:sz="0" w:space="0" w:color="auto"/>
      </w:divBdr>
      <w:divsChild>
        <w:div w:id="8069534">
          <w:marLeft w:val="274"/>
          <w:marRight w:val="0"/>
          <w:marTop w:val="0"/>
          <w:marBottom w:val="0"/>
          <w:divBdr>
            <w:top w:val="none" w:sz="0" w:space="0" w:color="auto"/>
            <w:left w:val="none" w:sz="0" w:space="0" w:color="auto"/>
            <w:bottom w:val="none" w:sz="0" w:space="0" w:color="auto"/>
            <w:right w:val="none" w:sz="0" w:space="0" w:color="auto"/>
          </w:divBdr>
        </w:div>
        <w:div w:id="273172113">
          <w:marLeft w:val="274"/>
          <w:marRight w:val="0"/>
          <w:marTop w:val="0"/>
          <w:marBottom w:val="0"/>
          <w:divBdr>
            <w:top w:val="none" w:sz="0" w:space="0" w:color="auto"/>
            <w:left w:val="none" w:sz="0" w:space="0" w:color="auto"/>
            <w:bottom w:val="none" w:sz="0" w:space="0" w:color="auto"/>
            <w:right w:val="none" w:sz="0" w:space="0" w:color="auto"/>
          </w:divBdr>
        </w:div>
        <w:div w:id="757601420">
          <w:marLeft w:val="274"/>
          <w:marRight w:val="0"/>
          <w:marTop w:val="0"/>
          <w:marBottom w:val="0"/>
          <w:divBdr>
            <w:top w:val="none" w:sz="0" w:space="0" w:color="auto"/>
            <w:left w:val="none" w:sz="0" w:space="0" w:color="auto"/>
            <w:bottom w:val="none" w:sz="0" w:space="0" w:color="auto"/>
            <w:right w:val="none" w:sz="0" w:space="0" w:color="auto"/>
          </w:divBdr>
        </w:div>
        <w:div w:id="857082878">
          <w:marLeft w:val="274"/>
          <w:marRight w:val="0"/>
          <w:marTop w:val="0"/>
          <w:marBottom w:val="0"/>
          <w:divBdr>
            <w:top w:val="none" w:sz="0" w:space="0" w:color="auto"/>
            <w:left w:val="none" w:sz="0" w:space="0" w:color="auto"/>
            <w:bottom w:val="none" w:sz="0" w:space="0" w:color="auto"/>
            <w:right w:val="none" w:sz="0" w:space="0" w:color="auto"/>
          </w:divBdr>
        </w:div>
        <w:div w:id="902373854">
          <w:marLeft w:val="274"/>
          <w:marRight w:val="0"/>
          <w:marTop w:val="0"/>
          <w:marBottom w:val="0"/>
          <w:divBdr>
            <w:top w:val="none" w:sz="0" w:space="0" w:color="auto"/>
            <w:left w:val="none" w:sz="0" w:space="0" w:color="auto"/>
            <w:bottom w:val="none" w:sz="0" w:space="0" w:color="auto"/>
            <w:right w:val="none" w:sz="0" w:space="0" w:color="auto"/>
          </w:divBdr>
        </w:div>
        <w:div w:id="1002586289">
          <w:marLeft w:val="274"/>
          <w:marRight w:val="0"/>
          <w:marTop w:val="0"/>
          <w:marBottom w:val="0"/>
          <w:divBdr>
            <w:top w:val="none" w:sz="0" w:space="0" w:color="auto"/>
            <w:left w:val="none" w:sz="0" w:space="0" w:color="auto"/>
            <w:bottom w:val="none" w:sz="0" w:space="0" w:color="auto"/>
            <w:right w:val="none" w:sz="0" w:space="0" w:color="auto"/>
          </w:divBdr>
        </w:div>
        <w:div w:id="1105079944">
          <w:marLeft w:val="274"/>
          <w:marRight w:val="0"/>
          <w:marTop w:val="0"/>
          <w:marBottom w:val="0"/>
          <w:divBdr>
            <w:top w:val="none" w:sz="0" w:space="0" w:color="auto"/>
            <w:left w:val="none" w:sz="0" w:space="0" w:color="auto"/>
            <w:bottom w:val="none" w:sz="0" w:space="0" w:color="auto"/>
            <w:right w:val="none" w:sz="0" w:space="0" w:color="auto"/>
          </w:divBdr>
        </w:div>
        <w:div w:id="1119956959">
          <w:marLeft w:val="274"/>
          <w:marRight w:val="0"/>
          <w:marTop w:val="0"/>
          <w:marBottom w:val="0"/>
          <w:divBdr>
            <w:top w:val="none" w:sz="0" w:space="0" w:color="auto"/>
            <w:left w:val="none" w:sz="0" w:space="0" w:color="auto"/>
            <w:bottom w:val="none" w:sz="0" w:space="0" w:color="auto"/>
            <w:right w:val="none" w:sz="0" w:space="0" w:color="auto"/>
          </w:divBdr>
        </w:div>
        <w:div w:id="1146434855">
          <w:marLeft w:val="274"/>
          <w:marRight w:val="0"/>
          <w:marTop w:val="0"/>
          <w:marBottom w:val="0"/>
          <w:divBdr>
            <w:top w:val="none" w:sz="0" w:space="0" w:color="auto"/>
            <w:left w:val="none" w:sz="0" w:space="0" w:color="auto"/>
            <w:bottom w:val="none" w:sz="0" w:space="0" w:color="auto"/>
            <w:right w:val="none" w:sz="0" w:space="0" w:color="auto"/>
          </w:divBdr>
        </w:div>
        <w:div w:id="1247811791">
          <w:marLeft w:val="274"/>
          <w:marRight w:val="0"/>
          <w:marTop w:val="0"/>
          <w:marBottom w:val="0"/>
          <w:divBdr>
            <w:top w:val="none" w:sz="0" w:space="0" w:color="auto"/>
            <w:left w:val="none" w:sz="0" w:space="0" w:color="auto"/>
            <w:bottom w:val="none" w:sz="0" w:space="0" w:color="auto"/>
            <w:right w:val="none" w:sz="0" w:space="0" w:color="auto"/>
          </w:divBdr>
        </w:div>
        <w:div w:id="1337149257">
          <w:marLeft w:val="274"/>
          <w:marRight w:val="0"/>
          <w:marTop w:val="0"/>
          <w:marBottom w:val="0"/>
          <w:divBdr>
            <w:top w:val="none" w:sz="0" w:space="0" w:color="auto"/>
            <w:left w:val="none" w:sz="0" w:space="0" w:color="auto"/>
            <w:bottom w:val="none" w:sz="0" w:space="0" w:color="auto"/>
            <w:right w:val="none" w:sz="0" w:space="0" w:color="auto"/>
          </w:divBdr>
        </w:div>
        <w:div w:id="1442067384">
          <w:marLeft w:val="274"/>
          <w:marRight w:val="0"/>
          <w:marTop w:val="0"/>
          <w:marBottom w:val="0"/>
          <w:divBdr>
            <w:top w:val="none" w:sz="0" w:space="0" w:color="auto"/>
            <w:left w:val="none" w:sz="0" w:space="0" w:color="auto"/>
            <w:bottom w:val="none" w:sz="0" w:space="0" w:color="auto"/>
            <w:right w:val="none" w:sz="0" w:space="0" w:color="auto"/>
          </w:divBdr>
        </w:div>
        <w:div w:id="1539929984">
          <w:marLeft w:val="274"/>
          <w:marRight w:val="0"/>
          <w:marTop w:val="0"/>
          <w:marBottom w:val="0"/>
          <w:divBdr>
            <w:top w:val="none" w:sz="0" w:space="0" w:color="auto"/>
            <w:left w:val="none" w:sz="0" w:space="0" w:color="auto"/>
            <w:bottom w:val="none" w:sz="0" w:space="0" w:color="auto"/>
            <w:right w:val="none" w:sz="0" w:space="0" w:color="auto"/>
          </w:divBdr>
        </w:div>
        <w:div w:id="1568760364">
          <w:marLeft w:val="274"/>
          <w:marRight w:val="0"/>
          <w:marTop w:val="0"/>
          <w:marBottom w:val="0"/>
          <w:divBdr>
            <w:top w:val="none" w:sz="0" w:space="0" w:color="auto"/>
            <w:left w:val="none" w:sz="0" w:space="0" w:color="auto"/>
            <w:bottom w:val="none" w:sz="0" w:space="0" w:color="auto"/>
            <w:right w:val="none" w:sz="0" w:space="0" w:color="auto"/>
          </w:divBdr>
        </w:div>
        <w:div w:id="1770807023">
          <w:marLeft w:val="274"/>
          <w:marRight w:val="0"/>
          <w:marTop w:val="0"/>
          <w:marBottom w:val="0"/>
          <w:divBdr>
            <w:top w:val="none" w:sz="0" w:space="0" w:color="auto"/>
            <w:left w:val="none" w:sz="0" w:space="0" w:color="auto"/>
            <w:bottom w:val="none" w:sz="0" w:space="0" w:color="auto"/>
            <w:right w:val="none" w:sz="0" w:space="0" w:color="auto"/>
          </w:divBdr>
        </w:div>
        <w:div w:id="1829710791">
          <w:marLeft w:val="274"/>
          <w:marRight w:val="0"/>
          <w:marTop w:val="0"/>
          <w:marBottom w:val="0"/>
          <w:divBdr>
            <w:top w:val="none" w:sz="0" w:space="0" w:color="auto"/>
            <w:left w:val="none" w:sz="0" w:space="0" w:color="auto"/>
            <w:bottom w:val="none" w:sz="0" w:space="0" w:color="auto"/>
            <w:right w:val="none" w:sz="0" w:space="0" w:color="auto"/>
          </w:divBdr>
        </w:div>
        <w:div w:id="1879584200">
          <w:marLeft w:val="274"/>
          <w:marRight w:val="0"/>
          <w:marTop w:val="0"/>
          <w:marBottom w:val="0"/>
          <w:divBdr>
            <w:top w:val="none" w:sz="0" w:space="0" w:color="auto"/>
            <w:left w:val="none" w:sz="0" w:space="0" w:color="auto"/>
            <w:bottom w:val="none" w:sz="0" w:space="0" w:color="auto"/>
            <w:right w:val="none" w:sz="0" w:space="0" w:color="auto"/>
          </w:divBdr>
        </w:div>
        <w:div w:id="1931742682">
          <w:marLeft w:val="274"/>
          <w:marRight w:val="0"/>
          <w:marTop w:val="0"/>
          <w:marBottom w:val="0"/>
          <w:divBdr>
            <w:top w:val="none" w:sz="0" w:space="0" w:color="auto"/>
            <w:left w:val="none" w:sz="0" w:space="0" w:color="auto"/>
            <w:bottom w:val="none" w:sz="0" w:space="0" w:color="auto"/>
            <w:right w:val="none" w:sz="0" w:space="0" w:color="auto"/>
          </w:divBdr>
        </w:div>
        <w:div w:id="2098164530">
          <w:marLeft w:val="274"/>
          <w:marRight w:val="0"/>
          <w:marTop w:val="0"/>
          <w:marBottom w:val="0"/>
          <w:divBdr>
            <w:top w:val="none" w:sz="0" w:space="0" w:color="auto"/>
            <w:left w:val="none" w:sz="0" w:space="0" w:color="auto"/>
            <w:bottom w:val="none" w:sz="0" w:space="0" w:color="auto"/>
            <w:right w:val="none" w:sz="0" w:space="0" w:color="auto"/>
          </w:divBdr>
        </w:div>
      </w:divsChild>
    </w:div>
    <w:div w:id="116030662">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05606105">
      <w:bodyDiv w:val="1"/>
      <w:marLeft w:val="0"/>
      <w:marRight w:val="0"/>
      <w:marTop w:val="0"/>
      <w:marBottom w:val="0"/>
      <w:divBdr>
        <w:top w:val="none" w:sz="0" w:space="0" w:color="auto"/>
        <w:left w:val="none" w:sz="0" w:space="0" w:color="auto"/>
        <w:bottom w:val="none" w:sz="0" w:space="0" w:color="auto"/>
        <w:right w:val="none" w:sz="0" w:space="0" w:color="auto"/>
      </w:divBdr>
    </w:div>
    <w:div w:id="209611643">
      <w:bodyDiv w:val="1"/>
      <w:marLeft w:val="0"/>
      <w:marRight w:val="0"/>
      <w:marTop w:val="0"/>
      <w:marBottom w:val="0"/>
      <w:divBdr>
        <w:top w:val="none" w:sz="0" w:space="0" w:color="auto"/>
        <w:left w:val="none" w:sz="0" w:space="0" w:color="auto"/>
        <w:bottom w:val="none" w:sz="0" w:space="0" w:color="auto"/>
        <w:right w:val="none" w:sz="0" w:space="0" w:color="auto"/>
      </w:divBdr>
    </w:div>
    <w:div w:id="214632484">
      <w:bodyDiv w:val="1"/>
      <w:marLeft w:val="0"/>
      <w:marRight w:val="0"/>
      <w:marTop w:val="0"/>
      <w:marBottom w:val="0"/>
      <w:divBdr>
        <w:top w:val="none" w:sz="0" w:space="0" w:color="auto"/>
        <w:left w:val="none" w:sz="0" w:space="0" w:color="auto"/>
        <w:bottom w:val="none" w:sz="0" w:space="0" w:color="auto"/>
        <w:right w:val="none" w:sz="0" w:space="0" w:color="auto"/>
      </w:divBdr>
    </w:div>
    <w:div w:id="224075202">
      <w:bodyDiv w:val="1"/>
      <w:marLeft w:val="0"/>
      <w:marRight w:val="0"/>
      <w:marTop w:val="0"/>
      <w:marBottom w:val="0"/>
      <w:divBdr>
        <w:top w:val="none" w:sz="0" w:space="0" w:color="auto"/>
        <w:left w:val="none" w:sz="0" w:space="0" w:color="auto"/>
        <w:bottom w:val="none" w:sz="0" w:space="0" w:color="auto"/>
        <w:right w:val="none" w:sz="0" w:space="0" w:color="auto"/>
      </w:divBdr>
    </w:div>
    <w:div w:id="251403129">
      <w:bodyDiv w:val="1"/>
      <w:marLeft w:val="0"/>
      <w:marRight w:val="0"/>
      <w:marTop w:val="0"/>
      <w:marBottom w:val="0"/>
      <w:divBdr>
        <w:top w:val="none" w:sz="0" w:space="0" w:color="auto"/>
        <w:left w:val="none" w:sz="0" w:space="0" w:color="auto"/>
        <w:bottom w:val="none" w:sz="0" w:space="0" w:color="auto"/>
        <w:right w:val="none" w:sz="0" w:space="0" w:color="auto"/>
      </w:divBdr>
      <w:divsChild>
        <w:div w:id="248580827">
          <w:marLeft w:val="274"/>
          <w:marRight w:val="0"/>
          <w:marTop w:val="120"/>
          <w:marBottom w:val="0"/>
          <w:divBdr>
            <w:top w:val="none" w:sz="0" w:space="0" w:color="auto"/>
            <w:left w:val="none" w:sz="0" w:space="0" w:color="auto"/>
            <w:bottom w:val="none" w:sz="0" w:space="0" w:color="auto"/>
            <w:right w:val="none" w:sz="0" w:space="0" w:color="auto"/>
          </w:divBdr>
        </w:div>
        <w:div w:id="672880576">
          <w:marLeft w:val="274"/>
          <w:marRight w:val="0"/>
          <w:marTop w:val="120"/>
          <w:marBottom w:val="0"/>
          <w:divBdr>
            <w:top w:val="none" w:sz="0" w:space="0" w:color="auto"/>
            <w:left w:val="none" w:sz="0" w:space="0" w:color="auto"/>
            <w:bottom w:val="none" w:sz="0" w:space="0" w:color="auto"/>
            <w:right w:val="none" w:sz="0" w:space="0" w:color="auto"/>
          </w:divBdr>
        </w:div>
      </w:divsChild>
    </w:div>
    <w:div w:id="278419833">
      <w:bodyDiv w:val="1"/>
      <w:marLeft w:val="0"/>
      <w:marRight w:val="0"/>
      <w:marTop w:val="0"/>
      <w:marBottom w:val="0"/>
      <w:divBdr>
        <w:top w:val="none" w:sz="0" w:space="0" w:color="auto"/>
        <w:left w:val="none" w:sz="0" w:space="0" w:color="auto"/>
        <w:bottom w:val="none" w:sz="0" w:space="0" w:color="auto"/>
        <w:right w:val="none" w:sz="0" w:space="0" w:color="auto"/>
      </w:divBdr>
    </w:div>
    <w:div w:id="280692847">
      <w:bodyDiv w:val="1"/>
      <w:marLeft w:val="0"/>
      <w:marRight w:val="0"/>
      <w:marTop w:val="0"/>
      <w:marBottom w:val="0"/>
      <w:divBdr>
        <w:top w:val="none" w:sz="0" w:space="0" w:color="auto"/>
        <w:left w:val="none" w:sz="0" w:space="0" w:color="auto"/>
        <w:bottom w:val="none" w:sz="0" w:space="0" w:color="auto"/>
        <w:right w:val="none" w:sz="0" w:space="0" w:color="auto"/>
      </w:divBdr>
    </w:div>
    <w:div w:id="291059405">
      <w:bodyDiv w:val="1"/>
      <w:marLeft w:val="0"/>
      <w:marRight w:val="0"/>
      <w:marTop w:val="0"/>
      <w:marBottom w:val="0"/>
      <w:divBdr>
        <w:top w:val="none" w:sz="0" w:space="0" w:color="auto"/>
        <w:left w:val="none" w:sz="0" w:space="0" w:color="auto"/>
        <w:bottom w:val="none" w:sz="0" w:space="0" w:color="auto"/>
        <w:right w:val="none" w:sz="0" w:space="0" w:color="auto"/>
      </w:divBdr>
      <w:divsChild>
        <w:div w:id="91780584">
          <w:marLeft w:val="274"/>
          <w:marRight w:val="0"/>
          <w:marTop w:val="0"/>
          <w:marBottom w:val="0"/>
          <w:divBdr>
            <w:top w:val="none" w:sz="0" w:space="0" w:color="auto"/>
            <w:left w:val="none" w:sz="0" w:space="0" w:color="auto"/>
            <w:bottom w:val="none" w:sz="0" w:space="0" w:color="auto"/>
            <w:right w:val="none" w:sz="0" w:space="0" w:color="auto"/>
          </w:divBdr>
        </w:div>
        <w:div w:id="97719972">
          <w:marLeft w:val="274"/>
          <w:marRight w:val="0"/>
          <w:marTop w:val="0"/>
          <w:marBottom w:val="0"/>
          <w:divBdr>
            <w:top w:val="none" w:sz="0" w:space="0" w:color="auto"/>
            <w:left w:val="none" w:sz="0" w:space="0" w:color="auto"/>
            <w:bottom w:val="none" w:sz="0" w:space="0" w:color="auto"/>
            <w:right w:val="none" w:sz="0" w:space="0" w:color="auto"/>
          </w:divBdr>
        </w:div>
        <w:div w:id="271396837">
          <w:marLeft w:val="274"/>
          <w:marRight w:val="0"/>
          <w:marTop w:val="0"/>
          <w:marBottom w:val="0"/>
          <w:divBdr>
            <w:top w:val="none" w:sz="0" w:space="0" w:color="auto"/>
            <w:left w:val="none" w:sz="0" w:space="0" w:color="auto"/>
            <w:bottom w:val="none" w:sz="0" w:space="0" w:color="auto"/>
            <w:right w:val="none" w:sz="0" w:space="0" w:color="auto"/>
          </w:divBdr>
        </w:div>
        <w:div w:id="350381412">
          <w:marLeft w:val="274"/>
          <w:marRight w:val="0"/>
          <w:marTop w:val="0"/>
          <w:marBottom w:val="0"/>
          <w:divBdr>
            <w:top w:val="none" w:sz="0" w:space="0" w:color="auto"/>
            <w:left w:val="none" w:sz="0" w:space="0" w:color="auto"/>
            <w:bottom w:val="none" w:sz="0" w:space="0" w:color="auto"/>
            <w:right w:val="none" w:sz="0" w:space="0" w:color="auto"/>
          </w:divBdr>
        </w:div>
        <w:div w:id="1002701605">
          <w:marLeft w:val="274"/>
          <w:marRight w:val="0"/>
          <w:marTop w:val="0"/>
          <w:marBottom w:val="0"/>
          <w:divBdr>
            <w:top w:val="none" w:sz="0" w:space="0" w:color="auto"/>
            <w:left w:val="none" w:sz="0" w:space="0" w:color="auto"/>
            <w:bottom w:val="none" w:sz="0" w:space="0" w:color="auto"/>
            <w:right w:val="none" w:sz="0" w:space="0" w:color="auto"/>
          </w:divBdr>
        </w:div>
        <w:div w:id="1015500045">
          <w:marLeft w:val="274"/>
          <w:marRight w:val="0"/>
          <w:marTop w:val="0"/>
          <w:marBottom w:val="0"/>
          <w:divBdr>
            <w:top w:val="none" w:sz="0" w:space="0" w:color="auto"/>
            <w:left w:val="none" w:sz="0" w:space="0" w:color="auto"/>
            <w:bottom w:val="none" w:sz="0" w:space="0" w:color="auto"/>
            <w:right w:val="none" w:sz="0" w:space="0" w:color="auto"/>
          </w:divBdr>
        </w:div>
        <w:div w:id="1149203869">
          <w:marLeft w:val="274"/>
          <w:marRight w:val="0"/>
          <w:marTop w:val="0"/>
          <w:marBottom w:val="0"/>
          <w:divBdr>
            <w:top w:val="none" w:sz="0" w:space="0" w:color="auto"/>
            <w:left w:val="none" w:sz="0" w:space="0" w:color="auto"/>
            <w:bottom w:val="none" w:sz="0" w:space="0" w:color="auto"/>
            <w:right w:val="none" w:sz="0" w:space="0" w:color="auto"/>
          </w:divBdr>
        </w:div>
        <w:div w:id="1180971295">
          <w:marLeft w:val="274"/>
          <w:marRight w:val="0"/>
          <w:marTop w:val="0"/>
          <w:marBottom w:val="0"/>
          <w:divBdr>
            <w:top w:val="none" w:sz="0" w:space="0" w:color="auto"/>
            <w:left w:val="none" w:sz="0" w:space="0" w:color="auto"/>
            <w:bottom w:val="none" w:sz="0" w:space="0" w:color="auto"/>
            <w:right w:val="none" w:sz="0" w:space="0" w:color="auto"/>
          </w:divBdr>
        </w:div>
        <w:div w:id="1250575922">
          <w:marLeft w:val="274"/>
          <w:marRight w:val="0"/>
          <w:marTop w:val="0"/>
          <w:marBottom w:val="0"/>
          <w:divBdr>
            <w:top w:val="none" w:sz="0" w:space="0" w:color="auto"/>
            <w:left w:val="none" w:sz="0" w:space="0" w:color="auto"/>
            <w:bottom w:val="none" w:sz="0" w:space="0" w:color="auto"/>
            <w:right w:val="none" w:sz="0" w:space="0" w:color="auto"/>
          </w:divBdr>
        </w:div>
        <w:div w:id="1454209947">
          <w:marLeft w:val="274"/>
          <w:marRight w:val="0"/>
          <w:marTop w:val="0"/>
          <w:marBottom w:val="0"/>
          <w:divBdr>
            <w:top w:val="none" w:sz="0" w:space="0" w:color="auto"/>
            <w:left w:val="none" w:sz="0" w:space="0" w:color="auto"/>
            <w:bottom w:val="none" w:sz="0" w:space="0" w:color="auto"/>
            <w:right w:val="none" w:sz="0" w:space="0" w:color="auto"/>
          </w:divBdr>
        </w:div>
        <w:div w:id="1669357805">
          <w:marLeft w:val="274"/>
          <w:marRight w:val="0"/>
          <w:marTop w:val="0"/>
          <w:marBottom w:val="0"/>
          <w:divBdr>
            <w:top w:val="none" w:sz="0" w:space="0" w:color="auto"/>
            <w:left w:val="none" w:sz="0" w:space="0" w:color="auto"/>
            <w:bottom w:val="none" w:sz="0" w:space="0" w:color="auto"/>
            <w:right w:val="none" w:sz="0" w:space="0" w:color="auto"/>
          </w:divBdr>
        </w:div>
        <w:div w:id="1723164921">
          <w:marLeft w:val="274"/>
          <w:marRight w:val="0"/>
          <w:marTop w:val="0"/>
          <w:marBottom w:val="0"/>
          <w:divBdr>
            <w:top w:val="none" w:sz="0" w:space="0" w:color="auto"/>
            <w:left w:val="none" w:sz="0" w:space="0" w:color="auto"/>
            <w:bottom w:val="none" w:sz="0" w:space="0" w:color="auto"/>
            <w:right w:val="none" w:sz="0" w:space="0" w:color="auto"/>
          </w:divBdr>
        </w:div>
        <w:div w:id="1824540202">
          <w:marLeft w:val="274"/>
          <w:marRight w:val="0"/>
          <w:marTop w:val="0"/>
          <w:marBottom w:val="0"/>
          <w:divBdr>
            <w:top w:val="none" w:sz="0" w:space="0" w:color="auto"/>
            <w:left w:val="none" w:sz="0" w:space="0" w:color="auto"/>
            <w:bottom w:val="none" w:sz="0" w:space="0" w:color="auto"/>
            <w:right w:val="none" w:sz="0" w:space="0" w:color="auto"/>
          </w:divBdr>
        </w:div>
        <w:div w:id="1953243697">
          <w:marLeft w:val="274"/>
          <w:marRight w:val="0"/>
          <w:marTop w:val="0"/>
          <w:marBottom w:val="0"/>
          <w:divBdr>
            <w:top w:val="none" w:sz="0" w:space="0" w:color="auto"/>
            <w:left w:val="none" w:sz="0" w:space="0" w:color="auto"/>
            <w:bottom w:val="none" w:sz="0" w:space="0" w:color="auto"/>
            <w:right w:val="none" w:sz="0" w:space="0" w:color="auto"/>
          </w:divBdr>
        </w:div>
        <w:div w:id="2018342270">
          <w:marLeft w:val="274"/>
          <w:marRight w:val="0"/>
          <w:marTop w:val="0"/>
          <w:marBottom w:val="0"/>
          <w:divBdr>
            <w:top w:val="none" w:sz="0" w:space="0" w:color="auto"/>
            <w:left w:val="none" w:sz="0" w:space="0" w:color="auto"/>
            <w:bottom w:val="none" w:sz="0" w:space="0" w:color="auto"/>
            <w:right w:val="none" w:sz="0" w:space="0" w:color="auto"/>
          </w:divBdr>
        </w:div>
        <w:div w:id="2065253903">
          <w:marLeft w:val="274"/>
          <w:marRight w:val="0"/>
          <w:marTop w:val="0"/>
          <w:marBottom w:val="0"/>
          <w:divBdr>
            <w:top w:val="none" w:sz="0" w:space="0" w:color="auto"/>
            <w:left w:val="none" w:sz="0" w:space="0" w:color="auto"/>
            <w:bottom w:val="none" w:sz="0" w:space="0" w:color="auto"/>
            <w:right w:val="none" w:sz="0" w:space="0" w:color="auto"/>
          </w:divBdr>
        </w:div>
      </w:divsChild>
    </w:div>
    <w:div w:id="300577467">
      <w:bodyDiv w:val="1"/>
      <w:marLeft w:val="0"/>
      <w:marRight w:val="0"/>
      <w:marTop w:val="0"/>
      <w:marBottom w:val="0"/>
      <w:divBdr>
        <w:top w:val="none" w:sz="0" w:space="0" w:color="auto"/>
        <w:left w:val="none" w:sz="0" w:space="0" w:color="auto"/>
        <w:bottom w:val="none" w:sz="0" w:space="0" w:color="auto"/>
        <w:right w:val="none" w:sz="0" w:space="0" w:color="auto"/>
      </w:divBdr>
    </w:div>
    <w:div w:id="343021241">
      <w:bodyDiv w:val="1"/>
      <w:marLeft w:val="0"/>
      <w:marRight w:val="0"/>
      <w:marTop w:val="0"/>
      <w:marBottom w:val="0"/>
      <w:divBdr>
        <w:top w:val="none" w:sz="0" w:space="0" w:color="auto"/>
        <w:left w:val="none" w:sz="0" w:space="0" w:color="auto"/>
        <w:bottom w:val="none" w:sz="0" w:space="0" w:color="auto"/>
        <w:right w:val="none" w:sz="0" w:space="0" w:color="auto"/>
      </w:divBdr>
      <w:divsChild>
        <w:div w:id="14501635">
          <w:marLeft w:val="274"/>
          <w:marRight w:val="0"/>
          <w:marTop w:val="0"/>
          <w:marBottom w:val="0"/>
          <w:divBdr>
            <w:top w:val="none" w:sz="0" w:space="0" w:color="auto"/>
            <w:left w:val="none" w:sz="0" w:space="0" w:color="auto"/>
            <w:bottom w:val="none" w:sz="0" w:space="0" w:color="auto"/>
            <w:right w:val="none" w:sz="0" w:space="0" w:color="auto"/>
          </w:divBdr>
        </w:div>
        <w:div w:id="27949298">
          <w:marLeft w:val="274"/>
          <w:marRight w:val="0"/>
          <w:marTop w:val="0"/>
          <w:marBottom w:val="0"/>
          <w:divBdr>
            <w:top w:val="none" w:sz="0" w:space="0" w:color="auto"/>
            <w:left w:val="none" w:sz="0" w:space="0" w:color="auto"/>
            <w:bottom w:val="none" w:sz="0" w:space="0" w:color="auto"/>
            <w:right w:val="none" w:sz="0" w:space="0" w:color="auto"/>
          </w:divBdr>
        </w:div>
        <w:div w:id="1953125403">
          <w:marLeft w:val="274"/>
          <w:marRight w:val="0"/>
          <w:marTop w:val="0"/>
          <w:marBottom w:val="0"/>
          <w:divBdr>
            <w:top w:val="none" w:sz="0" w:space="0" w:color="auto"/>
            <w:left w:val="none" w:sz="0" w:space="0" w:color="auto"/>
            <w:bottom w:val="none" w:sz="0" w:space="0" w:color="auto"/>
            <w:right w:val="none" w:sz="0" w:space="0" w:color="auto"/>
          </w:divBdr>
        </w:div>
      </w:divsChild>
    </w:div>
    <w:div w:id="352734900">
      <w:bodyDiv w:val="1"/>
      <w:marLeft w:val="0"/>
      <w:marRight w:val="0"/>
      <w:marTop w:val="0"/>
      <w:marBottom w:val="0"/>
      <w:divBdr>
        <w:top w:val="none" w:sz="0" w:space="0" w:color="auto"/>
        <w:left w:val="none" w:sz="0" w:space="0" w:color="auto"/>
        <w:bottom w:val="none" w:sz="0" w:space="0" w:color="auto"/>
        <w:right w:val="none" w:sz="0" w:space="0" w:color="auto"/>
      </w:divBdr>
      <w:divsChild>
        <w:div w:id="63112329">
          <w:marLeft w:val="274"/>
          <w:marRight w:val="0"/>
          <w:marTop w:val="120"/>
          <w:marBottom w:val="0"/>
          <w:divBdr>
            <w:top w:val="none" w:sz="0" w:space="0" w:color="auto"/>
            <w:left w:val="none" w:sz="0" w:space="0" w:color="auto"/>
            <w:bottom w:val="none" w:sz="0" w:space="0" w:color="auto"/>
            <w:right w:val="none" w:sz="0" w:space="0" w:color="auto"/>
          </w:divBdr>
        </w:div>
        <w:div w:id="1108039321">
          <w:marLeft w:val="274"/>
          <w:marRight w:val="0"/>
          <w:marTop w:val="120"/>
          <w:marBottom w:val="0"/>
          <w:divBdr>
            <w:top w:val="none" w:sz="0" w:space="0" w:color="auto"/>
            <w:left w:val="none" w:sz="0" w:space="0" w:color="auto"/>
            <w:bottom w:val="none" w:sz="0" w:space="0" w:color="auto"/>
            <w:right w:val="none" w:sz="0" w:space="0" w:color="auto"/>
          </w:divBdr>
        </w:div>
        <w:div w:id="1276215156">
          <w:marLeft w:val="274"/>
          <w:marRight w:val="0"/>
          <w:marTop w:val="120"/>
          <w:marBottom w:val="0"/>
          <w:divBdr>
            <w:top w:val="none" w:sz="0" w:space="0" w:color="auto"/>
            <w:left w:val="none" w:sz="0" w:space="0" w:color="auto"/>
            <w:bottom w:val="none" w:sz="0" w:space="0" w:color="auto"/>
            <w:right w:val="none" w:sz="0" w:space="0" w:color="auto"/>
          </w:divBdr>
        </w:div>
      </w:divsChild>
    </w:div>
    <w:div w:id="378629440">
      <w:bodyDiv w:val="1"/>
      <w:marLeft w:val="0"/>
      <w:marRight w:val="0"/>
      <w:marTop w:val="0"/>
      <w:marBottom w:val="0"/>
      <w:divBdr>
        <w:top w:val="none" w:sz="0" w:space="0" w:color="auto"/>
        <w:left w:val="none" w:sz="0" w:space="0" w:color="auto"/>
        <w:bottom w:val="none" w:sz="0" w:space="0" w:color="auto"/>
        <w:right w:val="none" w:sz="0" w:space="0" w:color="auto"/>
      </w:divBdr>
    </w:div>
    <w:div w:id="407308315">
      <w:bodyDiv w:val="1"/>
      <w:marLeft w:val="0"/>
      <w:marRight w:val="0"/>
      <w:marTop w:val="0"/>
      <w:marBottom w:val="0"/>
      <w:divBdr>
        <w:top w:val="none" w:sz="0" w:space="0" w:color="auto"/>
        <w:left w:val="none" w:sz="0" w:space="0" w:color="auto"/>
        <w:bottom w:val="none" w:sz="0" w:space="0" w:color="auto"/>
        <w:right w:val="none" w:sz="0" w:space="0" w:color="auto"/>
      </w:divBdr>
    </w:div>
    <w:div w:id="419105941">
      <w:bodyDiv w:val="1"/>
      <w:marLeft w:val="0"/>
      <w:marRight w:val="0"/>
      <w:marTop w:val="0"/>
      <w:marBottom w:val="0"/>
      <w:divBdr>
        <w:top w:val="none" w:sz="0" w:space="0" w:color="auto"/>
        <w:left w:val="none" w:sz="0" w:space="0" w:color="auto"/>
        <w:bottom w:val="none" w:sz="0" w:space="0" w:color="auto"/>
        <w:right w:val="none" w:sz="0" w:space="0" w:color="auto"/>
      </w:divBdr>
    </w:div>
    <w:div w:id="441460810">
      <w:bodyDiv w:val="1"/>
      <w:marLeft w:val="0"/>
      <w:marRight w:val="0"/>
      <w:marTop w:val="0"/>
      <w:marBottom w:val="0"/>
      <w:divBdr>
        <w:top w:val="none" w:sz="0" w:space="0" w:color="auto"/>
        <w:left w:val="none" w:sz="0" w:space="0" w:color="auto"/>
        <w:bottom w:val="none" w:sz="0" w:space="0" w:color="auto"/>
        <w:right w:val="none" w:sz="0" w:space="0" w:color="auto"/>
      </w:divBdr>
    </w:div>
    <w:div w:id="501312937">
      <w:bodyDiv w:val="1"/>
      <w:marLeft w:val="0"/>
      <w:marRight w:val="0"/>
      <w:marTop w:val="0"/>
      <w:marBottom w:val="0"/>
      <w:divBdr>
        <w:top w:val="none" w:sz="0" w:space="0" w:color="auto"/>
        <w:left w:val="none" w:sz="0" w:space="0" w:color="auto"/>
        <w:bottom w:val="none" w:sz="0" w:space="0" w:color="auto"/>
        <w:right w:val="none" w:sz="0" w:space="0" w:color="auto"/>
      </w:divBdr>
    </w:div>
    <w:div w:id="506673949">
      <w:bodyDiv w:val="1"/>
      <w:marLeft w:val="0"/>
      <w:marRight w:val="0"/>
      <w:marTop w:val="0"/>
      <w:marBottom w:val="0"/>
      <w:divBdr>
        <w:top w:val="none" w:sz="0" w:space="0" w:color="auto"/>
        <w:left w:val="none" w:sz="0" w:space="0" w:color="auto"/>
        <w:bottom w:val="none" w:sz="0" w:space="0" w:color="auto"/>
        <w:right w:val="none" w:sz="0" w:space="0" w:color="auto"/>
      </w:divBdr>
      <w:divsChild>
        <w:div w:id="98988639">
          <w:marLeft w:val="144"/>
          <w:marRight w:val="0"/>
          <w:marTop w:val="0"/>
          <w:marBottom w:val="0"/>
          <w:divBdr>
            <w:top w:val="none" w:sz="0" w:space="0" w:color="auto"/>
            <w:left w:val="none" w:sz="0" w:space="0" w:color="auto"/>
            <w:bottom w:val="none" w:sz="0" w:space="0" w:color="auto"/>
            <w:right w:val="none" w:sz="0" w:space="0" w:color="auto"/>
          </w:divBdr>
        </w:div>
        <w:div w:id="450901449">
          <w:marLeft w:val="144"/>
          <w:marRight w:val="0"/>
          <w:marTop w:val="0"/>
          <w:marBottom w:val="0"/>
          <w:divBdr>
            <w:top w:val="none" w:sz="0" w:space="0" w:color="auto"/>
            <w:left w:val="none" w:sz="0" w:space="0" w:color="auto"/>
            <w:bottom w:val="none" w:sz="0" w:space="0" w:color="auto"/>
            <w:right w:val="none" w:sz="0" w:space="0" w:color="auto"/>
          </w:divBdr>
        </w:div>
        <w:div w:id="630745331">
          <w:marLeft w:val="144"/>
          <w:marRight w:val="0"/>
          <w:marTop w:val="0"/>
          <w:marBottom w:val="0"/>
          <w:divBdr>
            <w:top w:val="none" w:sz="0" w:space="0" w:color="auto"/>
            <w:left w:val="none" w:sz="0" w:space="0" w:color="auto"/>
            <w:bottom w:val="none" w:sz="0" w:space="0" w:color="auto"/>
            <w:right w:val="none" w:sz="0" w:space="0" w:color="auto"/>
          </w:divBdr>
        </w:div>
        <w:div w:id="1046560536">
          <w:marLeft w:val="144"/>
          <w:marRight w:val="0"/>
          <w:marTop w:val="0"/>
          <w:marBottom w:val="0"/>
          <w:divBdr>
            <w:top w:val="none" w:sz="0" w:space="0" w:color="auto"/>
            <w:left w:val="none" w:sz="0" w:space="0" w:color="auto"/>
            <w:bottom w:val="none" w:sz="0" w:space="0" w:color="auto"/>
            <w:right w:val="none" w:sz="0" w:space="0" w:color="auto"/>
          </w:divBdr>
        </w:div>
        <w:div w:id="1373649271">
          <w:marLeft w:val="144"/>
          <w:marRight w:val="0"/>
          <w:marTop w:val="0"/>
          <w:marBottom w:val="0"/>
          <w:divBdr>
            <w:top w:val="none" w:sz="0" w:space="0" w:color="auto"/>
            <w:left w:val="none" w:sz="0" w:space="0" w:color="auto"/>
            <w:bottom w:val="none" w:sz="0" w:space="0" w:color="auto"/>
            <w:right w:val="none" w:sz="0" w:space="0" w:color="auto"/>
          </w:divBdr>
        </w:div>
        <w:div w:id="1671638033">
          <w:marLeft w:val="144"/>
          <w:marRight w:val="0"/>
          <w:marTop w:val="0"/>
          <w:marBottom w:val="0"/>
          <w:divBdr>
            <w:top w:val="none" w:sz="0" w:space="0" w:color="auto"/>
            <w:left w:val="none" w:sz="0" w:space="0" w:color="auto"/>
            <w:bottom w:val="none" w:sz="0" w:space="0" w:color="auto"/>
            <w:right w:val="none" w:sz="0" w:space="0" w:color="auto"/>
          </w:divBdr>
        </w:div>
        <w:div w:id="1989673674">
          <w:marLeft w:val="144"/>
          <w:marRight w:val="0"/>
          <w:marTop w:val="0"/>
          <w:marBottom w:val="0"/>
          <w:divBdr>
            <w:top w:val="none" w:sz="0" w:space="0" w:color="auto"/>
            <w:left w:val="none" w:sz="0" w:space="0" w:color="auto"/>
            <w:bottom w:val="none" w:sz="0" w:space="0" w:color="auto"/>
            <w:right w:val="none" w:sz="0" w:space="0" w:color="auto"/>
          </w:divBdr>
        </w:div>
        <w:div w:id="1997612799">
          <w:marLeft w:val="144"/>
          <w:marRight w:val="0"/>
          <w:marTop w:val="0"/>
          <w:marBottom w:val="0"/>
          <w:divBdr>
            <w:top w:val="none" w:sz="0" w:space="0" w:color="auto"/>
            <w:left w:val="none" w:sz="0" w:space="0" w:color="auto"/>
            <w:bottom w:val="none" w:sz="0" w:space="0" w:color="auto"/>
            <w:right w:val="none" w:sz="0" w:space="0" w:color="auto"/>
          </w:divBdr>
        </w:div>
        <w:div w:id="2135368844">
          <w:marLeft w:val="144"/>
          <w:marRight w:val="0"/>
          <w:marTop w:val="0"/>
          <w:marBottom w:val="0"/>
          <w:divBdr>
            <w:top w:val="none" w:sz="0" w:space="0" w:color="auto"/>
            <w:left w:val="none" w:sz="0" w:space="0" w:color="auto"/>
            <w:bottom w:val="none" w:sz="0" w:space="0" w:color="auto"/>
            <w:right w:val="none" w:sz="0" w:space="0" w:color="auto"/>
          </w:divBdr>
        </w:div>
      </w:divsChild>
    </w:div>
    <w:div w:id="512306693">
      <w:bodyDiv w:val="1"/>
      <w:marLeft w:val="0"/>
      <w:marRight w:val="0"/>
      <w:marTop w:val="0"/>
      <w:marBottom w:val="0"/>
      <w:divBdr>
        <w:top w:val="none" w:sz="0" w:space="0" w:color="auto"/>
        <w:left w:val="none" w:sz="0" w:space="0" w:color="auto"/>
        <w:bottom w:val="none" w:sz="0" w:space="0" w:color="auto"/>
        <w:right w:val="none" w:sz="0" w:space="0" w:color="auto"/>
      </w:divBdr>
    </w:div>
    <w:div w:id="553779777">
      <w:bodyDiv w:val="1"/>
      <w:marLeft w:val="0"/>
      <w:marRight w:val="0"/>
      <w:marTop w:val="0"/>
      <w:marBottom w:val="0"/>
      <w:divBdr>
        <w:top w:val="none" w:sz="0" w:space="0" w:color="auto"/>
        <w:left w:val="none" w:sz="0" w:space="0" w:color="auto"/>
        <w:bottom w:val="none" w:sz="0" w:space="0" w:color="auto"/>
        <w:right w:val="none" w:sz="0" w:space="0" w:color="auto"/>
      </w:divBdr>
    </w:div>
    <w:div w:id="580529149">
      <w:bodyDiv w:val="1"/>
      <w:marLeft w:val="0"/>
      <w:marRight w:val="0"/>
      <w:marTop w:val="0"/>
      <w:marBottom w:val="0"/>
      <w:divBdr>
        <w:top w:val="none" w:sz="0" w:space="0" w:color="auto"/>
        <w:left w:val="none" w:sz="0" w:space="0" w:color="auto"/>
        <w:bottom w:val="none" w:sz="0" w:space="0" w:color="auto"/>
        <w:right w:val="none" w:sz="0" w:space="0" w:color="auto"/>
      </w:divBdr>
    </w:div>
    <w:div w:id="613246943">
      <w:bodyDiv w:val="1"/>
      <w:marLeft w:val="0"/>
      <w:marRight w:val="0"/>
      <w:marTop w:val="0"/>
      <w:marBottom w:val="0"/>
      <w:divBdr>
        <w:top w:val="none" w:sz="0" w:space="0" w:color="auto"/>
        <w:left w:val="none" w:sz="0" w:space="0" w:color="auto"/>
        <w:bottom w:val="none" w:sz="0" w:space="0" w:color="auto"/>
        <w:right w:val="none" w:sz="0" w:space="0" w:color="auto"/>
      </w:divBdr>
    </w:div>
    <w:div w:id="669217935">
      <w:bodyDiv w:val="1"/>
      <w:marLeft w:val="0"/>
      <w:marRight w:val="0"/>
      <w:marTop w:val="0"/>
      <w:marBottom w:val="0"/>
      <w:divBdr>
        <w:top w:val="none" w:sz="0" w:space="0" w:color="auto"/>
        <w:left w:val="none" w:sz="0" w:space="0" w:color="auto"/>
        <w:bottom w:val="none" w:sz="0" w:space="0" w:color="auto"/>
        <w:right w:val="none" w:sz="0" w:space="0" w:color="auto"/>
      </w:divBdr>
      <w:divsChild>
        <w:div w:id="26026553">
          <w:marLeft w:val="547"/>
          <w:marRight w:val="0"/>
          <w:marTop w:val="0"/>
          <w:marBottom w:val="200"/>
          <w:divBdr>
            <w:top w:val="none" w:sz="0" w:space="0" w:color="auto"/>
            <w:left w:val="none" w:sz="0" w:space="0" w:color="auto"/>
            <w:bottom w:val="none" w:sz="0" w:space="0" w:color="auto"/>
            <w:right w:val="none" w:sz="0" w:space="0" w:color="auto"/>
          </w:divBdr>
        </w:div>
        <w:div w:id="623922575">
          <w:marLeft w:val="274"/>
          <w:marRight w:val="0"/>
          <w:marTop w:val="0"/>
          <w:marBottom w:val="200"/>
          <w:divBdr>
            <w:top w:val="none" w:sz="0" w:space="0" w:color="auto"/>
            <w:left w:val="none" w:sz="0" w:space="0" w:color="auto"/>
            <w:bottom w:val="none" w:sz="0" w:space="0" w:color="auto"/>
            <w:right w:val="none" w:sz="0" w:space="0" w:color="auto"/>
          </w:divBdr>
        </w:div>
        <w:div w:id="1221598561">
          <w:marLeft w:val="274"/>
          <w:marRight w:val="0"/>
          <w:marTop w:val="0"/>
          <w:marBottom w:val="200"/>
          <w:divBdr>
            <w:top w:val="none" w:sz="0" w:space="0" w:color="auto"/>
            <w:left w:val="none" w:sz="0" w:space="0" w:color="auto"/>
            <w:bottom w:val="none" w:sz="0" w:space="0" w:color="auto"/>
            <w:right w:val="none" w:sz="0" w:space="0" w:color="auto"/>
          </w:divBdr>
        </w:div>
        <w:div w:id="1439906272">
          <w:marLeft w:val="547"/>
          <w:marRight w:val="0"/>
          <w:marTop w:val="0"/>
          <w:marBottom w:val="200"/>
          <w:divBdr>
            <w:top w:val="none" w:sz="0" w:space="0" w:color="auto"/>
            <w:left w:val="none" w:sz="0" w:space="0" w:color="auto"/>
            <w:bottom w:val="none" w:sz="0" w:space="0" w:color="auto"/>
            <w:right w:val="none" w:sz="0" w:space="0" w:color="auto"/>
          </w:divBdr>
        </w:div>
        <w:div w:id="1467695496">
          <w:marLeft w:val="547"/>
          <w:marRight w:val="0"/>
          <w:marTop w:val="0"/>
          <w:marBottom w:val="200"/>
          <w:divBdr>
            <w:top w:val="none" w:sz="0" w:space="0" w:color="auto"/>
            <w:left w:val="none" w:sz="0" w:space="0" w:color="auto"/>
            <w:bottom w:val="none" w:sz="0" w:space="0" w:color="auto"/>
            <w:right w:val="none" w:sz="0" w:space="0" w:color="auto"/>
          </w:divBdr>
        </w:div>
        <w:div w:id="1576087590">
          <w:marLeft w:val="274"/>
          <w:marRight w:val="0"/>
          <w:marTop w:val="0"/>
          <w:marBottom w:val="200"/>
          <w:divBdr>
            <w:top w:val="none" w:sz="0" w:space="0" w:color="auto"/>
            <w:left w:val="none" w:sz="0" w:space="0" w:color="auto"/>
            <w:bottom w:val="none" w:sz="0" w:space="0" w:color="auto"/>
            <w:right w:val="none" w:sz="0" w:space="0" w:color="auto"/>
          </w:divBdr>
        </w:div>
        <w:div w:id="1754008010">
          <w:marLeft w:val="274"/>
          <w:marRight w:val="0"/>
          <w:marTop w:val="0"/>
          <w:marBottom w:val="200"/>
          <w:divBdr>
            <w:top w:val="none" w:sz="0" w:space="0" w:color="auto"/>
            <w:left w:val="none" w:sz="0" w:space="0" w:color="auto"/>
            <w:bottom w:val="none" w:sz="0" w:space="0" w:color="auto"/>
            <w:right w:val="none" w:sz="0" w:space="0" w:color="auto"/>
          </w:divBdr>
        </w:div>
        <w:div w:id="1919746758">
          <w:marLeft w:val="274"/>
          <w:marRight w:val="0"/>
          <w:marTop w:val="0"/>
          <w:marBottom w:val="200"/>
          <w:divBdr>
            <w:top w:val="none" w:sz="0" w:space="0" w:color="auto"/>
            <w:left w:val="none" w:sz="0" w:space="0" w:color="auto"/>
            <w:bottom w:val="none" w:sz="0" w:space="0" w:color="auto"/>
            <w:right w:val="none" w:sz="0" w:space="0" w:color="auto"/>
          </w:divBdr>
        </w:div>
      </w:divsChild>
    </w:div>
    <w:div w:id="709258450">
      <w:bodyDiv w:val="1"/>
      <w:marLeft w:val="0"/>
      <w:marRight w:val="0"/>
      <w:marTop w:val="0"/>
      <w:marBottom w:val="0"/>
      <w:divBdr>
        <w:top w:val="none" w:sz="0" w:space="0" w:color="auto"/>
        <w:left w:val="none" w:sz="0" w:space="0" w:color="auto"/>
        <w:bottom w:val="none" w:sz="0" w:space="0" w:color="auto"/>
        <w:right w:val="none" w:sz="0" w:space="0" w:color="auto"/>
      </w:divBdr>
      <w:divsChild>
        <w:div w:id="376242190">
          <w:marLeft w:val="547"/>
          <w:marRight w:val="0"/>
          <w:marTop w:val="0"/>
          <w:marBottom w:val="200"/>
          <w:divBdr>
            <w:top w:val="none" w:sz="0" w:space="0" w:color="auto"/>
            <w:left w:val="none" w:sz="0" w:space="0" w:color="auto"/>
            <w:bottom w:val="none" w:sz="0" w:space="0" w:color="auto"/>
            <w:right w:val="none" w:sz="0" w:space="0" w:color="auto"/>
          </w:divBdr>
        </w:div>
        <w:div w:id="522474990">
          <w:marLeft w:val="274"/>
          <w:marRight w:val="0"/>
          <w:marTop w:val="0"/>
          <w:marBottom w:val="200"/>
          <w:divBdr>
            <w:top w:val="none" w:sz="0" w:space="0" w:color="auto"/>
            <w:left w:val="none" w:sz="0" w:space="0" w:color="auto"/>
            <w:bottom w:val="none" w:sz="0" w:space="0" w:color="auto"/>
            <w:right w:val="none" w:sz="0" w:space="0" w:color="auto"/>
          </w:divBdr>
        </w:div>
        <w:div w:id="878857430">
          <w:marLeft w:val="274"/>
          <w:marRight w:val="0"/>
          <w:marTop w:val="0"/>
          <w:marBottom w:val="200"/>
          <w:divBdr>
            <w:top w:val="none" w:sz="0" w:space="0" w:color="auto"/>
            <w:left w:val="none" w:sz="0" w:space="0" w:color="auto"/>
            <w:bottom w:val="none" w:sz="0" w:space="0" w:color="auto"/>
            <w:right w:val="none" w:sz="0" w:space="0" w:color="auto"/>
          </w:divBdr>
        </w:div>
        <w:div w:id="1009914419">
          <w:marLeft w:val="274"/>
          <w:marRight w:val="0"/>
          <w:marTop w:val="0"/>
          <w:marBottom w:val="200"/>
          <w:divBdr>
            <w:top w:val="none" w:sz="0" w:space="0" w:color="auto"/>
            <w:left w:val="none" w:sz="0" w:space="0" w:color="auto"/>
            <w:bottom w:val="none" w:sz="0" w:space="0" w:color="auto"/>
            <w:right w:val="none" w:sz="0" w:space="0" w:color="auto"/>
          </w:divBdr>
        </w:div>
        <w:div w:id="1501383120">
          <w:marLeft w:val="547"/>
          <w:marRight w:val="0"/>
          <w:marTop w:val="0"/>
          <w:marBottom w:val="200"/>
          <w:divBdr>
            <w:top w:val="none" w:sz="0" w:space="0" w:color="auto"/>
            <w:left w:val="none" w:sz="0" w:space="0" w:color="auto"/>
            <w:bottom w:val="none" w:sz="0" w:space="0" w:color="auto"/>
            <w:right w:val="none" w:sz="0" w:space="0" w:color="auto"/>
          </w:divBdr>
        </w:div>
        <w:div w:id="1524318494">
          <w:marLeft w:val="274"/>
          <w:marRight w:val="0"/>
          <w:marTop w:val="0"/>
          <w:marBottom w:val="200"/>
          <w:divBdr>
            <w:top w:val="none" w:sz="0" w:space="0" w:color="auto"/>
            <w:left w:val="none" w:sz="0" w:space="0" w:color="auto"/>
            <w:bottom w:val="none" w:sz="0" w:space="0" w:color="auto"/>
            <w:right w:val="none" w:sz="0" w:space="0" w:color="auto"/>
          </w:divBdr>
        </w:div>
        <w:div w:id="2040161979">
          <w:marLeft w:val="547"/>
          <w:marRight w:val="0"/>
          <w:marTop w:val="0"/>
          <w:marBottom w:val="200"/>
          <w:divBdr>
            <w:top w:val="none" w:sz="0" w:space="0" w:color="auto"/>
            <w:left w:val="none" w:sz="0" w:space="0" w:color="auto"/>
            <w:bottom w:val="none" w:sz="0" w:space="0" w:color="auto"/>
            <w:right w:val="none" w:sz="0" w:space="0" w:color="auto"/>
          </w:divBdr>
        </w:div>
        <w:div w:id="2073850341">
          <w:marLeft w:val="274"/>
          <w:marRight w:val="0"/>
          <w:marTop w:val="0"/>
          <w:marBottom w:val="200"/>
          <w:divBdr>
            <w:top w:val="none" w:sz="0" w:space="0" w:color="auto"/>
            <w:left w:val="none" w:sz="0" w:space="0" w:color="auto"/>
            <w:bottom w:val="none" w:sz="0" w:space="0" w:color="auto"/>
            <w:right w:val="none" w:sz="0" w:space="0" w:color="auto"/>
          </w:divBdr>
        </w:div>
      </w:divsChild>
    </w:div>
    <w:div w:id="714088902">
      <w:bodyDiv w:val="1"/>
      <w:marLeft w:val="0"/>
      <w:marRight w:val="0"/>
      <w:marTop w:val="0"/>
      <w:marBottom w:val="0"/>
      <w:divBdr>
        <w:top w:val="none" w:sz="0" w:space="0" w:color="auto"/>
        <w:left w:val="none" w:sz="0" w:space="0" w:color="auto"/>
        <w:bottom w:val="none" w:sz="0" w:space="0" w:color="auto"/>
        <w:right w:val="none" w:sz="0" w:space="0" w:color="auto"/>
      </w:divBdr>
    </w:div>
    <w:div w:id="720059536">
      <w:bodyDiv w:val="1"/>
      <w:marLeft w:val="0"/>
      <w:marRight w:val="0"/>
      <w:marTop w:val="0"/>
      <w:marBottom w:val="0"/>
      <w:divBdr>
        <w:top w:val="none" w:sz="0" w:space="0" w:color="auto"/>
        <w:left w:val="none" w:sz="0" w:space="0" w:color="auto"/>
        <w:bottom w:val="none" w:sz="0" w:space="0" w:color="auto"/>
        <w:right w:val="none" w:sz="0" w:space="0" w:color="auto"/>
      </w:divBdr>
      <w:divsChild>
        <w:div w:id="174156739">
          <w:marLeft w:val="274"/>
          <w:marRight w:val="0"/>
          <w:marTop w:val="0"/>
          <w:marBottom w:val="200"/>
          <w:divBdr>
            <w:top w:val="none" w:sz="0" w:space="0" w:color="auto"/>
            <w:left w:val="none" w:sz="0" w:space="0" w:color="auto"/>
            <w:bottom w:val="none" w:sz="0" w:space="0" w:color="auto"/>
            <w:right w:val="none" w:sz="0" w:space="0" w:color="auto"/>
          </w:divBdr>
        </w:div>
        <w:div w:id="1125582345">
          <w:marLeft w:val="274"/>
          <w:marRight w:val="0"/>
          <w:marTop w:val="0"/>
          <w:marBottom w:val="200"/>
          <w:divBdr>
            <w:top w:val="none" w:sz="0" w:space="0" w:color="auto"/>
            <w:left w:val="none" w:sz="0" w:space="0" w:color="auto"/>
            <w:bottom w:val="none" w:sz="0" w:space="0" w:color="auto"/>
            <w:right w:val="none" w:sz="0" w:space="0" w:color="auto"/>
          </w:divBdr>
        </w:div>
        <w:div w:id="1376155477">
          <w:marLeft w:val="274"/>
          <w:marRight w:val="0"/>
          <w:marTop w:val="0"/>
          <w:marBottom w:val="200"/>
          <w:divBdr>
            <w:top w:val="none" w:sz="0" w:space="0" w:color="auto"/>
            <w:left w:val="none" w:sz="0" w:space="0" w:color="auto"/>
            <w:bottom w:val="none" w:sz="0" w:space="0" w:color="auto"/>
            <w:right w:val="none" w:sz="0" w:space="0" w:color="auto"/>
          </w:divBdr>
        </w:div>
        <w:div w:id="1477064257">
          <w:marLeft w:val="274"/>
          <w:marRight w:val="0"/>
          <w:marTop w:val="0"/>
          <w:marBottom w:val="200"/>
          <w:divBdr>
            <w:top w:val="none" w:sz="0" w:space="0" w:color="auto"/>
            <w:left w:val="none" w:sz="0" w:space="0" w:color="auto"/>
            <w:bottom w:val="none" w:sz="0" w:space="0" w:color="auto"/>
            <w:right w:val="none" w:sz="0" w:space="0" w:color="auto"/>
          </w:divBdr>
        </w:div>
        <w:div w:id="1891453285">
          <w:marLeft w:val="274"/>
          <w:marRight w:val="0"/>
          <w:marTop w:val="0"/>
          <w:marBottom w:val="200"/>
          <w:divBdr>
            <w:top w:val="none" w:sz="0" w:space="0" w:color="auto"/>
            <w:left w:val="none" w:sz="0" w:space="0" w:color="auto"/>
            <w:bottom w:val="none" w:sz="0" w:space="0" w:color="auto"/>
            <w:right w:val="none" w:sz="0" w:space="0" w:color="auto"/>
          </w:divBdr>
        </w:div>
      </w:divsChild>
    </w:div>
    <w:div w:id="724455669">
      <w:bodyDiv w:val="1"/>
      <w:marLeft w:val="0"/>
      <w:marRight w:val="0"/>
      <w:marTop w:val="0"/>
      <w:marBottom w:val="0"/>
      <w:divBdr>
        <w:top w:val="none" w:sz="0" w:space="0" w:color="auto"/>
        <w:left w:val="none" w:sz="0" w:space="0" w:color="auto"/>
        <w:bottom w:val="none" w:sz="0" w:space="0" w:color="auto"/>
        <w:right w:val="none" w:sz="0" w:space="0" w:color="auto"/>
      </w:divBdr>
    </w:div>
    <w:div w:id="756749989">
      <w:bodyDiv w:val="1"/>
      <w:marLeft w:val="0"/>
      <w:marRight w:val="0"/>
      <w:marTop w:val="0"/>
      <w:marBottom w:val="0"/>
      <w:divBdr>
        <w:top w:val="none" w:sz="0" w:space="0" w:color="auto"/>
        <w:left w:val="none" w:sz="0" w:space="0" w:color="auto"/>
        <w:bottom w:val="none" w:sz="0" w:space="0" w:color="auto"/>
        <w:right w:val="none" w:sz="0" w:space="0" w:color="auto"/>
      </w:divBdr>
    </w:div>
    <w:div w:id="758791350">
      <w:bodyDiv w:val="1"/>
      <w:marLeft w:val="0"/>
      <w:marRight w:val="0"/>
      <w:marTop w:val="0"/>
      <w:marBottom w:val="0"/>
      <w:divBdr>
        <w:top w:val="none" w:sz="0" w:space="0" w:color="auto"/>
        <w:left w:val="none" w:sz="0" w:space="0" w:color="auto"/>
        <w:bottom w:val="none" w:sz="0" w:space="0" w:color="auto"/>
        <w:right w:val="none" w:sz="0" w:space="0" w:color="auto"/>
      </w:divBdr>
    </w:div>
    <w:div w:id="762188306">
      <w:bodyDiv w:val="1"/>
      <w:marLeft w:val="0"/>
      <w:marRight w:val="0"/>
      <w:marTop w:val="0"/>
      <w:marBottom w:val="0"/>
      <w:divBdr>
        <w:top w:val="none" w:sz="0" w:space="0" w:color="auto"/>
        <w:left w:val="none" w:sz="0" w:space="0" w:color="auto"/>
        <w:bottom w:val="none" w:sz="0" w:space="0" w:color="auto"/>
        <w:right w:val="none" w:sz="0" w:space="0" w:color="auto"/>
      </w:divBdr>
    </w:div>
    <w:div w:id="772280941">
      <w:bodyDiv w:val="1"/>
      <w:marLeft w:val="0"/>
      <w:marRight w:val="0"/>
      <w:marTop w:val="0"/>
      <w:marBottom w:val="0"/>
      <w:divBdr>
        <w:top w:val="none" w:sz="0" w:space="0" w:color="auto"/>
        <w:left w:val="none" w:sz="0" w:space="0" w:color="auto"/>
        <w:bottom w:val="none" w:sz="0" w:space="0" w:color="auto"/>
        <w:right w:val="none" w:sz="0" w:space="0" w:color="auto"/>
      </w:divBdr>
    </w:div>
    <w:div w:id="772553084">
      <w:bodyDiv w:val="1"/>
      <w:marLeft w:val="0"/>
      <w:marRight w:val="0"/>
      <w:marTop w:val="0"/>
      <w:marBottom w:val="0"/>
      <w:divBdr>
        <w:top w:val="none" w:sz="0" w:space="0" w:color="auto"/>
        <w:left w:val="none" w:sz="0" w:space="0" w:color="auto"/>
        <w:bottom w:val="none" w:sz="0" w:space="0" w:color="auto"/>
        <w:right w:val="none" w:sz="0" w:space="0" w:color="auto"/>
      </w:divBdr>
    </w:div>
    <w:div w:id="833305733">
      <w:bodyDiv w:val="1"/>
      <w:marLeft w:val="0"/>
      <w:marRight w:val="0"/>
      <w:marTop w:val="0"/>
      <w:marBottom w:val="0"/>
      <w:divBdr>
        <w:top w:val="none" w:sz="0" w:space="0" w:color="auto"/>
        <w:left w:val="none" w:sz="0" w:space="0" w:color="auto"/>
        <w:bottom w:val="none" w:sz="0" w:space="0" w:color="auto"/>
        <w:right w:val="none" w:sz="0" w:space="0" w:color="auto"/>
      </w:divBdr>
      <w:divsChild>
        <w:div w:id="186716129">
          <w:marLeft w:val="274"/>
          <w:marRight w:val="0"/>
          <w:marTop w:val="0"/>
          <w:marBottom w:val="200"/>
          <w:divBdr>
            <w:top w:val="none" w:sz="0" w:space="0" w:color="auto"/>
            <w:left w:val="none" w:sz="0" w:space="0" w:color="auto"/>
            <w:bottom w:val="none" w:sz="0" w:space="0" w:color="auto"/>
            <w:right w:val="none" w:sz="0" w:space="0" w:color="auto"/>
          </w:divBdr>
        </w:div>
        <w:div w:id="317461687">
          <w:marLeft w:val="274"/>
          <w:marRight w:val="0"/>
          <w:marTop w:val="0"/>
          <w:marBottom w:val="200"/>
          <w:divBdr>
            <w:top w:val="none" w:sz="0" w:space="0" w:color="auto"/>
            <w:left w:val="none" w:sz="0" w:space="0" w:color="auto"/>
            <w:bottom w:val="none" w:sz="0" w:space="0" w:color="auto"/>
            <w:right w:val="none" w:sz="0" w:space="0" w:color="auto"/>
          </w:divBdr>
        </w:div>
        <w:div w:id="703598237">
          <w:marLeft w:val="274"/>
          <w:marRight w:val="0"/>
          <w:marTop w:val="0"/>
          <w:marBottom w:val="200"/>
          <w:divBdr>
            <w:top w:val="none" w:sz="0" w:space="0" w:color="auto"/>
            <w:left w:val="none" w:sz="0" w:space="0" w:color="auto"/>
            <w:bottom w:val="none" w:sz="0" w:space="0" w:color="auto"/>
            <w:right w:val="none" w:sz="0" w:space="0" w:color="auto"/>
          </w:divBdr>
        </w:div>
        <w:div w:id="1176071483">
          <w:marLeft w:val="547"/>
          <w:marRight w:val="0"/>
          <w:marTop w:val="0"/>
          <w:marBottom w:val="200"/>
          <w:divBdr>
            <w:top w:val="none" w:sz="0" w:space="0" w:color="auto"/>
            <w:left w:val="none" w:sz="0" w:space="0" w:color="auto"/>
            <w:bottom w:val="none" w:sz="0" w:space="0" w:color="auto"/>
            <w:right w:val="none" w:sz="0" w:space="0" w:color="auto"/>
          </w:divBdr>
        </w:div>
        <w:div w:id="1181505601">
          <w:marLeft w:val="547"/>
          <w:marRight w:val="0"/>
          <w:marTop w:val="0"/>
          <w:marBottom w:val="200"/>
          <w:divBdr>
            <w:top w:val="none" w:sz="0" w:space="0" w:color="auto"/>
            <w:left w:val="none" w:sz="0" w:space="0" w:color="auto"/>
            <w:bottom w:val="none" w:sz="0" w:space="0" w:color="auto"/>
            <w:right w:val="none" w:sz="0" w:space="0" w:color="auto"/>
          </w:divBdr>
        </w:div>
        <w:div w:id="1448622280">
          <w:marLeft w:val="547"/>
          <w:marRight w:val="0"/>
          <w:marTop w:val="0"/>
          <w:marBottom w:val="200"/>
          <w:divBdr>
            <w:top w:val="none" w:sz="0" w:space="0" w:color="auto"/>
            <w:left w:val="none" w:sz="0" w:space="0" w:color="auto"/>
            <w:bottom w:val="none" w:sz="0" w:space="0" w:color="auto"/>
            <w:right w:val="none" w:sz="0" w:space="0" w:color="auto"/>
          </w:divBdr>
        </w:div>
        <w:div w:id="1635018926">
          <w:marLeft w:val="274"/>
          <w:marRight w:val="0"/>
          <w:marTop w:val="0"/>
          <w:marBottom w:val="200"/>
          <w:divBdr>
            <w:top w:val="none" w:sz="0" w:space="0" w:color="auto"/>
            <w:left w:val="none" w:sz="0" w:space="0" w:color="auto"/>
            <w:bottom w:val="none" w:sz="0" w:space="0" w:color="auto"/>
            <w:right w:val="none" w:sz="0" w:space="0" w:color="auto"/>
          </w:divBdr>
        </w:div>
        <w:div w:id="1938177946">
          <w:marLeft w:val="274"/>
          <w:marRight w:val="0"/>
          <w:marTop w:val="0"/>
          <w:marBottom w:val="200"/>
          <w:divBdr>
            <w:top w:val="none" w:sz="0" w:space="0" w:color="auto"/>
            <w:left w:val="none" w:sz="0" w:space="0" w:color="auto"/>
            <w:bottom w:val="none" w:sz="0" w:space="0" w:color="auto"/>
            <w:right w:val="none" w:sz="0" w:space="0" w:color="auto"/>
          </w:divBdr>
        </w:div>
      </w:divsChild>
    </w:div>
    <w:div w:id="863861093">
      <w:bodyDiv w:val="1"/>
      <w:marLeft w:val="0"/>
      <w:marRight w:val="0"/>
      <w:marTop w:val="0"/>
      <w:marBottom w:val="0"/>
      <w:divBdr>
        <w:top w:val="none" w:sz="0" w:space="0" w:color="auto"/>
        <w:left w:val="none" w:sz="0" w:space="0" w:color="auto"/>
        <w:bottom w:val="none" w:sz="0" w:space="0" w:color="auto"/>
        <w:right w:val="none" w:sz="0" w:space="0" w:color="auto"/>
      </w:divBdr>
    </w:div>
    <w:div w:id="864756060">
      <w:bodyDiv w:val="1"/>
      <w:marLeft w:val="0"/>
      <w:marRight w:val="0"/>
      <w:marTop w:val="0"/>
      <w:marBottom w:val="0"/>
      <w:divBdr>
        <w:top w:val="none" w:sz="0" w:space="0" w:color="auto"/>
        <w:left w:val="none" w:sz="0" w:space="0" w:color="auto"/>
        <w:bottom w:val="none" w:sz="0" w:space="0" w:color="auto"/>
        <w:right w:val="none" w:sz="0" w:space="0" w:color="auto"/>
      </w:divBdr>
    </w:div>
    <w:div w:id="878325586">
      <w:bodyDiv w:val="1"/>
      <w:marLeft w:val="0"/>
      <w:marRight w:val="0"/>
      <w:marTop w:val="0"/>
      <w:marBottom w:val="0"/>
      <w:divBdr>
        <w:top w:val="none" w:sz="0" w:space="0" w:color="auto"/>
        <w:left w:val="none" w:sz="0" w:space="0" w:color="auto"/>
        <w:bottom w:val="none" w:sz="0" w:space="0" w:color="auto"/>
        <w:right w:val="none" w:sz="0" w:space="0" w:color="auto"/>
      </w:divBdr>
    </w:div>
    <w:div w:id="931357479">
      <w:bodyDiv w:val="1"/>
      <w:marLeft w:val="0"/>
      <w:marRight w:val="0"/>
      <w:marTop w:val="0"/>
      <w:marBottom w:val="0"/>
      <w:divBdr>
        <w:top w:val="none" w:sz="0" w:space="0" w:color="auto"/>
        <w:left w:val="none" w:sz="0" w:space="0" w:color="auto"/>
        <w:bottom w:val="none" w:sz="0" w:space="0" w:color="auto"/>
        <w:right w:val="none" w:sz="0" w:space="0" w:color="auto"/>
      </w:divBdr>
    </w:div>
    <w:div w:id="984120792">
      <w:bodyDiv w:val="1"/>
      <w:marLeft w:val="0"/>
      <w:marRight w:val="0"/>
      <w:marTop w:val="0"/>
      <w:marBottom w:val="0"/>
      <w:divBdr>
        <w:top w:val="none" w:sz="0" w:space="0" w:color="auto"/>
        <w:left w:val="none" w:sz="0" w:space="0" w:color="auto"/>
        <w:bottom w:val="none" w:sz="0" w:space="0" w:color="auto"/>
        <w:right w:val="none" w:sz="0" w:space="0" w:color="auto"/>
      </w:divBdr>
    </w:div>
    <w:div w:id="986857384">
      <w:bodyDiv w:val="1"/>
      <w:marLeft w:val="0"/>
      <w:marRight w:val="0"/>
      <w:marTop w:val="0"/>
      <w:marBottom w:val="0"/>
      <w:divBdr>
        <w:top w:val="none" w:sz="0" w:space="0" w:color="auto"/>
        <w:left w:val="none" w:sz="0" w:space="0" w:color="auto"/>
        <w:bottom w:val="none" w:sz="0" w:space="0" w:color="auto"/>
        <w:right w:val="none" w:sz="0" w:space="0" w:color="auto"/>
      </w:divBdr>
      <w:divsChild>
        <w:div w:id="4022190">
          <w:marLeft w:val="274"/>
          <w:marRight w:val="0"/>
          <w:marTop w:val="0"/>
          <w:marBottom w:val="0"/>
          <w:divBdr>
            <w:top w:val="none" w:sz="0" w:space="0" w:color="auto"/>
            <w:left w:val="none" w:sz="0" w:space="0" w:color="auto"/>
            <w:bottom w:val="none" w:sz="0" w:space="0" w:color="auto"/>
            <w:right w:val="none" w:sz="0" w:space="0" w:color="auto"/>
          </w:divBdr>
        </w:div>
        <w:div w:id="187644426">
          <w:marLeft w:val="274"/>
          <w:marRight w:val="0"/>
          <w:marTop w:val="0"/>
          <w:marBottom w:val="0"/>
          <w:divBdr>
            <w:top w:val="none" w:sz="0" w:space="0" w:color="auto"/>
            <w:left w:val="none" w:sz="0" w:space="0" w:color="auto"/>
            <w:bottom w:val="none" w:sz="0" w:space="0" w:color="auto"/>
            <w:right w:val="none" w:sz="0" w:space="0" w:color="auto"/>
          </w:divBdr>
        </w:div>
        <w:div w:id="204566733">
          <w:marLeft w:val="274"/>
          <w:marRight w:val="0"/>
          <w:marTop w:val="0"/>
          <w:marBottom w:val="0"/>
          <w:divBdr>
            <w:top w:val="none" w:sz="0" w:space="0" w:color="auto"/>
            <w:left w:val="none" w:sz="0" w:space="0" w:color="auto"/>
            <w:bottom w:val="none" w:sz="0" w:space="0" w:color="auto"/>
            <w:right w:val="none" w:sz="0" w:space="0" w:color="auto"/>
          </w:divBdr>
        </w:div>
        <w:div w:id="461004846">
          <w:marLeft w:val="274"/>
          <w:marRight w:val="0"/>
          <w:marTop w:val="0"/>
          <w:marBottom w:val="0"/>
          <w:divBdr>
            <w:top w:val="none" w:sz="0" w:space="0" w:color="auto"/>
            <w:left w:val="none" w:sz="0" w:space="0" w:color="auto"/>
            <w:bottom w:val="none" w:sz="0" w:space="0" w:color="auto"/>
            <w:right w:val="none" w:sz="0" w:space="0" w:color="auto"/>
          </w:divBdr>
        </w:div>
        <w:div w:id="632952026">
          <w:marLeft w:val="274"/>
          <w:marRight w:val="0"/>
          <w:marTop w:val="0"/>
          <w:marBottom w:val="0"/>
          <w:divBdr>
            <w:top w:val="none" w:sz="0" w:space="0" w:color="auto"/>
            <w:left w:val="none" w:sz="0" w:space="0" w:color="auto"/>
            <w:bottom w:val="none" w:sz="0" w:space="0" w:color="auto"/>
            <w:right w:val="none" w:sz="0" w:space="0" w:color="auto"/>
          </w:divBdr>
        </w:div>
        <w:div w:id="714354796">
          <w:marLeft w:val="274"/>
          <w:marRight w:val="0"/>
          <w:marTop w:val="0"/>
          <w:marBottom w:val="0"/>
          <w:divBdr>
            <w:top w:val="none" w:sz="0" w:space="0" w:color="auto"/>
            <w:left w:val="none" w:sz="0" w:space="0" w:color="auto"/>
            <w:bottom w:val="none" w:sz="0" w:space="0" w:color="auto"/>
            <w:right w:val="none" w:sz="0" w:space="0" w:color="auto"/>
          </w:divBdr>
        </w:div>
        <w:div w:id="759135677">
          <w:marLeft w:val="274"/>
          <w:marRight w:val="0"/>
          <w:marTop w:val="0"/>
          <w:marBottom w:val="0"/>
          <w:divBdr>
            <w:top w:val="none" w:sz="0" w:space="0" w:color="auto"/>
            <w:left w:val="none" w:sz="0" w:space="0" w:color="auto"/>
            <w:bottom w:val="none" w:sz="0" w:space="0" w:color="auto"/>
            <w:right w:val="none" w:sz="0" w:space="0" w:color="auto"/>
          </w:divBdr>
        </w:div>
        <w:div w:id="820929937">
          <w:marLeft w:val="274"/>
          <w:marRight w:val="0"/>
          <w:marTop w:val="0"/>
          <w:marBottom w:val="0"/>
          <w:divBdr>
            <w:top w:val="none" w:sz="0" w:space="0" w:color="auto"/>
            <w:left w:val="none" w:sz="0" w:space="0" w:color="auto"/>
            <w:bottom w:val="none" w:sz="0" w:space="0" w:color="auto"/>
            <w:right w:val="none" w:sz="0" w:space="0" w:color="auto"/>
          </w:divBdr>
        </w:div>
        <w:div w:id="942683551">
          <w:marLeft w:val="274"/>
          <w:marRight w:val="0"/>
          <w:marTop w:val="0"/>
          <w:marBottom w:val="0"/>
          <w:divBdr>
            <w:top w:val="none" w:sz="0" w:space="0" w:color="auto"/>
            <w:left w:val="none" w:sz="0" w:space="0" w:color="auto"/>
            <w:bottom w:val="none" w:sz="0" w:space="0" w:color="auto"/>
            <w:right w:val="none" w:sz="0" w:space="0" w:color="auto"/>
          </w:divBdr>
        </w:div>
        <w:div w:id="972828314">
          <w:marLeft w:val="274"/>
          <w:marRight w:val="0"/>
          <w:marTop w:val="0"/>
          <w:marBottom w:val="0"/>
          <w:divBdr>
            <w:top w:val="none" w:sz="0" w:space="0" w:color="auto"/>
            <w:left w:val="none" w:sz="0" w:space="0" w:color="auto"/>
            <w:bottom w:val="none" w:sz="0" w:space="0" w:color="auto"/>
            <w:right w:val="none" w:sz="0" w:space="0" w:color="auto"/>
          </w:divBdr>
        </w:div>
        <w:div w:id="1000621253">
          <w:marLeft w:val="274"/>
          <w:marRight w:val="0"/>
          <w:marTop w:val="0"/>
          <w:marBottom w:val="0"/>
          <w:divBdr>
            <w:top w:val="none" w:sz="0" w:space="0" w:color="auto"/>
            <w:left w:val="none" w:sz="0" w:space="0" w:color="auto"/>
            <w:bottom w:val="none" w:sz="0" w:space="0" w:color="auto"/>
            <w:right w:val="none" w:sz="0" w:space="0" w:color="auto"/>
          </w:divBdr>
        </w:div>
        <w:div w:id="1154179545">
          <w:marLeft w:val="274"/>
          <w:marRight w:val="0"/>
          <w:marTop w:val="0"/>
          <w:marBottom w:val="0"/>
          <w:divBdr>
            <w:top w:val="none" w:sz="0" w:space="0" w:color="auto"/>
            <w:left w:val="none" w:sz="0" w:space="0" w:color="auto"/>
            <w:bottom w:val="none" w:sz="0" w:space="0" w:color="auto"/>
            <w:right w:val="none" w:sz="0" w:space="0" w:color="auto"/>
          </w:divBdr>
        </w:div>
        <w:div w:id="1183738436">
          <w:marLeft w:val="274"/>
          <w:marRight w:val="0"/>
          <w:marTop w:val="0"/>
          <w:marBottom w:val="0"/>
          <w:divBdr>
            <w:top w:val="none" w:sz="0" w:space="0" w:color="auto"/>
            <w:left w:val="none" w:sz="0" w:space="0" w:color="auto"/>
            <w:bottom w:val="none" w:sz="0" w:space="0" w:color="auto"/>
            <w:right w:val="none" w:sz="0" w:space="0" w:color="auto"/>
          </w:divBdr>
        </w:div>
        <w:div w:id="1317035201">
          <w:marLeft w:val="274"/>
          <w:marRight w:val="0"/>
          <w:marTop w:val="0"/>
          <w:marBottom w:val="0"/>
          <w:divBdr>
            <w:top w:val="none" w:sz="0" w:space="0" w:color="auto"/>
            <w:left w:val="none" w:sz="0" w:space="0" w:color="auto"/>
            <w:bottom w:val="none" w:sz="0" w:space="0" w:color="auto"/>
            <w:right w:val="none" w:sz="0" w:space="0" w:color="auto"/>
          </w:divBdr>
        </w:div>
        <w:div w:id="1483699766">
          <w:marLeft w:val="274"/>
          <w:marRight w:val="0"/>
          <w:marTop w:val="0"/>
          <w:marBottom w:val="0"/>
          <w:divBdr>
            <w:top w:val="none" w:sz="0" w:space="0" w:color="auto"/>
            <w:left w:val="none" w:sz="0" w:space="0" w:color="auto"/>
            <w:bottom w:val="none" w:sz="0" w:space="0" w:color="auto"/>
            <w:right w:val="none" w:sz="0" w:space="0" w:color="auto"/>
          </w:divBdr>
        </w:div>
        <w:div w:id="1519276182">
          <w:marLeft w:val="274"/>
          <w:marRight w:val="0"/>
          <w:marTop w:val="0"/>
          <w:marBottom w:val="0"/>
          <w:divBdr>
            <w:top w:val="none" w:sz="0" w:space="0" w:color="auto"/>
            <w:left w:val="none" w:sz="0" w:space="0" w:color="auto"/>
            <w:bottom w:val="none" w:sz="0" w:space="0" w:color="auto"/>
            <w:right w:val="none" w:sz="0" w:space="0" w:color="auto"/>
          </w:divBdr>
        </w:div>
        <w:div w:id="1647978403">
          <w:marLeft w:val="274"/>
          <w:marRight w:val="0"/>
          <w:marTop w:val="0"/>
          <w:marBottom w:val="0"/>
          <w:divBdr>
            <w:top w:val="none" w:sz="0" w:space="0" w:color="auto"/>
            <w:left w:val="none" w:sz="0" w:space="0" w:color="auto"/>
            <w:bottom w:val="none" w:sz="0" w:space="0" w:color="auto"/>
            <w:right w:val="none" w:sz="0" w:space="0" w:color="auto"/>
          </w:divBdr>
        </w:div>
        <w:div w:id="2084251737">
          <w:marLeft w:val="274"/>
          <w:marRight w:val="0"/>
          <w:marTop w:val="0"/>
          <w:marBottom w:val="0"/>
          <w:divBdr>
            <w:top w:val="none" w:sz="0" w:space="0" w:color="auto"/>
            <w:left w:val="none" w:sz="0" w:space="0" w:color="auto"/>
            <w:bottom w:val="none" w:sz="0" w:space="0" w:color="auto"/>
            <w:right w:val="none" w:sz="0" w:space="0" w:color="auto"/>
          </w:divBdr>
        </w:div>
        <w:div w:id="2113938405">
          <w:marLeft w:val="274"/>
          <w:marRight w:val="0"/>
          <w:marTop w:val="0"/>
          <w:marBottom w:val="0"/>
          <w:divBdr>
            <w:top w:val="none" w:sz="0" w:space="0" w:color="auto"/>
            <w:left w:val="none" w:sz="0" w:space="0" w:color="auto"/>
            <w:bottom w:val="none" w:sz="0" w:space="0" w:color="auto"/>
            <w:right w:val="none" w:sz="0" w:space="0" w:color="auto"/>
          </w:divBdr>
        </w:div>
      </w:divsChild>
    </w:div>
    <w:div w:id="1006516711">
      <w:bodyDiv w:val="1"/>
      <w:marLeft w:val="0"/>
      <w:marRight w:val="0"/>
      <w:marTop w:val="0"/>
      <w:marBottom w:val="0"/>
      <w:divBdr>
        <w:top w:val="none" w:sz="0" w:space="0" w:color="auto"/>
        <w:left w:val="none" w:sz="0" w:space="0" w:color="auto"/>
        <w:bottom w:val="none" w:sz="0" w:space="0" w:color="auto"/>
        <w:right w:val="none" w:sz="0" w:space="0" w:color="auto"/>
      </w:divBdr>
    </w:div>
    <w:div w:id="1014722893">
      <w:bodyDiv w:val="1"/>
      <w:marLeft w:val="0"/>
      <w:marRight w:val="0"/>
      <w:marTop w:val="0"/>
      <w:marBottom w:val="0"/>
      <w:divBdr>
        <w:top w:val="none" w:sz="0" w:space="0" w:color="auto"/>
        <w:left w:val="none" w:sz="0" w:space="0" w:color="auto"/>
        <w:bottom w:val="none" w:sz="0" w:space="0" w:color="auto"/>
        <w:right w:val="none" w:sz="0" w:space="0" w:color="auto"/>
      </w:divBdr>
    </w:div>
    <w:div w:id="1034888052">
      <w:bodyDiv w:val="1"/>
      <w:marLeft w:val="0"/>
      <w:marRight w:val="0"/>
      <w:marTop w:val="0"/>
      <w:marBottom w:val="0"/>
      <w:divBdr>
        <w:top w:val="none" w:sz="0" w:space="0" w:color="auto"/>
        <w:left w:val="none" w:sz="0" w:space="0" w:color="auto"/>
        <w:bottom w:val="none" w:sz="0" w:space="0" w:color="auto"/>
        <w:right w:val="none" w:sz="0" w:space="0" w:color="auto"/>
      </w:divBdr>
    </w:div>
    <w:div w:id="1050301536">
      <w:bodyDiv w:val="1"/>
      <w:marLeft w:val="0"/>
      <w:marRight w:val="0"/>
      <w:marTop w:val="0"/>
      <w:marBottom w:val="0"/>
      <w:divBdr>
        <w:top w:val="none" w:sz="0" w:space="0" w:color="auto"/>
        <w:left w:val="none" w:sz="0" w:space="0" w:color="auto"/>
        <w:bottom w:val="none" w:sz="0" w:space="0" w:color="auto"/>
        <w:right w:val="none" w:sz="0" w:space="0" w:color="auto"/>
      </w:divBdr>
    </w:div>
    <w:div w:id="1075131496">
      <w:bodyDiv w:val="1"/>
      <w:marLeft w:val="0"/>
      <w:marRight w:val="0"/>
      <w:marTop w:val="0"/>
      <w:marBottom w:val="0"/>
      <w:divBdr>
        <w:top w:val="none" w:sz="0" w:space="0" w:color="auto"/>
        <w:left w:val="none" w:sz="0" w:space="0" w:color="auto"/>
        <w:bottom w:val="none" w:sz="0" w:space="0" w:color="auto"/>
        <w:right w:val="none" w:sz="0" w:space="0" w:color="auto"/>
      </w:divBdr>
    </w:div>
    <w:div w:id="1082679320">
      <w:bodyDiv w:val="1"/>
      <w:marLeft w:val="0"/>
      <w:marRight w:val="0"/>
      <w:marTop w:val="0"/>
      <w:marBottom w:val="0"/>
      <w:divBdr>
        <w:top w:val="none" w:sz="0" w:space="0" w:color="auto"/>
        <w:left w:val="none" w:sz="0" w:space="0" w:color="auto"/>
        <w:bottom w:val="none" w:sz="0" w:space="0" w:color="auto"/>
        <w:right w:val="none" w:sz="0" w:space="0" w:color="auto"/>
      </w:divBdr>
      <w:divsChild>
        <w:div w:id="398989688">
          <w:marLeft w:val="274"/>
          <w:marRight w:val="0"/>
          <w:marTop w:val="120"/>
          <w:marBottom w:val="0"/>
          <w:divBdr>
            <w:top w:val="none" w:sz="0" w:space="0" w:color="auto"/>
            <w:left w:val="none" w:sz="0" w:space="0" w:color="auto"/>
            <w:bottom w:val="none" w:sz="0" w:space="0" w:color="auto"/>
            <w:right w:val="none" w:sz="0" w:space="0" w:color="auto"/>
          </w:divBdr>
        </w:div>
        <w:div w:id="551815727">
          <w:marLeft w:val="274"/>
          <w:marRight w:val="0"/>
          <w:marTop w:val="120"/>
          <w:marBottom w:val="0"/>
          <w:divBdr>
            <w:top w:val="none" w:sz="0" w:space="0" w:color="auto"/>
            <w:left w:val="none" w:sz="0" w:space="0" w:color="auto"/>
            <w:bottom w:val="none" w:sz="0" w:space="0" w:color="auto"/>
            <w:right w:val="none" w:sz="0" w:space="0" w:color="auto"/>
          </w:divBdr>
        </w:div>
        <w:div w:id="1796024935">
          <w:marLeft w:val="274"/>
          <w:marRight w:val="0"/>
          <w:marTop w:val="120"/>
          <w:marBottom w:val="0"/>
          <w:divBdr>
            <w:top w:val="none" w:sz="0" w:space="0" w:color="auto"/>
            <w:left w:val="none" w:sz="0" w:space="0" w:color="auto"/>
            <w:bottom w:val="none" w:sz="0" w:space="0" w:color="auto"/>
            <w:right w:val="none" w:sz="0" w:space="0" w:color="auto"/>
          </w:divBdr>
        </w:div>
      </w:divsChild>
    </w:div>
    <w:div w:id="1082875147">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274"/>
          <w:marRight w:val="0"/>
          <w:marTop w:val="0"/>
          <w:marBottom w:val="0"/>
          <w:divBdr>
            <w:top w:val="none" w:sz="0" w:space="0" w:color="auto"/>
            <w:left w:val="none" w:sz="0" w:space="0" w:color="auto"/>
            <w:bottom w:val="none" w:sz="0" w:space="0" w:color="auto"/>
            <w:right w:val="none" w:sz="0" w:space="0" w:color="auto"/>
          </w:divBdr>
        </w:div>
        <w:div w:id="1152453572">
          <w:marLeft w:val="274"/>
          <w:marRight w:val="0"/>
          <w:marTop w:val="0"/>
          <w:marBottom w:val="0"/>
          <w:divBdr>
            <w:top w:val="none" w:sz="0" w:space="0" w:color="auto"/>
            <w:left w:val="none" w:sz="0" w:space="0" w:color="auto"/>
            <w:bottom w:val="none" w:sz="0" w:space="0" w:color="auto"/>
            <w:right w:val="none" w:sz="0" w:space="0" w:color="auto"/>
          </w:divBdr>
        </w:div>
        <w:div w:id="1851336938">
          <w:marLeft w:val="274"/>
          <w:marRight w:val="0"/>
          <w:marTop w:val="0"/>
          <w:marBottom w:val="0"/>
          <w:divBdr>
            <w:top w:val="none" w:sz="0" w:space="0" w:color="auto"/>
            <w:left w:val="none" w:sz="0" w:space="0" w:color="auto"/>
            <w:bottom w:val="none" w:sz="0" w:space="0" w:color="auto"/>
            <w:right w:val="none" w:sz="0" w:space="0" w:color="auto"/>
          </w:divBdr>
        </w:div>
        <w:div w:id="1954090672">
          <w:marLeft w:val="274"/>
          <w:marRight w:val="0"/>
          <w:marTop w:val="0"/>
          <w:marBottom w:val="0"/>
          <w:divBdr>
            <w:top w:val="none" w:sz="0" w:space="0" w:color="auto"/>
            <w:left w:val="none" w:sz="0" w:space="0" w:color="auto"/>
            <w:bottom w:val="none" w:sz="0" w:space="0" w:color="auto"/>
            <w:right w:val="none" w:sz="0" w:space="0" w:color="auto"/>
          </w:divBdr>
        </w:div>
      </w:divsChild>
    </w:div>
    <w:div w:id="1096093144">
      <w:bodyDiv w:val="1"/>
      <w:marLeft w:val="0"/>
      <w:marRight w:val="0"/>
      <w:marTop w:val="0"/>
      <w:marBottom w:val="0"/>
      <w:divBdr>
        <w:top w:val="none" w:sz="0" w:space="0" w:color="auto"/>
        <w:left w:val="none" w:sz="0" w:space="0" w:color="auto"/>
        <w:bottom w:val="none" w:sz="0" w:space="0" w:color="auto"/>
        <w:right w:val="none" w:sz="0" w:space="0" w:color="auto"/>
      </w:divBdr>
    </w:div>
    <w:div w:id="1115713566">
      <w:bodyDiv w:val="1"/>
      <w:marLeft w:val="0"/>
      <w:marRight w:val="0"/>
      <w:marTop w:val="0"/>
      <w:marBottom w:val="0"/>
      <w:divBdr>
        <w:top w:val="none" w:sz="0" w:space="0" w:color="auto"/>
        <w:left w:val="none" w:sz="0" w:space="0" w:color="auto"/>
        <w:bottom w:val="none" w:sz="0" w:space="0" w:color="auto"/>
        <w:right w:val="none" w:sz="0" w:space="0" w:color="auto"/>
      </w:divBdr>
    </w:div>
    <w:div w:id="1128818711">
      <w:bodyDiv w:val="1"/>
      <w:marLeft w:val="0"/>
      <w:marRight w:val="0"/>
      <w:marTop w:val="0"/>
      <w:marBottom w:val="0"/>
      <w:divBdr>
        <w:top w:val="none" w:sz="0" w:space="0" w:color="auto"/>
        <w:left w:val="none" w:sz="0" w:space="0" w:color="auto"/>
        <w:bottom w:val="none" w:sz="0" w:space="0" w:color="auto"/>
        <w:right w:val="none" w:sz="0" w:space="0" w:color="auto"/>
      </w:divBdr>
      <w:divsChild>
        <w:div w:id="1294754551">
          <w:marLeft w:val="547"/>
          <w:marRight w:val="0"/>
          <w:marTop w:val="0"/>
          <w:marBottom w:val="200"/>
          <w:divBdr>
            <w:top w:val="none" w:sz="0" w:space="0" w:color="auto"/>
            <w:left w:val="none" w:sz="0" w:space="0" w:color="auto"/>
            <w:bottom w:val="none" w:sz="0" w:space="0" w:color="auto"/>
            <w:right w:val="none" w:sz="0" w:space="0" w:color="auto"/>
          </w:divBdr>
        </w:div>
        <w:div w:id="1533374097">
          <w:marLeft w:val="547"/>
          <w:marRight w:val="0"/>
          <w:marTop w:val="0"/>
          <w:marBottom w:val="200"/>
          <w:divBdr>
            <w:top w:val="none" w:sz="0" w:space="0" w:color="auto"/>
            <w:left w:val="none" w:sz="0" w:space="0" w:color="auto"/>
            <w:bottom w:val="none" w:sz="0" w:space="0" w:color="auto"/>
            <w:right w:val="none" w:sz="0" w:space="0" w:color="auto"/>
          </w:divBdr>
        </w:div>
        <w:div w:id="1848136291">
          <w:marLeft w:val="547"/>
          <w:marRight w:val="0"/>
          <w:marTop w:val="0"/>
          <w:marBottom w:val="200"/>
          <w:divBdr>
            <w:top w:val="none" w:sz="0" w:space="0" w:color="auto"/>
            <w:left w:val="none" w:sz="0" w:space="0" w:color="auto"/>
            <w:bottom w:val="none" w:sz="0" w:space="0" w:color="auto"/>
            <w:right w:val="none" w:sz="0" w:space="0" w:color="auto"/>
          </w:divBdr>
        </w:div>
      </w:divsChild>
    </w:div>
    <w:div w:id="1137642490">
      <w:bodyDiv w:val="1"/>
      <w:marLeft w:val="0"/>
      <w:marRight w:val="0"/>
      <w:marTop w:val="0"/>
      <w:marBottom w:val="0"/>
      <w:divBdr>
        <w:top w:val="none" w:sz="0" w:space="0" w:color="auto"/>
        <w:left w:val="none" w:sz="0" w:space="0" w:color="auto"/>
        <w:bottom w:val="none" w:sz="0" w:space="0" w:color="auto"/>
        <w:right w:val="none" w:sz="0" w:space="0" w:color="auto"/>
      </w:divBdr>
      <w:divsChild>
        <w:div w:id="248513761">
          <w:marLeft w:val="274"/>
          <w:marRight w:val="0"/>
          <w:marTop w:val="0"/>
          <w:marBottom w:val="0"/>
          <w:divBdr>
            <w:top w:val="none" w:sz="0" w:space="0" w:color="auto"/>
            <w:left w:val="none" w:sz="0" w:space="0" w:color="auto"/>
            <w:bottom w:val="none" w:sz="0" w:space="0" w:color="auto"/>
            <w:right w:val="none" w:sz="0" w:space="0" w:color="auto"/>
          </w:divBdr>
        </w:div>
        <w:div w:id="903878347">
          <w:marLeft w:val="274"/>
          <w:marRight w:val="0"/>
          <w:marTop w:val="0"/>
          <w:marBottom w:val="0"/>
          <w:divBdr>
            <w:top w:val="none" w:sz="0" w:space="0" w:color="auto"/>
            <w:left w:val="none" w:sz="0" w:space="0" w:color="auto"/>
            <w:bottom w:val="none" w:sz="0" w:space="0" w:color="auto"/>
            <w:right w:val="none" w:sz="0" w:space="0" w:color="auto"/>
          </w:divBdr>
        </w:div>
        <w:div w:id="1378504311">
          <w:marLeft w:val="274"/>
          <w:marRight w:val="0"/>
          <w:marTop w:val="0"/>
          <w:marBottom w:val="0"/>
          <w:divBdr>
            <w:top w:val="none" w:sz="0" w:space="0" w:color="auto"/>
            <w:left w:val="none" w:sz="0" w:space="0" w:color="auto"/>
            <w:bottom w:val="none" w:sz="0" w:space="0" w:color="auto"/>
            <w:right w:val="none" w:sz="0" w:space="0" w:color="auto"/>
          </w:divBdr>
        </w:div>
        <w:div w:id="1453746163">
          <w:marLeft w:val="274"/>
          <w:marRight w:val="0"/>
          <w:marTop w:val="0"/>
          <w:marBottom w:val="0"/>
          <w:divBdr>
            <w:top w:val="none" w:sz="0" w:space="0" w:color="auto"/>
            <w:left w:val="none" w:sz="0" w:space="0" w:color="auto"/>
            <w:bottom w:val="none" w:sz="0" w:space="0" w:color="auto"/>
            <w:right w:val="none" w:sz="0" w:space="0" w:color="auto"/>
          </w:divBdr>
        </w:div>
      </w:divsChild>
    </w:div>
    <w:div w:id="1175337319">
      <w:bodyDiv w:val="1"/>
      <w:marLeft w:val="0"/>
      <w:marRight w:val="0"/>
      <w:marTop w:val="0"/>
      <w:marBottom w:val="0"/>
      <w:divBdr>
        <w:top w:val="none" w:sz="0" w:space="0" w:color="auto"/>
        <w:left w:val="none" w:sz="0" w:space="0" w:color="auto"/>
        <w:bottom w:val="none" w:sz="0" w:space="0" w:color="auto"/>
        <w:right w:val="none" w:sz="0" w:space="0" w:color="auto"/>
      </w:divBdr>
      <w:divsChild>
        <w:div w:id="408233408">
          <w:marLeft w:val="274"/>
          <w:marRight w:val="0"/>
          <w:marTop w:val="120"/>
          <w:marBottom w:val="0"/>
          <w:divBdr>
            <w:top w:val="none" w:sz="0" w:space="0" w:color="auto"/>
            <w:left w:val="none" w:sz="0" w:space="0" w:color="auto"/>
            <w:bottom w:val="none" w:sz="0" w:space="0" w:color="auto"/>
            <w:right w:val="none" w:sz="0" w:space="0" w:color="auto"/>
          </w:divBdr>
        </w:div>
        <w:div w:id="695271849">
          <w:marLeft w:val="274"/>
          <w:marRight w:val="0"/>
          <w:marTop w:val="120"/>
          <w:marBottom w:val="0"/>
          <w:divBdr>
            <w:top w:val="none" w:sz="0" w:space="0" w:color="auto"/>
            <w:left w:val="none" w:sz="0" w:space="0" w:color="auto"/>
            <w:bottom w:val="none" w:sz="0" w:space="0" w:color="auto"/>
            <w:right w:val="none" w:sz="0" w:space="0" w:color="auto"/>
          </w:divBdr>
        </w:div>
        <w:div w:id="1026520514">
          <w:marLeft w:val="274"/>
          <w:marRight w:val="0"/>
          <w:marTop w:val="120"/>
          <w:marBottom w:val="0"/>
          <w:divBdr>
            <w:top w:val="none" w:sz="0" w:space="0" w:color="auto"/>
            <w:left w:val="none" w:sz="0" w:space="0" w:color="auto"/>
            <w:bottom w:val="none" w:sz="0" w:space="0" w:color="auto"/>
            <w:right w:val="none" w:sz="0" w:space="0" w:color="auto"/>
          </w:divBdr>
        </w:div>
      </w:divsChild>
    </w:div>
    <w:div w:id="1178081484">
      <w:bodyDiv w:val="1"/>
      <w:marLeft w:val="0"/>
      <w:marRight w:val="0"/>
      <w:marTop w:val="0"/>
      <w:marBottom w:val="0"/>
      <w:divBdr>
        <w:top w:val="none" w:sz="0" w:space="0" w:color="auto"/>
        <w:left w:val="none" w:sz="0" w:space="0" w:color="auto"/>
        <w:bottom w:val="none" w:sz="0" w:space="0" w:color="auto"/>
        <w:right w:val="none" w:sz="0" w:space="0" w:color="auto"/>
      </w:divBdr>
    </w:div>
    <w:div w:id="1196191347">
      <w:bodyDiv w:val="1"/>
      <w:marLeft w:val="0"/>
      <w:marRight w:val="0"/>
      <w:marTop w:val="0"/>
      <w:marBottom w:val="0"/>
      <w:divBdr>
        <w:top w:val="none" w:sz="0" w:space="0" w:color="auto"/>
        <w:left w:val="none" w:sz="0" w:space="0" w:color="auto"/>
        <w:bottom w:val="none" w:sz="0" w:space="0" w:color="auto"/>
        <w:right w:val="none" w:sz="0" w:space="0" w:color="auto"/>
      </w:divBdr>
      <w:divsChild>
        <w:div w:id="240872844">
          <w:marLeft w:val="274"/>
          <w:marRight w:val="0"/>
          <w:marTop w:val="120"/>
          <w:marBottom w:val="0"/>
          <w:divBdr>
            <w:top w:val="none" w:sz="0" w:space="0" w:color="auto"/>
            <w:left w:val="none" w:sz="0" w:space="0" w:color="auto"/>
            <w:bottom w:val="none" w:sz="0" w:space="0" w:color="auto"/>
            <w:right w:val="none" w:sz="0" w:space="0" w:color="auto"/>
          </w:divBdr>
        </w:div>
        <w:div w:id="372926727">
          <w:marLeft w:val="274"/>
          <w:marRight w:val="0"/>
          <w:marTop w:val="120"/>
          <w:marBottom w:val="0"/>
          <w:divBdr>
            <w:top w:val="none" w:sz="0" w:space="0" w:color="auto"/>
            <w:left w:val="none" w:sz="0" w:space="0" w:color="auto"/>
            <w:bottom w:val="none" w:sz="0" w:space="0" w:color="auto"/>
            <w:right w:val="none" w:sz="0" w:space="0" w:color="auto"/>
          </w:divBdr>
        </w:div>
        <w:div w:id="1136600589">
          <w:marLeft w:val="274"/>
          <w:marRight w:val="0"/>
          <w:marTop w:val="120"/>
          <w:marBottom w:val="0"/>
          <w:divBdr>
            <w:top w:val="none" w:sz="0" w:space="0" w:color="auto"/>
            <w:left w:val="none" w:sz="0" w:space="0" w:color="auto"/>
            <w:bottom w:val="none" w:sz="0" w:space="0" w:color="auto"/>
            <w:right w:val="none" w:sz="0" w:space="0" w:color="auto"/>
          </w:divBdr>
        </w:div>
      </w:divsChild>
    </w:div>
    <w:div w:id="1225025687">
      <w:bodyDiv w:val="1"/>
      <w:marLeft w:val="0"/>
      <w:marRight w:val="0"/>
      <w:marTop w:val="0"/>
      <w:marBottom w:val="0"/>
      <w:divBdr>
        <w:top w:val="none" w:sz="0" w:space="0" w:color="auto"/>
        <w:left w:val="none" w:sz="0" w:space="0" w:color="auto"/>
        <w:bottom w:val="none" w:sz="0" w:space="0" w:color="auto"/>
        <w:right w:val="none" w:sz="0" w:space="0" w:color="auto"/>
      </w:divBdr>
      <w:divsChild>
        <w:div w:id="186060750">
          <w:marLeft w:val="274"/>
          <w:marRight w:val="0"/>
          <w:marTop w:val="120"/>
          <w:marBottom w:val="0"/>
          <w:divBdr>
            <w:top w:val="none" w:sz="0" w:space="0" w:color="auto"/>
            <w:left w:val="none" w:sz="0" w:space="0" w:color="auto"/>
            <w:bottom w:val="none" w:sz="0" w:space="0" w:color="auto"/>
            <w:right w:val="none" w:sz="0" w:space="0" w:color="auto"/>
          </w:divBdr>
        </w:div>
        <w:div w:id="1818107881">
          <w:marLeft w:val="274"/>
          <w:marRight w:val="0"/>
          <w:marTop w:val="120"/>
          <w:marBottom w:val="0"/>
          <w:divBdr>
            <w:top w:val="none" w:sz="0" w:space="0" w:color="auto"/>
            <w:left w:val="none" w:sz="0" w:space="0" w:color="auto"/>
            <w:bottom w:val="none" w:sz="0" w:space="0" w:color="auto"/>
            <w:right w:val="none" w:sz="0" w:space="0" w:color="auto"/>
          </w:divBdr>
        </w:div>
        <w:div w:id="2097897139">
          <w:marLeft w:val="274"/>
          <w:marRight w:val="0"/>
          <w:marTop w:val="120"/>
          <w:marBottom w:val="0"/>
          <w:divBdr>
            <w:top w:val="none" w:sz="0" w:space="0" w:color="auto"/>
            <w:left w:val="none" w:sz="0" w:space="0" w:color="auto"/>
            <w:bottom w:val="none" w:sz="0" w:space="0" w:color="auto"/>
            <w:right w:val="none" w:sz="0" w:space="0" w:color="auto"/>
          </w:divBdr>
        </w:div>
      </w:divsChild>
    </w:div>
    <w:div w:id="1228147045">
      <w:bodyDiv w:val="1"/>
      <w:marLeft w:val="0"/>
      <w:marRight w:val="0"/>
      <w:marTop w:val="0"/>
      <w:marBottom w:val="0"/>
      <w:divBdr>
        <w:top w:val="none" w:sz="0" w:space="0" w:color="auto"/>
        <w:left w:val="none" w:sz="0" w:space="0" w:color="auto"/>
        <w:bottom w:val="none" w:sz="0" w:space="0" w:color="auto"/>
        <w:right w:val="none" w:sz="0" w:space="0" w:color="auto"/>
      </w:divBdr>
    </w:div>
    <w:div w:id="1275358217">
      <w:bodyDiv w:val="1"/>
      <w:marLeft w:val="0"/>
      <w:marRight w:val="0"/>
      <w:marTop w:val="0"/>
      <w:marBottom w:val="0"/>
      <w:divBdr>
        <w:top w:val="none" w:sz="0" w:space="0" w:color="auto"/>
        <w:left w:val="none" w:sz="0" w:space="0" w:color="auto"/>
        <w:bottom w:val="none" w:sz="0" w:space="0" w:color="auto"/>
        <w:right w:val="none" w:sz="0" w:space="0" w:color="auto"/>
      </w:divBdr>
      <w:divsChild>
        <w:div w:id="1061518958">
          <w:marLeft w:val="274"/>
          <w:marRight w:val="0"/>
          <w:marTop w:val="120"/>
          <w:marBottom w:val="0"/>
          <w:divBdr>
            <w:top w:val="none" w:sz="0" w:space="0" w:color="auto"/>
            <w:left w:val="none" w:sz="0" w:space="0" w:color="auto"/>
            <w:bottom w:val="none" w:sz="0" w:space="0" w:color="auto"/>
            <w:right w:val="none" w:sz="0" w:space="0" w:color="auto"/>
          </w:divBdr>
        </w:div>
        <w:div w:id="2123918078">
          <w:marLeft w:val="274"/>
          <w:marRight w:val="0"/>
          <w:marTop w:val="120"/>
          <w:marBottom w:val="0"/>
          <w:divBdr>
            <w:top w:val="none" w:sz="0" w:space="0" w:color="auto"/>
            <w:left w:val="none" w:sz="0" w:space="0" w:color="auto"/>
            <w:bottom w:val="none" w:sz="0" w:space="0" w:color="auto"/>
            <w:right w:val="none" w:sz="0" w:space="0" w:color="auto"/>
          </w:divBdr>
        </w:div>
        <w:div w:id="2146042121">
          <w:marLeft w:val="274"/>
          <w:marRight w:val="0"/>
          <w:marTop w:val="120"/>
          <w:marBottom w:val="0"/>
          <w:divBdr>
            <w:top w:val="none" w:sz="0" w:space="0" w:color="auto"/>
            <w:left w:val="none" w:sz="0" w:space="0" w:color="auto"/>
            <w:bottom w:val="none" w:sz="0" w:space="0" w:color="auto"/>
            <w:right w:val="none" w:sz="0" w:space="0" w:color="auto"/>
          </w:divBdr>
        </w:div>
      </w:divsChild>
    </w:div>
    <w:div w:id="1295138390">
      <w:bodyDiv w:val="1"/>
      <w:marLeft w:val="0"/>
      <w:marRight w:val="0"/>
      <w:marTop w:val="0"/>
      <w:marBottom w:val="0"/>
      <w:divBdr>
        <w:top w:val="none" w:sz="0" w:space="0" w:color="auto"/>
        <w:left w:val="none" w:sz="0" w:space="0" w:color="auto"/>
        <w:bottom w:val="none" w:sz="0" w:space="0" w:color="auto"/>
        <w:right w:val="none" w:sz="0" w:space="0" w:color="auto"/>
      </w:divBdr>
      <w:divsChild>
        <w:div w:id="473956925">
          <w:marLeft w:val="274"/>
          <w:marRight w:val="0"/>
          <w:marTop w:val="0"/>
          <w:marBottom w:val="200"/>
          <w:divBdr>
            <w:top w:val="none" w:sz="0" w:space="0" w:color="auto"/>
            <w:left w:val="none" w:sz="0" w:space="0" w:color="auto"/>
            <w:bottom w:val="none" w:sz="0" w:space="0" w:color="auto"/>
            <w:right w:val="none" w:sz="0" w:space="0" w:color="auto"/>
          </w:divBdr>
        </w:div>
        <w:div w:id="903032223">
          <w:marLeft w:val="274"/>
          <w:marRight w:val="0"/>
          <w:marTop w:val="0"/>
          <w:marBottom w:val="200"/>
          <w:divBdr>
            <w:top w:val="none" w:sz="0" w:space="0" w:color="auto"/>
            <w:left w:val="none" w:sz="0" w:space="0" w:color="auto"/>
            <w:bottom w:val="none" w:sz="0" w:space="0" w:color="auto"/>
            <w:right w:val="none" w:sz="0" w:space="0" w:color="auto"/>
          </w:divBdr>
        </w:div>
        <w:div w:id="1052466536">
          <w:marLeft w:val="274"/>
          <w:marRight w:val="0"/>
          <w:marTop w:val="0"/>
          <w:marBottom w:val="200"/>
          <w:divBdr>
            <w:top w:val="none" w:sz="0" w:space="0" w:color="auto"/>
            <w:left w:val="none" w:sz="0" w:space="0" w:color="auto"/>
            <w:bottom w:val="none" w:sz="0" w:space="0" w:color="auto"/>
            <w:right w:val="none" w:sz="0" w:space="0" w:color="auto"/>
          </w:divBdr>
        </w:div>
        <w:div w:id="1142819002">
          <w:marLeft w:val="274"/>
          <w:marRight w:val="0"/>
          <w:marTop w:val="0"/>
          <w:marBottom w:val="200"/>
          <w:divBdr>
            <w:top w:val="none" w:sz="0" w:space="0" w:color="auto"/>
            <w:left w:val="none" w:sz="0" w:space="0" w:color="auto"/>
            <w:bottom w:val="none" w:sz="0" w:space="0" w:color="auto"/>
            <w:right w:val="none" w:sz="0" w:space="0" w:color="auto"/>
          </w:divBdr>
        </w:div>
        <w:div w:id="1262833970">
          <w:marLeft w:val="274"/>
          <w:marRight w:val="0"/>
          <w:marTop w:val="0"/>
          <w:marBottom w:val="200"/>
          <w:divBdr>
            <w:top w:val="none" w:sz="0" w:space="0" w:color="auto"/>
            <w:left w:val="none" w:sz="0" w:space="0" w:color="auto"/>
            <w:bottom w:val="none" w:sz="0" w:space="0" w:color="auto"/>
            <w:right w:val="none" w:sz="0" w:space="0" w:color="auto"/>
          </w:divBdr>
        </w:div>
      </w:divsChild>
    </w:div>
    <w:div w:id="1311980215">
      <w:bodyDiv w:val="1"/>
      <w:marLeft w:val="0"/>
      <w:marRight w:val="0"/>
      <w:marTop w:val="0"/>
      <w:marBottom w:val="0"/>
      <w:divBdr>
        <w:top w:val="none" w:sz="0" w:space="0" w:color="auto"/>
        <w:left w:val="none" w:sz="0" w:space="0" w:color="auto"/>
        <w:bottom w:val="none" w:sz="0" w:space="0" w:color="auto"/>
        <w:right w:val="none" w:sz="0" w:space="0" w:color="auto"/>
      </w:divBdr>
      <w:divsChild>
        <w:div w:id="439691239">
          <w:marLeft w:val="547"/>
          <w:marRight w:val="0"/>
          <w:marTop w:val="0"/>
          <w:marBottom w:val="200"/>
          <w:divBdr>
            <w:top w:val="none" w:sz="0" w:space="0" w:color="auto"/>
            <w:left w:val="none" w:sz="0" w:space="0" w:color="auto"/>
            <w:bottom w:val="none" w:sz="0" w:space="0" w:color="auto"/>
            <w:right w:val="none" w:sz="0" w:space="0" w:color="auto"/>
          </w:divBdr>
        </w:div>
        <w:div w:id="1191527487">
          <w:marLeft w:val="547"/>
          <w:marRight w:val="0"/>
          <w:marTop w:val="0"/>
          <w:marBottom w:val="200"/>
          <w:divBdr>
            <w:top w:val="none" w:sz="0" w:space="0" w:color="auto"/>
            <w:left w:val="none" w:sz="0" w:space="0" w:color="auto"/>
            <w:bottom w:val="none" w:sz="0" w:space="0" w:color="auto"/>
            <w:right w:val="none" w:sz="0" w:space="0" w:color="auto"/>
          </w:divBdr>
        </w:div>
        <w:div w:id="1814130136">
          <w:marLeft w:val="547"/>
          <w:marRight w:val="0"/>
          <w:marTop w:val="0"/>
          <w:marBottom w:val="200"/>
          <w:divBdr>
            <w:top w:val="none" w:sz="0" w:space="0" w:color="auto"/>
            <w:left w:val="none" w:sz="0" w:space="0" w:color="auto"/>
            <w:bottom w:val="none" w:sz="0" w:space="0" w:color="auto"/>
            <w:right w:val="none" w:sz="0" w:space="0" w:color="auto"/>
          </w:divBdr>
        </w:div>
      </w:divsChild>
    </w:div>
    <w:div w:id="1323385654">
      <w:bodyDiv w:val="1"/>
      <w:marLeft w:val="0"/>
      <w:marRight w:val="0"/>
      <w:marTop w:val="0"/>
      <w:marBottom w:val="0"/>
      <w:divBdr>
        <w:top w:val="none" w:sz="0" w:space="0" w:color="auto"/>
        <w:left w:val="none" w:sz="0" w:space="0" w:color="auto"/>
        <w:bottom w:val="none" w:sz="0" w:space="0" w:color="auto"/>
        <w:right w:val="none" w:sz="0" w:space="0" w:color="auto"/>
      </w:divBdr>
    </w:div>
    <w:div w:id="1357580553">
      <w:bodyDiv w:val="1"/>
      <w:marLeft w:val="0"/>
      <w:marRight w:val="0"/>
      <w:marTop w:val="0"/>
      <w:marBottom w:val="0"/>
      <w:divBdr>
        <w:top w:val="none" w:sz="0" w:space="0" w:color="auto"/>
        <w:left w:val="none" w:sz="0" w:space="0" w:color="auto"/>
        <w:bottom w:val="none" w:sz="0" w:space="0" w:color="auto"/>
        <w:right w:val="none" w:sz="0" w:space="0" w:color="auto"/>
      </w:divBdr>
    </w:div>
    <w:div w:id="1374962554">
      <w:bodyDiv w:val="1"/>
      <w:marLeft w:val="0"/>
      <w:marRight w:val="0"/>
      <w:marTop w:val="0"/>
      <w:marBottom w:val="0"/>
      <w:divBdr>
        <w:top w:val="none" w:sz="0" w:space="0" w:color="auto"/>
        <w:left w:val="none" w:sz="0" w:space="0" w:color="auto"/>
        <w:bottom w:val="none" w:sz="0" w:space="0" w:color="auto"/>
        <w:right w:val="none" w:sz="0" w:space="0" w:color="auto"/>
      </w:divBdr>
    </w:div>
    <w:div w:id="1400208847">
      <w:bodyDiv w:val="1"/>
      <w:marLeft w:val="0"/>
      <w:marRight w:val="0"/>
      <w:marTop w:val="0"/>
      <w:marBottom w:val="0"/>
      <w:divBdr>
        <w:top w:val="none" w:sz="0" w:space="0" w:color="auto"/>
        <w:left w:val="none" w:sz="0" w:space="0" w:color="auto"/>
        <w:bottom w:val="none" w:sz="0" w:space="0" w:color="auto"/>
        <w:right w:val="none" w:sz="0" w:space="0" w:color="auto"/>
      </w:divBdr>
    </w:div>
    <w:div w:id="1400904223">
      <w:bodyDiv w:val="1"/>
      <w:marLeft w:val="0"/>
      <w:marRight w:val="0"/>
      <w:marTop w:val="0"/>
      <w:marBottom w:val="0"/>
      <w:divBdr>
        <w:top w:val="none" w:sz="0" w:space="0" w:color="auto"/>
        <w:left w:val="none" w:sz="0" w:space="0" w:color="auto"/>
        <w:bottom w:val="none" w:sz="0" w:space="0" w:color="auto"/>
        <w:right w:val="none" w:sz="0" w:space="0" w:color="auto"/>
      </w:divBdr>
    </w:div>
    <w:div w:id="1407071589">
      <w:bodyDiv w:val="1"/>
      <w:marLeft w:val="0"/>
      <w:marRight w:val="0"/>
      <w:marTop w:val="0"/>
      <w:marBottom w:val="0"/>
      <w:divBdr>
        <w:top w:val="none" w:sz="0" w:space="0" w:color="auto"/>
        <w:left w:val="none" w:sz="0" w:space="0" w:color="auto"/>
        <w:bottom w:val="none" w:sz="0" w:space="0" w:color="auto"/>
        <w:right w:val="none" w:sz="0" w:space="0" w:color="auto"/>
      </w:divBdr>
    </w:div>
    <w:div w:id="1410152963">
      <w:bodyDiv w:val="1"/>
      <w:marLeft w:val="0"/>
      <w:marRight w:val="0"/>
      <w:marTop w:val="0"/>
      <w:marBottom w:val="0"/>
      <w:divBdr>
        <w:top w:val="none" w:sz="0" w:space="0" w:color="auto"/>
        <w:left w:val="none" w:sz="0" w:space="0" w:color="auto"/>
        <w:bottom w:val="none" w:sz="0" w:space="0" w:color="auto"/>
        <w:right w:val="none" w:sz="0" w:space="0" w:color="auto"/>
      </w:divBdr>
      <w:divsChild>
        <w:div w:id="1437171247">
          <w:marLeft w:val="274"/>
          <w:marRight w:val="0"/>
          <w:marTop w:val="120"/>
          <w:marBottom w:val="0"/>
          <w:divBdr>
            <w:top w:val="none" w:sz="0" w:space="0" w:color="auto"/>
            <w:left w:val="none" w:sz="0" w:space="0" w:color="auto"/>
            <w:bottom w:val="none" w:sz="0" w:space="0" w:color="auto"/>
            <w:right w:val="none" w:sz="0" w:space="0" w:color="auto"/>
          </w:divBdr>
        </w:div>
        <w:div w:id="1869836148">
          <w:marLeft w:val="274"/>
          <w:marRight w:val="0"/>
          <w:marTop w:val="120"/>
          <w:marBottom w:val="0"/>
          <w:divBdr>
            <w:top w:val="none" w:sz="0" w:space="0" w:color="auto"/>
            <w:left w:val="none" w:sz="0" w:space="0" w:color="auto"/>
            <w:bottom w:val="none" w:sz="0" w:space="0" w:color="auto"/>
            <w:right w:val="none" w:sz="0" w:space="0" w:color="auto"/>
          </w:divBdr>
        </w:div>
      </w:divsChild>
    </w:div>
    <w:div w:id="1414861808">
      <w:bodyDiv w:val="1"/>
      <w:marLeft w:val="0"/>
      <w:marRight w:val="0"/>
      <w:marTop w:val="0"/>
      <w:marBottom w:val="0"/>
      <w:divBdr>
        <w:top w:val="none" w:sz="0" w:space="0" w:color="auto"/>
        <w:left w:val="none" w:sz="0" w:space="0" w:color="auto"/>
        <w:bottom w:val="none" w:sz="0" w:space="0" w:color="auto"/>
        <w:right w:val="none" w:sz="0" w:space="0" w:color="auto"/>
      </w:divBdr>
    </w:div>
    <w:div w:id="1419980713">
      <w:bodyDiv w:val="1"/>
      <w:marLeft w:val="0"/>
      <w:marRight w:val="0"/>
      <w:marTop w:val="0"/>
      <w:marBottom w:val="0"/>
      <w:divBdr>
        <w:top w:val="none" w:sz="0" w:space="0" w:color="auto"/>
        <w:left w:val="none" w:sz="0" w:space="0" w:color="auto"/>
        <w:bottom w:val="none" w:sz="0" w:space="0" w:color="auto"/>
        <w:right w:val="none" w:sz="0" w:space="0" w:color="auto"/>
      </w:divBdr>
    </w:div>
    <w:div w:id="1465613354">
      <w:bodyDiv w:val="1"/>
      <w:marLeft w:val="0"/>
      <w:marRight w:val="0"/>
      <w:marTop w:val="0"/>
      <w:marBottom w:val="0"/>
      <w:divBdr>
        <w:top w:val="none" w:sz="0" w:space="0" w:color="auto"/>
        <w:left w:val="none" w:sz="0" w:space="0" w:color="auto"/>
        <w:bottom w:val="none" w:sz="0" w:space="0" w:color="auto"/>
        <w:right w:val="none" w:sz="0" w:space="0" w:color="auto"/>
      </w:divBdr>
    </w:div>
    <w:div w:id="1492063827">
      <w:bodyDiv w:val="1"/>
      <w:marLeft w:val="0"/>
      <w:marRight w:val="0"/>
      <w:marTop w:val="0"/>
      <w:marBottom w:val="0"/>
      <w:divBdr>
        <w:top w:val="none" w:sz="0" w:space="0" w:color="auto"/>
        <w:left w:val="none" w:sz="0" w:space="0" w:color="auto"/>
        <w:bottom w:val="none" w:sz="0" w:space="0" w:color="auto"/>
        <w:right w:val="none" w:sz="0" w:space="0" w:color="auto"/>
      </w:divBdr>
    </w:div>
    <w:div w:id="1492525098">
      <w:bodyDiv w:val="1"/>
      <w:marLeft w:val="0"/>
      <w:marRight w:val="0"/>
      <w:marTop w:val="0"/>
      <w:marBottom w:val="0"/>
      <w:divBdr>
        <w:top w:val="none" w:sz="0" w:space="0" w:color="auto"/>
        <w:left w:val="none" w:sz="0" w:space="0" w:color="auto"/>
        <w:bottom w:val="none" w:sz="0" w:space="0" w:color="auto"/>
        <w:right w:val="none" w:sz="0" w:space="0" w:color="auto"/>
      </w:divBdr>
    </w:div>
    <w:div w:id="1516265602">
      <w:bodyDiv w:val="1"/>
      <w:marLeft w:val="0"/>
      <w:marRight w:val="0"/>
      <w:marTop w:val="0"/>
      <w:marBottom w:val="0"/>
      <w:divBdr>
        <w:top w:val="none" w:sz="0" w:space="0" w:color="auto"/>
        <w:left w:val="none" w:sz="0" w:space="0" w:color="auto"/>
        <w:bottom w:val="none" w:sz="0" w:space="0" w:color="auto"/>
        <w:right w:val="none" w:sz="0" w:space="0" w:color="auto"/>
      </w:divBdr>
    </w:div>
    <w:div w:id="1521579743">
      <w:bodyDiv w:val="1"/>
      <w:marLeft w:val="0"/>
      <w:marRight w:val="0"/>
      <w:marTop w:val="0"/>
      <w:marBottom w:val="0"/>
      <w:divBdr>
        <w:top w:val="none" w:sz="0" w:space="0" w:color="auto"/>
        <w:left w:val="none" w:sz="0" w:space="0" w:color="auto"/>
        <w:bottom w:val="none" w:sz="0" w:space="0" w:color="auto"/>
        <w:right w:val="none" w:sz="0" w:space="0" w:color="auto"/>
      </w:divBdr>
    </w:div>
    <w:div w:id="1543710220">
      <w:bodyDiv w:val="1"/>
      <w:marLeft w:val="0"/>
      <w:marRight w:val="0"/>
      <w:marTop w:val="0"/>
      <w:marBottom w:val="0"/>
      <w:divBdr>
        <w:top w:val="none" w:sz="0" w:space="0" w:color="auto"/>
        <w:left w:val="none" w:sz="0" w:space="0" w:color="auto"/>
        <w:bottom w:val="none" w:sz="0" w:space="0" w:color="auto"/>
        <w:right w:val="none" w:sz="0" w:space="0" w:color="auto"/>
      </w:divBdr>
    </w:div>
    <w:div w:id="1636370733">
      <w:bodyDiv w:val="1"/>
      <w:marLeft w:val="0"/>
      <w:marRight w:val="0"/>
      <w:marTop w:val="0"/>
      <w:marBottom w:val="0"/>
      <w:divBdr>
        <w:top w:val="none" w:sz="0" w:space="0" w:color="auto"/>
        <w:left w:val="none" w:sz="0" w:space="0" w:color="auto"/>
        <w:bottom w:val="none" w:sz="0" w:space="0" w:color="auto"/>
        <w:right w:val="none" w:sz="0" w:space="0" w:color="auto"/>
      </w:divBdr>
      <w:divsChild>
        <w:div w:id="99838405">
          <w:marLeft w:val="274"/>
          <w:marRight w:val="0"/>
          <w:marTop w:val="0"/>
          <w:marBottom w:val="200"/>
          <w:divBdr>
            <w:top w:val="none" w:sz="0" w:space="0" w:color="auto"/>
            <w:left w:val="none" w:sz="0" w:space="0" w:color="auto"/>
            <w:bottom w:val="none" w:sz="0" w:space="0" w:color="auto"/>
            <w:right w:val="none" w:sz="0" w:space="0" w:color="auto"/>
          </w:divBdr>
        </w:div>
        <w:div w:id="697000908">
          <w:marLeft w:val="274"/>
          <w:marRight w:val="0"/>
          <w:marTop w:val="0"/>
          <w:marBottom w:val="200"/>
          <w:divBdr>
            <w:top w:val="none" w:sz="0" w:space="0" w:color="auto"/>
            <w:left w:val="none" w:sz="0" w:space="0" w:color="auto"/>
            <w:bottom w:val="none" w:sz="0" w:space="0" w:color="auto"/>
            <w:right w:val="none" w:sz="0" w:space="0" w:color="auto"/>
          </w:divBdr>
        </w:div>
        <w:div w:id="863597495">
          <w:marLeft w:val="274"/>
          <w:marRight w:val="0"/>
          <w:marTop w:val="0"/>
          <w:marBottom w:val="200"/>
          <w:divBdr>
            <w:top w:val="none" w:sz="0" w:space="0" w:color="auto"/>
            <w:left w:val="none" w:sz="0" w:space="0" w:color="auto"/>
            <w:bottom w:val="none" w:sz="0" w:space="0" w:color="auto"/>
            <w:right w:val="none" w:sz="0" w:space="0" w:color="auto"/>
          </w:divBdr>
        </w:div>
        <w:div w:id="1191650354">
          <w:marLeft w:val="274"/>
          <w:marRight w:val="0"/>
          <w:marTop w:val="0"/>
          <w:marBottom w:val="200"/>
          <w:divBdr>
            <w:top w:val="none" w:sz="0" w:space="0" w:color="auto"/>
            <w:left w:val="none" w:sz="0" w:space="0" w:color="auto"/>
            <w:bottom w:val="none" w:sz="0" w:space="0" w:color="auto"/>
            <w:right w:val="none" w:sz="0" w:space="0" w:color="auto"/>
          </w:divBdr>
        </w:div>
        <w:div w:id="1895309126">
          <w:marLeft w:val="274"/>
          <w:marRight w:val="0"/>
          <w:marTop w:val="0"/>
          <w:marBottom w:val="200"/>
          <w:divBdr>
            <w:top w:val="none" w:sz="0" w:space="0" w:color="auto"/>
            <w:left w:val="none" w:sz="0" w:space="0" w:color="auto"/>
            <w:bottom w:val="none" w:sz="0" w:space="0" w:color="auto"/>
            <w:right w:val="none" w:sz="0" w:space="0" w:color="auto"/>
          </w:divBdr>
        </w:div>
      </w:divsChild>
    </w:div>
    <w:div w:id="1664237195">
      <w:bodyDiv w:val="1"/>
      <w:marLeft w:val="0"/>
      <w:marRight w:val="0"/>
      <w:marTop w:val="0"/>
      <w:marBottom w:val="0"/>
      <w:divBdr>
        <w:top w:val="none" w:sz="0" w:space="0" w:color="auto"/>
        <w:left w:val="none" w:sz="0" w:space="0" w:color="auto"/>
        <w:bottom w:val="none" w:sz="0" w:space="0" w:color="auto"/>
        <w:right w:val="none" w:sz="0" w:space="0" w:color="auto"/>
      </w:divBdr>
    </w:div>
    <w:div w:id="1688605193">
      <w:bodyDiv w:val="1"/>
      <w:marLeft w:val="0"/>
      <w:marRight w:val="0"/>
      <w:marTop w:val="0"/>
      <w:marBottom w:val="0"/>
      <w:divBdr>
        <w:top w:val="none" w:sz="0" w:space="0" w:color="auto"/>
        <w:left w:val="none" w:sz="0" w:space="0" w:color="auto"/>
        <w:bottom w:val="none" w:sz="0" w:space="0" w:color="auto"/>
        <w:right w:val="none" w:sz="0" w:space="0" w:color="auto"/>
      </w:divBdr>
    </w:div>
    <w:div w:id="1706825582">
      <w:bodyDiv w:val="1"/>
      <w:marLeft w:val="0"/>
      <w:marRight w:val="0"/>
      <w:marTop w:val="0"/>
      <w:marBottom w:val="0"/>
      <w:divBdr>
        <w:top w:val="none" w:sz="0" w:space="0" w:color="auto"/>
        <w:left w:val="none" w:sz="0" w:space="0" w:color="auto"/>
        <w:bottom w:val="none" w:sz="0" w:space="0" w:color="auto"/>
        <w:right w:val="none" w:sz="0" w:space="0" w:color="auto"/>
      </w:divBdr>
    </w:div>
    <w:div w:id="1731342056">
      <w:bodyDiv w:val="1"/>
      <w:marLeft w:val="0"/>
      <w:marRight w:val="0"/>
      <w:marTop w:val="0"/>
      <w:marBottom w:val="0"/>
      <w:divBdr>
        <w:top w:val="none" w:sz="0" w:space="0" w:color="auto"/>
        <w:left w:val="none" w:sz="0" w:space="0" w:color="auto"/>
        <w:bottom w:val="none" w:sz="0" w:space="0" w:color="auto"/>
        <w:right w:val="none" w:sz="0" w:space="0" w:color="auto"/>
      </w:divBdr>
    </w:div>
    <w:div w:id="1742942167">
      <w:bodyDiv w:val="1"/>
      <w:marLeft w:val="0"/>
      <w:marRight w:val="0"/>
      <w:marTop w:val="0"/>
      <w:marBottom w:val="0"/>
      <w:divBdr>
        <w:top w:val="none" w:sz="0" w:space="0" w:color="auto"/>
        <w:left w:val="none" w:sz="0" w:space="0" w:color="auto"/>
        <w:bottom w:val="none" w:sz="0" w:space="0" w:color="auto"/>
        <w:right w:val="none" w:sz="0" w:space="0" w:color="auto"/>
      </w:divBdr>
    </w:div>
    <w:div w:id="1744452698">
      <w:bodyDiv w:val="1"/>
      <w:marLeft w:val="0"/>
      <w:marRight w:val="0"/>
      <w:marTop w:val="0"/>
      <w:marBottom w:val="0"/>
      <w:divBdr>
        <w:top w:val="none" w:sz="0" w:space="0" w:color="auto"/>
        <w:left w:val="none" w:sz="0" w:space="0" w:color="auto"/>
        <w:bottom w:val="none" w:sz="0" w:space="0" w:color="auto"/>
        <w:right w:val="none" w:sz="0" w:space="0" w:color="auto"/>
      </w:divBdr>
    </w:div>
    <w:div w:id="1745030318">
      <w:bodyDiv w:val="1"/>
      <w:marLeft w:val="0"/>
      <w:marRight w:val="0"/>
      <w:marTop w:val="0"/>
      <w:marBottom w:val="0"/>
      <w:divBdr>
        <w:top w:val="none" w:sz="0" w:space="0" w:color="auto"/>
        <w:left w:val="none" w:sz="0" w:space="0" w:color="auto"/>
        <w:bottom w:val="none" w:sz="0" w:space="0" w:color="auto"/>
        <w:right w:val="none" w:sz="0" w:space="0" w:color="auto"/>
      </w:divBdr>
      <w:divsChild>
        <w:div w:id="218129870">
          <w:marLeft w:val="274"/>
          <w:marRight w:val="0"/>
          <w:marTop w:val="0"/>
          <w:marBottom w:val="200"/>
          <w:divBdr>
            <w:top w:val="none" w:sz="0" w:space="0" w:color="auto"/>
            <w:left w:val="none" w:sz="0" w:space="0" w:color="auto"/>
            <w:bottom w:val="none" w:sz="0" w:space="0" w:color="auto"/>
            <w:right w:val="none" w:sz="0" w:space="0" w:color="auto"/>
          </w:divBdr>
        </w:div>
        <w:div w:id="389965786">
          <w:marLeft w:val="274"/>
          <w:marRight w:val="0"/>
          <w:marTop w:val="0"/>
          <w:marBottom w:val="200"/>
          <w:divBdr>
            <w:top w:val="none" w:sz="0" w:space="0" w:color="auto"/>
            <w:left w:val="none" w:sz="0" w:space="0" w:color="auto"/>
            <w:bottom w:val="none" w:sz="0" w:space="0" w:color="auto"/>
            <w:right w:val="none" w:sz="0" w:space="0" w:color="auto"/>
          </w:divBdr>
        </w:div>
        <w:div w:id="823198775">
          <w:marLeft w:val="274"/>
          <w:marRight w:val="0"/>
          <w:marTop w:val="0"/>
          <w:marBottom w:val="200"/>
          <w:divBdr>
            <w:top w:val="none" w:sz="0" w:space="0" w:color="auto"/>
            <w:left w:val="none" w:sz="0" w:space="0" w:color="auto"/>
            <w:bottom w:val="none" w:sz="0" w:space="0" w:color="auto"/>
            <w:right w:val="none" w:sz="0" w:space="0" w:color="auto"/>
          </w:divBdr>
        </w:div>
        <w:div w:id="1689603084">
          <w:marLeft w:val="274"/>
          <w:marRight w:val="0"/>
          <w:marTop w:val="0"/>
          <w:marBottom w:val="200"/>
          <w:divBdr>
            <w:top w:val="none" w:sz="0" w:space="0" w:color="auto"/>
            <w:left w:val="none" w:sz="0" w:space="0" w:color="auto"/>
            <w:bottom w:val="none" w:sz="0" w:space="0" w:color="auto"/>
            <w:right w:val="none" w:sz="0" w:space="0" w:color="auto"/>
          </w:divBdr>
        </w:div>
        <w:div w:id="1967738434">
          <w:marLeft w:val="274"/>
          <w:marRight w:val="0"/>
          <w:marTop w:val="0"/>
          <w:marBottom w:val="200"/>
          <w:divBdr>
            <w:top w:val="none" w:sz="0" w:space="0" w:color="auto"/>
            <w:left w:val="none" w:sz="0" w:space="0" w:color="auto"/>
            <w:bottom w:val="none" w:sz="0" w:space="0" w:color="auto"/>
            <w:right w:val="none" w:sz="0" w:space="0" w:color="auto"/>
          </w:divBdr>
        </w:div>
      </w:divsChild>
    </w:div>
    <w:div w:id="1749493756">
      <w:bodyDiv w:val="1"/>
      <w:marLeft w:val="0"/>
      <w:marRight w:val="0"/>
      <w:marTop w:val="0"/>
      <w:marBottom w:val="0"/>
      <w:divBdr>
        <w:top w:val="none" w:sz="0" w:space="0" w:color="auto"/>
        <w:left w:val="none" w:sz="0" w:space="0" w:color="auto"/>
        <w:bottom w:val="none" w:sz="0" w:space="0" w:color="auto"/>
        <w:right w:val="none" w:sz="0" w:space="0" w:color="auto"/>
      </w:divBdr>
    </w:div>
    <w:div w:id="1757437231">
      <w:bodyDiv w:val="1"/>
      <w:marLeft w:val="0"/>
      <w:marRight w:val="0"/>
      <w:marTop w:val="0"/>
      <w:marBottom w:val="0"/>
      <w:divBdr>
        <w:top w:val="none" w:sz="0" w:space="0" w:color="auto"/>
        <w:left w:val="none" w:sz="0" w:space="0" w:color="auto"/>
        <w:bottom w:val="none" w:sz="0" w:space="0" w:color="auto"/>
        <w:right w:val="none" w:sz="0" w:space="0" w:color="auto"/>
      </w:divBdr>
      <w:divsChild>
        <w:div w:id="945959977">
          <w:marLeft w:val="274"/>
          <w:marRight w:val="0"/>
          <w:marTop w:val="0"/>
          <w:marBottom w:val="0"/>
          <w:divBdr>
            <w:top w:val="none" w:sz="0" w:space="0" w:color="auto"/>
            <w:left w:val="none" w:sz="0" w:space="0" w:color="auto"/>
            <w:bottom w:val="none" w:sz="0" w:space="0" w:color="auto"/>
            <w:right w:val="none" w:sz="0" w:space="0" w:color="auto"/>
          </w:divBdr>
        </w:div>
        <w:div w:id="1676106455">
          <w:marLeft w:val="274"/>
          <w:marRight w:val="0"/>
          <w:marTop w:val="0"/>
          <w:marBottom w:val="0"/>
          <w:divBdr>
            <w:top w:val="none" w:sz="0" w:space="0" w:color="auto"/>
            <w:left w:val="none" w:sz="0" w:space="0" w:color="auto"/>
            <w:bottom w:val="none" w:sz="0" w:space="0" w:color="auto"/>
            <w:right w:val="none" w:sz="0" w:space="0" w:color="auto"/>
          </w:divBdr>
        </w:div>
        <w:div w:id="1917665744">
          <w:marLeft w:val="274"/>
          <w:marRight w:val="0"/>
          <w:marTop w:val="0"/>
          <w:marBottom w:val="0"/>
          <w:divBdr>
            <w:top w:val="none" w:sz="0" w:space="0" w:color="auto"/>
            <w:left w:val="none" w:sz="0" w:space="0" w:color="auto"/>
            <w:bottom w:val="none" w:sz="0" w:space="0" w:color="auto"/>
            <w:right w:val="none" w:sz="0" w:space="0" w:color="auto"/>
          </w:divBdr>
        </w:div>
        <w:div w:id="2028557546">
          <w:marLeft w:val="274"/>
          <w:marRight w:val="0"/>
          <w:marTop w:val="0"/>
          <w:marBottom w:val="0"/>
          <w:divBdr>
            <w:top w:val="none" w:sz="0" w:space="0" w:color="auto"/>
            <w:left w:val="none" w:sz="0" w:space="0" w:color="auto"/>
            <w:bottom w:val="none" w:sz="0" w:space="0" w:color="auto"/>
            <w:right w:val="none" w:sz="0" w:space="0" w:color="auto"/>
          </w:divBdr>
        </w:div>
      </w:divsChild>
    </w:div>
    <w:div w:id="1814982492">
      <w:bodyDiv w:val="1"/>
      <w:marLeft w:val="0"/>
      <w:marRight w:val="0"/>
      <w:marTop w:val="0"/>
      <w:marBottom w:val="0"/>
      <w:divBdr>
        <w:top w:val="none" w:sz="0" w:space="0" w:color="auto"/>
        <w:left w:val="none" w:sz="0" w:space="0" w:color="auto"/>
        <w:bottom w:val="none" w:sz="0" w:space="0" w:color="auto"/>
        <w:right w:val="none" w:sz="0" w:space="0" w:color="auto"/>
      </w:divBdr>
    </w:div>
    <w:div w:id="1846356270">
      <w:bodyDiv w:val="1"/>
      <w:marLeft w:val="0"/>
      <w:marRight w:val="0"/>
      <w:marTop w:val="0"/>
      <w:marBottom w:val="0"/>
      <w:divBdr>
        <w:top w:val="none" w:sz="0" w:space="0" w:color="auto"/>
        <w:left w:val="none" w:sz="0" w:space="0" w:color="auto"/>
        <w:bottom w:val="none" w:sz="0" w:space="0" w:color="auto"/>
        <w:right w:val="none" w:sz="0" w:space="0" w:color="auto"/>
      </w:divBdr>
    </w:div>
    <w:div w:id="1867787915">
      <w:bodyDiv w:val="1"/>
      <w:marLeft w:val="0"/>
      <w:marRight w:val="0"/>
      <w:marTop w:val="0"/>
      <w:marBottom w:val="0"/>
      <w:divBdr>
        <w:top w:val="none" w:sz="0" w:space="0" w:color="auto"/>
        <w:left w:val="none" w:sz="0" w:space="0" w:color="auto"/>
        <w:bottom w:val="none" w:sz="0" w:space="0" w:color="auto"/>
        <w:right w:val="none" w:sz="0" w:space="0" w:color="auto"/>
      </w:divBdr>
    </w:div>
    <w:div w:id="1937009359">
      <w:bodyDiv w:val="1"/>
      <w:marLeft w:val="0"/>
      <w:marRight w:val="0"/>
      <w:marTop w:val="0"/>
      <w:marBottom w:val="0"/>
      <w:divBdr>
        <w:top w:val="none" w:sz="0" w:space="0" w:color="auto"/>
        <w:left w:val="none" w:sz="0" w:space="0" w:color="auto"/>
        <w:bottom w:val="none" w:sz="0" w:space="0" w:color="auto"/>
        <w:right w:val="none" w:sz="0" w:space="0" w:color="auto"/>
      </w:divBdr>
    </w:div>
    <w:div w:id="1965699171">
      <w:bodyDiv w:val="1"/>
      <w:marLeft w:val="0"/>
      <w:marRight w:val="0"/>
      <w:marTop w:val="0"/>
      <w:marBottom w:val="0"/>
      <w:divBdr>
        <w:top w:val="none" w:sz="0" w:space="0" w:color="auto"/>
        <w:left w:val="none" w:sz="0" w:space="0" w:color="auto"/>
        <w:bottom w:val="none" w:sz="0" w:space="0" w:color="auto"/>
        <w:right w:val="none" w:sz="0" w:space="0" w:color="auto"/>
      </w:divBdr>
    </w:div>
    <w:div w:id="2037383618">
      <w:bodyDiv w:val="1"/>
      <w:marLeft w:val="0"/>
      <w:marRight w:val="0"/>
      <w:marTop w:val="0"/>
      <w:marBottom w:val="0"/>
      <w:divBdr>
        <w:top w:val="none" w:sz="0" w:space="0" w:color="auto"/>
        <w:left w:val="none" w:sz="0" w:space="0" w:color="auto"/>
        <w:bottom w:val="none" w:sz="0" w:space="0" w:color="auto"/>
        <w:right w:val="none" w:sz="0" w:space="0" w:color="auto"/>
      </w:divBdr>
      <w:divsChild>
        <w:div w:id="89395980">
          <w:marLeft w:val="274"/>
          <w:marRight w:val="0"/>
          <w:marTop w:val="0"/>
          <w:marBottom w:val="0"/>
          <w:divBdr>
            <w:top w:val="none" w:sz="0" w:space="0" w:color="auto"/>
            <w:left w:val="none" w:sz="0" w:space="0" w:color="auto"/>
            <w:bottom w:val="none" w:sz="0" w:space="0" w:color="auto"/>
            <w:right w:val="none" w:sz="0" w:space="0" w:color="auto"/>
          </w:divBdr>
        </w:div>
        <w:div w:id="111172277">
          <w:marLeft w:val="274"/>
          <w:marRight w:val="0"/>
          <w:marTop w:val="0"/>
          <w:marBottom w:val="0"/>
          <w:divBdr>
            <w:top w:val="none" w:sz="0" w:space="0" w:color="auto"/>
            <w:left w:val="none" w:sz="0" w:space="0" w:color="auto"/>
            <w:bottom w:val="none" w:sz="0" w:space="0" w:color="auto"/>
            <w:right w:val="none" w:sz="0" w:space="0" w:color="auto"/>
          </w:divBdr>
        </w:div>
        <w:div w:id="207844089">
          <w:marLeft w:val="274"/>
          <w:marRight w:val="0"/>
          <w:marTop w:val="0"/>
          <w:marBottom w:val="0"/>
          <w:divBdr>
            <w:top w:val="none" w:sz="0" w:space="0" w:color="auto"/>
            <w:left w:val="none" w:sz="0" w:space="0" w:color="auto"/>
            <w:bottom w:val="none" w:sz="0" w:space="0" w:color="auto"/>
            <w:right w:val="none" w:sz="0" w:space="0" w:color="auto"/>
          </w:divBdr>
        </w:div>
        <w:div w:id="281304692">
          <w:marLeft w:val="274"/>
          <w:marRight w:val="0"/>
          <w:marTop w:val="0"/>
          <w:marBottom w:val="0"/>
          <w:divBdr>
            <w:top w:val="none" w:sz="0" w:space="0" w:color="auto"/>
            <w:left w:val="none" w:sz="0" w:space="0" w:color="auto"/>
            <w:bottom w:val="none" w:sz="0" w:space="0" w:color="auto"/>
            <w:right w:val="none" w:sz="0" w:space="0" w:color="auto"/>
          </w:divBdr>
        </w:div>
        <w:div w:id="689651246">
          <w:marLeft w:val="274"/>
          <w:marRight w:val="0"/>
          <w:marTop w:val="0"/>
          <w:marBottom w:val="0"/>
          <w:divBdr>
            <w:top w:val="none" w:sz="0" w:space="0" w:color="auto"/>
            <w:left w:val="none" w:sz="0" w:space="0" w:color="auto"/>
            <w:bottom w:val="none" w:sz="0" w:space="0" w:color="auto"/>
            <w:right w:val="none" w:sz="0" w:space="0" w:color="auto"/>
          </w:divBdr>
        </w:div>
        <w:div w:id="1044410603">
          <w:marLeft w:val="274"/>
          <w:marRight w:val="0"/>
          <w:marTop w:val="0"/>
          <w:marBottom w:val="0"/>
          <w:divBdr>
            <w:top w:val="none" w:sz="0" w:space="0" w:color="auto"/>
            <w:left w:val="none" w:sz="0" w:space="0" w:color="auto"/>
            <w:bottom w:val="none" w:sz="0" w:space="0" w:color="auto"/>
            <w:right w:val="none" w:sz="0" w:space="0" w:color="auto"/>
          </w:divBdr>
        </w:div>
        <w:div w:id="1065950783">
          <w:marLeft w:val="274"/>
          <w:marRight w:val="0"/>
          <w:marTop w:val="0"/>
          <w:marBottom w:val="0"/>
          <w:divBdr>
            <w:top w:val="none" w:sz="0" w:space="0" w:color="auto"/>
            <w:left w:val="none" w:sz="0" w:space="0" w:color="auto"/>
            <w:bottom w:val="none" w:sz="0" w:space="0" w:color="auto"/>
            <w:right w:val="none" w:sz="0" w:space="0" w:color="auto"/>
          </w:divBdr>
        </w:div>
        <w:div w:id="1395280999">
          <w:marLeft w:val="274"/>
          <w:marRight w:val="0"/>
          <w:marTop w:val="0"/>
          <w:marBottom w:val="0"/>
          <w:divBdr>
            <w:top w:val="none" w:sz="0" w:space="0" w:color="auto"/>
            <w:left w:val="none" w:sz="0" w:space="0" w:color="auto"/>
            <w:bottom w:val="none" w:sz="0" w:space="0" w:color="auto"/>
            <w:right w:val="none" w:sz="0" w:space="0" w:color="auto"/>
          </w:divBdr>
        </w:div>
        <w:div w:id="1413896134">
          <w:marLeft w:val="274"/>
          <w:marRight w:val="0"/>
          <w:marTop w:val="0"/>
          <w:marBottom w:val="0"/>
          <w:divBdr>
            <w:top w:val="none" w:sz="0" w:space="0" w:color="auto"/>
            <w:left w:val="none" w:sz="0" w:space="0" w:color="auto"/>
            <w:bottom w:val="none" w:sz="0" w:space="0" w:color="auto"/>
            <w:right w:val="none" w:sz="0" w:space="0" w:color="auto"/>
          </w:divBdr>
        </w:div>
        <w:div w:id="1510828420">
          <w:marLeft w:val="274"/>
          <w:marRight w:val="0"/>
          <w:marTop w:val="0"/>
          <w:marBottom w:val="0"/>
          <w:divBdr>
            <w:top w:val="none" w:sz="0" w:space="0" w:color="auto"/>
            <w:left w:val="none" w:sz="0" w:space="0" w:color="auto"/>
            <w:bottom w:val="none" w:sz="0" w:space="0" w:color="auto"/>
            <w:right w:val="none" w:sz="0" w:space="0" w:color="auto"/>
          </w:divBdr>
        </w:div>
        <w:div w:id="1999989615">
          <w:marLeft w:val="274"/>
          <w:marRight w:val="0"/>
          <w:marTop w:val="0"/>
          <w:marBottom w:val="0"/>
          <w:divBdr>
            <w:top w:val="none" w:sz="0" w:space="0" w:color="auto"/>
            <w:left w:val="none" w:sz="0" w:space="0" w:color="auto"/>
            <w:bottom w:val="none" w:sz="0" w:space="0" w:color="auto"/>
            <w:right w:val="none" w:sz="0" w:space="0" w:color="auto"/>
          </w:divBdr>
        </w:div>
        <w:div w:id="2039350279">
          <w:marLeft w:val="274"/>
          <w:marRight w:val="0"/>
          <w:marTop w:val="0"/>
          <w:marBottom w:val="0"/>
          <w:divBdr>
            <w:top w:val="none" w:sz="0" w:space="0" w:color="auto"/>
            <w:left w:val="none" w:sz="0" w:space="0" w:color="auto"/>
            <w:bottom w:val="none" w:sz="0" w:space="0" w:color="auto"/>
            <w:right w:val="none" w:sz="0" w:space="0" w:color="auto"/>
          </w:divBdr>
        </w:div>
      </w:divsChild>
    </w:div>
    <w:div w:id="2052219300">
      <w:bodyDiv w:val="1"/>
      <w:marLeft w:val="0"/>
      <w:marRight w:val="0"/>
      <w:marTop w:val="0"/>
      <w:marBottom w:val="0"/>
      <w:divBdr>
        <w:top w:val="none" w:sz="0" w:space="0" w:color="auto"/>
        <w:left w:val="none" w:sz="0" w:space="0" w:color="auto"/>
        <w:bottom w:val="none" w:sz="0" w:space="0" w:color="auto"/>
        <w:right w:val="none" w:sz="0" w:space="0" w:color="auto"/>
      </w:divBdr>
    </w:div>
    <w:div w:id="2066564362">
      <w:bodyDiv w:val="1"/>
      <w:marLeft w:val="0"/>
      <w:marRight w:val="0"/>
      <w:marTop w:val="0"/>
      <w:marBottom w:val="0"/>
      <w:divBdr>
        <w:top w:val="none" w:sz="0" w:space="0" w:color="auto"/>
        <w:left w:val="none" w:sz="0" w:space="0" w:color="auto"/>
        <w:bottom w:val="none" w:sz="0" w:space="0" w:color="auto"/>
        <w:right w:val="none" w:sz="0" w:space="0" w:color="auto"/>
      </w:divBdr>
    </w:div>
    <w:div w:id="2070033522">
      <w:bodyDiv w:val="1"/>
      <w:marLeft w:val="0"/>
      <w:marRight w:val="0"/>
      <w:marTop w:val="0"/>
      <w:marBottom w:val="0"/>
      <w:divBdr>
        <w:top w:val="none" w:sz="0" w:space="0" w:color="auto"/>
        <w:left w:val="none" w:sz="0" w:space="0" w:color="auto"/>
        <w:bottom w:val="none" w:sz="0" w:space="0" w:color="auto"/>
        <w:right w:val="none" w:sz="0" w:space="0" w:color="auto"/>
      </w:divBdr>
    </w:div>
    <w:div w:id="2092313558">
      <w:bodyDiv w:val="1"/>
      <w:marLeft w:val="0"/>
      <w:marRight w:val="0"/>
      <w:marTop w:val="0"/>
      <w:marBottom w:val="0"/>
      <w:divBdr>
        <w:top w:val="none" w:sz="0" w:space="0" w:color="auto"/>
        <w:left w:val="none" w:sz="0" w:space="0" w:color="auto"/>
        <w:bottom w:val="none" w:sz="0" w:space="0" w:color="auto"/>
        <w:right w:val="none" w:sz="0" w:space="0" w:color="auto"/>
      </w:divBdr>
    </w:div>
    <w:div w:id="2128698057">
      <w:bodyDiv w:val="1"/>
      <w:marLeft w:val="0"/>
      <w:marRight w:val="0"/>
      <w:marTop w:val="0"/>
      <w:marBottom w:val="0"/>
      <w:divBdr>
        <w:top w:val="none" w:sz="0" w:space="0" w:color="auto"/>
        <w:left w:val="none" w:sz="0" w:space="0" w:color="auto"/>
        <w:bottom w:val="none" w:sz="0" w:space="0" w:color="auto"/>
        <w:right w:val="none" w:sz="0" w:space="0" w:color="auto"/>
      </w:divBdr>
      <w:divsChild>
        <w:div w:id="184635958">
          <w:marLeft w:val="274"/>
          <w:marRight w:val="0"/>
          <w:marTop w:val="0"/>
          <w:marBottom w:val="0"/>
          <w:divBdr>
            <w:top w:val="none" w:sz="0" w:space="0" w:color="auto"/>
            <w:left w:val="none" w:sz="0" w:space="0" w:color="auto"/>
            <w:bottom w:val="none" w:sz="0" w:space="0" w:color="auto"/>
            <w:right w:val="none" w:sz="0" w:space="0" w:color="auto"/>
          </w:divBdr>
        </w:div>
        <w:div w:id="522593773">
          <w:marLeft w:val="274"/>
          <w:marRight w:val="0"/>
          <w:marTop w:val="0"/>
          <w:marBottom w:val="0"/>
          <w:divBdr>
            <w:top w:val="none" w:sz="0" w:space="0" w:color="auto"/>
            <w:left w:val="none" w:sz="0" w:space="0" w:color="auto"/>
            <w:bottom w:val="none" w:sz="0" w:space="0" w:color="auto"/>
            <w:right w:val="none" w:sz="0" w:space="0" w:color="auto"/>
          </w:divBdr>
        </w:div>
        <w:div w:id="534462584">
          <w:marLeft w:val="274"/>
          <w:marRight w:val="0"/>
          <w:marTop w:val="0"/>
          <w:marBottom w:val="0"/>
          <w:divBdr>
            <w:top w:val="none" w:sz="0" w:space="0" w:color="auto"/>
            <w:left w:val="none" w:sz="0" w:space="0" w:color="auto"/>
            <w:bottom w:val="none" w:sz="0" w:space="0" w:color="auto"/>
            <w:right w:val="none" w:sz="0" w:space="0" w:color="auto"/>
          </w:divBdr>
        </w:div>
        <w:div w:id="554243394">
          <w:marLeft w:val="274"/>
          <w:marRight w:val="0"/>
          <w:marTop w:val="0"/>
          <w:marBottom w:val="0"/>
          <w:divBdr>
            <w:top w:val="none" w:sz="0" w:space="0" w:color="auto"/>
            <w:left w:val="none" w:sz="0" w:space="0" w:color="auto"/>
            <w:bottom w:val="none" w:sz="0" w:space="0" w:color="auto"/>
            <w:right w:val="none" w:sz="0" w:space="0" w:color="auto"/>
          </w:divBdr>
        </w:div>
        <w:div w:id="610360407">
          <w:marLeft w:val="274"/>
          <w:marRight w:val="0"/>
          <w:marTop w:val="0"/>
          <w:marBottom w:val="0"/>
          <w:divBdr>
            <w:top w:val="none" w:sz="0" w:space="0" w:color="auto"/>
            <w:left w:val="none" w:sz="0" w:space="0" w:color="auto"/>
            <w:bottom w:val="none" w:sz="0" w:space="0" w:color="auto"/>
            <w:right w:val="none" w:sz="0" w:space="0" w:color="auto"/>
          </w:divBdr>
        </w:div>
        <w:div w:id="805320506">
          <w:marLeft w:val="274"/>
          <w:marRight w:val="0"/>
          <w:marTop w:val="0"/>
          <w:marBottom w:val="0"/>
          <w:divBdr>
            <w:top w:val="none" w:sz="0" w:space="0" w:color="auto"/>
            <w:left w:val="none" w:sz="0" w:space="0" w:color="auto"/>
            <w:bottom w:val="none" w:sz="0" w:space="0" w:color="auto"/>
            <w:right w:val="none" w:sz="0" w:space="0" w:color="auto"/>
          </w:divBdr>
        </w:div>
        <w:div w:id="812328217">
          <w:marLeft w:val="274"/>
          <w:marRight w:val="0"/>
          <w:marTop w:val="0"/>
          <w:marBottom w:val="0"/>
          <w:divBdr>
            <w:top w:val="none" w:sz="0" w:space="0" w:color="auto"/>
            <w:left w:val="none" w:sz="0" w:space="0" w:color="auto"/>
            <w:bottom w:val="none" w:sz="0" w:space="0" w:color="auto"/>
            <w:right w:val="none" w:sz="0" w:space="0" w:color="auto"/>
          </w:divBdr>
        </w:div>
        <w:div w:id="993222537">
          <w:marLeft w:val="274"/>
          <w:marRight w:val="0"/>
          <w:marTop w:val="0"/>
          <w:marBottom w:val="0"/>
          <w:divBdr>
            <w:top w:val="none" w:sz="0" w:space="0" w:color="auto"/>
            <w:left w:val="none" w:sz="0" w:space="0" w:color="auto"/>
            <w:bottom w:val="none" w:sz="0" w:space="0" w:color="auto"/>
            <w:right w:val="none" w:sz="0" w:space="0" w:color="auto"/>
          </w:divBdr>
        </w:div>
        <w:div w:id="1191257959">
          <w:marLeft w:val="274"/>
          <w:marRight w:val="0"/>
          <w:marTop w:val="0"/>
          <w:marBottom w:val="0"/>
          <w:divBdr>
            <w:top w:val="none" w:sz="0" w:space="0" w:color="auto"/>
            <w:left w:val="none" w:sz="0" w:space="0" w:color="auto"/>
            <w:bottom w:val="none" w:sz="0" w:space="0" w:color="auto"/>
            <w:right w:val="none" w:sz="0" w:space="0" w:color="auto"/>
          </w:divBdr>
        </w:div>
        <w:div w:id="1219710815">
          <w:marLeft w:val="274"/>
          <w:marRight w:val="0"/>
          <w:marTop w:val="0"/>
          <w:marBottom w:val="0"/>
          <w:divBdr>
            <w:top w:val="none" w:sz="0" w:space="0" w:color="auto"/>
            <w:left w:val="none" w:sz="0" w:space="0" w:color="auto"/>
            <w:bottom w:val="none" w:sz="0" w:space="0" w:color="auto"/>
            <w:right w:val="none" w:sz="0" w:space="0" w:color="auto"/>
          </w:divBdr>
        </w:div>
        <w:div w:id="1360397722">
          <w:marLeft w:val="274"/>
          <w:marRight w:val="0"/>
          <w:marTop w:val="0"/>
          <w:marBottom w:val="0"/>
          <w:divBdr>
            <w:top w:val="none" w:sz="0" w:space="0" w:color="auto"/>
            <w:left w:val="none" w:sz="0" w:space="0" w:color="auto"/>
            <w:bottom w:val="none" w:sz="0" w:space="0" w:color="auto"/>
            <w:right w:val="none" w:sz="0" w:space="0" w:color="auto"/>
          </w:divBdr>
        </w:div>
        <w:div w:id="1371227243">
          <w:marLeft w:val="274"/>
          <w:marRight w:val="0"/>
          <w:marTop w:val="0"/>
          <w:marBottom w:val="0"/>
          <w:divBdr>
            <w:top w:val="none" w:sz="0" w:space="0" w:color="auto"/>
            <w:left w:val="none" w:sz="0" w:space="0" w:color="auto"/>
            <w:bottom w:val="none" w:sz="0" w:space="0" w:color="auto"/>
            <w:right w:val="none" w:sz="0" w:space="0" w:color="auto"/>
          </w:divBdr>
        </w:div>
        <w:div w:id="1577278743">
          <w:marLeft w:val="274"/>
          <w:marRight w:val="0"/>
          <w:marTop w:val="0"/>
          <w:marBottom w:val="0"/>
          <w:divBdr>
            <w:top w:val="none" w:sz="0" w:space="0" w:color="auto"/>
            <w:left w:val="none" w:sz="0" w:space="0" w:color="auto"/>
            <w:bottom w:val="none" w:sz="0" w:space="0" w:color="auto"/>
            <w:right w:val="none" w:sz="0" w:space="0" w:color="auto"/>
          </w:divBdr>
        </w:div>
        <w:div w:id="1837333918">
          <w:marLeft w:val="274"/>
          <w:marRight w:val="0"/>
          <w:marTop w:val="0"/>
          <w:marBottom w:val="0"/>
          <w:divBdr>
            <w:top w:val="none" w:sz="0" w:space="0" w:color="auto"/>
            <w:left w:val="none" w:sz="0" w:space="0" w:color="auto"/>
            <w:bottom w:val="none" w:sz="0" w:space="0" w:color="auto"/>
            <w:right w:val="none" w:sz="0" w:space="0" w:color="auto"/>
          </w:divBdr>
        </w:div>
        <w:div w:id="1857619308">
          <w:marLeft w:val="274"/>
          <w:marRight w:val="0"/>
          <w:marTop w:val="0"/>
          <w:marBottom w:val="0"/>
          <w:divBdr>
            <w:top w:val="none" w:sz="0" w:space="0" w:color="auto"/>
            <w:left w:val="none" w:sz="0" w:space="0" w:color="auto"/>
            <w:bottom w:val="none" w:sz="0" w:space="0" w:color="auto"/>
            <w:right w:val="none" w:sz="0" w:space="0" w:color="auto"/>
          </w:divBdr>
        </w:div>
        <w:div w:id="1941184396">
          <w:marLeft w:val="274"/>
          <w:marRight w:val="0"/>
          <w:marTop w:val="0"/>
          <w:marBottom w:val="0"/>
          <w:divBdr>
            <w:top w:val="none" w:sz="0" w:space="0" w:color="auto"/>
            <w:left w:val="none" w:sz="0" w:space="0" w:color="auto"/>
            <w:bottom w:val="none" w:sz="0" w:space="0" w:color="auto"/>
            <w:right w:val="none" w:sz="0" w:space="0" w:color="auto"/>
          </w:divBdr>
        </w:div>
      </w:divsChild>
    </w:div>
    <w:div w:id="2138374205">
      <w:bodyDiv w:val="1"/>
      <w:marLeft w:val="0"/>
      <w:marRight w:val="0"/>
      <w:marTop w:val="0"/>
      <w:marBottom w:val="0"/>
      <w:divBdr>
        <w:top w:val="none" w:sz="0" w:space="0" w:color="auto"/>
        <w:left w:val="none" w:sz="0" w:space="0" w:color="auto"/>
        <w:bottom w:val="none" w:sz="0" w:space="0" w:color="auto"/>
        <w:right w:val="none" w:sz="0" w:space="0" w:color="auto"/>
      </w:divBdr>
      <w:divsChild>
        <w:div w:id="309943763">
          <w:marLeft w:val="274"/>
          <w:marRight w:val="0"/>
          <w:marTop w:val="0"/>
          <w:marBottom w:val="0"/>
          <w:divBdr>
            <w:top w:val="none" w:sz="0" w:space="0" w:color="auto"/>
            <w:left w:val="none" w:sz="0" w:space="0" w:color="auto"/>
            <w:bottom w:val="none" w:sz="0" w:space="0" w:color="auto"/>
            <w:right w:val="none" w:sz="0" w:space="0" w:color="auto"/>
          </w:divBdr>
        </w:div>
        <w:div w:id="693656881">
          <w:marLeft w:val="274"/>
          <w:marRight w:val="0"/>
          <w:marTop w:val="0"/>
          <w:marBottom w:val="0"/>
          <w:divBdr>
            <w:top w:val="none" w:sz="0" w:space="0" w:color="auto"/>
            <w:left w:val="none" w:sz="0" w:space="0" w:color="auto"/>
            <w:bottom w:val="none" w:sz="0" w:space="0" w:color="auto"/>
            <w:right w:val="none" w:sz="0" w:space="0" w:color="auto"/>
          </w:divBdr>
        </w:div>
        <w:div w:id="706760945">
          <w:marLeft w:val="274"/>
          <w:marRight w:val="0"/>
          <w:marTop w:val="0"/>
          <w:marBottom w:val="0"/>
          <w:divBdr>
            <w:top w:val="none" w:sz="0" w:space="0" w:color="auto"/>
            <w:left w:val="none" w:sz="0" w:space="0" w:color="auto"/>
            <w:bottom w:val="none" w:sz="0" w:space="0" w:color="auto"/>
            <w:right w:val="none" w:sz="0" w:space="0" w:color="auto"/>
          </w:divBdr>
        </w:div>
        <w:div w:id="756291233">
          <w:marLeft w:val="274"/>
          <w:marRight w:val="0"/>
          <w:marTop w:val="0"/>
          <w:marBottom w:val="0"/>
          <w:divBdr>
            <w:top w:val="none" w:sz="0" w:space="0" w:color="auto"/>
            <w:left w:val="none" w:sz="0" w:space="0" w:color="auto"/>
            <w:bottom w:val="none" w:sz="0" w:space="0" w:color="auto"/>
            <w:right w:val="none" w:sz="0" w:space="0" w:color="auto"/>
          </w:divBdr>
        </w:div>
        <w:div w:id="882474272">
          <w:marLeft w:val="274"/>
          <w:marRight w:val="0"/>
          <w:marTop w:val="0"/>
          <w:marBottom w:val="0"/>
          <w:divBdr>
            <w:top w:val="none" w:sz="0" w:space="0" w:color="auto"/>
            <w:left w:val="none" w:sz="0" w:space="0" w:color="auto"/>
            <w:bottom w:val="none" w:sz="0" w:space="0" w:color="auto"/>
            <w:right w:val="none" w:sz="0" w:space="0" w:color="auto"/>
          </w:divBdr>
        </w:div>
        <w:div w:id="928392914">
          <w:marLeft w:val="274"/>
          <w:marRight w:val="0"/>
          <w:marTop w:val="0"/>
          <w:marBottom w:val="0"/>
          <w:divBdr>
            <w:top w:val="none" w:sz="0" w:space="0" w:color="auto"/>
            <w:left w:val="none" w:sz="0" w:space="0" w:color="auto"/>
            <w:bottom w:val="none" w:sz="0" w:space="0" w:color="auto"/>
            <w:right w:val="none" w:sz="0" w:space="0" w:color="auto"/>
          </w:divBdr>
        </w:div>
        <w:div w:id="1333755810">
          <w:marLeft w:val="274"/>
          <w:marRight w:val="0"/>
          <w:marTop w:val="0"/>
          <w:marBottom w:val="0"/>
          <w:divBdr>
            <w:top w:val="none" w:sz="0" w:space="0" w:color="auto"/>
            <w:left w:val="none" w:sz="0" w:space="0" w:color="auto"/>
            <w:bottom w:val="none" w:sz="0" w:space="0" w:color="auto"/>
            <w:right w:val="none" w:sz="0" w:space="0" w:color="auto"/>
          </w:divBdr>
        </w:div>
        <w:div w:id="1658991551">
          <w:marLeft w:val="274"/>
          <w:marRight w:val="0"/>
          <w:marTop w:val="0"/>
          <w:marBottom w:val="0"/>
          <w:divBdr>
            <w:top w:val="none" w:sz="0" w:space="0" w:color="auto"/>
            <w:left w:val="none" w:sz="0" w:space="0" w:color="auto"/>
            <w:bottom w:val="none" w:sz="0" w:space="0" w:color="auto"/>
            <w:right w:val="none" w:sz="0" w:space="0" w:color="auto"/>
          </w:divBdr>
        </w:div>
        <w:div w:id="1726098229">
          <w:marLeft w:val="274"/>
          <w:marRight w:val="0"/>
          <w:marTop w:val="0"/>
          <w:marBottom w:val="0"/>
          <w:divBdr>
            <w:top w:val="none" w:sz="0" w:space="0" w:color="auto"/>
            <w:left w:val="none" w:sz="0" w:space="0" w:color="auto"/>
            <w:bottom w:val="none" w:sz="0" w:space="0" w:color="auto"/>
            <w:right w:val="none" w:sz="0" w:space="0" w:color="auto"/>
          </w:divBdr>
        </w:div>
        <w:div w:id="1878544028">
          <w:marLeft w:val="274"/>
          <w:marRight w:val="0"/>
          <w:marTop w:val="0"/>
          <w:marBottom w:val="0"/>
          <w:divBdr>
            <w:top w:val="none" w:sz="0" w:space="0" w:color="auto"/>
            <w:left w:val="none" w:sz="0" w:space="0" w:color="auto"/>
            <w:bottom w:val="none" w:sz="0" w:space="0" w:color="auto"/>
            <w:right w:val="none" w:sz="0" w:space="0" w:color="auto"/>
          </w:divBdr>
        </w:div>
        <w:div w:id="1935825265">
          <w:marLeft w:val="274"/>
          <w:marRight w:val="0"/>
          <w:marTop w:val="0"/>
          <w:marBottom w:val="0"/>
          <w:divBdr>
            <w:top w:val="none" w:sz="0" w:space="0" w:color="auto"/>
            <w:left w:val="none" w:sz="0" w:space="0" w:color="auto"/>
            <w:bottom w:val="none" w:sz="0" w:space="0" w:color="auto"/>
            <w:right w:val="none" w:sz="0" w:space="0" w:color="auto"/>
          </w:divBdr>
        </w:div>
        <w:div w:id="194079379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dpmc.gov.au/resource-centre/government/federal-executive-council-handbook-2017"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10.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B941-5CCB-462F-9DB8-C522CEC9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13622</Words>
  <Characters>77646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National Mental Health Commission</dc:title>
  <dc:subject/>
  <dc:creator/>
  <cp:keywords/>
  <cp:lastModifiedBy/>
  <cp:revision>1</cp:revision>
  <dcterms:created xsi:type="dcterms:W3CDTF">2017-11-05T23:51:00Z</dcterms:created>
  <dcterms:modified xsi:type="dcterms:W3CDTF">2017-11-05T23:51:00Z</dcterms:modified>
</cp:coreProperties>
</file>