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80274" w14:textId="77777777" w:rsidR="00A80D9F" w:rsidRDefault="00A80D9F" w:rsidP="00D12249">
      <w:pPr>
        <w:pStyle w:val="Title"/>
        <w:jc w:val="center"/>
        <w:rPr>
          <w:sz w:val="44"/>
          <w:lang w:val="en-US"/>
        </w:rPr>
      </w:pPr>
      <w:r w:rsidRPr="00D709D9">
        <w:rPr>
          <w:rFonts w:ascii="Times New Roman" w:eastAsia="Times New Roman" w:hAnsi="Times New Roman" w:cs="Times New Roman"/>
          <w:caps/>
          <w:noProof/>
          <w:sz w:val="24"/>
          <w:szCs w:val="24"/>
          <w:lang w:eastAsia="en-AU"/>
        </w:rPr>
        <w:drawing>
          <wp:inline distT="0" distB="0" distL="0" distR="0" wp14:anchorId="425DFECD" wp14:editId="2B04DAB6">
            <wp:extent cx="3019425" cy="1678754"/>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758" cy="1679495"/>
                    </a:xfrm>
                    <a:prstGeom prst="rect">
                      <a:avLst/>
                    </a:prstGeom>
                    <a:noFill/>
                    <a:ln>
                      <a:noFill/>
                    </a:ln>
                  </pic:spPr>
                </pic:pic>
              </a:graphicData>
            </a:graphic>
          </wp:inline>
        </w:drawing>
      </w:r>
    </w:p>
    <w:p w14:paraId="5A42ED70" w14:textId="77777777" w:rsidR="00280050" w:rsidRPr="00A01ED9" w:rsidRDefault="00A01ED9" w:rsidP="00D12249">
      <w:pPr>
        <w:pStyle w:val="Title"/>
        <w:jc w:val="center"/>
        <w:rPr>
          <w:sz w:val="44"/>
          <w:lang w:val="en-US"/>
        </w:rPr>
      </w:pPr>
      <w:r w:rsidRPr="00A01ED9">
        <w:rPr>
          <w:sz w:val="44"/>
          <w:lang w:val="en-US"/>
        </w:rPr>
        <w:t>Australian Government response to the</w:t>
      </w:r>
    </w:p>
    <w:p w14:paraId="549BBE99" w14:textId="77777777" w:rsidR="00A01ED9" w:rsidRPr="00A01ED9" w:rsidRDefault="00A01ED9" w:rsidP="00D12249">
      <w:pPr>
        <w:pStyle w:val="Title"/>
        <w:jc w:val="center"/>
        <w:rPr>
          <w:sz w:val="44"/>
          <w:lang w:val="en-US"/>
        </w:rPr>
      </w:pPr>
      <w:r w:rsidRPr="00A01ED9">
        <w:rPr>
          <w:sz w:val="44"/>
          <w:lang w:val="en-US"/>
        </w:rPr>
        <w:t>Senate Community Affairs References Committee report:</w:t>
      </w:r>
    </w:p>
    <w:p w14:paraId="75EBD669" w14:textId="77777777" w:rsidR="00A01ED9" w:rsidRPr="00A01ED9" w:rsidRDefault="00A01ED9" w:rsidP="00D12249">
      <w:pPr>
        <w:pStyle w:val="Title"/>
        <w:jc w:val="center"/>
        <w:rPr>
          <w:sz w:val="44"/>
          <w:lang w:val="en-US"/>
        </w:rPr>
      </w:pPr>
    </w:p>
    <w:p w14:paraId="738D6A62" w14:textId="6DD33F50" w:rsidR="00A01ED9" w:rsidRDefault="00A01ED9" w:rsidP="00D12249">
      <w:pPr>
        <w:pStyle w:val="Title"/>
        <w:jc w:val="center"/>
        <w:rPr>
          <w:sz w:val="44"/>
          <w:lang w:val="en-US"/>
        </w:rPr>
      </w:pPr>
      <w:r w:rsidRPr="00A01ED9">
        <w:rPr>
          <w:sz w:val="44"/>
          <w:lang w:val="en-US"/>
        </w:rPr>
        <w:t>My Health Record System</w:t>
      </w:r>
    </w:p>
    <w:p w14:paraId="5C30D865" w14:textId="20D71BB6" w:rsidR="00FD0C96" w:rsidRDefault="00FD0C96" w:rsidP="00FD0C96">
      <w:pPr>
        <w:rPr>
          <w:lang w:val="en-US"/>
        </w:rPr>
      </w:pPr>
    </w:p>
    <w:p w14:paraId="5E0E8FD2" w14:textId="69716F8B" w:rsidR="00FD0C96" w:rsidRPr="00D1422C" w:rsidRDefault="00FE7829" w:rsidP="00FD0C96">
      <w:pPr>
        <w:pStyle w:val="Title"/>
        <w:jc w:val="center"/>
        <w:rPr>
          <w:sz w:val="36"/>
          <w:lang w:val="en-US"/>
        </w:rPr>
      </w:pPr>
      <w:r w:rsidRPr="00D1422C">
        <w:rPr>
          <w:sz w:val="36"/>
          <w:lang w:val="en-US"/>
        </w:rPr>
        <w:t>November</w:t>
      </w:r>
      <w:r w:rsidR="00FD0C96" w:rsidRPr="00D1422C">
        <w:rPr>
          <w:sz w:val="36"/>
          <w:lang w:val="en-US"/>
        </w:rPr>
        <w:t xml:space="preserve"> 2020</w:t>
      </w:r>
    </w:p>
    <w:p w14:paraId="133735B4" w14:textId="77777777" w:rsidR="00A01ED9" w:rsidRDefault="00A01ED9" w:rsidP="00D12249">
      <w:pPr>
        <w:jc w:val="center"/>
        <w:rPr>
          <w:rFonts w:asciiTheme="majorHAnsi" w:eastAsiaTheme="majorEastAsia" w:hAnsiTheme="majorHAnsi" w:cstheme="majorBidi"/>
          <w:spacing w:val="-10"/>
          <w:kern w:val="28"/>
          <w:szCs w:val="56"/>
          <w:lang w:val="en-US"/>
        </w:rPr>
      </w:pPr>
      <w:r>
        <w:rPr>
          <w:lang w:val="en-US"/>
        </w:rPr>
        <w:br w:type="page"/>
      </w:r>
    </w:p>
    <w:sdt>
      <w:sdtPr>
        <w:rPr>
          <w:rFonts w:ascii="Times New Roman" w:eastAsiaTheme="minorHAnsi" w:hAnsi="Times New Roman" w:cs="Times New Roman"/>
          <w:color w:val="auto"/>
          <w:sz w:val="24"/>
          <w:szCs w:val="24"/>
          <w:lang w:val="en-AU"/>
        </w:rPr>
        <w:id w:val="532542782"/>
        <w:docPartObj>
          <w:docPartGallery w:val="Table of Contents"/>
          <w:docPartUnique/>
        </w:docPartObj>
      </w:sdtPr>
      <w:sdtEndPr>
        <w:rPr>
          <w:b/>
          <w:bCs/>
          <w:noProof/>
        </w:rPr>
      </w:sdtEndPr>
      <w:sdtContent>
        <w:p w14:paraId="4813F6DC" w14:textId="77777777" w:rsidR="00A01ED9" w:rsidRPr="00926E50" w:rsidRDefault="00A01ED9">
          <w:pPr>
            <w:pStyle w:val="TOCHeading"/>
            <w:rPr>
              <w:rFonts w:asciiTheme="minorHAnsi" w:hAnsiTheme="minorHAnsi" w:cstheme="minorHAnsi"/>
            </w:rPr>
          </w:pPr>
          <w:r w:rsidRPr="00926E50">
            <w:rPr>
              <w:rFonts w:asciiTheme="minorHAnsi" w:hAnsiTheme="minorHAnsi" w:cstheme="minorHAnsi"/>
            </w:rPr>
            <w:t>Contents</w:t>
          </w:r>
        </w:p>
        <w:p w14:paraId="117EFE2F" w14:textId="2CAF528B" w:rsidR="00D830C7" w:rsidRDefault="00A01ED9">
          <w:pPr>
            <w:pStyle w:val="TOC1"/>
            <w:rPr>
              <w:rFonts w:asciiTheme="minorHAnsi" w:eastAsiaTheme="minorEastAsia" w:hAnsiTheme="minorHAnsi" w:cstheme="minorBidi"/>
              <w:noProof/>
              <w:sz w:val="22"/>
              <w:szCs w:val="22"/>
              <w:lang w:eastAsia="en-AU"/>
            </w:rPr>
          </w:pPr>
          <w:r w:rsidRPr="00926E50">
            <w:rPr>
              <w:rFonts w:asciiTheme="minorHAnsi" w:hAnsiTheme="minorHAnsi" w:cstheme="minorHAnsi"/>
              <w:b/>
              <w:bCs/>
              <w:noProof/>
            </w:rPr>
            <w:fldChar w:fldCharType="begin"/>
          </w:r>
          <w:r w:rsidRPr="00926E50">
            <w:rPr>
              <w:rFonts w:asciiTheme="minorHAnsi" w:hAnsiTheme="minorHAnsi" w:cstheme="minorHAnsi"/>
              <w:b/>
              <w:bCs/>
              <w:noProof/>
            </w:rPr>
            <w:instrText xml:space="preserve"> TOC \o "1-3" \h \z \u </w:instrText>
          </w:r>
          <w:r w:rsidRPr="00926E50">
            <w:rPr>
              <w:rFonts w:asciiTheme="minorHAnsi" w:hAnsiTheme="minorHAnsi" w:cstheme="minorHAnsi"/>
              <w:b/>
              <w:bCs/>
              <w:noProof/>
            </w:rPr>
            <w:fldChar w:fldCharType="separate"/>
          </w:r>
          <w:hyperlink w:anchor="_Toc19042840" w:history="1">
            <w:r w:rsidR="00D830C7" w:rsidRPr="00997473">
              <w:rPr>
                <w:rStyle w:val="Hyperlink"/>
                <w:noProof/>
                <w:lang w:val="en-US"/>
              </w:rPr>
              <w:t>Introduction</w:t>
            </w:r>
            <w:r w:rsidR="00D830C7">
              <w:rPr>
                <w:noProof/>
                <w:webHidden/>
              </w:rPr>
              <w:tab/>
            </w:r>
            <w:r w:rsidR="00D830C7">
              <w:rPr>
                <w:noProof/>
                <w:webHidden/>
              </w:rPr>
              <w:fldChar w:fldCharType="begin"/>
            </w:r>
            <w:r w:rsidR="00D830C7">
              <w:rPr>
                <w:noProof/>
                <w:webHidden/>
              </w:rPr>
              <w:instrText xml:space="preserve"> PAGEREF _Toc19042840 \h </w:instrText>
            </w:r>
            <w:r w:rsidR="00D830C7">
              <w:rPr>
                <w:noProof/>
                <w:webHidden/>
              </w:rPr>
            </w:r>
            <w:r w:rsidR="00D830C7">
              <w:rPr>
                <w:noProof/>
                <w:webHidden/>
              </w:rPr>
              <w:fldChar w:fldCharType="separate"/>
            </w:r>
            <w:r w:rsidR="00453F0F">
              <w:rPr>
                <w:noProof/>
                <w:webHidden/>
              </w:rPr>
              <w:t>3</w:t>
            </w:r>
            <w:r w:rsidR="00D830C7">
              <w:rPr>
                <w:noProof/>
                <w:webHidden/>
              </w:rPr>
              <w:fldChar w:fldCharType="end"/>
            </w:r>
          </w:hyperlink>
        </w:p>
        <w:p w14:paraId="4FEA1662" w14:textId="0C137034" w:rsidR="00D830C7" w:rsidRDefault="007A4C82">
          <w:pPr>
            <w:pStyle w:val="TOC1"/>
            <w:rPr>
              <w:rFonts w:asciiTheme="minorHAnsi" w:eastAsiaTheme="minorEastAsia" w:hAnsiTheme="minorHAnsi" w:cstheme="minorBidi"/>
              <w:noProof/>
              <w:sz w:val="22"/>
              <w:szCs w:val="22"/>
              <w:lang w:eastAsia="en-AU"/>
            </w:rPr>
          </w:pPr>
          <w:hyperlink w:anchor="_Toc19042841" w:history="1">
            <w:r w:rsidR="00D830C7" w:rsidRPr="00997473">
              <w:rPr>
                <w:rStyle w:val="Hyperlink"/>
                <w:noProof/>
                <w:lang w:val="en-US"/>
              </w:rPr>
              <w:t>Recommendations and Australian Government Responses</w:t>
            </w:r>
            <w:r w:rsidR="00D830C7">
              <w:rPr>
                <w:noProof/>
                <w:webHidden/>
              </w:rPr>
              <w:tab/>
            </w:r>
            <w:r w:rsidR="00D830C7">
              <w:rPr>
                <w:noProof/>
                <w:webHidden/>
              </w:rPr>
              <w:fldChar w:fldCharType="begin"/>
            </w:r>
            <w:r w:rsidR="00D830C7">
              <w:rPr>
                <w:noProof/>
                <w:webHidden/>
              </w:rPr>
              <w:instrText xml:space="preserve"> PAGEREF _Toc19042841 \h </w:instrText>
            </w:r>
            <w:r w:rsidR="00D830C7">
              <w:rPr>
                <w:noProof/>
                <w:webHidden/>
              </w:rPr>
            </w:r>
            <w:r w:rsidR="00D830C7">
              <w:rPr>
                <w:noProof/>
                <w:webHidden/>
              </w:rPr>
              <w:fldChar w:fldCharType="separate"/>
            </w:r>
            <w:r w:rsidR="00453F0F">
              <w:rPr>
                <w:noProof/>
                <w:webHidden/>
              </w:rPr>
              <w:t>4</w:t>
            </w:r>
            <w:r w:rsidR="00D830C7">
              <w:rPr>
                <w:noProof/>
                <w:webHidden/>
              </w:rPr>
              <w:fldChar w:fldCharType="end"/>
            </w:r>
          </w:hyperlink>
        </w:p>
        <w:p w14:paraId="6269881D" w14:textId="61789AB7" w:rsidR="00D830C7" w:rsidRDefault="007A4C82">
          <w:pPr>
            <w:pStyle w:val="TOC2"/>
            <w:rPr>
              <w:rFonts w:asciiTheme="minorHAnsi" w:eastAsiaTheme="minorEastAsia" w:hAnsiTheme="minorHAnsi" w:cstheme="minorBidi"/>
              <w:noProof/>
              <w:sz w:val="22"/>
              <w:szCs w:val="22"/>
              <w:lang w:eastAsia="en-AU"/>
            </w:rPr>
          </w:pPr>
          <w:hyperlink w:anchor="_Toc19042842" w:history="1">
            <w:r w:rsidR="00D830C7" w:rsidRPr="00997473">
              <w:rPr>
                <w:rStyle w:val="Hyperlink"/>
                <w:b/>
                <w:noProof/>
                <w:lang w:val="en-US"/>
              </w:rPr>
              <w:t>Recommendation 1</w:t>
            </w:r>
            <w:r w:rsidR="00D830C7">
              <w:rPr>
                <w:noProof/>
                <w:webHidden/>
              </w:rPr>
              <w:tab/>
            </w:r>
            <w:r w:rsidR="00D830C7">
              <w:rPr>
                <w:noProof/>
                <w:webHidden/>
              </w:rPr>
              <w:fldChar w:fldCharType="begin"/>
            </w:r>
            <w:r w:rsidR="00D830C7">
              <w:rPr>
                <w:noProof/>
                <w:webHidden/>
              </w:rPr>
              <w:instrText xml:space="preserve"> PAGEREF _Toc19042842 \h </w:instrText>
            </w:r>
            <w:r w:rsidR="00D830C7">
              <w:rPr>
                <w:noProof/>
                <w:webHidden/>
              </w:rPr>
            </w:r>
            <w:r w:rsidR="00D830C7">
              <w:rPr>
                <w:noProof/>
                <w:webHidden/>
              </w:rPr>
              <w:fldChar w:fldCharType="separate"/>
            </w:r>
            <w:r w:rsidR="00453F0F">
              <w:rPr>
                <w:noProof/>
                <w:webHidden/>
              </w:rPr>
              <w:t>4</w:t>
            </w:r>
            <w:r w:rsidR="00D830C7">
              <w:rPr>
                <w:noProof/>
                <w:webHidden/>
              </w:rPr>
              <w:fldChar w:fldCharType="end"/>
            </w:r>
          </w:hyperlink>
        </w:p>
        <w:p w14:paraId="0597AA90" w14:textId="6CDD184D" w:rsidR="00D830C7" w:rsidRDefault="007A4C82">
          <w:pPr>
            <w:pStyle w:val="TOC2"/>
            <w:rPr>
              <w:rFonts w:asciiTheme="minorHAnsi" w:eastAsiaTheme="minorEastAsia" w:hAnsiTheme="minorHAnsi" w:cstheme="minorBidi"/>
              <w:noProof/>
              <w:sz w:val="22"/>
              <w:szCs w:val="22"/>
              <w:lang w:eastAsia="en-AU"/>
            </w:rPr>
          </w:pPr>
          <w:hyperlink w:anchor="_Toc19042843" w:history="1">
            <w:r w:rsidR="00D830C7" w:rsidRPr="00997473">
              <w:rPr>
                <w:rStyle w:val="Hyperlink"/>
                <w:b/>
                <w:noProof/>
              </w:rPr>
              <w:t>Recommendation 2</w:t>
            </w:r>
            <w:r w:rsidR="00D830C7">
              <w:rPr>
                <w:noProof/>
                <w:webHidden/>
              </w:rPr>
              <w:tab/>
            </w:r>
            <w:r w:rsidR="00D830C7">
              <w:rPr>
                <w:noProof/>
                <w:webHidden/>
              </w:rPr>
              <w:fldChar w:fldCharType="begin"/>
            </w:r>
            <w:r w:rsidR="00D830C7">
              <w:rPr>
                <w:noProof/>
                <w:webHidden/>
              </w:rPr>
              <w:instrText xml:space="preserve"> PAGEREF _Toc19042843 \h </w:instrText>
            </w:r>
            <w:r w:rsidR="00D830C7">
              <w:rPr>
                <w:noProof/>
                <w:webHidden/>
              </w:rPr>
            </w:r>
            <w:r w:rsidR="00D830C7">
              <w:rPr>
                <w:noProof/>
                <w:webHidden/>
              </w:rPr>
              <w:fldChar w:fldCharType="separate"/>
            </w:r>
            <w:r w:rsidR="00453F0F">
              <w:rPr>
                <w:noProof/>
                <w:webHidden/>
              </w:rPr>
              <w:t>5</w:t>
            </w:r>
            <w:r w:rsidR="00D830C7">
              <w:rPr>
                <w:noProof/>
                <w:webHidden/>
              </w:rPr>
              <w:fldChar w:fldCharType="end"/>
            </w:r>
          </w:hyperlink>
        </w:p>
        <w:p w14:paraId="26770A9D" w14:textId="30822FDC" w:rsidR="00D830C7" w:rsidRDefault="007A4C82">
          <w:pPr>
            <w:pStyle w:val="TOC2"/>
            <w:rPr>
              <w:rFonts w:asciiTheme="minorHAnsi" w:eastAsiaTheme="minorEastAsia" w:hAnsiTheme="minorHAnsi" w:cstheme="minorBidi"/>
              <w:noProof/>
              <w:sz w:val="22"/>
              <w:szCs w:val="22"/>
              <w:lang w:eastAsia="en-AU"/>
            </w:rPr>
          </w:pPr>
          <w:hyperlink w:anchor="_Toc19042844" w:history="1">
            <w:r w:rsidR="00D830C7" w:rsidRPr="00997473">
              <w:rPr>
                <w:rStyle w:val="Hyperlink"/>
                <w:b/>
                <w:noProof/>
              </w:rPr>
              <w:t>Recommendation 3</w:t>
            </w:r>
            <w:r w:rsidR="00D830C7">
              <w:rPr>
                <w:noProof/>
                <w:webHidden/>
              </w:rPr>
              <w:tab/>
            </w:r>
            <w:r w:rsidR="00D830C7">
              <w:rPr>
                <w:noProof/>
                <w:webHidden/>
              </w:rPr>
              <w:fldChar w:fldCharType="begin"/>
            </w:r>
            <w:r w:rsidR="00D830C7">
              <w:rPr>
                <w:noProof/>
                <w:webHidden/>
              </w:rPr>
              <w:instrText xml:space="preserve"> PAGEREF _Toc19042844 \h </w:instrText>
            </w:r>
            <w:r w:rsidR="00D830C7">
              <w:rPr>
                <w:noProof/>
                <w:webHidden/>
              </w:rPr>
            </w:r>
            <w:r w:rsidR="00D830C7">
              <w:rPr>
                <w:noProof/>
                <w:webHidden/>
              </w:rPr>
              <w:fldChar w:fldCharType="separate"/>
            </w:r>
            <w:r w:rsidR="00453F0F">
              <w:rPr>
                <w:noProof/>
                <w:webHidden/>
              </w:rPr>
              <w:t>5</w:t>
            </w:r>
            <w:r w:rsidR="00D830C7">
              <w:rPr>
                <w:noProof/>
                <w:webHidden/>
              </w:rPr>
              <w:fldChar w:fldCharType="end"/>
            </w:r>
          </w:hyperlink>
        </w:p>
        <w:p w14:paraId="3FDEFAA2" w14:textId="09187D09" w:rsidR="00D830C7" w:rsidRDefault="007A4C82">
          <w:pPr>
            <w:pStyle w:val="TOC2"/>
            <w:rPr>
              <w:rFonts w:asciiTheme="minorHAnsi" w:eastAsiaTheme="minorEastAsia" w:hAnsiTheme="minorHAnsi" w:cstheme="minorBidi"/>
              <w:noProof/>
              <w:sz w:val="22"/>
              <w:szCs w:val="22"/>
              <w:lang w:eastAsia="en-AU"/>
            </w:rPr>
          </w:pPr>
          <w:hyperlink w:anchor="_Toc19042845" w:history="1">
            <w:r w:rsidR="00D830C7" w:rsidRPr="00997473">
              <w:rPr>
                <w:rStyle w:val="Hyperlink"/>
                <w:b/>
                <w:noProof/>
              </w:rPr>
              <w:t>Recommendation 4</w:t>
            </w:r>
            <w:r w:rsidR="00D830C7">
              <w:rPr>
                <w:noProof/>
                <w:webHidden/>
              </w:rPr>
              <w:tab/>
            </w:r>
            <w:r w:rsidR="00D830C7">
              <w:rPr>
                <w:noProof/>
                <w:webHidden/>
              </w:rPr>
              <w:fldChar w:fldCharType="begin"/>
            </w:r>
            <w:r w:rsidR="00D830C7">
              <w:rPr>
                <w:noProof/>
                <w:webHidden/>
              </w:rPr>
              <w:instrText xml:space="preserve"> PAGEREF _Toc19042845 \h </w:instrText>
            </w:r>
            <w:r w:rsidR="00D830C7">
              <w:rPr>
                <w:noProof/>
                <w:webHidden/>
              </w:rPr>
            </w:r>
            <w:r w:rsidR="00D830C7">
              <w:rPr>
                <w:noProof/>
                <w:webHidden/>
              </w:rPr>
              <w:fldChar w:fldCharType="separate"/>
            </w:r>
            <w:r w:rsidR="00453F0F">
              <w:rPr>
                <w:noProof/>
                <w:webHidden/>
              </w:rPr>
              <w:t>5</w:t>
            </w:r>
            <w:r w:rsidR="00D830C7">
              <w:rPr>
                <w:noProof/>
                <w:webHidden/>
              </w:rPr>
              <w:fldChar w:fldCharType="end"/>
            </w:r>
          </w:hyperlink>
        </w:p>
        <w:p w14:paraId="6841EB45" w14:textId="02831B8F" w:rsidR="00D830C7" w:rsidRDefault="007A4C82">
          <w:pPr>
            <w:pStyle w:val="TOC2"/>
            <w:rPr>
              <w:rFonts w:asciiTheme="minorHAnsi" w:eastAsiaTheme="minorEastAsia" w:hAnsiTheme="minorHAnsi" w:cstheme="minorBidi"/>
              <w:noProof/>
              <w:sz w:val="22"/>
              <w:szCs w:val="22"/>
              <w:lang w:eastAsia="en-AU"/>
            </w:rPr>
          </w:pPr>
          <w:hyperlink w:anchor="_Toc19042846" w:history="1">
            <w:r w:rsidR="00D830C7" w:rsidRPr="00997473">
              <w:rPr>
                <w:rStyle w:val="Hyperlink"/>
                <w:b/>
                <w:noProof/>
              </w:rPr>
              <w:t>Recommendation 5</w:t>
            </w:r>
            <w:r w:rsidR="00D830C7">
              <w:rPr>
                <w:noProof/>
                <w:webHidden/>
              </w:rPr>
              <w:tab/>
            </w:r>
            <w:r w:rsidR="00D830C7">
              <w:rPr>
                <w:noProof/>
                <w:webHidden/>
              </w:rPr>
              <w:fldChar w:fldCharType="begin"/>
            </w:r>
            <w:r w:rsidR="00D830C7">
              <w:rPr>
                <w:noProof/>
                <w:webHidden/>
              </w:rPr>
              <w:instrText xml:space="preserve"> PAGEREF _Toc19042846 \h </w:instrText>
            </w:r>
            <w:r w:rsidR="00D830C7">
              <w:rPr>
                <w:noProof/>
                <w:webHidden/>
              </w:rPr>
            </w:r>
            <w:r w:rsidR="00D830C7">
              <w:rPr>
                <w:noProof/>
                <w:webHidden/>
              </w:rPr>
              <w:fldChar w:fldCharType="separate"/>
            </w:r>
            <w:r w:rsidR="00453F0F">
              <w:rPr>
                <w:noProof/>
                <w:webHidden/>
              </w:rPr>
              <w:t>6</w:t>
            </w:r>
            <w:r w:rsidR="00D830C7">
              <w:rPr>
                <w:noProof/>
                <w:webHidden/>
              </w:rPr>
              <w:fldChar w:fldCharType="end"/>
            </w:r>
          </w:hyperlink>
        </w:p>
        <w:p w14:paraId="43EBAEC7" w14:textId="71FD439D" w:rsidR="00D830C7" w:rsidRDefault="007A4C82">
          <w:pPr>
            <w:pStyle w:val="TOC2"/>
            <w:rPr>
              <w:rFonts w:asciiTheme="minorHAnsi" w:eastAsiaTheme="minorEastAsia" w:hAnsiTheme="minorHAnsi" w:cstheme="minorBidi"/>
              <w:noProof/>
              <w:sz w:val="22"/>
              <w:szCs w:val="22"/>
              <w:lang w:eastAsia="en-AU"/>
            </w:rPr>
          </w:pPr>
          <w:hyperlink w:anchor="_Toc19042847" w:history="1">
            <w:r w:rsidR="00D830C7" w:rsidRPr="00997473">
              <w:rPr>
                <w:rStyle w:val="Hyperlink"/>
                <w:b/>
                <w:noProof/>
              </w:rPr>
              <w:t>Recommendation 6</w:t>
            </w:r>
            <w:r w:rsidR="00D830C7">
              <w:rPr>
                <w:noProof/>
                <w:webHidden/>
              </w:rPr>
              <w:tab/>
            </w:r>
            <w:r w:rsidR="00D830C7">
              <w:rPr>
                <w:noProof/>
                <w:webHidden/>
              </w:rPr>
              <w:fldChar w:fldCharType="begin"/>
            </w:r>
            <w:r w:rsidR="00D830C7">
              <w:rPr>
                <w:noProof/>
                <w:webHidden/>
              </w:rPr>
              <w:instrText xml:space="preserve"> PAGEREF _Toc19042847 \h </w:instrText>
            </w:r>
            <w:r w:rsidR="00D830C7">
              <w:rPr>
                <w:noProof/>
                <w:webHidden/>
              </w:rPr>
            </w:r>
            <w:r w:rsidR="00D830C7">
              <w:rPr>
                <w:noProof/>
                <w:webHidden/>
              </w:rPr>
              <w:fldChar w:fldCharType="separate"/>
            </w:r>
            <w:r w:rsidR="00453F0F">
              <w:rPr>
                <w:noProof/>
                <w:webHidden/>
              </w:rPr>
              <w:t>7</w:t>
            </w:r>
            <w:r w:rsidR="00D830C7">
              <w:rPr>
                <w:noProof/>
                <w:webHidden/>
              </w:rPr>
              <w:fldChar w:fldCharType="end"/>
            </w:r>
          </w:hyperlink>
        </w:p>
        <w:p w14:paraId="439CD3AC" w14:textId="56770CCB" w:rsidR="00D830C7" w:rsidRDefault="007A4C82">
          <w:pPr>
            <w:pStyle w:val="TOC2"/>
            <w:rPr>
              <w:rFonts w:asciiTheme="minorHAnsi" w:eastAsiaTheme="minorEastAsia" w:hAnsiTheme="minorHAnsi" w:cstheme="minorBidi"/>
              <w:noProof/>
              <w:sz w:val="22"/>
              <w:szCs w:val="22"/>
              <w:lang w:eastAsia="en-AU"/>
            </w:rPr>
          </w:pPr>
          <w:hyperlink w:anchor="_Toc19042848" w:history="1">
            <w:r w:rsidR="00D830C7" w:rsidRPr="00997473">
              <w:rPr>
                <w:rStyle w:val="Hyperlink"/>
                <w:b/>
                <w:noProof/>
              </w:rPr>
              <w:t>Recommendation 7</w:t>
            </w:r>
            <w:r w:rsidR="00D830C7">
              <w:rPr>
                <w:noProof/>
                <w:webHidden/>
              </w:rPr>
              <w:tab/>
            </w:r>
            <w:r w:rsidR="00D830C7">
              <w:rPr>
                <w:noProof/>
                <w:webHidden/>
              </w:rPr>
              <w:fldChar w:fldCharType="begin"/>
            </w:r>
            <w:r w:rsidR="00D830C7">
              <w:rPr>
                <w:noProof/>
                <w:webHidden/>
              </w:rPr>
              <w:instrText xml:space="preserve"> PAGEREF _Toc19042848 \h </w:instrText>
            </w:r>
            <w:r w:rsidR="00D830C7">
              <w:rPr>
                <w:noProof/>
                <w:webHidden/>
              </w:rPr>
            </w:r>
            <w:r w:rsidR="00D830C7">
              <w:rPr>
                <w:noProof/>
                <w:webHidden/>
              </w:rPr>
              <w:fldChar w:fldCharType="separate"/>
            </w:r>
            <w:r w:rsidR="00453F0F">
              <w:rPr>
                <w:noProof/>
                <w:webHidden/>
              </w:rPr>
              <w:t>7</w:t>
            </w:r>
            <w:r w:rsidR="00D830C7">
              <w:rPr>
                <w:noProof/>
                <w:webHidden/>
              </w:rPr>
              <w:fldChar w:fldCharType="end"/>
            </w:r>
          </w:hyperlink>
        </w:p>
        <w:p w14:paraId="72713CFB" w14:textId="2023380A" w:rsidR="00D830C7" w:rsidRDefault="007A4C82">
          <w:pPr>
            <w:pStyle w:val="TOC2"/>
            <w:rPr>
              <w:rFonts w:asciiTheme="minorHAnsi" w:eastAsiaTheme="minorEastAsia" w:hAnsiTheme="minorHAnsi" w:cstheme="minorBidi"/>
              <w:noProof/>
              <w:sz w:val="22"/>
              <w:szCs w:val="22"/>
              <w:lang w:eastAsia="en-AU"/>
            </w:rPr>
          </w:pPr>
          <w:hyperlink w:anchor="_Toc19042849" w:history="1">
            <w:r w:rsidR="00D830C7" w:rsidRPr="00997473">
              <w:rPr>
                <w:rStyle w:val="Hyperlink"/>
                <w:b/>
                <w:noProof/>
              </w:rPr>
              <w:t>Recommendation 8</w:t>
            </w:r>
            <w:r w:rsidR="00D830C7">
              <w:rPr>
                <w:noProof/>
                <w:webHidden/>
              </w:rPr>
              <w:tab/>
            </w:r>
            <w:r w:rsidR="00D830C7">
              <w:rPr>
                <w:noProof/>
                <w:webHidden/>
              </w:rPr>
              <w:fldChar w:fldCharType="begin"/>
            </w:r>
            <w:r w:rsidR="00D830C7">
              <w:rPr>
                <w:noProof/>
                <w:webHidden/>
              </w:rPr>
              <w:instrText xml:space="preserve"> PAGEREF _Toc19042849 \h </w:instrText>
            </w:r>
            <w:r w:rsidR="00D830C7">
              <w:rPr>
                <w:noProof/>
                <w:webHidden/>
              </w:rPr>
            </w:r>
            <w:r w:rsidR="00D830C7">
              <w:rPr>
                <w:noProof/>
                <w:webHidden/>
              </w:rPr>
              <w:fldChar w:fldCharType="separate"/>
            </w:r>
            <w:r w:rsidR="00453F0F">
              <w:rPr>
                <w:noProof/>
                <w:webHidden/>
              </w:rPr>
              <w:t>8</w:t>
            </w:r>
            <w:r w:rsidR="00D830C7">
              <w:rPr>
                <w:noProof/>
                <w:webHidden/>
              </w:rPr>
              <w:fldChar w:fldCharType="end"/>
            </w:r>
          </w:hyperlink>
        </w:p>
        <w:p w14:paraId="7D3D5EAB" w14:textId="10C18C37" w:rsidR="00D830C7" w:rsidRDefault="007A4C82">
          <w:pPr>
            <w:pStyle w:val="TOC2"/>
            <w:rPr>
              <w:rFonts w:asciiTheme="minorHAnsi" w:eastAsiaTheme="minorEastAsia" w:hAnsiTheme="minorHAnsi" w:cstheme="minorBidi"/>
              <w:noProof/>
              <w:sz w:val="22"/>
              <w:szCs w:val="22"/>
              <w:lang w:eastAsia="en-AU"/>
            </w:rPr>
          </w:pPr>
          <w:hyperlink w:anchor="_Toc19042850" w:history="1">
            <w:r w:rsidR="00D830C7" w:rsidRPr="00997473">
              <w:rPr>
                <w:rStyle w:val="Hyperlink"/>
                <w:b/>
                <w:noProof/>
              </w:rPr>
              <w:t>Recommendation 9</w:t>
            </w:r>
            <w:r w:rsidR="00D830C7">
              <w:rPr>
                <w:noProof/>
                <w:webHidden/>
              </w:rPr>
              <w:tab/>
            </w:r>
            <w:r w:rsidR="00D830C7">
              <w:rPr>
                <w:noProof/>
                <w:webHidden/>
              </w:rPr>
              <w:fldChar w:fldCharType="begin"/>
            </w:r>
            <w:r w:rsidR="00D830C7">
              <w:rPr>
                <w:noProof/>
                <w:webHidden/>
              </w:rPr>
              <w:instrText xml:space="preserve"> PAGEREF _Toc19042850 \h </w:instrText>
            </w:r>
            <w:r w:rsidR="00D830C7">
              <w:rPr>
                <w:noProof/>
                <w:webHidden/>
              </w:rPr>
            </w:r>
            <w:r w:rsidR="00D830C7">
              <w:rPr>
                <w:noProof/>
                <w:webHidden/>
              </w:rPr>
              <w:fldChar w:fldCharType="separate"/>
            </w:r>
            <w:r w:rsidR="00453F0F">
              <w:rPr>
                <w:noProof/>
                <w:webHidden/>
              </w:rPr>
              <w:t>8</w:t>
            </w:r>
            <w:r w:rsidR="00D830C7">
              <w:rPr>
                <w:noProof/>
                <w:webHidden/>
              </w:rPr>
              <w:fldChar w:fldCharType="end"/>
            </w:r>
          </w:hyperlink>
        </w:p>
        <w:p w14:paraId="3665BF22" w14:textId="0EE9BDA3" w:rsidR="00D830C7" w:rsidRDefault="007A4C82">
          <w:pPr>
            <w:pStyle w:val="TOC2"/>
            <w:rPr>
              <w:rFonts w:asciiTheme="minorHAnsi" w:eastAsiaTheme="minorEastAsia" w:hAnsiTheme="minorHAnsi" w:cstheme="minorBidi"/>
              <w:noProof/>
              <w:sz w:val="22"/>
              <w:szCs w:val="22"/>
              <w:lang w:eastAsia="en-AU"/>
            </w:rPr>
          </w:pPr>
          <w:hyperlink w:anchor="_Toc19042851" w:history="1">
            <w:r w:rsidR="00D830C7" w:rsidRPr="00997473">
              <w:rPr>
                <w:rStyle w:val="Hyperlink"/>
                <w:b/>
                <w:noProof/>
              </w:rPr>
              <w:t>Recommendation 10</w:t>
            </w:r>
            <w:r w:rsidR="00D830C7">
              <w:rPr>
                <w:noProof/>
                <w:webHidden/>
              </w:rPr>
              <w:tab/>
            </w:r>
            <w:r w:rsidR="00D830C7">
              <w:rPr>
                <w:noProof/>
                <w:webHidden/>
              </w:rPr>
              <w:fldChar w:fldCharType="begin"/>
            </w:r>
            <w:r w:rsidR="00D830C7">
              <w:rPr>
                <w:noProof/>
                <w:webHidden/>
              </w:rPr>
              <w:instrText xml:space="preserve"> PAGEREF _Toc19042851 \h </w:instrText>
            </w:r>
            <w:r w:rsidR="00D830C7">
              <w:rPr>
                <w:noProof/>
                <w:webHidden/>
              </w:rPr>
            </w:r>
            <w:r w:rsidR="00D830C7">
              <w:rPr>
                <w:noProof/>
                <w:webHidden/>
              </w:rPr>
              <w:fldChar w:fldCharType="separate"/>
            </w:r>
            <w:r w:rsidR="00453F0F">
              <w:rPr>
                <w:noProof/>
                <w:webHidden/>
              </w:rPr>
              <w:t>9</w:t>
            </w:r>
            <w:r w:rsidR="00D830C7">
              <w:rPr>
                <w:noProof/>
                <w:webHidden/>
              </w:rPr>
              <w:fldChar w:fldCharType="end"/>
            </w:r>
          </w:hyperlink>
        </w:p>
        <w:p w14:paraId="78623C50" w14:textId="4560C6BB" w:rsidR="00D830C7" w:rsidRDefault="007A4C82">
          <w:pPr>
            <w:pStyle w:val="TOC2"/>
            <w:rPr>
              <w:rFonts w:asciiTheme="minorHAnsi" w:eastAsiaTheme="minorEastAsia" w:hAnsiTheme="minorHAnsi" w:cstheme="minorBidi"/>
              <w:noProof/>
              <w:sz w:val="22"/>
              <w:szCs w:val="22"/>
              <w:lang w:eastAsia="en-AU"/>
            </w:rPr>
          </w:pPr>
          <w:hyperlink w:anchor="_Toc19042852" w:history="1">
            <w:r w:rsidR="00D830C7" w:rsidRPr="00997473">
              <w:rPr>
                <w:rStyle w:val="Hyperlink"/>
                <w:b/>
                <w:noProof/>
              </w:rPr>
              <w:t>Recommendation 11</w:t>
            </w:r>
            <w:r w:rsidR="00D830C7">
              <w:rPr>
                <w:noProof/>
                <w:webHidden/>
              </w:rPr>
              <w:tab/>
            </w:r>
            <w:r w:rsidR="00D830C7">
              <w:rPr>
                <w:noProof/>
                <w:webHidden/>
              </w:rPr>
              <w:fldChar w:fldCharType="begin"/>
            </w:r>
            <w:r w:rsidR="00D830C7">
              <w:rPr>
                <w:noProof/>
                <w:webHidden/>
              </w:rPr>
              <w:instrText xml:space="preserve"> PAGEREF _Toc19042852 \h </w:instrText>
            </w:r>
            <w:r w:rsidR="00D830C7">
              <w:rPr>
                <w:noProof/>
                <w:webHidden/>
              </w:rPr>
            </w:r>
            <w:r w:rsidR="00D830C7">
              <w:rPr>
                <w:noProof/>
                <w:webHidden/>
              </w:rPr>
              <w:fldChar w:fldCharType="separate"/>
            </w:r>
            <w:r w:rsidR="00453F0F">
              <w:rPr>
                <w:noProof/>
                <w:webHidden/>
              </w:rPr>
              <w:t>9</w:t>
            </w:r>
            <w:r w:rsidR="00D830C7">
              <w:rPr>
                <w:noProof/>
                <w:webHidden/>
              </w:rPr>
              <w:fldChar w:fldCharType="end"/>
            </w:r>
          </w:hyperlink>
        </w:p>
        <w:p w14:paraId="6BB0B568" w14:textId="2C7856EF" w:rsidR="00D830C7" w:rsidRDefault="007A4C82">
          <w:pPr>
            <w:pStyle w:val="TOC2"/>
            <w:rPr>
              <w:rFonts w:asciiTheme="minorHAnsi" w:eastAsiaTheme="minorEastAsia" w:hAnsiTheme="minorHAnsi" w:cstheme="minorBidi"/>
              <w:noProof/>
              <w:sz w:val="22"/>
              <w:szCs w:val="22"/>
              <w:lang w:eastAsia="en-AU"/>
            </w:rPr>
          </w:pPr>
          <w:hyperlink w:anchor="_Toc19042853" w:history="1">
            <w:r w:rsidR="00D830C7" w:rsidRPr="00997473">
              <w:rPr>
                <w:rStyle w:val="Hyperlink"/>
                <w:b/>
                <w:noProof/>
              </w:rPr>
              <w:t>Recommendation 12</w:t>
            </w:r>
            <w:r w:rsidR="00D830C7">
              <w:rPr>
                <w:noProof/>
                <w:webHidden/>
              </w:rPr>
              <w:tab/>
            </w:r>
            <w:r w:rsidR="00D830C7">
              <w:rPr>
                <w:noProof/>
                <w:webHidden/>
              </w:rPr>
              <w:fldChar w:fldCharType="begin"/>
            </w:r>
            <w:r w:rsidR="00D830C7">
              <w:rPr>
                <w:noProof/>
                <w:webHidden/>
              </w:rPr>
              <w:instrText xml:space="preserve"> PAGEREF _Toc19042853 \h </w:instrText>
            </w:r>
            <w:r w:rsidR="00D830C7">
              <w:rPr>
                <w:noProof/>
                <w:webHidden/>
              </w:rPr>
            </w:r>
            <w:r w:rsidR="00D830C7">
              <w:rPr>
                <w:noProof/>
                <w:webHidden/>
              </w:rPr>
              <w:fldChar w:fldCharType="separate"/>
            </w:r>
            <w:r w:rsidR="00453F0F">
              <w:rPr>
                <w:noProof/>
                <w:webHidden/>
              </w:rPr>
              <w:t>10</w:t>
            </w:r>
            <w:r w:rsidR="00D830C7">
              <w:rPr>
                <w:noProof/>
                <w:webHidden/>
              </w:rPr>
              <w:fldChar w:fldCharType="end"/>
            </w:r>
          </w:hyperlink>
        </w:p>
        <w:p w14:paraId="752C49CB" w14:textId="20239DC7" w:rsidR="00D830C7" w:rsidRDefault="007A4C82">
          <w:pPr>
            <w:pStyle w:val="TOC2"/>
            <w:rPr>
              <w:rFonts w:asciiTheme="minorHAnsi" w:eastAsiaTheme="minorEastAsia" w:hAnsiTheme="minorHAnsi" w:cstheme="minorBidi"/>
              <w:noProof/>
              <w:sz w:val="22"/>
              <w:szCs w:val="22"/>
              <w:lang w:eastAsia="en-AU"/>
            </w:rPr>
          </w:pPr>
          <w:hyperlink w:anchor="_Toc19042854" w:history="1">
            <w:r w:rsidR="00D830C7" w:rsidRPr="00997473">
              <w:rPr>
                <w:rStyle w:val="Hyperlink"/>
                <w:b/>
                <w:noProof/>
              </w:rPr>
              <w:t>Recommendation 13</w:t>
            </w:r>
            <w:r w:rsidR="00D830C7">
              <w:rPr>
                <w:noProof/>
                <w:webHidden/>
              </w:rPr>
              <w:tab/>
            </w:r>
            <w:r w:rsidR="00D830C7">
              <w:rPr>
                <w:noProof/>
                <w:webHidden/>
              </w:rPr>
              <w:fldChar w:fldCharType="begin"/>
            </w:r>
            <w:r w:rsidR="00D830C7">
              <w:rPr>
                <w:noProof/>
                <w:webHidden/>
              </w:rPr>
              <w:instrText xml:space="preserve"> PAGEREF _Toc19042854 \h </w:instrText>
            </w:r>
            <w:r w:rsidR="00D830C7">
              <w:rPr>
                <w:noProof/>
                <w:webHidden/>
              </w:rPr>
            </w:r>
            <w:r w:rsidR="00D830C7">
              <w:rPr>
                <w:noProof/>
                <w:webHidden/>
              </w:rPr>
              <w:fldChar w:fldCharType="separate"/>
            </w:r>
            <w:r w:rsidR="00453F0F">
              <w:rPr>
                <w:noProof/>
                <w:webHidden/>
              </w:rPr>
              <w:t>11</w:t>
            </w:r>
            <w:r w:rsidR="00D830C7">
              <w:rPr>
                <w:noProof/>
                <w:webHidden/>
              </w:rPr>
              <w:fldChar w:fldCharType="end"/>
            </w:r>
          </w:hyperlink>
        </w:p>
        <w:p w14:paraId="3F17EA0E" w14:textId="769286B2" w:rsidR="00D830C7" w:rsidRDefault="007A4C82">
          <w:pPr>
            <w:pStyle w:val="TOC2"/>
            <w:rPr>
              <w:rFonts w:asciiTheme="minorHAnsi" w:eastAsiaTheme="minorEastAsia" w:hAnsiTheme="minorHAnsi" w:cstheme="minorBidi"/>
              <w:noProof/>
              <w:sz w:val="22"/>
              <w:szCs w:val="22"/>
              <w:lang w:eastAsia="en-AU"/>
            </w:rPr>
          </w:pPr>
          <w:hyperlink w:anchor="_Toc19042855" w:history="1">
            <w:r w:rsidR="00D830C7" w:rsidRPr="00997473">
              <w:rPr>
                <w:rStyle w:val="Hyperlink"/>
                <w:b/>
                <w:noProof/>
              </w:rPr>
              <w:t>Recommendation 14</w:t>
            </w:r>
            <w:r w:rsidR="00D830C7">
              <w:rPr>
                <w:noProof/>
                <w:webHidden/>
              </w:rPr>
              <w:tab/>
            </w:r>
            <w:r w:rsidR="00D830C7">
              <w:rPr>
                <w:noProof/>
                <w:webHidden/>
              </w:rPr>
              <w:fldChar w:fldCharType="begin"/>
            </w:r>
            <w:r w:rsidR="00D830C7">
              <w:rPr>
                <w:noProof/>
                <w:webHidden/>
              </w:rPr>
              <w:instrText xml:space="preserve"> PAGEREF _Toc19042855 \h </w:instrText>
            </w:r>
            <w:r w:rsidR="00D830C7">
              <w:rPr>
                <w:noProof/>
                <w:webHidden/>
              </w:rPr>
            </w:r>
            <w:r w:rsidR="00D830C7">
              <w:rPr>
                <w:noProof/>
                <w:webHidden/>
              </w:rPr>
              <w:fldChar w:fldCharType="separate"/>
            </w:r>
            <w:r w:rsidR="00453F0F">
              <w:rPr>
                <w:noProof/>
                <w:webHidden/>
              </w:rPr>
              <w:t>11</w:t>
            </w:r>
            <w:r w:rsidR="00D830C7">
              <w:rPr>
                <w:noProof/>
                <w:webHidden/>
              </w:rPr>
              <w:fldChar w:fldCharType="end"/>
            </w:r>
          </w:hyperlink>
        </w:p>
        <w:p w14:paraId="3AF7BD65" w14:textId="6ACBB1D2" w:rsidR="00A01ED9" w:rsidRDefault="00A01ED9">
          <w:r w:rsidRPr="00926E50">
            <w:rPr>
              <w:rFonts w:asciiTheme="minorHAnsi" w:hAnsiTheme="minorHAnsi" w:cstheme="minorHAnsi"/>
              <w:b/>
              <w:bCs/>
              <w:noProof/>
            </w:rPr>
            <w:fldChar w:fldCharType="end"/>
          </w:r>
        </w:p>
      </w:sdtContent>
    </w:sdt>
    <w:p w14:paraId="4D29974B" w14:textId="77777777" w:rsidR="00A01ED9" w:rsidRDefault="00A01ED9">
      <w:pPr>
        <w:rPr>
          <w:lang w:val="en-US"/>
        </w:rPr>
      </w:pPr>
      <w:r>
        <w:rPr>
          <w:lang w:val="en-US"/>
        </w:rPr>
        <w:br w:type="page"/>
      </w:r>
    </w:p>
    <w:p w14:paraId="4F9DFCA6" w14:textId="77777777" w:rsidR="00A01ED9" w:rsidRDefault="00A01ED9" w:rsidP="00A01ED9">
      <w:pPr>
        <w:pStyle w:val="Heading1"/>
        <w:rPr>
          <w:lang w:val="en-US"/>
        </w:rPr>
      </w:pPr>
      <w:bookmarkStart w:id="0" w:name="_Toc19042840"/>
      <w:r>
        <w:rPr>
          <w:lang w:val="en-US"/>
        </w:rPr>
        <w:lastRenderedPageBreak/>
        <w:t>Introduction</w:t>
      </w:r>
      <w:bookmarkEnd w:id="0"/>
    </w:p>
    <w:p w14:paraId="7AF2556D" w14:textId="77777777" w:rsidR="000D2245" w:rsidRPr="00715ECE" w:rsidRDefault="000D2245" w:rsidP="000D2245">
      <w:pPr>
        <w:spacing w:after="120"/>
        <w:rPr>
          <w:rFonts w:asciiTheme="minorHAnsi" w:hAnsiTheme="minorHAnsi" w:cstheme="minorHAnsi"/>
          <w:lang w:val="en-US"/>
        </w:rPr>
      </w:pPr>
      <w:r w:rsidRPr="00715ECE">
        <w:rPr>
          <w:rFonts w:asciiTheme="minorHAnsi" w:hAnsiTheme="minorHAnsi" w:cstheme="minorHAnsi"/>
          <w:lang w:val="en-US"/>
        </w:rPr>
        <w:t xml:space="preserve">The </w:t>
      </w:r>
      <w:r>
        <w:rPr>
          <w:rFonts w:asciiTheme="minorHAnsi" w:hAnsiTheme="minorHAnsi" w:cstheme="minorHAnsi"/>
          <w:lang w:val="en-US"/>
        </w:rPr>
        <w:t xml:space="preserve">Australian </w:t>
      </w:r>
      <w:r w:rsidRPr="00715ECE">
        <w:rPr>
          <w:rFonts w:asciiTheme="minorHAnsi" w:hAnsiTheme="minorHAnsi" w:cstheme="minorHAnsi"/>
          <w:lang w:val="en-US"/>
        </w:rPr>
        <w:t>Government</w:t>
      </w:r>
      <w:r>
        <w:rPr>
          <w:rFonts w:asciiTheme="minorHAnsi" w:hAnsiTheme="minorHAnsi" w:cstheme="minorHAnsi"/>
          <w:lang w:val="en-US"/>
        </w:rPr>
        <w:t xml:space="preserve"> (the Government)</w:t>
      </w:r>
      <w:r w:rsidRPr="00715ECE">
        <w:rPr>
          <w:rFonts w:asciiTheme="minorHAnsi" w:hAnsiTheme="minorHAnsi" w:cstheme="minorHAnsi"/>
          <w:lang w:val="en-US"/>
        </w:rPr>
        <w:t xml:space="preserve"> welcomes the opportunity to respond to the findings and recommendations of the Senate Community Affairs References Committee report on the My Health Record (MHR) system.</w:t>
      </w:r>
    </w:p>
    <w:p w14:paraId="3DC430BB" w14:textId="77777777" w:rsidR="000D2245" w:rsidRPr="00D17764" w:rsidRDefault="000D2245" w:rsidP="000D2245">
      <w:pPr>
        <w:spacing w:after="120"/>
        <w:rPr>
          <w:rFonts w:asciiTheme="minorHAnsi" w:hAnsiTheme="minorHAnsi" w:cstheme="minorHAnsi"/>
          <w:lang w:val="en-US"/>
        </w:rPr>
      </w:pPr>
      <w:r w:rsidRPr="00D17764">
        <w:rPr>
          <w:rFonts w:asciiTheme="minorHAnsi" w:hAnsiTheme="minorHAnsi" w:cstheme="minorHAnsi"/>
          <w:lang w:val="en-US"/>
        </w:rPr>
        <w:t>MHR is Australia’s national digital health record system</w:t>
      </w:r>
      <w:r>
        <w:rPr>
          <w:rFonts w:asciiTheme="minorHAnsi" w:hAnsiTheme="minorHAnsi" w:cstheme="minorHAnsi"/>
          <w:lang w:val="en-US"/>
        </w:rPr>
        <w:t xml:space="preserve">. </w:t>
      </w:r>
      <w:r w:rsidRPr="00D17764">
        <w:rPr>
          <w:rFonts w:asciiTheme="minorHAnsi" w:hAnsiTheme="minorHAnsi" w:cstheme="minorHAnsi"/>
          <w:lang w:val="en-US"/>
        </w:rPr>
        <w:t>It is an electronic summary of an individual’s key health information that can be shared securely online between the individual and their healthcare providers to support improved clinical decision making and continuity of care. The system has been operating without incident since July 2012.</w:t>
      </w:r>
    </w:p>
    <w:p w14:paraId="2A8E52C5" w14:textId="77777777" w:rsidR="00CF2873" w:rsidRDefault="00CF2873" w:rsidP="000D2245">
      <w:pPr>
        <w:pStyle w:val="PlainText"/>
        <w:spacing w:after="120" w:line="259" w:lineRule="auto"/>
        <w:rPr>
          <w:rFonts w:asciiTheme="minorHAnsi" w:hAnsiTheme="minorHAnsi" w:cstheme="minorHAnsi"/>
          <w:sz w:val="24"/>
          <w:szCs w:val="24"/>
        </w:rPr>
      </w:pPr>
      <w:r>
        <w:rPr>
          <w:rFonts w:asciiTheme="minorHAnsi" w:hAnsiTheme="minorHAnsi" w:cstheme="minorHAnsi"/>
          <w:sz w:val="24"/>
          <w:szCs w:val="24"/>
        </w:rPr>
        <w:t>The Australian Digital Health Agency</w:t>
      </w:r>
      <w:r w:rsidR="004038F5">
        <w:rPr>
          <w:rFonts w:asciiTheme="minorHAnsi" w:hAnsiTheme="minorHAnsi" w:cstheme="minorHAnsi"/>
          <w:sz w:val="24"/>
          <w:szCs w:val="24"/>
        </w:rPr>
        <w:t xml:space="preserve"> (the Agency)</w:t>
      </w:r>
      <w:r>
        <w:rPr>
          <w:rFonts w:asciiTheme="minorHAnsi" w:hAnsiTheme="minorHAnsi" w:cstheme="minorHAnsi"/>
          <w:sz w:val="24"/>
          <w:szCs w:val="24"/>
        </w:rPr>
        <w:t xml:space="preserve"> is the System Operator of the MHR system.</w:t>
      </w:r>
    </w:p>
    <w:p w14:paraId="310A2B6E" w14:textId="458407E7" w:rsidR="000D2245" w:rsidRPr="004E104D" w:rsidRDefault="00CF2873" w:rsidP="000D2245">
      <w:pPr>
        <w:pStyle w:val="PlainText"/>
        <w:spacing w:after="120" w:line="259" w:lineRule="auto"/>
        <w:rPr>
          <w:rFonts w:asciiTheme="minorHAnsi" w:hAnsiTheme="minorHAnsi" w:cstheme="minorHAnsi"/>
          <w:sz w:val="24"/>
          <w:szCs w:val="24"/>
        </w:rPr>
      </w:pPr>
      <w:r>
        <w:rPr>
          <w:rFonts w:asciiTheme="minorHAnsi" w:hAnsiTheme="minorHAnsi" w:cstheme="minorHAnsi"/>
          <w:sz w:val="24"/>
          <w:szCs w:val="24"/>
        </w:rPr>
        <w:t>T</w:t>
      </w:r>
      <w:r w:rsidR="000D2245" w:rsidRPr="004E104D">
        <w:rPr>
          <w:rFonts w:asciiTheme="minorHAnsi" w:hAnsiTheme="minorHAnsi" w:cstheme="minorHAnsi"/>
          <w:sz w:val="24"/>
          <w:szCs w:val="24"/>
        </w:rPr>
        <w:t xml:space="preserve">he Government is committed to the MHR system because it is delivering better health outcomes for patients and their treating </w:t>
      </w:r>
      <w:r w:rsidR="00410A2C">
        <w:rPr>
          <w:rFonts w:asciiTheme="minorHAnsi" w:hAnsiTheme="minorHAnsi" w:cstheme="minorHAnsi"/>
          <w:sz w:val="24"/>
          <w:szCs w:val="24"/>
        </w:rPr>
        <w:t>healthcare practitioners</w:t>
      </w:r>
      <w:r w:rsidR="000D2245" w:rsidRPr="004E104D">
        <w:rPr>
          <w:rFonts w:asciiTheme="minorHAnsi" w:hAnsiTheme="minorHAnsi" w:cstheme="minorHAnsi"/>
          <w:sz w:val="24"/>
          <w:szCs w:val="24"/>
        </w:rPr>
        <w:t xml:space="preserve"> by making it easier to co-ordinate their care and measure their progress.</w:t>
      </w:r>
      <w:r w:rsidR="000D2245">
        <w:rPr>
          <w:rFonts w:asciiTheme="minorHAnsi" w:hAnsiTheme="minorHAnsi" w:cstheme="minorHAnsi"/>
          <w:sz w:val="24"/>
          <w:szCs w:val="24"/>
        </w:rPr>
        <w:t xml:space="preserve"> MHR also enables </w:t>
      </w:r>
      <w:r w:rsidR="000D2245" w:rsidRPr="004E104D">
        <w:rPr>
          <w:rFonts w:asciiTheme="minorHAnsi" w:hAnsiTheme="minorHAnsi" w:cstheme="minorHAnsi"/>
          <w:sz w:val="24"/>
          <w:szCs w:val="24"/>
        </w:rPr>
        <w:t xml:space="preserve">greater participation </w:t>
      </w:r>
      <w:r w:rsidR="000D2245">
        <w:rPr>
          <w:rFonts w:asciiTheme="minorHAnsi" w:hAnsiTheme="minorHAnsi" w:cstheme="minorHAnsi"/>
          <w:sz w:val="24"/>
          <w:szCs w:val="24"/>
        </w:rPr>
        <w:t xml:space="preserve">by consumers </w:t>
      </w:r>
      <w:r w:rsidR="00EA5BE4">
        <w:rPr>
          <w:rFonts w:asciiTheme="minorHAnsi" w:hAnsiTheme="minorHAnsi" w:cstheme="minorHAnsi"/>
          <w:sz w:val="24"/>
          <w:szCs w:val="24"/>
        </w:rPr>
        <w:t xml:space="preserve">in </w:t>
      </w:r>
      <w:r w:rsidR="000D2245" w:rsidRPr="004E104D">
        <w:rPr>
          <w:rFonts w:asciiTheme="minorHAnsi" w:hAnsiTheme="minorHAnsi" w:cstheme="minorHAnsi"/>
          <w:sz w:val="24"/>
          <w:szCs w:val="24"/>
        </w:rPr>
        <w:t>self-ma</w:t>
      </w:r>
      <w:r w:rsidR="00EA5BE4">
        <w:rPr>
          <w:rFonts w:asciiTheme="minorHAnsi" w:hAnsiTheme="minorHAnsi" w:cstheme="minorHAnsi"/>
          <w:sz w:val="24"/>
          <w:szCs w:val="24"/>
        </w:rPr>
        <w:t xml:space="preserve">nagement and decision-making for </w:t>
      </w:r>
      <w:r w:rsidR="000D2245">
        <w:rPr>
          <w:rFonts w:asciiTheme="minorHAnsi" w:hAnsiTheme="minorHAnsi" w:cstheme="minorHAnsi"/>
          <w:sz w:val="24"/>
          <w:szCs w:val="24"/>
        </w:rPr>
        <w:t>their</w:t>
      </w:r>
      <w:r w:rsidR="000D2245" w:rsidRPr="004E104D">
        <w:rPr>
          <w:rFonts w:asciiTheme="minorHAnsi" w:hAnsiTheme="minorHAnsi" w:cstheme="minorHAnsi"/>
          <w:sz w:val="24"/>
          <w:szCs w:val="24"/>
        </w:rPr>
        <w:t xml:space="preserve"> healthcare.</w:t>
      </w:r>
      <w:r w:rsidR="000D2245" w:rsidRPr="000E79D9">
        <w:rPr>
          <w:rFonts w:asciiTheme="minorHAnsi" w:hAnsiTheme="minorHAnsi" w:cstheme="minorHAnsi"/>
          <w:sz w:val="24"/>
          <w:szCs w:val="24"/>
        </w:rPr>
        <w:t xml:space="preserve"> </w:t>
      </w:r>
    </w:p>
    <w:p w14:paraId="6E30E8F5" w14:textId="204B4C22" w:rsidR="000D2245" w:rsidRPr="000E79D9" w:rsidRDefault="0063260E" w:rsidP="00CB4284">
      <w:pPr>
        <w:pStyle w:val="PlainText"/>
        <w:spacing w:after="120"/>
        <w:rPr>
          <w:rFonts w:asciiTheme="minorHAnsi" w:hAnsiTheme="minorHAnsi" w:cstheme="minorHAnsi"/>
          <w:sz w:val="24"/>
          <w:szCs w:val="24"/>
        </w:rPr>
      </w:pPr>
      <w:r w:rsidRPr="0063260E">
        <w:rPr>
          <w:rFonts w:asciiTheme="minorHAnsi" w:hAnsiTheme="minorHAnsi" w:cstheme="minorHAnsi"/>
          <w:sz w:val="24"/>
          <w:szCs w:val="24"/>
        </w:rPr>
        <w:t>The National opt-out period concluded on 31 January 2019.</w:t>
      </w:r>
      <w:r>
        <w:rPr>
          <w:rFonts w:asciiTheme="minorHAnsi" w:hAnsiTheme="minorHAnsi" w:cstheme="minorHAnsi"/>
          <w:sz w:val="24"/>
          <w:szCs w:val="24"/>
        </w:rPr>
        <w:t xml:space="preserve"> </w:t>
      </w:r>
      <w:r w:rsidR="000D2245" w:rsidRPr="000E79D9">
        <w:rPr>
          <w:rFonts w:asciiTheme="minorHAnsi" w:hAnsiTheme="minorHAnsi" w:cstheme="minorHAnsi"/>
          <w:sz w:val="24"/>
          <w:szCs w:val="24"/>
        </w:rPr>
        <w:t xml:space="preserve">A MHR </w:t>
      </w:r>
      <w:r>
        <w:rPr>
          <w:rFonts w:asciiTheme="minorHAnsi" w:hAnsiTheme="minorHAnsi" w:cstheme="minorHAnsi"/>
          <w:sz w:val="24"/>
          <w:szCs w:val="24"/>
        </w:rPr>
        <w:t>has been</w:t>
      </w:r>
      <w:r w:rsidR="000D2245" w:rsidRPr="000E79D9">
        <w:rPr>
          <w:rFonts w:asciiTheme="minorHAnsi" w:hAnsiTheme="minorHAnsi" w:cstheme="minorHAnsi"/>
          <w:sz w:val="24"/>
          <w:szCs w:val="24"/>
        </w:rPr>
        <w:t xml:space="preserve"> created for every </w:t>
      </w:r>
      <w:r>
        <w:rPr>
          <w:rFonts w:asciiTheme="minorHAnsi" w:hAnsiTheme="minorHAnsi" w:cstheme="minorHAnsi"/>
          <w:sz w:val="24"/>
          <w:szCs w:val="24"/>
        </w:rPr>
        <w:t xml:space="preserve">eligible </w:t>
      </w:r>
      <w:r w:rsidR="000D2245" w:rsidRPr="000E79D9">
        <w:rPr>
          <w:rFonts w:asciiTheme="minorHAnsi" w:hAnsiTheme="minorHAnsi" w:cstheme="minorHAnsi"/>
          <w:sz w:val="24"/>
          <w:szCs w:val="24"/>
        </w:rPr>
        <w:t>Australian</w:t>
      </w:r>
      <w:r w:rsidR="00EA5BE4">
        <w:rPr>
          <w:rFonts w:asciiTheme="minorHAnsi" w:hAnsiTheme="minorHAnsi" w:cstheme="minorHAnsi"/>
          <w:sz w:val="24"/>
          <w:szCs w:val="24"/>
        </w:rPr>
        <w:t xml:space="preserve"> </w:t>
      </w:r>
      <w:r w:rsidR="00EA5BE4" w:rsidRPr="003827C7">
        <w:rPr>
          <w:rFonts w:asciiTheme="minorHAnsi" w:hAnsiTheme="minorHAnsi"/>
          <w:sz w:val="24"/>
        </w:rPr>
        <w:t>who did not opt out</w:t>
      </w:r>
      <w:r w:rsidR="000D2245" w:rsidRPr="00F47BC6">
        <w:rPr>
          <w:rFonts w:asciiTheme="minorHAnsi" w:hAnsiTheme="minorHAnsi" w:cstheme="minorHAnsi"/>
          <w:sz w:val="24"/>
          <w:szCs w:val="24"/>
        </w:rPr>
        <w:t xml:space="preserve">. </w:t>
      </w:r>
      <w:r w:rsidRPr="00F47BC6">
        <w:rPr>
          <w:rFonts w:asciiTheme="minorHAnsi" w:hAnsiTheme="minorHAnsi" w:cstheme="minorHAnsi"/>
          <w:sz w:val="24"/>
          <w:szCs w:val="24"/>
        </w:rPr>
        <w:t xml:space="preserve">The consumer participation rate for the MHR as at 31 January 2019 </w:t>
      </w:r>
      <w:r w:rsidRPr="00633EAE">
        <w:rPr>
          <w:rFonts w:asciiTheme="minorHAnsi" w:hAnsiTheme="minorHAnsi" w:cstheme="minorHAnsi"/>
          <w:sz w:val="24"/>
          <w:szCs w:val="24"/>
        </w:rPr>
        <w:t xml:space="preserve">is 90.1 per cent. </w:t>
      </w:r>
      <w:r w:rsidR="000D2245" w:rsidRPr="000E79D9">
        <w:rPr>
          <w:rFonts w:asciiTheme="minorHAnsi" w:hAnsiTheme="minorHAnsi" w:cstheme="minorHAnsi"/>
          <w:sz w:val="24"/>
          <w:szCs w:val="24"/>
        </w:rPr>
        <w:t xml:space="preserve">More than </w:t>
      </w:r>
      <w:r w:rsidRPr="000E79D9">
        <w:rPr>
          <w:rFonts w:asciiTheme="minorHAnsi" w:hAnsiTheme="minorHAnsi" w:cstheme="minorHAnsi"/>
          <w:sz w:val="24"/>
          <w:szCs w:val="24"/>
        </w:rPr>
        <w:t>1</w:t>
      </w:r>
      <w:r>
        <w:rPr>
          <w:rFonts w:asciiTheme="minorHAnsi" w:hAnsiTheme="minorHAnsi" w:cstheme="minorHAnsi"/>
          <w:sz w:val="24"/>
          <w:szCs w:val="24"/>
        </w:rPr>
        <w:t>5</w:t>
      </w:r>
      <w:r w:rsidR="000D2245" w:rsidRPr="000E79D9">
        <w:rPr>
          <w:rFonts w:asciiTheme="minorHAnsi" w:hAnsiTheme="minorHAnsi" w:cstheme="minorHAnsi"/>
          <w:sz w:val="24"/>
          <w:szCs w:val="24"/>
        </w:rPr>
        <w:t>,000 healthcare provider organisations are participating in the system. The majority of these healthcare providers are general practices (6,</w:t>
      </w:r>
      <w:r>
        <w:rPr>
          <w:rFonts w:asciiTheme="minorHAnsi" w:hAnsiTheme="minorHAnsi" w:cstheme="minorHAnsi"/>
          <w:sz w:val="24"/>
          <w:szCs w:val="24"/>
        </w:rPr>
        <w:t>90</w:t>
      </w:r>
      <w:r w:rsidRPr="000E79D9">
        <w:rPr>
          <w:rFonts w:asciiTheme="minorHAnsi" w:hAnsiTheme="minorHAnsi" w:cstheme="minorHAnsi"/>
          <w:sz w:val="24"/>
          <w:szCs w:val="24"/>
        </w:rPr>
        <w:t>2</w:t>
      </w:r>
      <w:r w:rsidR="000D2245" w:rsidRPr="000E79D9">
        <w:rPr>
          <w:rFonts w:asciiTheme="minorHAnsi" w:hAnsiTheme="minorHAnsi" w:cstheme="minorHAnsi"/>
          <w:sz w:val="24"/>
          <w:szCs w:val="24"/>
        </w:rPr>
        <w:t>) and pharmacies (4,</w:t>
      </w:r>
      <w:r>
        <w:rPr>
          <w:rFonts w:asciiTheme="minorHAnsi" w:hAnsiTheme="minorHAnsi" w:cstheme="minorHAnsi"/>
          <w:sz w:val="24"/>
          <w:szCs w:val="24"/>
        </w:rPr>
        <w:t>609</w:t>
      </w:r>
      <w:r w:rsidR="000D2245" w:rsidRPr="000E79D9">
        <w:rPr>
          <w:rFonts w:asciiTheme="minorHAnsi" w:hAnsiTheme="minorHAnsi" w:cstheme="minorHAnsi"/>
          <w:sz w:val="24"/>
          <w:szCs w:val="24"/>
        </w:rPr>
        <w:t xml:space="preserve">), but also include 1,013 hospitals, and </w:t>
      </w:r>
      <w:r w:rsidRPr="000E79D9">
        <w:rPr>
          <w:rFonts w:asciiTheme="minorHAnsi" w:hAnsiTheme="minorHAnsi" w:cstheme="minorHAnsi"/>
          <w:sz w:val="24"/>
          <w:szCs w:val="24"/>
        </w:rPr>
        <w:t>19</w:t>
      </w:r>
      <w:r>
        <w:rPr>
          <w:rFonts w:asciiTheme="minorHAnsi" w:hAnsiTheme="minorHAnsi" w:cstheme="minorHAnsi"/>
          <w:sz w:val="24"/>
          <w:szCs w:val="24"/>
        </w:rPr>
        <w:t>8</w:t>
      </w:r>
      <w:r w:rsidRPr="000E79D9">
        <w:rPr>
          <w:rFonts w:asciiTheme="minorHAnsi" w:hAnsiTheme="minorHAnsi" w:cstheme="minorHAnsi"/>
          <w:sz w:val="24"/>
          <w:szCs w:val="24"/>
        </w:rPr>
        <w:t xml:space="preserve"> </w:t>
      </w:r>
      <w:r w:rsidR="000D2245" w:rsidRPr="000E79D9">
        <w:rPr>
          <w:rFonts w:asciiTheme="minorHAnsi" w:hAnsiTheme="minorHAnsi" w:cstheme="minorHAnsi"/>
          <w:sz w:val="24"/>
          <w:szCs w:val="24"/>
        </w:rPr>
        <w:t>residential aged care services. </w:t>
      </w:r>
    </w:p>
    <w:p w14:paraId="65660293" w14:textId="3C2E36A6" w:rsidR="000D2245" w:rsidRDefault="000D2245" w:rsidP="000D2245">
      <w:pPr>
        <w:pStyle w:val="PlainText"/>
        <w:spacing w:after="120" w:line="259" w:lineRule="auto"/>
        <w:rPr>
          <w:rFonts w:asciiTheme="minorHAnsi" w:hAnsiTheme="minorHAnsi" w:cstheme="minorHAnsi"/>
          <w:sz w:val="24"/>
          <w:szCs w:val="24"/>
        </w:rPr>
      </w:pPr>
      <w:r>
        <w:rPr>
          <w:rFonts w:asciiTheme="minorHAnsi" w:hAnsiTheme="minorHAnsi" w:cstheme="minorHAnsi"/>
          <w:sz w:val="24"/>
          <w:szCs w:val="24"/>
        </w:rPr>
        <w:t xml:space="preserve">Since 2012, the Government has worked closely </w:t>
      </w:r>
      <w:r w:rsidRPr="000E79D9">
        <w:rPr>
          <w:rFonts w:asciiTheme="minorHAnsi" w:hAnsiTheme="minorHAnsi" w:cstheme="minorHAnsi"/>
          <w:sz w:val="24"/>
          <w:szCs w:val="24"/>
        </w:rPr>
        <w:t xml:space="preserve">with consumers, privacy advocates and experts, health sector representatives, health software providers, </w:t>
      </w:r>
      <w:r w:rsidR="00EA5BE4">
        <w:rPr>
          <w:rFonts w:asciiTheme="minorHAnsi" w:hAnsiTheme="minorHAnsi" w:cstheme="minorHAnsi"/>
          <w:sz w:val="24"/>
          <w:szCs w:val="24"/>
        </w:rPr>
        <w:t xml:space="preserve">medical indemnity insurers, </w:t>
      </w:r>
      <w:r w:rsidRPr="000E79D9">
        <w:rPr>
          <w:rFonts w:asciiTheme="minorHAnsi" w:hAnsiTheme="minorHAnsi" w:cstheme="minorHAnsi"/>
          <w:sz w:val="24"/>
          <w:szCs w:val="24"/>
        </w:rPr>
        <w:t>Commonwealth, state an</w:t>
      </w:r>
      <w:r>
        <w:rPr>
          <w:rFonts w:asciiTheme="minorHAnsi" w:hAnsiTheme="minorHAnsi" w:cstheme="minorHAnsi"/>
          <w:sz w:val="24"/>
          <w:szCs w:val="24"/>
        </w:rPr>
        <w:t xml:space="preserve">d territory government agencies, </w:t>
      </w:r>
      <w:r w:rsidRPr="00CD3202">
        <w:rPr>
          <w:rFonts w:asciiTheme="minorHAnsi" w:hAnsiTheme="minorHAnsi" w:cstheme="minorHAnsi"/>
          <w:sz w:val="24"/>
          <w:szCs w:val="24"/>
        </w:rPr>
        <w:t xml:space="preserve">to ensure the system remains safe, secure and </w:t>
      </w:r>
      <w:r>
        <w:rPr>
          <w:rFonts w:asciiTheme="minorHAnsi" w:hAnsiTheme="minorHAnsi" w:cstheme="minorHAnsi"/>
          <w:sz w:val="24"/>
          <w:szCs w:val="24"/>
        </w:rPr>
        <w:t xml:space="preserve">enables </w:t>
      </w:r>
      <w:r w:rsidRPr="00CD3202">
        <w:rPr>
          <w:rFonts w:asciiTheme="minorHAnsi" w:hAnsiTheme="minorHAnsi" w:cstheme="minorHAnsi"/>
          <w:sz w:val="24"/>
          <w:szCs w:val="24"/>
        </w:rPr>
        <w:t>better connect</w:t>
      </w:r>
      <w:r>
        <w:rPr>
          <w:rFonts w:asciiTheme="minorHAnsi" w:hAnsiTheme="minorHAnsi" w:cstheme="minorHAnsi"/>
          <w:sz w:val="24"/>
          <w:szCs w:val="24"/>
        </w:rPr>
        <w:t>ed</w:t>
      </w:r>
      <w:r w:rsidRPr="00CD3202">
        <w:rPr>
          <w:rFonts w:asciiTheme="minorHAnsi" w:hAnsiTheme="minorHAnsi" w:cstheme="minorHAnsi"/>
          <w:sz w:val="24"/>
          <w:szCs w:val="24"/>
        </w:rPr>
        <w:t xml:space="preserve"> healthcare </w:t>
      </w:r>
      <w:r>
        <w:rPr>
          <w:rFonts w:asciiTheme="minorHAnsi" w:hAnsiTheme="minorHAnsi" w:cstheme="minorHAnsi"/>
          <w:sz w:val="24"/>
          <w:szCs w:val="24"/>
        </w:rPr>
        <w:t>to all</w:t>
      </w:r>
      <w:r w:rsidRPr="00CD3202">
        <w:rPr>
          <w:rFonts w:asciiTheme="minorHAnsi" w:hAnsiTheme="minorHAnsi" w:cstheme="minorHAnsi"/>
          <w:sz w:val="24"/>
          <w:szCs w:val="24"/>
        </w:rPr>
        <w:t xml:space="preserve"> Australians.  </w:t>
      </w:r>
    </w:p>
    <w:p w14:paraId="157DC01C" w14:textId="3BBE0BB3" w:rsidR="000D2245" w:rsidRPr="00CD3202" w:rsidRDefault="000D2245" w:rsidP="000D2245">
      <w:pPr>
        <w:pStyle w:val="PlainText"/>
        <w:spacing w:after="120" w:line="259" w:lineRule="auto"/>
        <w:rPr>
          <w:rFonts w:asciiTheme="minorHAnsi" w:hAnsiTheme="minorHAnsi" w:cstheme="minorHAnsi"/>
          <w:sz w:val="24"/>
          <w:szCs w:val="24"/>
        </w:rPr>
      </w:pPr>
      <w:r w:rsidRPr="000E79D9">
        <w:rPr>
          <w:rFonts w:asciiTheme="minorHAnsi" w:hAnsiTheme="minorHAnsi" w:cstheme="minorHAnsi"/>
          <w:sz w:val="24"/>
          <w:szCs w:val="24"/>
        </w:rPr>
        <w:t xml:space="preserve">On 26 November 2018, the Australian Parliament passed the </w:t>
      </w:r>
      <w:r w:rsidRPr="00EA5BE4">
        <w:rPr>
          <w:rFonts w:asciiTheme="minorHAnsi" w:hAnsiTheme="minorHAnsi" w:cstheme="minorHAnsi"/>
          <w:i/>
          <w:sz w:val="24"/>
          <w:szCs w:val="24"/>
        </w:rPr>
        <w:t>My Health Records Amendm</w:t>
      </w:r>
      <w:r w:rsidR="00EA5BE4" w:rsidRPr="00EA5BE4">
        <w:rPr>
          <w:rFonts w:asciiTheme="minorHAnsi" w:hAnsiTheme="minorHAnsi" w:cstheme="minorHAnsi"/>
          <w:i/>
          <w:sz w:val="24"/>
          <w:szCs w:val="24"/>
        </w:rPr>
        <w:t>ent (Strengthening Privacy) Act</w:t>
      </w:r>
      <w:r w:rsidRPr="00EA5BE4">
        <w:rPr>
          <w:rFonts w:asciiTheme="minorHAnsi" w:hAnsiTheme="minorHAnsi" w:cstheme="minorHAnsi"/>
          <w:i/>
          <w:sz w:val="24"/>
          <w:szCs w:val="24"/>
        </w:rPr>
        <w:t xml:space="preserve"> 2018</w:t>
      </w:r>
      <w:r w:rsidRPr="000E79D9">
        <w:rPr>
          <w:rFonts w:asciiTheme="minorHAnsi" w:hAnsiTheme="minorHAnsi" w:cstheme="minorHAnsi"/>
          <w:sz w:val="24"/>
          <w:szCs w:val="24"/>
        </w:rPr>
        <w:t>.</w:t>
      </w:r>
      <w:r>
        <w:rPr>
          <w:rFonts w:asciiTheme="minorHAnsi" w:hAnsiTheme="minorHAnsi" w:cstheme="minorHAnsi"/>
          <w:sz w:val="24"/>
          <w:szCs w:val="24"/>
        </w:rPr>
        <w:t xml:space="preserve"> </w:t>
      </w:r>
      <w:r w:rsidR="00EA5BE4">
        <w:rPr>
          <w:rFonts w:asciiTheme="minorHAnsi" w:hAnsiTheme="minorHAnsi" w:cstheme="minorHAnsi"/>
          <w:sz w:val="24"/>
          <w:szCs w:val="24"/>
        </w:rPr>
        <w:t>The</w:t>
      </w:r>
      <w:r w:rsidRPr="000E79D9">
        <w:rPr>
          <w:rFonts w:asciiTheme="minorHAnsi" w:hAnsiTheme="minorHAnsi" w:cstheme="minorHAnsi"/>
          <w:sz w:val="24"/>
          <w:szCs w:val="24"/>
        </w:rPr>
        <w:t xml:space="preserve"> </w:t>
      </w:r>
      <w:r>
        <w:rPr>
          <w:rFonts w:asciiTheme="minorHAnsi" w:hAnsiTheme="minorHAnsi" w:cstheme="minorHAnsi"/>
          <w:sz w:val="24"/>
          <w:szCs w:val="24"/>
        </w:rPr>
        <w:t>amendments</w:t>
      </w:r>
      <w:r w:rsidR="00EA5BE4">
        <w:rPr>
          <w:rFonts w:asciiTheme="minorHAnsi" w:hAnsiTheme="minorHAnsi" w:cstheme="minorHAnsi"/>
          <w:sz w:val="24"/>
          <w:szCs w:val="24"/>
        </w:rPr>
        <w:t xml:space="preserve"> made by this Act</w:t>
      </w:r>
      <w:r>
        <w:rPr>
          <w:rFonts w:asciiTheme="minorHAnsi" w:hAnsiTheme="minorHAnsi" w:cstheme="minorHAnsi"/>
          <w:sz w:val="24"/>
          <w:szCs w:val="24"/>
        </w:rPr>
        <w:t xml:space="preserve"> </w:t>
      </w:r>
      <w:r w:rsidRPr="00D3297A">
        <w:rPr>
          <w:sz w:val="24"/>
          <w:szCs w:val="24"/>
        </w:rPr>
        <w:t xml:space="preserve">further strengthened the already robust privacy and </w:t>
      </w:r>
      <w:r w:rsidR="00EA5BE4">
        <w:rPr>
          <w:rFonts w:asciiTheme="minorHAnsi" w:hAnsiTheme="minorHAnsi" w:cstheme="minorHAnsi"/>
          <w:sz w:val="24"/>
          <w:szCs w:val="24"/>
        </w:rPr>
        <w:t>safety framework for</w:t>
      </w:r>
      <w:r w:rsidRPr="008508C3">
        <w:rPr>
          <w:rFonts w:asciiTheme="minorHAnsi" w:hAnsiTheme="minorHAnsi" w:cstheme="minorHAnsi"/>
          <w:sz w:val="24"/>
          <w:szCs w:val="24"/>
        </w:rPr>
        <w:t xml:space="preserve"> the MHR system.</w:t>
      </w:r>
      <w:r w:rsidRPr="008508C3" w:rsidDel="00695130">
        <w:rPr>
          <w:rFonts w:asciiTheme="minorHAnsi" w:hAnsiTheme="minorHAnsi" w:cstheme="minorHAnsi"/>
          <w:sz w:val="24"/>
          <w:szCs w:val="24"/>
        </w:rPr>
        <w:t xml:space="preserve"> </w:t>
      </w:r>
      <w:r w:rsidRPr="008508C3">
        <w:rPr>
          <w:rFonts w:asciiTheme="minorHAnsi" w:hAnsiTheme="minorHAnsi" w:cstheme="minorHAnsi"/>
          <w:sz w:val="24"/>
          <w:szCs w:val="24"/>
        </w:rPr>
        <w:t>The</w:t>
      </w:r>
      <w:r>
        <w:rPr>
          <w:rFonts w:asciiTheme="minorHAnsi" w:hAnsiTheme="minorHAnsi" w:cstheme="minorHAnsi"/>
          <w:sz w:val="24"/>
          <w:szCs w:val="24"/>
        </w:rPr>
        <w:t xml:space="preserve">se </w:t>
      </w:r>
      <w:r w:rsidRPr="004E104D">
        <w:rPr>
          <w:rFonts w:asciiTheme="minorHAnsi" w:hAnsiTheme="minorHAnsi" w:cstheme="minorHAnsi"/>
          <w:sz w:val="24"/>
          <w:szCs w:val="24"/>
        </w:rPr>
        <w:t>amendments</w:t>
      </w:r>
      <w:r>
        <w:rPr>
          <w:rFonts w:asciiTheme="minorHAnsi" w:hAnsiTheme="minorHAnsi" w:cstheme="minorHAnsi"/>
          <w:sz w:val="24"/>
          <w:szCs w:val="24"/>
        </w:rPr>
        <w:t>:</w:t>
      </w:r>
    </w:p>
    <w:p w14:paraId="143FAB92" w14:textId="77777777" w:rsidR="000D2245" w:rsidRPr="00CD3202" w:rsidRDefault="00F01D5D" w:rsidP="00CF2873">
      <w:pPr>
        <w:pStyle w:val="ListParagraph"/>
        <w:numPr>
          <w:ilvl w:val="0"/>
          <w:numId w:val="4"/>
        </w:numPr>
        <w:spacing w:after="60"/>
        <w:ind w:left="425" w:hanging="425"/>
        <w:contextualSpacing w:val="0"/>
        <w:rPr>
          <w:rFonts w:asciiTheme="minorHAnsi" w:hAnsiTheme="minorHAnsi" w:cstheme="minorHAnsi"/>
        </w:rPr>
      </w:pPr>
      <w:r>
        <w:rPr>
          <w:rFonts w:asciiTheme="minorHAnsi" w:hAnsiTheme="minorHAnsi" w:cstheme="minorHAnsi"/>
        </w:rPr>
        <w:t>a</w:t>
      </w:r>
      <w:r w:rsidR="000D2245" w:rsidRPr="00CD3202">
        <w:rPr>
          <w:rFonts w:asciiTheme="minorHAnsi" w:hAnsiTheme="minorHAnsi" w:cstheme="minorHAnsi"/>
        </w:rPr>
        <w:t>llow people to permanently delete their records, and any backups, at any time</w:t>
      </w:r>
      <w:r w:rsidR="008059DB">
        <w:rPr>
          <w:rFonts w:asciiTheme="minorHAnsi" w:hAnsiTheme="minorHAnsi" w:cstheme="minorHAnsi"/>
        </w:rPr>
        <w:t>;</w:t>
      </w:r>
    </w:p>
    <w:p w14:paraId="69A5B8C2" w14:textId="77777777" w:rsidR="000D2245" w:rsidRPr="00CD3202" w:rsidRDefault="00F01D5D" w:rsidP="00CF2873">
      <w:pPr>
        <w:pStyle w:val="ListParagraph"/>
        <w:numPr>
          <w:ilvl w:val="0"/>
          <w:numId w:val="4"/>
        </w:numPr>
        <w:spacing w:after="60"/>
        <w:ind w:left="425" w:hanging="425"/>
        <w:contextualSpacing w:val="0"/>
        <w:rPr>
          <w:rFonts w:asciiTheme="minorHAnsi" w:hAnsiTheme="minorHAnsi" w:cstheme="minorHAnsi"/>
        </w:rPr>
      </w:pPr>
      <w:r>
        <w:rPr>
          <w:rFonts w:asciiTheme="minorHAnsi" w:hAnsiTheme="minorHAnsi" w:cstheme="minorHAnsi"/>
        </w:rPr>
        <w:t>p</w:t>
      </w:r>
      <w:r w:rsidR="000D2245" w:rsidRPr="00CD3202">
        <w:rPr>
          <w:rFonts w:asciiTheme="minorHAnsi" w:hAnsiTheme="minorHAnsi" w:cstheme="minorHAnsi"/>
        </w:rPr>
        <w:t xml:space="preserve">rohibit by law access to </w:t>
      </w:r>
      <w:r w:rsidR="00A33126">
        <w:rPr>
          <w:rFonts w:asciiTheme="minorHAnsi" w:hAnsiTheme="minorHAnsi" w:cstheme="minorHAnsi"/>
        </w:rPr>
        <w:t>MHRs</w:t>
      </w:r>
      <w:r w:rsidR="000D2245" w:rsidRPr="00CD3202">
        <w:rPr>
          <w:rFonts w:asciiTheme="minorHAnsi" w:hAnsiTheme="minorHAnsi" w:cstheme="minorHAnsi"/>
        </w:rPr>
        <w:t xml:space="preserve"> by anyone for insurance or employment purposes</w:t>
      </w:r>
      <w:r w:rsidR="008059DB">
        <w:rPr>
          <w:rFonts w:asciiTheme="minorHAnsi" w:hAnsiTheme="minorHAnsi" w:cstheme="minorHAnsi"/>
        </w:rPr>
        <w:t>;</w:t>
      </w:r>
    </w:p>
    <w:p w14:paraId="15ADD793" w14:textId="77777777" w:rsidR="000D2245" w:rsidRPr="00CD3202" w:rsidRDefault="00F01D5D" w:rsidP="00CF2873">
      <w:pPr>
        <w:pStyle w:val="ListParagraph"/>
        <w:numPr>
          <w:ilvl w:val="0"/>
          <w:numId w:val="4"/>
        </w:numPr>
        <w:spacing w:after="60"/>
        <w:ind w:left="425" w:hanging="425"/>
        <w:contextualSpacing w:val="0"/>
        <w:rPr>
          <w:rFonts w:asciiTheme="minorHAnsi" w:hAnsiTheme="minorHAnsi" w:cstheme="minorHAnsi"/>
        </w:rPr>
      </w:pPr>
      <w:r>
        <w:rPr>
          <w:rFonts w:asciiTheme="minorHAnsi" w:hAnsiTheme="minorHAnsi" w:cstheme="minorHAnsi"/>
        </w:rPr>
        <w:t>s</w:t>
      </w:r>
      <w:r w:rsidR="000D2245" w:rsidRPr="00CD3202">
        <w:rPr>
          <w:rFonts w:asciiTheme="minorHAnsi" w:hAnsiTheme="minorHAnsi" w:cstheme="minorHAnsi"/>
        </w:rPr>
        <w:t>trengthen privacy for teenagers 14 years and over</w:t>
      </w:r>
      <w:r w:rsidR="008059DB">
        <w:rPr>
          <w:rFonts w:asciiTheme="minorHAnsi" w:hAnsiTheme="minorHAnsi" w:cstheme="minorHAnsi"/>
        </w:rPr>
        <w:t>;</w:t>
      </w:r>
    </w:p>
    <w:p w14:paraId="4933E7DC" w14:textId="77777777" w:rsidR="000D2245" w:rsidRPr="00CD3202" w:rsidRDefault="00F01D5D" w:rsidP="00CF2873">
      <w:pPr>
        <w:pStyle w:val="ListParagraph"/>
        <w:numPr>
          <w:ilvl w:val="0"/>
          <w:numId w:val="4"/>
        </w:numPr>
        <w:spacing w:after="60"/>
        <w:ind w:left="425" w:hanging="425"/>
        <w:contextualSpacing w:val="0"/>
        <w:rPr>
          <w:rFonts w:asciiTheme="minorHAnsi" w:hAnsiTheme="minorHAnsi" w:cstheme="minorHAnsi"/>
        </w:rPr>
      </w:pPr>
      <w:r>
        <w:rPr>
          <w:rFonts w:asciiTheme="minorHAnsi" w:hAnsiTheme="minorHAnsi" w:cstheme="minorHAnsi"/>
        </w:rPr>
        <w:t>s</w:t>
      </w:r>
      <w:r w:rsidR="000D2245" w:rsidRPr="00CD3202">
        <w:rPr>
          <w:rFonts w:asciiTheme="minorHAnsi" w:hAnsiTheme="minorHAnsi" w:cstheme="minorHAnsi"/>
        </w:rPr>
        <w:t>trengthen protections for people at risk of family and domestic violence</w:t>
      </w:r>
      <w:r w:rsidR="008059DB">
        <w:rPr>
          <w:rFonts w:asciiTheme="minorHAnsi" w:hAnsiTheme="minorHAnsi" w:cstheme="minorHAnsi"/>
        </w:rPr>
        <w:t>;</w:t>
      </w:r>
    </w:p>
    <w:p w14:paraId="6752CB5F" w14:textId="77777777" w:rsidR="000D2245" w:rsidRPr="00CD3202" w:rsidRDefault="00F01D5D" w:rsidP="00CF2873">
      <w:pPr>
        <w:pStyle w:val="ListParagraph"/>
        <w:numPr>
          <w:ilvl w:val="0"/>
          <w:numId w:val="4"/>
        </w:numPr>
        <w:spacing w:after="60"/>
        <w:ind w:left="425" w:hanging="425"/>
        <w:contextualSpacing w:val="0"/>
        <w:rPr>
          <w:rFonts w:asciiTheme="minorHAnsi" w:hAnsiTheme="minorHAnsi" w:cstheme="minorHAnsi"/>
        </w:rPr>
      </w:pPr>
      <w:r>
        <w:rPr>
          <w:rFonts w:asciiTheme="minorHAnsi" w:hAnsiTheme="minorHAnsi" w:cstheme="minorHAnsi"/>
        </w:rPr>
        <w:t>m</w:t>
      </w:r>
      <w:r w:rsidR="000D2245" w:rsidRPr="00CD3202">
        <w:rPr>
          <w:rFonts w:asciiTheme="minorHAnsi" w:hAnsiTheme="minorHAnsi" w:cstheme="minorHAnsi"/>
        </w:rPr>
        <w:t>ake clear that the System Operator cannot delegate functions to an entity other</w:t>
      </w:r>
      <w:r w:rsidR="00671E29">
        <w:rPr>
          <w:rFonts w:asciiTheme="minorHAnsi" w:hAnsiTheme="minorHAnsi" w:cstheme="minorHAnsi"/>
        </w:rPr>
        <w:t xml:space="preserve"> </w:t>
      </w:r>
      <w:r w:rsidR="000D2245" w:rsidRPr="00CD3202">
        <w:rPr>
          <w:rFonts w:asciiTheme="minorHAnsi" w:hAnsiTheme="minorHAnsi" w:cstheme="minorHAnsi"/>
        </w:rPr>
        <w:t xml:space="preserve">than </w:t>
      </w:r>
      <w:r w:rsidR="00671E29" w:rsidRPr="00CD3202">
        <w:rPr>
          <w:rFonts w:asciiTheme="minorHAnsi" w:hAnsiTheme="minorHAnsi" w:cstheme="minorHAnsi"/>
        </w:rPr>
        <w:t>an</w:t>
      </w:r>
      <w:r w:rsidR="000D2245" w:rsidRPr="00CD3202">
        <w:rPr>
          <w:rFonts w:asciiTheme="minorHAnsi" w:hAnsiTheme="minorHAnsi" w:cstheme="minorHAnsi"/>
        </w:rPr>
        <w:t xml:space="preserve"> employee of the Department of Health or the Chief Executive of Medicare</w:t>
      </w:r>
      <w:r w:rsidR="008059DB">
        <w:rPr>
          <w:rFonts w:asciiTheme="minorHAnsi" w:hAnsiTheme="minorHAnsi" w:cstheme="minorHAnsi"/>
        </w:rPr>
        <w:t>;</w:t>
      </w:r>
    </w:p>
    <w:p w14:paraId="6E50DD4A" w14:textId="77777777" w:rsidR="00671E29" w:rsidRDefault="00F01D5D" w:rsidP="00CF2873">
      <w:pPr>
        <w:pStyle w:val="ListParagraph"/>
        <w:numPr>
          <w:ilvl w:val="0"/>
          <w:numId w:val="4"/>
        </w:numPr>
        <w:spacing w:after="60"/>
        <w:ind w:left="425" w:hanging="425"/>
        <w:contextualSpacing w:val="0"/>
        <w:rPr>
          <w:rFonts w:asciiTheme="minorHAnsi" w:hAnsiTheme="minorHAnsi" w:cstheme="minorHAnsi"/>
        </w:rPr>
      </w:pPr>
      <w:r>
        <w:rPr>
          <w:rFonts w:asciiTheme="minorHAnsi" w:hAnsiTheme="minorHAnsi" w:cstheme="minorHAnsi"/>
        </w:rPr>
        <w:lastRenderedPageBreak/>
        <w:t>r</w:t>
      </w:r>
      <w:r w:rsidR="000D2245" w:rsidRPr="00CD3202">
        <w:rPr>
          <w:rFonts w:asciiTheme="minorHAnsi" w:hAnsiTheme="minorHAnsi" w:cstheme="minorHAnsi"/>
        </w:rPr>
        <w:t xml:space="preserve">equire law enforcement and other government agencies to produce an order from a judicial officer to access information in a </w:t>
      </w:r>
      <w:r w:rsidR="00A33126">
        <w:rPr>
          <w:rFonts w:asciiTheme="minorHAnsi" w:hAnsiTheme="minorHAnsi" w:cstheme="minorHAnsi"/>
        </w:rPr>
        <w:t>MHR</w:t>
      </w:r>
      <w:r w:rsidR="008059DB">
        <w:rPr>
          <w:rFonts w:asciiTheme="minorHAnsi" w:hAnsiTheme="minorHAnsi" w:cstheme="minorHAnsi"/>
        </w:rPr>
        <w:t xml:space="preserve">; </w:t>
      </w:r>
    </w:p>
    <w:p w14:paraId="2F4661A9" w14:textId="77777777" w:rsidR="000D2245" w:rsidRPr="00671E29" w:rsidRDefault="00671E29" w:rsidP="00CF2873">
      <w:pPr>
        <w:pStyle w:val="ListParagraph"/>
        <w:numPr>
          <w:ilvl w:val="0"/>
          <w:numId w:val="4"/>
        </w:numPr>
        <w:spacing w:after="60"/>
        <w:ind w:left="425" w:hanging="425"/>
        <w:contextualSpacing w:val="0"/>
        <w:rPr>
          <w:rFonts w:asciiTheme="minorHAnsi" w:hAnsiTheme="minorHAnsi" w:cstheme="minorHAnsi"/>
        </w:rPr>
      </w:pPr>
      <w:r w:rsidRPr="00671E29">
        <w:rPr>
          <w:rFonts w:asciiTheme="minorHAnsi" w:hAnsiTheme="minorHAnsi" w:cstheme="minorHAnsi"/>
        </w:rPr>
        <w:t xml:space="preserve">establish the governance for the use of </w:t>
      </w:r>
      <w:r w:rsidR="00CF2873">
        <w:rPr>
          <w:rFonts w:asciiTheme="minorHAnsi" w:hAnsiTheme="minorHAnsi" w:cstheme="minorHAnsi"/>
        </w:rPr>
        <w:t>MHR</w:t>
      </w:r>
      <w:r w:rsidRPr="00671E29">
        <w:rPr>
          <w:rFonts w:asciiTheme="minorHAnsi" w:hAnsiTheme="minorHAnsi" w:cstheme="minorHAnsi"/>
        </w:rPr>
        <w:t xml:space="preserve"> information for resea</w:t>
      </w:r>
      <w:r>
        <w:rPr>
          <w:rFonts w:asciiTheme="minorHAnsi" w:hAnsiTheme="minorHAnsi" w:cstheme="minorHAnsi"/>
        </w:rPr>
        <w:t xml:space="preserve">rch and public health purposes; </w:t>
      </w:r>
      <w:r w:rsidR="008059DB" w:rsidRPr="00671E29">
        <w:rPr>
          <w:rFonts w:asciiTheme="minorHAnsi" w:hAnsiTheme="minorHAnsi" w:cstheme="minorHAnsi"/>
        </w:rPr>
        <w:t>and</w:t>
      </w:r>
    </w:p>
    <w:p w14:paraId="3A1D5AF3" w14:textId="77777777" w:rsidR="000D2245" w:rsidRPr="00CD3202" w:rsidRDefault="00F01D5D" w:rsidP="00D830C7">
      <w:pPr>
        <w:pStyle w:val="ListParagraph"/>
        <w:numPr>
          <w:ilvl w:val="0"/>
          <w:numId w:val="4"/>
        </w:numPr>
        <w:spacing w:after="120"/>
        <w:ind w:left="425" w:hanging="425"/>
        <w:contextualSpacing w:val="0"/>
        <w:rPr>
          <w:rFonts w:asciiTheme="minorHAnsi" w:hAnsiTheme="minorHAnsi" w:cstheme="minorHAnsi"/>
        </w:rPr>
      </w:pPr>
      <w:r>
        <w:rPr>
          <w:rFonts w:asciiTheme="minorHAnsi" w:hAnsiTheme="minorHAnsi" w:cstheme="minorHAnsi"/>
        </w:rPr>
        <w:t>m</w:t>
      </w:r>
      <w:r w:rsidR="000D2245" w:rsidRPr="00CD3202">
        <w:rPr>
          <w:rFonts w:asciiTheme="minorHAnsi" w:hAnsiTheme="minorHAnsi" w:cstheme="minorHAnsi"/>
        </w:rPr>
        <w:t>ake clear that the system cannot be privatised or commercialised</w:t>
      </w:r>
      <w:r w:rsidR="000D2245">
        <w:rPr>
          <w:rFonts w:asciiTheme="minorHAnsi" w:hAnsiTheme="minorHAnsi" w:cstheme="minorHAnsi"/>
        </w:rPr>
        <w:t xml:space="preserve">. </w:t>
      </w:r>
    </w:p>
    <w:p w14:paraId="1336EBDB" w14:textId="77777777" w:rsidR="000D2245" w:rsidRDefault="000D2245" w:rsidP="000D2245">
      <w:pPr>
        <w:pStyle w:val="PlainText"/>
        <w:spacing w:after="120" w:line="259" w:lineRule="auto"/>
        <w:rPr>
          <w:rFonts w:asciiTheme="minorHAnsi" w:hAnsiTheme="minorHAnsi" w:cstheme="minorHAnsi"/>
          <w:sz w:val="24"/>
          <w:szCs w:val="24"/>
        </w:rPr>
      </w:pPr>
      <w:r w:rsidRPr="00CD3202">
        <w:rPr>
          <w:rFonts w:asciiTheme="minorHAnsi" w:hAnsiTheme="minorHAnsi" w:cstheme="minorHAnsi"/>
          <w:sz w:val="24"/>
          <w:szCs w:val="24"/>
        </w:rPr>
        <w:t xml:space="preserve">The amendments </w:t>
      </w:r>
      <w:r w:rsidRPr="004E104D">
        <w:rPr>
          <w:rFonts w:asciiTheme="minorHAnsi" w:hAnsiTheme="minorHAnsi" w:cstheme="minorHAnsi"/>
          <w:sz w:val="24"/>
          <w:szCs w:val="24"/>
        </w:rPr>
        <w:t>came into effect on 11 December 2018</w:t>
      </w:r>
      <w:r>
        <w:rPr>
          <w:rFonts w:asciiTheme="minorHAnsi" w:hAnsiTheme="minorHAnsi" w:cstheme="minorHAnsi"/>
          <w:sz w:val="24"/>
          <w:szCs w:val="24"/>
        </w:rPr>
        <w:t>.</w:t>
      </w:r>
      <w:r w:rsidRPr="004E104D">
        <w:rPr>
          <w:rFonts w:asciiTheme="minorHAnsi" w:hAnsiTheme="minorHAnsi" w:cstheme="minorHAnsi"/>
          <w:sz w:val="24"/>
          <w:szCs w:val="24"/>
        </w:rPr>
        <w:t xml:space="preserve"> </w:t>
      </w:r>
    </w:p>
    <w:p w14:paraId="3D02E04A" w14:textId="77777777" w:rsidR="000D2245" w:rsidRPr="00CD3202" w:rsidRDefault="000D2245" w:rsidP="000D2245">
      <w:pPr>
        <w:pStyle w:val="PlainText"/>
        <w:spacing w:after="120" w:line="259" w:lineRule="auto"/>
        <w:rPr>
          <w:rFonts w:asciiTheme="minorHAnsi" w:hAnsiTheme="minorHAnsi" w:cstheme="minorHAnsi"/>
          <w:sz w:val="24"/>
          <w:szCs w:val="24"/>
        </w:rPr>
      </w:pPr>
      <w:r w:rsidRPr="00CD3202">
        <w:rPr>
          <w:rFonts w:asciiTheme="minorHAnsi" w:hAnsiTheme="minorHAnsi" w:cstheme="minorHAnsi"/>
          <w:sz w:val="24"/>
          <w:szCs w:val="24"/>
        </w:rPr>
        <w:t>The Government continues to engage with stakeholders to ensure the system remains safe and secure for users into the future</w:t>
      </w:r>
      <w:r>
        <w:rPr>
          <w:rFonts w:asciiTheme="minorHAnsi" w:hAnsiTheme="minorHAnsi" w:cstheme="minorHAnsi"/>
          <w:sz w:val="24"/>
          <w:szCs w:val="24"/>
        </w:rPr>
        <w:t>.</w:t>
      </w:r>
    </w:p>
    <w:p w14:paraId="32634569" w14:textId="77777777" w:rsidR="000D2245" w:rsidRPr="00B45911" w:rsidRDefault="000D2245" w:rsidP="000D2245">
      <w:pPr>
        <w:pStyle w:val="PlainText"/>
        <w:spacing w:after="120" w:line="259" w:lineRule="auto"/>
        <w:rPr>
          <w:rFonts w:asciiTheme="minorHAnsi" w:hAnsiTheme="minorHAnsi" w:cstheme="minorHAnsi"/>
          <w:sz w:val="24"/>
          <w:szCs w:val="24"/>
        </w:rPr>
      </w:pPr>
      <w:r w:rsidRPr="00B45911">
        <w:rPr>
          <w:rFonts w:asciiTheme="minorHAnsi" w:hAnsiTheme="minorHAnsi" w:cstheme="minorHAnsi"/>
          <w:sz w:val="24"/>
          <w:szCs w:val="24"/>
        </w:rPr>
        <w:t>The Government thanks the Committee and the wide range of organisations and people who contributed to this inquiry.</w:t>
      </w:r>
    </w:p>
    <w:p w14:paraId="256A8E69" w14:textId="77777777" w:rsidR="00A01ED9" w:rsidRDefault="00A01ED9" w:rsidP="003801DF">
      <w:pPr>
        <w:pStyle w:val="Heading1"/>
        <w:spacing w:before="0" w:after="120"/>
        <w:rPr>
          <w:lang w:val="en-US"/>
        </w:rPr>
      </w:pPr>
      <w:bookmarkStart w:id="1" w:name="_Toc19042841"/>
      <w:r>
        <w:rPr>
          <w:lang w:val="en-US"/>
        </w:rPr>
        <w:t>Recommendations and Australian Government Responses</w:t>
      </w:r>
      <w:bookmarkEnd w:id="1"/>
    </w:p>
    <w:p w14:paraId="03E60DA4" w14:textId="77777777" w:rsidR="00A01ED9" w:rsidRPr="003801DF" w:rsidRDefault="00A01ED9" w:rsidP="003801DF">
      <w:pPr>
        <w:pStyle w:val="Heading2"/>
        <w:pBdr>
          <w:top w:val="single" w:sz="4" w:space="1" w:color="auto"/>
          <w:left w:val="single" w:sz="4" w:space="1" w:color="auto"/>
          <w:bottom w:val="single" w:sz="4" w:space="1" w:color="auto"/>
          <w:right w:val="single" w:sz="4" w:space="1" w:color="auto"/>
        </w:pBdr>
        <w:shd w:val="clear" w:color="auto" w:fill="F2F2F2" w:themeFill="background1" w:themeFillShade="F2"/>
        <w:rPr>
          <w:b/>
          <w:color w:val="auto"/>
          <w:lang w:val="en-US"/>
        </w:rPr>
      </w:pPr>
      <w:bookmarkStart w:id="2" w:name="_Toc19042842"/>
      <w:r w:rsidRPr="003801DF">
        <w:rPr>
          <w:b/>
          <w:color w:val="auto"/>
          <w:lang w:val="en-US"/>
        </w:rPr>
        <w:t>Recommendation 1</w:t>
      </w:r>
      <w:bookmarkEnd w:id="2"/>
    </w:p>
    <w:p w14:paraId="2BA60899" w14:textId="77777777" w:rsidR="003801DF" w:rsidRDefault="00A01ED9" w:rsidP="004E5B54">
      <w:pPr>
        <w:pBdr>
          <w:top w:val="single" w:sz="4" w:space="1" w:color="auto"/>
          <w:left w:val="single" w:sz="4" w:space="1" w:color="auto"/>
          <w:bottom w:val="single" w:sz="4" w:space="1" w:color="auto"/>
          <w:right w:val="single" w:sz="4" w:space="1" w:color="auto"/>
        </w:pBdr>
        <w:shd w:val="clear" w:color="auto" w:fill="F2F2F2" w:themeFill="background1" w:themeFillShade="F2"/>
        <w:jc w:val="both"/>
        <w:rPr>
          <w:rFonts w:asciiTheme="minorHAnsi" w:hAnsiTheme="minorHAnsi"/>
        </w:rPr>
      </w:pPr>
      <w:r w:rsidRPr="003801DF">
        <w:rPr>
          <w:rFonts w:asciiTheme="minorHAnsi" w:hAnsiTheme="minorHAnsi"/>
        </w:rPr>
        <w:t xml:space="preserve">5.12 </w:t>
      </w:r>
      <w:r w:rsidRPr="003801DF">
        <w:rPr>
          <w:rFonts w:asciiTheme="minorHAnsi" w:hAnsiTheme="minorHAnsi"/>
        </w:rPr>
        <w:tab/>
        <w:t>The committee recommends that record access codes should be applied to each My Health Record as a default and that individuals should be required to choose to remove the code. The committee further recommends that the ability to override access codes in the case of an emergency should only be available to registered healthcare providers for use in extraordinary and urgent situations.</w:t>
      </w:r>
    </w:p>
    <w:p w14:paraId="1BA49C04" w14:textId="77777777" w:rsidR="00546647" w:rsidRPr="00633EAE" w:rsidRDefault="00546647" w:rsidP="00D830C7">
      <w:pPr>
        <w:spacing w:after="100"/>
        <w:rPr>
          <w:rFonts w:asciiTheme="minorHAnsi" w:hAnsiTheme="minorHAnsi" w:cstheme="minorHAnsi"/>
          <w:lang w:val="en-US"/>
        </w:rPr>
      </w:pPr>
      <w:r w:rsidRPr="00633EAE">
        <w:rPr>
          <w:rFonts w:asciiTheme="minorHAnsi" w:hAnsiTheme="minorHAnsi" w:cstheme="minorHAnsi"/>
          <w:lang w:val="en-US"/>
        </w:rPr>
        <w:t>The Government does not support this recommendation.</w:t>
      </w:r>
    </w:p>
    <w:p w14:paraId="15021568" w14:textId="4AD7BA03" w:rsidR="00D71B87" w:rsidRDefault="00546647" w:rsidP="00D830C7">
      <w:pPr>
        <w:spacing w:after="100"/>
        <w:rPr>
          <w:rFonts w:asciiTheme="minorHAnsi" w:hAnsiTheme="minorHAnsi" w:cstheme="minorHAnsi"/>
          <w:lang w:val="en-US"/>
        </w:rPr>
      </w:pPr>
      <w:r w:rsidRPr="00633EAE">
        <w:rPr>
          <w:rFonts w:asciiTheme="minorHAnsi" w:hAnsiTheme="minorHAnsi" w:cstheme="minorHAnsi"/>
          <w:lang w:val="en-US"/>
        </w:rPr>
        <w:t>The MHR system has a range of mechanisms that support consumers to protect their privacy</w:t>
      </w:r>
      <w:r w:rsidR="00EA5BE4">
        <w:rPr>
          <w:rFonts w:asciiTheme="minorHAnsi" w:hAnsiTheme="minorHAnsi" w:cstheme="minorHAnsi"/>
          <w:lang w:val="en-US"/>
        </w:rPr>
        <w:t>,</w:t>
      </w:r>
      <w:r w:rsidRPr="00633EAE">
        <w:rPr>
          <w:rFonts w:asciiTheme="minorHAnsi" w:hAnsiTheme="minorHAnsi" w:cstheme="minorHAnsi"/>
          <w:lang w:val="en-US"/>
        </w:rPr>
        <w:t xml:space="preserve"> and control who has access to their healthcare information. Healthcare providers require timely access to their patients' key health information. </w:t>
      </w:r>
    </w:p>
    <w:p w14:paraId="40387229" w14:textId="77777777" w:rsidR="00EA5BE4" w:rsidRDefault="00546647" w:rsidP="00D830C7">
      <w:pPr>
        <w:spacing w:after="100"/>
        <w:rPr>
          <w:rFonts w:asciiTheme="minorHAnsi" w:hAnsiTheme="minorHAnsi" w:cstheme="minorHAnsi"/>
          <w:lang w:val="en-US"/>
        </w:rPr>
      </w:pPr>
      <w:r w:rsidRPr="00633EAE">
        <w:rPr>
          <w:rFonts w:asciiTheme="minorHAnsi" w:hAnsiTheme="minorHAnsi" w:cstheme="minorHAnsi"/>
          <w:lang w:val="en-US"/>
        </w:rPr>
        <w:t>There would be significant implementation challenges to pr</w:t>
      </w:r>
      <w:r w:rsidR="00EA5BE4">
        <w:rPr>
          <w:rFonts w:asciiTheme="minorHAnsi" w:hAnsiTheme="minorHAnsi" w:cstheme="minorHAnsi"/>
          <w:lang w:val="en-US"/>
        </w:rPr>
        <w:t>ovide all Australians with</w:t>
      </w:r>
      <w:r w:rsidRPr="00633EAE">
        <w:rPr>
          <w:rFonts w:asciiTheme="minorHAnsi" w:hAnsiTheme="minorHAnsi" w:cstheme="minorHAnsi"/>
          <w:lang w:val="en-US"/>
        </w:rPr>
        <w:t xml:space="preserve"> access codes. </w:t>
      </w:r>
      <w:r w:rsidR="00CA4861">
        <w:rPr>
          <w:rFonts w:asciiTheme="minorHAnsi" w:hAnsiTheme="minorHAnsi" w:cstheme="minorHAnsi"/>
          <w:lang w:val="en-US"/>
        </w:rPr>
        <w:t>To</w:t>
      </w:r>
      <w:r w:rsidRPr="00633EAE">
        <w:rPr>
          <w:rFonts w:asciiTheme="minorHAnsi" w:hAnsiTheme="minorHAnsi" w:cstheme="minorHAnsi"/>
          <w:lang w:val="en-US"/>
        </w:rPr>
        <w:t xml:space="preserve"> realise the full benefits of the My Health Record system, an individual's multiple healthcare providers need to have timely and comprehensive access to their pat</w:t>
      </w:r>
      <w:r w:rsidR="00EA5BE4">
        <w:rPr>
          <w:rFonts w:asciiTheme="minorHAnsi" w:hAnsiTheme="minorHAnsi" w:cstheme="minorHAnsi"/>
          <w:lang w:val="en-US"/>
        </w:rPr>
        <w:t xml:space="preserve">ients' medical history </w:t>
      </w:r>
      <w:r w:rsidRPr="00633EAE">
        <w:rPr>
          <w:rFonts w:asciiTheme="minorHAnsi" w:hAnsiTheme="minorHAnsi" w:cstheme="minorHAnsi"/>
          <w:lang w:val="en-US"/>
        </w:rPr>
        <w:t xml:space="preserve">to better make a diagnoses and provide treatments. </w:t>
      </w:r>
    </w:p>
    <w:p w14:paraId="0BFBE2FE" w14:textId="2312C9B8" w:rsidR="00546647" w:rsidRPr="00633EAE" w:rsidRDefault="00546647" w:rsidP="00D830C7">
      <w:pPr>
        <w:spacing w:after="100"/>
        <w:rPr>
          <w:rFonts w:asciiTheme="minorHAnsi" w:hAnsiTheme="minorHAnsi" w:cstheme="minorHAnsi"/>
          <w:lang w:val="en-US"/>
        </w:rPr>
      </w:pPr>
      <w:r w:rsidRPr="00633EAE">
        <w:rPr>
          <w:rFonts w:asciiTheme="minorHAnsi" w:hAnsiTheme="minorHAnsi" w:cstheme="minorHAnsi"/>
          <w:lang w:val="en-US"/>
        </w:rPr>
        <w:t xml:space="preserve">Asking for a PIN, and requiring consumers to remember their PIN, will interrupt the clinical workflow and impede use of the record. Clinicians treating people who are unable to recall their PINs will not be able to view their patient's record. Both the clinician's and the consumer's time will be wasted while the </w:t>
      </w:r>
      <w:r w:rsidR="00EA5BE4">
        <w:rPr>
          <w:rFonts w:asciiTheme="minorHAnsi" w:hAnsiTheme="minorHAnsi" w:cstheme="minorHAnsi"/>
          <w:lang w:val="en-US"/>
        </w:rPr>
        <w:t>consumer attempts to</w:t>
      </w:r>
      <w:r w:rsidRPr="00633EAE">
        <w:rPr>
          <w:rFonts w:asciiTheme="minorHAnsi" w:hAnsiTheme="minorHAnsi" w:cstheme="minorHAnsi"/>
          <w:lang w:val="en-US"/>
        </w:rPr>
        <w:t xml:space="preserve"> locate their PIN.</w:t>
      </w:r>
    </w:p>
    <w:p w14:paraId="593FE431" w14:textId="1713DAB9" w:rsidR="00546647" w:rsidRPr="00633EAE" w:rsidRDefault="00546647" w:rsidP="00D830C7">
      <w:pPr>
        <w:spacing w:after="100"/>
        <w:rPr>
          <w:rFonts w:asciiTheme="minorHAnsi" w:hAnsiTheme="minorHAnsi" w:cstheme="minorHAnsi"/>
          <w:lang w:val="en-US"/>
        </w:rPr>
      </w:pPr>
      <w:r w:rsidRPr="00633EAE">
        <w:rPr>
          <w:rFonts w:asciiTheme="minorHAnsi" w:hAnsiTheme="minorHAnsi" w:cstheme="minorHAnsi"/>
          <w:lang w:val="en-US"/>
        </w:rPr>
        <w:t xml:space="preserve">In </w:t>
      </w:r>
      <w:r w:rsidR="00D71B87" w:rsidRPr="00633EAE">
        <w:rPr>
          <w:rFonts w:asciiTheme="minorHAnsi" w:hAnsiTheme="minorHAnsi" w:cstheme="minorHAnsi"/>
          <w:lang w:val="en-US"/>
        </w:rPr>
        <w:t>addition,</w:t>
      </w:r>
      <w:r w:rsidRPr="00633EAE">
        <w:rPr>
          <w:rFonts w:asciiTheme="minorHAnsi" w:hAnsiTheme="minorHAnsi" w:cstheme="minorHAnsi"/>
          <w:lang w:val="en-US"/>
        </w:rPr>
        <w:t xml:space="preserve"> much valuable clinical work is undertaken for patients when they are not directly in the presence of their treating clinicians. For example, a general practitioner may receive important updated information from a specialist by letter such as a medication change </w:t>
      </w:r>
      <w:r w:rsidRPr="00F47BC6">
        <w:rPr>
          <w:rFonts w:asciiTheme="minorHAnsi" w:hAnsiTheme="minorHAnsi" w:cstheme="minorHAnsi"/>
          <w:lang w:val="en-US"/>
        </w:rPr>
        <w:t xml:space="preserve">or </w:t>
      </w:r>
      <w:r w:rsidR="00D12249" w:rsidRPr="003827C7">
        <w:rPr>
          <w:rFonts w:asciiTheme="minorHAnsi" w:hAnsiTheme="minorHAnsi"/>
          <w:lang w:val="en-US"/>
        </w:rPr>
        <w:t>a new review</w:t>
      </w:r>
      <w:r w:rsidRPr="003827C7">
        <w:rPr>
          <w:rFonts w:asciiTheme="minorHAnsi" w:hAnsiTheme="minorHAnsi"/>
          <w:lang w:val="en-US"/>
        </w:rPr>
        <w:t xml:space="preserve"> </w:t>
      </w:r>
      <w:r w:rsidRPr="00F47BC6">
        <w:rPr>
          <w:rFonts w:asciiTheme="minorHAnsi" w:hAnsiTheme="minorHAnsi" w:cstheme="minorHAnsi"/>
          <w:lang w:val="en-US"/>
        </w:rPr>
        <w:t>being required. Unless the patient was present to provide their record access control, the GP would be unable to check their MHR at that moment for important medication interaction information, or whether or not various</w:t>
      </w:r>
      <w:r w:rsidR="00D12249" w:rsidRPr="00F47BC6">
        <w:rPr>
          <w:rFonts w:asciiTheme="minorHAnsi" w:hAnsiTheme="minorHAnsi" w:cstheme="minorHAnsi"/>
          <w:lang w:val="en-US"/>
        </w:rPr>
        <w:t xml:space="preserve"> </w:t>
      </w:r>
      <w:r w:rsidR="00D12249" w:rsidRPr="003827C7">
        <w:rPr>
          <w:rFonts w:asciiTheme="minorHAnsi" w:hAnsiTheme="minorHAnsi"/>
          <w:lang w:val="en-US"/>
        </w:rPr>
        <w:t>reviews or</w:t>
      </w:r>
      <w:r w:rsidRPr="003827C7">
        <w:rPr>
          <w:rFonts w:asciiTheme="minorHAnsi" w:hAnsiTheme="minorHAnsi"/>
          <w:lang w:val="en-US"/>
        </w:rPr>
        <w:t xml:space="preserve"> </w:t>
      </w:r>
      <w:r w:rsidRPr="00F47BC6">
        <w:rPr>
          <w:rFonts w:asciiTheme="minorHAnsi" w:hAnsiTheme="minorHAnsi" w:cstheme="minorHAnsi"/>
          <w:lang w:val="en-US"/>
        </w:rPr>
        <w:t>investigations had already been done by another clinici</w:t>
      </w:r>
      <w:r w:rsidR="00EA5BE4" w:rsidRPr="00F47BC6">
        <w:rPr>
          <w:rFonts w:asciiTheme="minorHAnsi" w:hAnsiTheme="minorHAnsi" w:cstheme="minorHAnsi"/>
          <w:lang w:val="en-US"/>
        </w:rPr>
        <w:t xml:space="preserve">an. </w:t>
      </w:r>
      <w:r w:rsidR="00EA5BE4" w:rsidRPr="00F47BC6">
        <w:rPr>
          <w:rFonts w:asciiTheme="minorHAnsi" w:hAnsiTheme="minorHAnsi" w:cstheme="minorHAnsi"/>
          <w:lang w:val="en-US"/>
        </w:rPr>
        <w:lastRenderedPageBreak/>
        <w:t>This would represent a</w:t>
      </w:r>
      <w:r w:rsidRPr="00F47BC6">
        <w:rPr>
          <w:rFonts w:asciiTheme="minorHAnsi" w:hAnsiTheme="minorHAnsi" w:cstheme="minorHAnsi"/>
          <w:lang w:val="en-US"/>
        </w:rPr>
        <w:t xml:space="preserve"> barrier </w:t>
      </w:r>
      <w:r w:rsidRPr="00633EAE">
        <w:rPr>
          <w:rFonts w:asciiTheme="minorHAnsi" w:hAnsiTheme="minorHAnsi" w:cstheme="minorHAnsi"/>
          <w:lang w:val="en-US"/>
        </w:rPr>
        <w:t>to the realisation of benefits from the MHR system associated with medication safety and reducing unnecessary test duplication.</w:t>
      </w:r>
    </w:p>
    <w:p w14:paraId="5D3B9C69" w14:textId="77777777" w:rsidR="00807D49" w:rsidRDefault="00807D49" w:rsidP="00D830C7">
      <w:pPr>
        <w:spacing w:after="100"/>
        <w:rPr>
          <w:rFonts w:asciiTheme="minorHAnsi" w:hAnsiTheme="minorHAnsi" w:cstheme="minorHAnsi"/>
          <w:lang w:val="en-US"/>
        </w:rPr>
      </w:pPr>
      <w:r w:rsidRPr="00633EAE">
        <w:rPr>
          <w:rFonts w:asciiTheme="minorHAnsi" w:hAnsiTheme="minorHAnsi" w:cstheme="minorHAnsi"/>
          <w:lang w:val="en-US"/>
        </w:rPr>
        <w:t xml:space="preserve">The </w:t>
      </w:r>
      <w:r w:rsidRPr="00A75348">
        <w:rPr>
          <w:rFonts w:asciiTheme="minorHAnsi" w:hAnsiTheme="minorHAnsi" w:cstheme="minorHAnsi"/>
          <w:i/>
          <w:lang w:val="en-US"/>
        </w:rPr>
        <w:t>My Health Records Act 2012</w:t>
      </w:r>
      <w:r w:rsidRPr="00633EAE">
        <w:rPr>
          <w:rFonts w:asciiTheme="minorHAnsi" w:hAnsiTheme="minorHAnsi" w:cstheme="minorHAnsi"/>
          <w:lang w:val="en-US"/>
        </w:rPr>
        <w:t xml:space="preserve"> (MHR Act) makes clear that only registered participants in the MHR system are authorised to access health information in a consumer’s MHR</w:t>
      </w:r>
      <w:r>
        <w:rPr>
          <w:rFonts w:asciiTheme="minorHAnsi" w:hAnsiTheme="minorHAnsi" w:cstheme="minorHAnsi"/>
          <w:lang w:val="en-US"/>
        </w:rPr>
        <w:t xml:space="preserve"> for the purpose of providing healthcare and only in accordance with any access controls established by the healthcare recipient.</w:t>
      </w:r>
    </w:p>
    <w:p w14:paraId="52EC4EB8" w14:textId="50D3FF2E" w:rsidR="00807D49" w:rsidRPr="00633EAE" w:rsidRDefault="00807D49" w:rsidP="00D830C7">
      <w:pPr>
        <w:spacing w:after="100"/>
        <w:rPr>
          <w:rFonts w:asciiTheme="minorHAnsi" w:hAnsiTheme="minorHAnsi" w:cstheme="minorHAnsi"/>
          <w:lang w:val="en-US"/>
        </w:rPr>
      </w:pPr>
      <w:r>
        <w:rPr>
          <w:rFonts w:asciiTheme="minorHAnsi" w:hAnsiTheme="minorHAnsi" w:cstheme="minorHAnsi"/>
          <w:lang w:val="en-US"/>
        </w:rPr>
        <w:t>In the case of a serious threat to life, health or safety, provisions exist for access controls to be bypassed but</w:t>
      </w:r>
      <w:r w:rsidRPr="00633EAE">
        <w:rPr>
          <w:rFonts w:asciiTheme="minorHAnsi" w:hAnsiTheme="minorHAnsi" w:cstheme="minorHAnsi"/>
          <w:lang w:val="en-US"/>
        </w:rPr>
        <w:t xml:space="preserve"> only in </w:t>
      </w:r>
      <w:r>
        <w:rPr>
          <w:rFonts w:asciiTheme="minorHAnsi" w:hAnsiTheme="minorHAnsi" w:cstheme="minorHAnsi"/>
          <w:lang w:val="en-US"/>
        </w:rPr>
        <w:t xml:space="preserve">specific </w:t>
      </w:r>
      <w:r w:rsidRPr="00633EAE">
        <w:rPr>
          <w:rFonts w:asciiTheme="minorHAnsi" w:hAnsiTheme="minorHAnsi" w:cstheme="minorHAnsi"/>
          <w:lang w:val="en-US"/>
        </w:rPr>
        <w:t>circumstances</w:t>
      </w:r>
      <w:r>
        <w:rPr>
          <w:rFonts w:asciiTheme="minorHAnsi" w:hAnsiTheme="minorHAnsi" w:cstheme="minorHAnsi"/>
          <w:lang w:val="en-US"/>
        </w:rPr>
        <w:t>,</w:t>
      </w:r>
      <w:r w:rsidRPr="00633EAE">
        <w:rPr>
          <w:rFonts w:asciiTheme="minorHAnsi" w:hAnsiTheme="minorHAnsi" w:cstheme="minorHAnsi"/>
          <w:lang w:val="en-US"/>
        </w:rPr>
        <w:t xml:space="preserve"> where information </w:t>
      </w:r>
      <w:r>
        <w:rPr>
          <w:rFonts w:asciiTheme="minorHAnsi" w:hAnsiTheme="minorHAnsi" w:cstheme="minorHAnsi"/>
          <w:lang w:val="en-US"/>
        </w:rPr>
        <w:t>in the MHR</w:t>
      </w:r>
      <w:r w:rsidR="005912F4">
        <w:rPr>
          <w:rFonts w:asciiTheme="minorHAnsi" w:hAnsiTheme="minorHAnsi" w:cstheme="minorHAnsi"/>
          <w:lang w:val="en-US"/>
        </w:rPr>
        <w:t xml:space="preserve"> system</w:t>
      </w:r>
      <w:r>
        <w:rPr>
          <w:rFonts w:asciiTheme="minorHAnsi" w:hAnsiTheme="minorHAnsi" w:cstheme="minorHAnsi"/>
          <w:lang w:val="en-US"/>
        </w:rPr>
        <w:t xml:space="preserve"> </w:t>
      </w:r>
      <w:r w:rsidRPr="00633EAE">
        <w:rPr>
          <w:rFonts w:asciiTheme="minorHAnsi" w:hAnsiTheme="minorHAnsi" w:cstheme="minorHAnsi"/>
          <w:lang w:val="en-US"/>
        </w:rPr>
        <w:t>is needed to provide emergency healthcare to a consumer, or to mitigate a serious threat to public health</w:t>
      </w:r>
      <w:r>
        <w:rPr>
          <w:rFonts w:asciiTheme="minorHAnsi" w:hAnsiTheme="minorHAnsi" w:cstheme="minorHAnsi"/>
          <w:lang w:val="en-US"/>
        </w:rPr>
        <w:t xml:space="preserve"> or </w:t>
      </w:r>
      <w:r w:rsidRPr="00633EAE">
        <w:rPr>
          <w:rFonts w:asciiTheme="minorHAnsi" w:hAnsiTheme="minorHAnsi" w:cstheme="minorHAnsi"/>
          <w:lang w:val="en-US"/>
        </w:rPr>
        <w:t xml:space="preserve">safety. </w:t>
      </w:r>
    </w:p>
    <w:p w14:paraId="71623557" w14:textId="05B961AB" w:rsidR="00807D49" w:rsidRDefault="00807D49" w:rsidP="00D830C7">
      <w:pPr>
        <w:spacing w:after="100"/>
        <w:rPr>
          <w:rFonts w:asciiTheme="minorHAnsi" w:hAnsiTheme="minorHAnsi" w:cstheme="minorHAnsi"/>
          <w:lang w:val="en-US"/>
        </w:rPr>
      </w:pPr>
      <w:r w:rsidRPr="00633EAE">
        <w:rPr>
          <w:rFonts w:asciiTheme="minorHAnsi" w:hAnsiTheme="minorHAnsi" w:cstheme="minorHAnsi"/>
          <w:lang w:val="en-US"/>
        </w:rPr>
        <w:t xml:space="preserve">All emergency access is logged and subject to audit in accordance with the MHR Act. </w:t>
      </w:r>
      <w:r w:rsidR="00F47BC6">
        <w:rPr>
          <w:rFonts w:asciiTheme="minorHAnsi" w:hAnsiTheme="minorHAnsi" w:cstheme="minorHAnsi"/>
          <w:lang w:val="en-US"/>
        </w:rPr>
        <w:t>To date, t</w:t>
      </w:r>
      <w:r w:rsidR="00F47BC6" w:rsidRPr="001D187B">
        <w:rPr>
          <w:rFonts w:asciiTheme="minorHAnsi" w:hAnsiTheme="minorHAnsi" w:cstheme="minorHAnsi"/>
          <w:lang w:val="en-US"/>
        </w:rPr>
        <w:t xml:space="preserve">here have been no purposeful or malicious attacks compromising the integrity or security </w:t>
      </w:r>
      <w:r w:rsidR="00F47BC6">
        <w:rPr>
          <w:rFonts w:asciiTheme="minorHAnsi" w:hAnsiTheme="minorHAnsi" w:cstheme="minorHAnsi"/>
          <w:lang w:val="en-US"/>
        </w:rPr>
        <w:t>of the MHR system.</w:t>
      </w:r>
    </w:p>
    <w:p w14:paraId="6F992B5D" w14:textId="436BE788" w:rsidR="003801DF" w:rsidRPr="003801DF" w:rsidRDefault="003801DF" w:rsidP="003801D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rPr>
      </w:pPr>
      <w:bookmarkStart w:id="3" w:name="_Toc19042843"/>
      <w:r w:rsidRPr="003801DF">
        <w:rPr>
          <w:b/>
          <w:color w:val="auto"/>
        </w:rPr>
        <w:t>Recommendation 2</w:t>
      </w:r>
      <w:bookmarkEnd w:id="3"/>
    </w:p>
    <w:p w14:paraId="62218505" w14:textId="77777777" w:rsidR="003801DF" w:rsidRPr="003801DF" w:rsidRDefault="003801DF" w:rsidP="003801D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5.15</w:t>
      </w:r>
      <w:r>
        <w:rPr>
          <w:rFonts w:asciiTheme="minorHAnsi" w:hAnsiTheme="minorHAnsi"/>
        </w:rPr>
        <w:tab/>
      </w:r>
      <w:r w:rsidRPr="003801DF">
        <w:rPr>
          <w:rFonts w:asciiTheme="minorHAnsi" w:hAnsiTheme="minorHAnsi"/>
        </w:rPr>
        <w:t>The committee recommends that the Australian Government amend the My Health Records Act 2012 to protect the privacy of children aged 14 to 17 years unless they expressly request that a parent be a nominated representative.</w:t>
      </w:r>
    </w:p>
    <w:p w14:paraId="3AF902EF" w14:textId="77777777" w:rsidR="003801DF" w:rsidRPr="00FA2DDE" w:rsidRDefault="00474410" w:rsidP="008976A2">
      <w:pPr>
        <w:spacing w:after="120"/>
        <w:rPr>
          <w:rFonts w:asciiTheme="minorHAnsi" w:hAnsiTheme="minorHAnsi" w:cstheme="minorHAnsi"/>
        </w:rPr>
      </w:pPr>
      <w:r w:rsidRPr="00FA2DDE">
        <w:rPr>
          <w:rFonts w:asciiTheme="minorHAnsi" w:hAnsiTheme="minorHAnsi" w:cstheme="minorHAnsi"/>
        </w:rPr>
        <w:t xml:space="preserve">The </w:t>
      </w:r>
      <w:r w:rsidR="00D47A4F">
        <w:rPr>
          <w:rFonts w:asciiTheme="minorHAnsi" w:hAnsiTheme="minorHAnsi" w:cstheme="minorHAnsi"/>
        </w:rPr>
        <w:t>Government</w:t>
      </w:r>
      <w:r w:rsidR="00D47A4F" w:rsidRPr="00FA2DDE">
        <w:rPr>
          <w:rFonts w:asciiTheme="minorHAnsi" w:hAnsiTheme="minorHAnsi" w:cstheme="minorHAnsi"/>
        </w:rPr>
        <w:t xml:space="preserve"> </w:t>
      </w:r>
      <w:r w:rsidRPr="00FA2DDE">
        <w:rPr>
          <w:rFonts w:asciiTheme="minorHAnsi" w:hAnsiTheme="minorHAnsi" w:cstheme="minorHAnsi"/>
        </w:rPr>
        <w:t>supports this recommendation</w:t>
      </w:r>
      <w:r w:rsidR="00F62BA5" w:rsidRPr="00FA2DDE">
        <w:rPr>
          <w:rFonts w:asciiTheme="minorHAnsi" w:hAnsiTheme="minorHAnsi" w:cstheme="minorHAnsi"/>
        </w:rPr>
        <w:t>.</w:t>
      </w:r>
    </w:p>
    <w:p w14:paraId="7DF256CC" w14:textId="79E65677" w:rsidR="008976A2" w:rsidRPr="008976A2" w:rsidRDefault="00D12249" w:rsidP="008976A2">
      <w:pPr>
        <w:spacing w:after="120"/>
        <w:rPr>
          <w:rFonts w:asciiTheme="minorHAnsi" w:hAnsiTheme="minorHAnsi" w:cstheme="minorHAnsi"/>
        </w:rPr>
      </w:pPr>
      <w:r w:rsidRPr="003827C7">
        <w:rPr>
          <w:rFonts w:asciiTheme="minorHAnsi" w:hAnsiTheme="minorHAnsi"/>
        </w:rPr>
        <w:t xml:space="preserve">The amendments to the MHR Act passed in </w:t>
      </w:r>
      <w:r w:rsidR="003D3084" w:rsidRPr="003827C7">
        <w:rPr>
          <w:rFonts w:asciiTheme="minorHAnsi" w:hAnsiTheme="minorHAnsi"/>
        </w:rPr>
        <w:t>November</w:t>
      </w:r>
      <w:r w:rsidRPr="003827C7">
        <w:rPr>
          <w:rFonts w:asciiTheme="minorHAnsi" w:hAnsiTheme="minorHAnsi"/>
        </w:rPr>
        <w:t xml:space="preserve"> 2018 </w:t>
      </w:r>
      <w:r w:rsidR="00EA5BE4" w:rsidRPr="00F47BC6">
        <w:rPr>
          <w:rFonts w:asciiTheme="minorHAnsi" w:hAnsiTheme="minorHAnsi" w:cstheme="minorHAnsi"/>
        </w:rPr>
        <w:t>provide</w:t>
      </w:r>
      <w:r w:rsidR="008976A2" w:rsidRPr="00F47BC6">
        <w:rPr>
          <w:rFonts w:asciiTheme="minorHAnsi" w:hAnsiTheme="minorHAnsi" w:cstheme="minorHAnsi"/>
        </w:rPr>
        <w:t xml:space="preserve"> greater privacy for teenagers aged 14 </w:t>
      </w:r>
      <w:r w:rsidR="00857092" w:rsidRPr="00F47BC6">
        <w:rPr>
          <w:rFonts w:asciiTheme="minorHAnsi" w:hAnsiTheme="minorHAnsi" w:cstheme="minorHAnsi"/>
        </w:rPr>
        <w:t>to 17</w:t>
      </w:r>
      <w:r w:rsidR="009046A3" w:rsidRPr="00F47BC6">
        <w:rPr>
          <w:rFonts w:asciiTheme="minorHAnsi" w:hAnsiTheme="minorHAnsi" w:cstheme="minorHAnsi"/>
        </w:rPr>
        <w:t> </w:t>
      </w:r>
      <w:r w:rsidR="00857092" w:rsidRPr="00F47BC6">
        <w:rPr>
          <w:rFonts w:asciiTheme="minorHAnsi" w:hAnsiTheme="minorHAnsi" w:cstheme="minorHAnsi"/>
        </w:rPr>
        <w:t>years</w:t>
      </w:r>
      <w:r w:rsidR="008976A2" w:rsidRPr="00F47BC6">
        <w:rPr>
          <w:rFonts w:asciiTheme="minorHAnsi" w:hAnsiTheme="minorHAnsi" w:cstheme="minorHAnsi"/>
        </w:rPr>
        <w:t xml:space="preserve">. Under these measures, parents no longer </w:t>
      </w:r>
      <w:r w:rsidR="008976A2" w:rsidRPr="008976A2">
        <w:rPr>
          <w:rFonts w:asciiTheme="minorHAnsi" w:hAnsiTheme="minorHAnsi" w:cstheme="minorHAnsi"/>
        </w:rPr>
        <w:t xml:space="preserve">have authority to access a </w:t>
      </w:r>
      <w:r w:rsidR="00F530A9">
        <w:rPr>
          <w:rFonts w:asciiTheme="minorHAnsi" w:hAnsiTheme="minorHAnsi" w:cstheme="minorHAnsi"/>
        </w:rPr>
        <w:t xml:space="preserve">MHR </w:t>
      </w:r>
      <w:r w:rsidR="008976A2" w:rsidRPr="008976A2">
        <w:rPr>
          <w:rFonts w:asciiTheme="minorHAnsi" w:hAnsiTheme="minorHAnsi" w:cstheme="minorHAnsi"/>
        </w:rPr>
        <w:t xml:space="preserve">of a young person aged 14 years or older unless </w:t>
      </w:r>
      <w:r w:rsidR="004C1F64">
        <w:rPr>
          <w:rFonts w:asciiTheme="minorHAnsi" w:hAnsiTheme="minorHAnsi" w:cstheme="minorHAnsi"/>
        </w:rPr>
        <w:t>permitted</w:t>
      </w:r>
      <w:r w:rsidR="004C1F64" w:rsidRPr="008976A2">
        <w:rPr>
          <w:rFonts w:asciiTheme="minorHAnsi" w:hAnsiTheme="minorHAnsi" w:cstheme="minorHAnsi"/>
        </w:rPr>
        <w:t xml:space="preserve"> </w:t>
      </w:r>
      <w:r w:rsidR="008976A2" w:rsidRPr="008976A2">
        <w:rPr>
          <w:rFonts w:asciiTheme="minorHAnsi" w:hAnsiTheme="minorHAnsi" w:cstheme="minorHAnsi"/>
        </w:rPr>
        <w:t>by the young person</w:t>
      </w:r>
      <w:r w:rsidR="00F530A9">
        <w:rPr>
          <w:rFonts w:asciiTheme="minorHAnsi" w:hAnsiTheme="minorHAnsi" w:cstheme="minorHAnsi"/>
        </w:rPr>
        <w:t>.</w:t>
      </w:r>
      <w:r w:rsidR="008976A2" w:rsidRPr="008976A2">
        <w:rPr>
          <w:rFonts w:asciiTheme="minorHAnsi" w:hAnsiTheme="minorHAnsi" w:cstheme="minorHAnsi"/>
        </w:rPr>
        <w:t xml:space="preserve"> </w:t>
      </w:r>
    </w:p>
    <w:p w14:paraId="696A92A7" w14:textId="714C7B79" w:rsidR="00546647" w:rsidRDefault="007C281C" w:rsidP="008976A2">
      <w:pPr>
        <w:spacing w:after="120"/>
        <w:rPr>
          <w:rFonts w:asciiTheme="minorHAnsi" w:hAnsiTheme="minorHAnsi" w:cstheme="minorHAnsi"/>
        </w:rPr>
      </w:pPr>
      <w:r w:rsidRPr="008157C3">
        <w:rPr>
          <w:rFonts w:asciiTheme="minorHAnsi" w:hAnsiTheme="minorHAnsi" w:cstheme="minorHAnsi"/>
        </w:rPr>
        <w:t>Minors aged 14 to 17 years with limited or no capacity to make decisions are unable to have an authorised representative recognised unless their parent/guardian can provide evidence of express legal authority to act on the minor’s behalf. This issue w</w:t>
      </w:r>
      <w:r w:rsidR="00EA5BE4">
        <w:rPr>
          <w:rFonts w:asciiTheme="minorHAnsi" w:hAnsiTheme="minorHAnsi" w:cstheme="minorHAnsi"/>
        </w:rPr>
        <w:t>ill be considered as part of a</w:t>
      </w:r>
      <w:r w:rsidRPr="008157C3">
        <w:rPr>
          <w:rFonts w:asciiTheme="minorHAnsi" w:hAnsiTheme="minorHAnsi" w:cstheme="minorHAnsi"/>
        </w:rPr>
        <w:t xml:space="preserve"> review into the privacy settings for mino</w:t>
      </w:r>
      <w:r w:rsidR="00EA5BE4">
        <w:rPr>
          <w:rFonts w:asciiTheme="minorHAnsi" w:hAnsiTheme="minorHAnsi" w:cstheme="minorHAnsi"/>
        </w:rPr>
        <w:t xml:space="preserve">rs announced </w:t>
      </w:r>
      <w:r w:rsidR="00D12249">
        <w:rPr>
          <w:rFonts w:asciiTheme="minorHAnsi" w:hAnsiTheme="minorHAnsi" w:cstheme="minorHAnsi"/>
        </w:rPr>
        <w:t>on 7 November </w:t>
      </w:r>
      <w:r w:rsidRPr="008157C3">
        <w:rPr>
          <w:rFonts w:asciiTheme="minorHAnsi" w:hAnsiTheme="minorHAnsi" w:cstheme="minorHAnsi"/>
        </w:rPr>
        <w:t>2018.</w:t>
      </w:r>
      <w:r>
        <w:rPr>
          <w:rFonts w:asciiTheme="minorHAnsi" w:hAnsiTheme="minorHAnsi" w:cstheme="minorHAnsi"/>
        </w:rPr>
        <w:t xml:space="preserve"> </w:t>
      </w:r>
    </w:p>
    <w:p w14:paraId="3888ED48" w14:textId="77777777" w:rsidR="003801DF" w:rsidRPr="003801DF" w:rsidRDefault="003801DF" w:rsidP="003801D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4" w:name="_Toc19042844"/>
      <w:r w:rsidRPr="003801DF">
        <w:rPr>
          <w:b/>
          <w:color w:val="auto"/>
        </w:rPr>
        <w:t>Recommendation 3</w:t>
      </w:r>
      <w:bookmarkEnd w:id="4"/>
    </w:p>
    <w:p w14:paraId="7803AA1C" w14:textId="77777777" w:rsidR="003801DF" w:rsidRPr="003801DF" w:rsidRDefault="003801DF" w:rsidP="003801D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5.16</w:t>
      </w:r>
      <w:r>
        <w:rPr>
          <w:rFonts w:asciiTheme="minorHAnsi" w:hAnsiTheme="minorHAnsi"/>
        </w:rPr>
        <w:tab/>
      </w:r>
      <w:r w:rsidRPr="003801DF">
        <w:rPr>
          <w:rFonts w:asciiTheme="minorHAnsi" w:hAnsiTheme="minorHAnsi"/>
        </w:rPr>
        <w:t>The committee recommends that the Minister for Health amend the My Health Record Rule 2016 to extend the period for which a My Health Record can be suspended in the case of serious risk to the healthcare recipient, such as in a domestic violence incident.</w:t>
      </w:r>
    </w:p>
    <w:p w14:paraId="3FA1F4E6" w14:textId="77777777" w:rsidR="00F62BA5" w:rsidRDefault="00F62BA5" w:rsidP="00BA561A">
      <w:pPr>
        <w:spacing w:after="120"/>
        <w:rPr>
          <w:rFonts w:asciiTheme="minorHAnsi" w:hAnsiTheme="minorHAnsi"/>
        </w:rPr>
      </w:pPr>
      <w:r>
        <w:rPr>
          <w:rFonts w:asciiTheme="minorHAnsi" w:hAnsiTheme="minorHAnsi"/>
        </w:rPr>
        <w:t xml:space="preserve">The </w:t>
      </w:r>
      <w:r w:rsidR="00D47A4F">
        <w:rPr>
          <w:rFonts w:asciiTheme="minorHAnsi" w:hAnsiTheme="minorHAnsi"/>
        </w:rPr>
        <w:t xml:space="preserve">Government </w:t>
      </w:r>
      <w:r w:rsidR="00BB7178">
        <w:rPr>
          <w:rFonts w:asciiTheme="minorHAnsi" w:hAnsiTheme="minorHAnsi"/>
        </w:rPr>
        <w:t xml:space="preserve">notes </w:t>
      </w:r>
      <w:r>
        <w:rPr>
          <w:rFonts w:asciiTheme="minorHAnsi" w:hAnsiTheme="minorHAnsi"/>
        </w:rPr>
        <w:t>this recommendation</w:t>
      </w:r>
      <w:r w:rsidR="00C75A10">
        <w:rPr>
          <w:rFonts w:asciiTheme="minorHAnsi" w:hAnsiTheme="minorHAnsi"/>
        </w:rPr>
        <w:t>.</w:t>
      </w:r>
    </w:p>
    <w:p w14:paraId="433CF7CB" w14:textId="77777777" w:rsidR="00F170F4" w:rsidRDefault="00222D59" w:rsidP="00F170F4">
      <w:pPr>
        <w:spacing w:after="120"/>
        <w:rPr>
          <w:rFonts w:asciiTheme="minorHAnsi" w:hAnsiTheme="minorHAnsi" w:cstheme="minorHAnsi"/>
        </w:rPr>
      </w:pPr>
      <w:r>
        <w:rPr>
          <w:rFonts w:asciiTheme="minorHAnsi" w:hAnsiTheme="minorHAnsi" w:cstheme="minorHAnsi"/>
        </w:rPr>
        <w:t xml:space="preserve">Recent amendments to the MHR Act </w:t>
      </w:r>
      <w:r w:rsidR="00F170F4" w:rsidRPr="008D23DD">
        <w:rPr>
          <w:rFonts w:asciiTheme="minorHAnsi" w:hAnsiTheme="minorHAnsi" w:cstheme="minorHAnsi"/>
        </w:rPr>
        <w:t xml:space="preserve">ensure that a person cannot be the authorised representative of a minor if they have restricted access to a minor or may pose a risk to the minor or a person associated with the minor, regardless of parental responsibility. </w:t>
      </w:r>
    </w:p>
    <w:p w14:paraId="11AD7373" w14:textId="77777777" w:rsidR="00EA5BE4" w:rsidRDefault="006958B3" w:rsidP="00BA561A">
      <w:pPr>
        <w:spacing w:after="120"/>
        <w:rPr>
          <w:rFonts w:asciiTheme="minorHAnsi" w:hAnsiTheme="minorHAnsi" w:cstheme="minorHAnsi"/>
        </w:rPr>
      </w:pPr>
      <w:r>
        <w:rPr>
          <w:rFonts w:asciiTheme="minorHAnsi" w:hAnsiTheme="minorHAnsi" w:cstheme="minorHAnsi"/>
        </w:rPr>
        <w:lastRenderedPageBreak/>
        <w:t xml:space="preserve">The System Operator can suspend or cancel access by one or all authorised representatives </w:t>
      </w:r>
      <w:r w:rsidR="00F24948">
        <w:rPr>
          <w:rFonts w:asciiTheme="minorHAnsi" w:hAnsiTheme="minorHAnsi" w:cstheme="minorHAnsi"/>
        </w:rPr>
        <w:t>w</w:t>
      </w:r>
      <w:r>
        <w:rPr>
          <w:rFonts w:asciiTheme="minorHAnsi" w:hAnsiTheme="minorHAnsi" w:cstheme="minorHAnsi"/>
        </w:rPr>
        <w:t>here an authorised representative may pose a risk to a minor or a person associated with a minor, t</w:t>
      </w:r>
      <w:r w:rsidR="008F5CEA">
        <w:rPr>
          <w:rFonts w:asciiTheme="minorHAnsi" w:hAnsiTheme="minorHAnsi" w:cstheme="minorHAnsi"/>
        </w:rPr>
        <w:t>he System Operator can suspend or cancel access by one or all representatives</w:t>
      </w:r>
      <w:r>
        <w:rPr>
          <w:rFonts w:asciiTheme="minorHAnsi" w:hAnsiTheme="minorHAnsi" w:cstheme="minorHAnsi"/>
        </w:rPr>
        <w:t xml:space="preserve"> while it investigates the dispute and a solution is identified</w:t>
      </w:r>
      <w:r w:rsidR="002304BA" w:rsidRPr="002945C0">
        <w:rPr>
          <w:rFonts w:asciiTheme="minorHAnsi" w:hAnsiTheme="minorHAnsi" w:cstheme="minorHAnsi"/>
        </w:rPr>
        <w:t>.</w:t>
      </w:r>
      <w:r w:rsidR="002304BA">
        <w:rPr>
          <w:rFonts w:asciiTheme="minorHAnsi" w:hAnsiTheme="minorHAnsi" w:cstheme="minorHAnsi"/>
        </w:rPr>
        <w:t xml:space="preserve"> </w:t>
      </w:r>
    </w:p>
    <w:p w14:paraId="7A0506AC" w14:textId="77EE728D" w:rsidR="00746A5E" w:rsidRDefault="008F5CEA" w:rsidP="00BA561A">
      <w:pPr>
        <w:spacing w:after="120"/>
        <w:rPr>
          <w:rFonts w:asciiTheme="minorHAnsi" w:hAnsiTheme="minorHAnsi" w:cstheme="minorHAnsi"/>
        </w:rPr>
      </w:pPr>
      <w:r w:rsidRPr="002945C0">
        <w:rPr>
          <w:rFonts w:asciiTheme="minorHAnsi" w:hAnsiTheme="minorHAnsi" w:cstheme="minorHAnsi"/>
        </w:rPr>
        <w:t>When the record is suspended, no representatives can access the child’s health information in their My Health Record.</w:t>
      </w:r>
      <w:r w:rsidR="00A54607" w:rsidRPr="00A54607">
        <w:rPr>
          <w:rFonts w:asciiTheme="minorHAnsi" w:hAnsiTheme="minorHAnsi" w:cstheme="minorHAnsi"/>
        </w:rPr>
        <w:t xml:space="preserve"> </w:t>
      </w:r>
      <w:r w:rsidR="00B7646E">
        <w:rPr>
          <w:rFonts w:asciiTheme="minorHAnsi" w:hAnsiTheme="minorHAnsi" w:cstheme="minorHAnsi"/>
        </w:rPr>
        <w:t xml:space="preserve">The </w:t>
      </w:r>
      <w:r w:rsidR="00D47A4F">
        <w:rPr>
          <w:rFonts w:asciiTheme="minorHAnsi" w:hAnsiTheme="minorHAnsi" w:cstheme="minorHAnsi"/>
        </w:rPr>
        <w:t xml:space="preserve">Australian Digital Health Agency </w:t>
      </w:r>
      <w:r w:rsidR="00B7646E">
        <w:rPr>
          <w:rFonts w:asciiTheme="minorHAnsi" w:hAnsiTheme="minorHAnsi" w:cstheme="minorHAnsi"/>
        </w:rPr>
        <w:t xml:space="preserve">continues to engage with stakeholders to ensure system settings </w:t>
      </w:r>
      <w:r w:rsidR="00746A5E">
        <w:rPr>
          <w:rFonts w:asciiTheme="minorHAnsi" w:hAnsiTheme="minorHAnsi" w:cstheme="minorHAnsi"/>
        </w:rPr>
        <w:t xml:space="preserve">are </w:t>
      </w:r>
      <w:r w:rsidR="00B7646E">
        <w:rPr>
          <w:rFonts w:asciiTheme="minorHAnsi" w:hAnsiTheme="minorHAnsi" w:cstheme="minorHAnsi"/>
        </w:rPr>
        <w:t>appropriate</w:t>
      </w:r>
      <w:r w:rsidR="00D47A4F">
        <w:rPr>
          <w:rFonts w:asciiTheme="minorHAnsi" w:hAnsiTheme="minorHAnsi" w:cstheme="minorHAnsi"/>
        </w:rPr>
        <w:t>.</w:t>
      </w:r>
    </w:p>
    <w:p w14:paraId="370F34F7" w14:textId="77777777" w:rsidR="003801DF" w:rsidRPr="003801DF" w:rsidRDefault="003801DF" w:rsidP="003801D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5" w:name="_Toc19042845"/>
      <w:r w:rsidRPr="003801DF">
        <w:rPr>
          <w:b/>
          <w:color w:val="auto"/>
        </w:rPr>
        <w:t>Recommendation 4</w:t>
      </w:r>
      <w:bookmarkEnd w:id="5"/>
    </w:p>
    <w:p w14:paraId="5D6FAC83" w14:textId="77777777" w:rsidR="003801DF" w:rsidRPr="003801DF" w:rsidRDefault="003801DF" w:rsidP="003801D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5.19</w:t>
      </w:r>
      <w:r>
        <w:rPr>
          <w:rFonts w:asciiTheme="minorHAnsi" w:hAnsiTheme="minorHAnsi"/>
        </w:rPr>
        <w:tab/>
      </w:r>
      <w:r w:rsidRPr="003801DF">
        <w:rPr>
          <w:rFonts w:asciiTheme="minorHAnsi" w:hAnsiTheme="minorHAnsi"/>
        </w:rPr>
        <w:t>The committee recommends that data which is likely to be identifiable from an individual's My Health Record not be made available for secondary use without the individual's explicit consent.</w:t>
      </w:r>
    </w:p>
    <w:p w14:paraId="203A140E" w14:textId="75348855" w:rsidR="00DA5F07" w:rsidRPr="00CB7194" w:rsidRDefault="00D03A9B" w:rsidP="00BA561A">
      <w:pPr>
        <w:spacing w:after="120"/>
        <w:rPr>
          <w:rFonts w:asciiTheme="minorHAnsi" w:hAnsiTheme="minorHAnsi" w:cstheme="minorHAnsi"/>
        </w:rPr>
      </w:pPr>
      <w:r w:rsidRPr="00CB7194">
        <w:rPr>
          <w:rFonts w:asciiTheme="minorHAnsi" w:hAnsiTheme="minorHAnsi" w:cstheme="minorHAnsi"/>
        </w:rPr>
        <w:t xml:space="preserve">The </w:t>
      </w:r>
      <w:r w:rsidR="00C805D1">
        <w:rPr>
          <w:rFonts w:asciiTheme="minorHAnsi" w:hAnsiTheme="minorHAnsi" w:cstheme="minorHAnsi"/>
        </w:rPr>
        <w:t>Government</w:t>
      </w:r>
      <w:r w:rsidR="00C805D1" w:rsidRPr="00CB7194">
        <w:rPr>
          <w:rFonts w:asciiTheme="minorHAnsi" w:hAnsiTheme="minorHAnsi" w:cstheme="minorHAnsi"/>
        </w:rPr>
        <w:t xml:space="preserve"> </w:t>
      </w:r>
      <w:r w:rsidR="00864C12">
        <w:rPr>
          <w:rFonts w:asciiTheme="minorHAnsi" w:hAnsiTheme="minorHAnsi" w:cstheme="minorHAnsi"/>
        </w:rPr>
        <w:t>notes</w:t>
      </w:r>
      <w:r w:rsidR="00864C12" w:rsidRPr="00CB7194">
        <w:rPr>
          <w:rFonts w:asciiTheme="minorHAnsi" w:hAnsiTheme="minorHAnsi" w:cstheme="minorHAnsi"/>
        </w:rPr>
        <w:t xml:space="preserve"> </w:t>
      </w:r>
      <w:r w:rsidRPr="00CB7194">
        <w:rPr>
          <w:rFonts w:asciiTheme="minorHAnsi" w:hAnsiTheme="minorHAnsi" w:cstheme="minorHAnsi"/>
        </w:rPr>
        <w:t>this recommendation</w:t>
      </w:r>
      <w:r w:rsidR="004A53D3">
        <w:rPr>
          <w:rFonts w:asciiTheme="minorHAnsi" w:hAnsiTheme="minorHAnsi" w:cstheme="minorHAnsi"/>
        </w:rPr>
        <w:t>.</w:t>
      </w:r>
    </w:p>
    <w:p w14:paraId="6F20173A" w14:textId="033DD17A" w:rsidR="00E372BB" w:rsidRDefault="00E372BB" w:rsidP="00684CAB">
      <w:pPr>
        <w:spacing w:after="120"/>
        <w:rPr>
          <w:rFonts w:asciiTheme="minorHAnsi" w:hAnsiTheme="minorHAnsi" w:cs="Arial"/>
          <w:lang w:eastAsia="en-AU"/>
        </w:rPr>
      </w:pPr>
      <w:r>
        <w:rPr>
          <w:rFonts w:asciiTheme="minorHAnsi" w:hAnsiTheme="minorHAnsi" w:cs="Arial"/>
          <w:lang w:eastAsia="en-AU"/>
        </w:rPr>
        <w:t>T</w:t>
      </w:r>
      <w:r w:rsidRPr="007C75D1">
        <w:rPr>
          <w:rFonts w:asciiTheme="minorHAnsi" w:hAnsiTheme="minorHAnsi" w:cs="Arial"/>
          <w:lang w:eastAsia="en-AU"/>
        </w:rPr>
        <w:t>he </w:t>
      </w:r>
      <w:r w:rsidRPr="007C75D1">
        <w:rPr>
          <w:rFonts w:asciiTheme="minorHAnsi" w:hAnsiTheme="minorHAnsi" w:cs="Arial"/>
          <w:i/>
          <w:lang w:eastAsia="en-AU"/>
        </w:rPr>
        <w:t>Framework to guide the secondary use of My Health Record system data</w:t>
      </w:r>
      <w:r w:rsidR="00ED5145">
        <w:rPr>
          <w:rFonts w:asciiTheme="minorHAnsi" w:hAnsiTheme="minorHAnsi" w:cs="Arial"/>
          <w:i/>
          <w:lang w:eastAsia="en-AU"/>
        </w:rPr>
        <w:t xml:space="preserve"> </w:t>
      </w:r>
      <w:r w:rsidR="00ED5145">
        <w:rPr>
          <w:rFonts w:asciiTheme="minorHAnsi" w:hAnsiTheme="minorHAnsi" w:cs="Arial"/>
          <w:lang w:eastAsia="en-AU"/>
        </w:rPr>
        <w:t>(the Framework)</w:t>
      </w:r>
      <w:r>
        <w:rPr>
          <w:rFonts w:asciiTheme="minorHAnsi" w:hAnsiTheme="minorHAnsi" w:cs="Arial"/>
          <w:i/>
          <w:lang w:eastAsia="en-AU"/>
        </w:rPr>
        <w:t xml:space="preserve"> </w:t>
      </w:r>
      <w:r>
        <w:rPr>
          <w:rFonts w:asciiTheme="minorHAnsi" w:hAnsiTheme="minorHAnsi" w:cs="Arial"/>
          <w:lang w:eastAsia="en-AU"/>
        </w:rPr>
        <w:t>was released on 11 May 2018</w:t>
      </w:r>
      <w:r w:rsidR="00EA5BE4">
        <w:rPr>
          <w:rFonts w:asciiTheme="minorHAnsi" w:hAnsiTheme="minorHAnsi" w:cs="Arial"/>
          <w:lang w:eastAsia="en-AU"/>
        </w:rPr>
        <w:t>.</w:t>
      </w:r>
      <w:r w:rsidR="00BB2BB9">
        <w:rPr>
          <w:rFonts w:asciiTheme="minorHAnsi" w:hAnsiTheme="minorHAnsi" w:cs="Arial"/>
          <w:lang w:eastAsia="en-AU"/>
        </w:rPr>
        <w:t xml:space="preserve"> Elements of the Framework were legislated as part of the Government’s </w:t>
      </w:r>
      <w:r w:rsidR="004D4CB4" w:rsidRPr="00EA5BE4">
        <w:rPr>
          <w:rFonts w:asciiTheme="minorHAnsi" w:hAnsiTheme="minorHAnsi" w:cstheme="minorHAnsi"/>
          <w:i/>
        </w:rPr>
        <w:t>My Health Records Amendment (Strengthening Privacy) Act 2018</w:t>
      </w:r>
      <w:r w:rsidR="00BB2BB9">
        <w:rPr>
          <w:rFonts w:asciiTheme="minorHAnsi" w:hAnsiTheme="minorHAnsi" w:cs="Arial"/>
          <w:lang w:eastAsia="en-AU"/>
        </w:rPr>
        <w:t>.</w:t>
      </w:r>
    </w:p>
    <w:p w14:paraId="5DC4E9EA" w14:textId="0E66F2CF" w:rsidR="00BB2BB9" w:rsidRPr="00BB2BB9" w:rsidRDefault="00BB2BB9" w:rsidP="00684CAB">
      <w:pPr>
        <w:spacing w:after="120"/>
        <w:rPr>
          <w:rFonts w:asciiTheme="minorHAnsi" w:hAnsiTheme="minorHAnsi" w:cstheme="minorHAnsi"/>
          <w:lang w:eastAsia="en-AU"/>
        </w:rPr>
      </w:pPr>
      <w:r w:rsidRPr="00BB2BB9">
        <w:rPr>
          <w:rFonts w:asciiTheme="minorHAnsi" w:hAnsiTheme="minorHAnsi" w:cstheme="minorHAnsi"/>
        </w:rPr>
        <w:t>Under these changes, personally identifiable information may only be used for public health or research purposes with the individual’s consent</w:t>
      </w:r>
      <w:r>
        <w:rPr>
          <w:rFonts w:asciiTheme="minorHAnsi" w:hAnsiTheme="minorHAnsi" w:cstheme="minorHAnsi"/>
        </w:rPr>
        <w:t>.</w:t>
      </w:r>
    </w:p>
    <w:p w14:paraId="2E0EEBEC" w14:textId="31867622" w:rsidR="007C281C" w:rsidRDefault="007C281C" w:rsidP="001A256D">
      <w:pPr>
        <w:spacing w:after="120"/>
        <w:rPr>
          <w:rFonts w:asciiTheme="minorHAnsi" w:hAnsiTheme="minorHAnsi" w:cs="Arial"/>
          <w:lang w:eastAsia="en-AU"/>
        </w:rPr>
      </w:pPr>
      <w:r>
        <w:rPr>
          <w:rFonts w:asciiTheme="minorHAnsi" w:hAnsiTheme="minorHAnsi" w:cs="Arial"/>
          <w:lang w:eastAsia="en-AU"/>
        </w:rPr>
        <w:t>The Framework specifies the requirements for the provision of de-identified data for research and public health purposes, including the requirement that contemporary de</w:t>
      </w:r>
      <w:r w:rsidR="008157C3">
        <w:rPr>
          <w:rFonts w:asciiTheme="minorHAnsi" w:hAnsiTheme="minorHAnsi" w:cs="Arial"/>
          <w:lang w:eastAsia="en-AU"/>
        </w:rPr>
        <w:noBreakHyphen/>
      </w:r>
      <w:r>
        <w:rPr>
          <w:rFonts w:asciiTheme="minorHAnsi" w:hAnsiTheme="minorHAnsi" w:cs="Arial"/>
          <w:lang w:eastAsia="en-AU"/>
        </w:rPr>
        <w:t>identification methods and techniques are applied and an expert provides assurance that the risk of re-identification is very low prior to any data being made available.</w:t>
      </w:r>
    </w:p>
    <w:p w14:paraId="20FD9DA9" w14:textId="243BBDE5" w:rsidR="00821F1A" w:rsidRPr="00CB7194" w:rsidRDefault="00A8157B" w:rsidP="00D830C7">
      <w:pPr>
        <w:widowControl w:val="0"/>
        <w:spacing w:after="120"/>
        <w:rPr>
          <w:rFonts w:asciiTheme="minorHAnsi" w:hAnsiTheme="minorHAnsi" w:cstheme="minorHAnsi"/>
        </w:rPr>
      </w:pPr>
      <w:r w:rsidRPr="00BB2BB9">
        <w:rPr>
          <w:rFonts w:asciiTheme="minorHAnsi" w:hAnsiTheme="minorHAnsi" w:cstheme="minorHAnsi"/>
          <w:lang w:eastAsia="en-AU"/>
        </w:rPr>
        <w:t>Consumers retain control over whether their MHR data can be used for research and public health purposes</w:t>
      </w:r>
      <w:r w:rsidR="005D6D64">
        <w:rPr>
          <w:rFonts w:asciiTheme="minorHAnsi" w:hAnsiTheme="minorHAnsi" w:cstheme="minorHAnsi"/>
          <w:lang w:eastAsia="en-AU"/>
        </w:rPr>
        <w:t xml:space="preserve"> at all times</w:t>
      </w:r>
      <w:r w:rsidRPr="00BB2BB9">
        <w:rPr>
          <w:rFonts w:asciiTheme="minorHAnsi" w:hAnsiTheme="minorHAnsi" w:cstheme="minorHAnsi"/>
          <w:lang w:eastAsia="en-AU"/>
        </w:rPr>
        <w:t>.</w:t>
      </w:r>
    </w:p>
    <w:p w14:paraId="1AF8D055" w14:textId="77777777" w:rsidR="003801DF" w:rsidRPr="003801DF" w:rsidRDefault="003801DF" w:rsidP="003801D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6" w:name="_Toc19042846"/>
      <w:r w:rsidRPr="003801DF">
        <w:rPr>
          <w:b/>
          <w:color w:val="auto"/>
        </w:rPr>
        <w:t>Recommendation 5</w:t>
      </w:r>
      <w:bookmarkEnd w:id="6"/>
    </w:p>
    <w:p w14:paraId="565D0DFE" w14:textId="77777777" w:rsidR="00D03A9B" w:rsidRPr="003801DF" w:rsidRDefault="003801DF" w:rsidP="003801D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sidRPr="003801DF">
        <w:rPr>
          <w:rFonts w:asciiTheme="minorHAnsi" w:hAnsiTheme="minorHAnsi"/>
        </w:rPr>
        <w:t>5.21</w:t>
      </w:r>
      <w:r w:rsidRPr="003801DF">
        <w:rPr>
          <w:rFonts w:asciiTheme="minorHAnsi" w:hAnsiTheme="minorHAnsi"/>
        </w:rPr>
        <w:tab/>
        <w:t>The committee recommends that the current prohibition on secondary access to My Health Record data for commercial purposes be strengthened to ensure that My Health Record data cannot be used for commercial purposes.</w:t>
      </w:r>
    </w:p>
    <w:p w14:paraId="4AEE9D31" w14:textId="77777777" w:rsidR="00D03A9B" w:rsidRPr="00BA561A" w:rsidRDefault="00D03A9B" w:rsidP="00BA561A">
      <w:pPr>
        <w:spacing w:after="120"/>
        <w:rPr>
          <w:rFonts w:asciiTheme="minorHAnsi" w:hAnsiTheme="minorHAnsi" w:cstheme="minorHAnsi"/>
        </w:rPr>
      </w:pPr>
      <w:r w:rsidRPr="00BA561A">
        <w:rPr>
          <w:rFonts w:asciiTheme="minorHAnsi" w:hAnsiTheme="minorHAnsi" w:cstheme="minorHAnsi"/>
        </w:rPr>
        <w:t xml:space="preserve">The </w:t>
      </w:r>
      <w:r w:rsidR="00C805D1">
        <w:rPr>
          <w:rFonts w:asciiTheme="minorHAnsi" w:hAnsiTheme="minorHAnsi" w:cstheme="minorHAnsi"/>
        </w:rPr>
        <w:t>Government</w:t>
      </w:r>
      <w:r w:rsidR="00C805D1" w:rsidRPr="00BA561A">
        <w:rPr>
          <w:rFonts w:asciiTheme="minorHAnsi" w:hAnsiTheme="minorHAnsi" w:cstheme="minorHAnsi"/>
        </w:rPr>
        <w:t xml:space="preserve"> </w:t>
      </w:r>
      <w:r w:rsidR="00272B4A">
        <w:rPr>
          <w:rFonts w:asciiTheme="minorHAnsi" w:hAnsiTheme="minorHAnsi" w:cstheme="minorHAnsi"/>
        </w:rPr>
        <w:t xml:space="preserve">notes </w:t>
      </w:r>
      <w:r w:rsidRPr="00BA561A">
        <w:rPr>
          <w:rFonts w:asciiTheme="minorHAnsi" w:hAnsiTheme="minorHAnsi" w:cstheme="minorHAnsi"/>
        </w:rPr>
        <w:t>this recommendation.</w:t>
      </w:r>
    </w:p>
    <w:p w14:paraId="3F114B6D" w14:textId="77777777" w:rsidR="00EC2758" w:rsidRDefault="00BA561A" w:rsidP="002942E3">
      <w:pPr>
        <w:spacing w:after="120"/>
        <w:rPr>
          <w:rFonts w:asciiTheme="minorHAnsi" w:hAnsiTheme="minorHAnsi" w:cstheme="minorHAnsi"/>
        </w:rPr>
      </w:pPr>
      <w:r w:rsidRPr="00BA561A">
        <w:rPr>
          <w:rFonts w:asciiTheme="minorHAnsi" w:hAnsiTheme="minorHAnsi" w:cstheme="minorHAnsi"/>
        </w:rPr>
        <w:t>T</w:t>
      </w:r>
      <w:r w:rsidR="00EC2758" w:rsidRPr="00BA561A">
        <w:rPr>
          <w:rFonts w:asciiTheme="minorHAnsi" w:hAnsiTheme="minorHAnsi" w:cstheme="minorHAnsi"/>
        </w:rPr>
        <w:t>he Framework</w:t>
      </w:r>
      <w:r w:rsidR="008F5487">
        <w:rPr>
          <w:rFonts w:asciiTheme="minorHAnsi" w:hAnsiTheme="minorHAnsi" w:cstheme="minorHAnsi"/>
        </w:rPr>
        <w:t xml:space="preserve"> </w:t>
      </w:r>
      <w:r w:rsidR="00EC2758" w:rsidRPr="00BA561A">
        <w:rPr>
          <w:rFonts w:asciiTheme="minorHAnsi" w:hAnsiTheme="minorHAnsi" w:cstheme="minorHAnsi"/>
        </w:rPr>
        <w:t xml:space="preserve">does not permit the use of MHR system data for solely commercial </w:t>
      </w:r>
      <w:r w:rsidRPr="00BA561A">
        <w:rPr>
          <w:rFonts w:asciiTheme="minorHAnsi" w:hAnsiTheme="minorHAnsi" w:cstheme="minorHAnsi"/>
        </w:rPr>
        <w:t xml:space="preserve">and non-health related </w:t>
      </w:r>
      <w:r w:rsidR="003B1814" w:rsidRPr="00BA561A">
        <w:rPr>
          <w:rFonts w:asciiTheme="minorHAnsi" w:hAnsiTheme="minorHAnsi" w:cstheme="minorHAnsi"/>
        </w:rPr>
        <w:t>purposes. The</w:t>
      </w:r>
      <w:r w:rsidRPr="00BA561A">
        <w:rPr>
          <w:rFonts w:asciiTheme="minorHAnsi" w:hAnsiTheme="minorHAnsi" w:cstheme="minorHAnsi"/>
        </w:rPr>
        <w:t xml:space="preserve"> Framework does</w:t>
      </w:r>
      <w:r w:rsidR="00EC2758" w:rsidRPr="00BA561A">
        <w:rPr>
          <w:rFonts w:asciiTheme="minorHAnsi" w:hAnsiTheme="minorHAnsi" w:cstheme="minorHAnsi"/>
        </w:rPr>
        <w:t xml:space="preserve"> acknowledge </w:t>
      </w:r>
      <w:r w:rsidR="00EC2758" w:rsidRPr="002942E3">
        <w:rPr>
          <w:rFonts w:asciiTheme="minorHAnsi" w:hAnsiTheme="minorHAnsi" w:cstheme="minorHAnsi"/>
        </w:rPr>
        <w:t xml:space="preserve">that </w:t>
      </w:r>
      <w:r w:rsidR="001166D6">
        <w:rPr>
          <w:rFonts w:asciiTheme="minorHAnsi" w:hAnsiTheme="minorHAnsi" w:cstheme="minorHAnsi"/>
        </w:rPr>
        <w:t xml:space="preserve">MHR system </w:t>
      </w:r>
      <w:r w:rsidR="00EC2758" w:rsidRPr="002942E3">
        <w:rPr>
          <w:rFonts w:asciiTheme="minorHAnsi" w:hAnsiTheme="minorHAnsi" w:cstheme="minorHAnsi"/>
        </w:rPr>
        <w:t xml:space="preserve">data that </w:t>
      </w:r>
      <w:r w:rsidR="00D36353">
        <w:rPr>
          <w:rFonts w:asciiTheme="minorHAnsi" w:hAnsiTheme="minorHAnsi" w:cstheme="minorHAnsi"/>
        </w:rPr>
        <w:t xml:space="preserve">is </w:t>
      </w:r>
      <w:r w:rsidR="00EC2758" w:rsidRPr="002942E3">
        <w:rPr>
          <w:rFonts w:asciiTheme="minorHAnsi" w:hAnsiTheme="minorHAnsi" w:cstheme="minorHAnsi"/>
        </w:rPr>
        <w:t xml:space="preserve">utilised for beneficial research and public health purposes in some instances may also </w:t>
      </w:r>
      <w:r w:rsidR="00D47A4F">
        <w:rPr>
          <w:rFonts w:asciiTheme="minorHAnsi" w:hAnsiTheme="minorHAnsi" w:cstheme="minorHAnsi"/>
        </w:rPr>
        <w:t>be of</w:t>
      </w:r>
      <w:r w:rsidR="00D47A4F" w:rsidRPr="002942E3">
        <w:rPr>
          <w:rFonts w:asciiTheme="minorHAnsi" w:hAnsiTheme="minorHAnsi" w:cstheme="minorHAnsi"/>
        </w:rPr>
        <w:t xml:space="preserve"> </w:t>
      </w:r>
      <w:r w:rsidR="00EC2758" w:rsidRPr="002942E3">
        <w:rPr>
          <w:rFonts w:asciiTheme="minorHAnsi" w:hAnsiTheme="minorHAnsi" w:cstheme="minorHAnsi"/>
        </w:rPr>
        <w:t>commercial benefit</w:t>
      </w:r>
      <w:r w:rsidR="00D47A4F">
        <w:rPr>
          <w:rFonts w:asciiTheme="minorHAnsi" w:hAnsiTheme="minorHAnsi" w:cstheme="minorHAnsi"/>
        </w:rPr>
        <w:t>, f</w:t>
      </w:r>
      <w:r w:rsidR="00EC2758" w:rsidRPr="002942E3">
        <w:rPr>
          <w:rFonts w:asciiTheme="minorHAnsi" w:hAnsiTheme="minorHAnsi" w:cstheme="minorHAnsi"/>
        </w:rPr>
        <w:t>or example</w:t>
      </w:r>
      <w:r w:rsidR="00D36353">
        <w:rPr>
          <w:rFonts w:asciiTheme="minorHAnsi" w:hAnsiTheme="minorHAnsi" w:cstheme="minorHAnsi"/>
        </w:rPr>
        <w:t>,</w:t>
      </w:r>
      <w:r w:rsidR="00EC2758" w:rsidRPr="002942E3">
        <w:rPr>
          <w:rFonts w:asciiTheme="minorHAnsi" w:hAnsiTheme="minorHAnsi" w:cstheme="minorHAnsi"/>
        </w:rPr>
        <w:t xml:space="preserve"> technological</w:t>
      </w:r>
      <w:r w:rsidR="0015775C">
        <w:rPr>
          <w:rFonts w:asciiTheme="minorHAnsi" w:hAnsiTheme="minorHAnsi" w:cstheme="minorHAnsi"/>
        </w:rPr>
        <w:t xml:space="preserve"> and service</w:t>
      </w:r>
      <w:r w:rsidR="00EC2758" w:rsidRPr="002942E3">
        <w:rPr>
          <w:rFonts w:asciiTheme="minorHAnsi" w:hAnsiTheme="minorHAnsi" w:cstheme="minorHAnsi"/>
        </w:rPr>
        <w:t xml:space="preserve"> innovation.</w:t>
      </w:r>
    </w:p>
    <w:p w14:paraId="15875A49" w14:textId="1DD91EDE" w:rsidR="00005DB0" w:rsidRPr="00005DB0" w:rsidRDefault="00005DB0" w:rsidP="00005DB0">
      <w:pPr>
        <w:widowControl w:val="0"/>
        <w:spacing w:after="60"/>
        <w:rPr>
          <w:rFonts w:asciiTheme="minorHAnsi" w:hAnsiTheme="minorHAnsi" w:cs="Arial"/>
          <w:lang w:eastAsia="en-AU"/>
        </w:rPr>
      </w:pPr>
      <w:r w:rsidRPr="00005DB0">
        <w:rPr>
          <w:rFonts w:asciiTheme="minorHAnsi" w:hAnsiTheme="minorHAnsi" w:cs="Arial"/>
          <w:lang w:eastAsia="en-AU"/>
        </w:rPr>
        <w:t xml:space="preserve">Elements of the </w:t>
      </w:r>
      <w:r w:rsidR="00ED5145">
        <w:rPr>
          <w:rFonts w:asciiTheme="minorHAnsi" w:hAnsiTheme="minorHAnsi" w:cs="Arial"/>
          <w:lang w:eastAsia="en-AU"/>
        </w:rPr>
        <w:t>F</w:t>
      </w:r>
      <w:r w:rsidRPr="00005DB0">
        <w:rPr>
          <w:rFonts w:asciiTheme="minorHAnsi" w:hAnsiTheme="minorHAnsi" w:cs="Arial"/>
          <w:lang w:eastAsia="en-AU"/>
        </w:rPr>
        <w:t xml:space="preserve">ramework were legislated as </w:t>
      </w:r>
      <w:r w:rsidRPr="004A53D3">
        <w:rPr>
          <w:rFonts w:asciiTheme="minorHAnsi" w:hAnsiTheme="minorHAnsi" w:cstheme="minorHAnsi"/>
          <w:lang w:eastAsia="en-AU"/>
        </w:rPr>
        <w:t>part of</w:t>
      </w:r>
      <w:r w:rsidR="004A53D3" w:rsidRPr="004A53D3">
        <w:rPr>
          <w:rFonts w:asciiTheme="minorHAnsi" w:hAnsiTheme="minorHAnsi" w:cstheme="minorHAnsi"/>
          <w:lang w:eastAsia="en-AU"/>
        </w:rPr>
        <w:t xml:space="preserve"> </w:t>
      </w:r>
      <w:r w:rsidR="004A53D3" w:rsidRPr="00807D49">
        <w:rPr>
          <w:rFonts w:asciiTheme="minorHAnsi" w:hAnsiTheme="minorHAnsi" w:cstheme="minorHAnsi"/>
        </w:rPr>
        <w:t xml:space="preserve">the </w:t>
      </w:r>
      <w:r w:rsidR="004A53D3" w:rsidRPr="00807D49">
        <w:rPr>
          <w:rFonts w:asciiTheme="minorHAnsi" w:hAnsiTheme="minorHAnsi" w:cstheme="minorHAnsi"/>
          <w:i/>
          <w:iCs/>
        </w:rPr>
        <w:t>My Health Records Amendment (Strengthening Privacy) Act 2018</w:t>
      </w:r>
      <w:r w:rsidR="00D830C7">
        <w:rPr>
          <w:rFonts w:asciiTheme="minorHAnsi" w:hAnsiTheme="minorHAnsi" w:cstheme="minorHAnsi"/>
          <w:i/>
          <w:iCs/>
        </w:rPr>
        <w:t>.</w:t>
      </w:r>
      <w:r w:rsidR="004A53D3">
        <w:rPr>
          <w:rFonts w:asciiTheme="minorHAnsi" w:hAnsiTheme="minorHAnsi" w:cstheme="minorHAnsi"/>
          <w:iCs/>
        </w:rPr>
        <w:t xml:space="preserve"> </w:t>
      </w:r>
      <w:r w:rsidRPr="004A53D3">
        <w:rPr>
          <w:rFonts w:asciiTheme="minorHAnsi" w:hAnsiTheme="minorHAnsi" w:cstheme="minorHAnsi"/>
          <w:lang w:eastAsia="en-AU"/>
        </w:rPr>
        <w:t xml:space="preserve"> </w:t>
      </w:r>
      <w:r w:rsidR="004A53D3">
        <w:rPr>
          <w:rFonts w:asciiTheme="minorHAnsi" w:hAnsiTheme="minorHAnsi" w:cstheme="minorHAnsi"/>
          <w:lang w:eastAsia="en-AU"/>
        </w:rPr>
        <w:t>T</w:t>
      </w:r>
      <w:r w:rsidRPr="004A53D3">
        <w:rPr>
          <w:rFonts w:asciiTheme="minorHAnsi" w:hAnsiTheme="minorHAnsi" w:cstheme="minorHAnsi"/>
          <w:lang w:eastAsia="en-AU"/>
        </w:rPr>
        <w:t>hese include:</w:t>
      </w:r>
    </w:p>
    <w:p w14:paraId="049F5327" w14:textId="77777777" w:rsidR="00005DB0" w:rsidRPr="00EA1D9A" w:rsidRDefault="00005DB0" w:rsidP="00D3297A">
      <w:pPr>
        <w:pStyle w:val="ListParagraph"/>
        <w:keepNext/>
        <w:numPr>
          <w:ilvl w:val="1"/>
          <w:numId w:val="8"/>
        </w:numPr>
        <w:spacing w:after="60"/>
        <w:ind w:left="426" w:hanging="357"/>
        <w:contextualSpacing w:val="0"/>
        <w:rPr>
          <w:rFonts w:asciiTheme="minorHAnsi" w:hAnsiTheme="minorHAnsi" w:cs="Arial"/>
          <w:lang w:eastAsia="en-AU"/>
        </w:rPr>
      </w:pPr>
      <w:r>
        <w:rPr>
          <w:rFonts w:asciiTheme="minorHAnsi" w:hAnsiTheme="minorHAnsi" w:cs="Arial"/>
          <w:lang w:eastAsia="en-AU"/>
        </w:rPr>
        <w:lastRenderedPageBreak/>
        <w:t>a</w:t>
      </w:r>
      <w:r w:rsidRPr="00EA1D9A">
        <w:rPr>
          <w:rFonts w:asciiTheme="minorHAnsi" w:hAnsiTheme="minorHAnsi" w:cs="Arial"/>
          <w:lang w:eastAsia="en-AU"/>
        </w:rPr>
        <w:t xml:space="preserve"> Data Governance Board</w:t>
      </w:r>
      <w:r>
        <w:rPr>
          <w:rFonts w:asciiTheme="minorHAnsi" w:hAnsiTheme="minorHAnsi" w:cs="Arial"/>
          <w:lang w:eastAsia="en-AU"/>
        </w:rPr>
        <w:t xml:space="preserve"> to</w:t>
      </w:r>
      <w:r w:rsidRPr="00EA1D9A">
        <w:rPr>
          <w:rFonts w:asciiTheme="minorHAnsi" w:hAnsiTheme="minorHAnsi" w:cs="Arial"/>
          <w:lang w:eastAsia="en-AU"/>
        </w:rPr>
        <w:t xml:space="preserve"> consider applications</w:t>
      </w:r>
      <w:r>
        <w:rPr>
          <w:rFonts w:asciiTheme="minorHAnsi" w:hAnsiTheme="minorHAnsi" w:cs="Arial"/>
          <w:lang w:eastAsia="en-AU"/>
        </w:rPr>
        <w:t xml:space="preserve"> for</w:t>
      </w:r>
      <w:r w:rsidRPr="00EA1D9A">
        <w:rPr>
          <w:rFonts w:asciiTheme="minorHAnsi" w:hAnsiTheme="minorHAnsi" w:cs="Arial"/>
          <w:lang w:eastAsia="en-AU"/>
        </w:rPr>
        <w:t xml:space="preserve"> </w:t>
      </w:r>
      <w:r>
        <w:rPr>
          <w:rFonts w:asciiTheme="minorHAnsi" w:hAnsiTheme="minorHAnsi" w:cs="Arial"/>
          <w:lang w:eastAsia="en-AU"/>
        </w:rPr>
        <w:t>data</w:t>
      </w:r>
      <w:r w:rsidRPr="00EA1D9A">
        <w:rPr>
          <w:rFonts w:asciiTheme="minorHAnsi" w:hAnsiTheme="minorHAnsi" w:cs="Arial"/>
          <w:lang w:eastAsia="en-AU"/>
        </w:rPr>
        <w:t xml:space="preserve">;  </w:t>
      </w:r>
    </w:p>
    <w:p w14:paraId="6F45AE38" w14:textId="77777777" w:rsidR="00005DB0" w:rsidRDefault="00005DB0" w:rsidP="00D3297A">
      <w:pPr>
        <w:pStyle w:val="ListParagraph"/>
        <w:keepNext/>
        <w:numPr>
          <w:ilvl w:val="1"/>
          <w:numId w:val="8"/>
        </w:numPr>
        <w:spacing w:after="60"/>
        <w:ind w:left="426" w:hanging="357"/>
        <w:contextualSpacing w:val="0"/>
        <w:rPr>
          <w:rFonts w:asciiTheme="minorHAnsi" w:hAnsiTheme="minorHAnsi" w:cs="Arial"/>
          <w:lang w:eastAsia="en-AU"/>
        </w:rPr>
      </w:pPr>
      <w:r w:rsidRPr="00EA1D9A">
        <w:rPr>
          <w:rFonts w:asciiTheme="minorHAnsi" w:hAnsiTheme="minorHAnsi" w:cs="Arial"/>
          <w:lang w:eastAsia="en-AU"/>
        </w:rPr>
        <w:t xml:space="preserve">the Australian Institute of Health and Welfare (AIHW) </w:t>
      </w:r>
      <w:r>
        <w:rPr>
          <w:rFonts w:asciiTheme="minorHAnsi" w:hAnsiTheme="minorHAnsi" w:cs="Arial"/>
          <w:lang w:eastAsia="en-AU"/>
        </w:rPr>
        <w:t>will be</w:t>
      </w:r>
      <w:r w:rsidRPr="00EA1D9A">
        <w:rPr>
          <w:rFonts w:asciiTheme="minorHAnsi" w:hAnsiTheme="minorHAnsi" w:cs="Arial"/>
          <w:lang w:eastAsia="en-AU"/>
        </w:rPr>
        <w:t xml:space="preserve"> the data custodian; </w:t>
      </w:r>
      <w:r w:rsidR="00C805D1">
        <w:rPr>
          <w:rFonts w:asciiTheme="minorHAnsi" w:hAnsiTheme="minorHAnsi" w:cs="Arial"/>
          <w:lang w:eastAsia="en-AU"/>
        </w:rPr>
        <w:t>and</w:t>
      </w:r>
    </w:p>
    <w:p w14:paraId="5F399D3E" w14:textId="77777777" w:rsidR="00ED5145" w:rsidRDefault="00005DB0" w:rsidP="00D3297A">
      <w:pPr>
        <w:pStyle w:val="ListParagraph"/>
        <w:keepNext/>
        <w:widowControl w:val="0"/>
        <w:numPr>
          <w:ilvl w:val="1"/>
          <w:numId w:val="8"/>
        </w:numPr>
        <w:spacing w:after="120"/>
        <w:ind w:left="426" w:hanging="357"/>
        <w:contextualSpacing w:val="0"/>
        <w:rPr>
          <w:rFonts w:asciiTheme="minorHAnsi" w:hAnsiTheme="minorHAnsi" w:cs="Arial"/>
          <w:lang w:eastAsia="en-AU"/>
        </w:rPr>
      </w:pPr>
      <w:r w:rsidRPr="00C805D1">
        <w:rPr>
          <w:rFonts w:asciiTheme="minorHAnsi" w:hAnsiTheme="minorHAnsi" w:cs="Arial"/>
          <w:lang w:eastAsia="en-AU"/>
        </w:rPr>
        <w:t>enabl</w:t>
      </w:r>
      <w:r w:rsidR="00C805D1" w:rsidRPr="00C805D1">
        <w:rPr>
          <w:rFonts w:asciiTheme="minorHAnsi" w:hAnsiTheme="minorHAnsi" w:cs="Arial"/>
          <w:lang w:eastAsia="en-AU"/>
        </w:rPr>
        <w:t>ing</w:t>
      </w:r>
      <w:r w:rsidRPr="00C805D1">
        <w:rPr>
          <w:rFonts w:asciiTheme="minorHAnsi" w:hAnsiTheme="minorHAnsi" w:cs="Arial"/>
          <w:lang w:eastAsia="en-AU"/>
        </w:rPr>
        <w:t xml:space="preserve"> the Minister to make rules to apply to </w:t>
      </w:r>
      <w:r w:rsidR="00B92193" w:rsidRPr="00C805D1">
        <w:rPr>
          <w:rFonts w:asciiTheme="minorHAnsi" w:hAnsiTheme="minorHAnsi" w:cs="Arial"/>
          <w:lang w:eastAsia="en-AU"/>
        </w:rPr>
        <w:t>persons</w:t>
      </w:r>
      <w:r w:rsidRPr="00C805D1">
        <w:rPr>
          <w:rFonts w:asciiTheme="minorHAnsi" w:hAnsiTheme="minorHAnsi" w:cs="Arial"/>
          <w:lang w:eastAsia="en-AU"/>
        </w:rPr>
        <w:t xml:space="preserve"> handling </w:t>
      </w:r>
      <w:r w:rsidR="00C805D1" w:rsidRPr="00C805D1">
        <w:rPr>
          <w:rFonts w:asciiTheme="minorHAnsi" w:hAnsiTheme="minorHAnsi" w:cs="Arial"/>
          <w:lang w:eastAsia="en-AU"/>
        </w:rPr>
        <w:t xml:space="preserve">the </w:t>
      </w:r>
      <w:r w:rsidRPr="00C805D1">
        <w:rPr>
          <w:rFonts w:asciiTheme="minorHAnsi" w:hAnsiTheme="minorHAnsi" w:cs="Arial"/>
          <w:lang w:eastAsia="en-AU"/>
        </w:rPr>
        <w:t>data</w:t>
      </w:r>
      <w:r w:rsidR="00C805D1">
        <w:rPr>
          <w:rFonts w:asciiTheme="minorHAnsi" w:hAnsiTheme="minorHAnsi" w:cs="Arial"/>
          <w:lang w:eastAsia="en-AU"/>
        </w:rPr>
        <w:t>.</w:t>
      </w:r>
    </w:p>
    <w:p w14:paraId="405239F3" w14:textId="23CFAFBF" w:rsidR="00005DB0" w:rsidRPr="00D3297A" w:rsidRDefault="00005DB0" w:rsidP="00D3297A">
      <w:pPr>
        <w:keepNext/>
        <w:widowControl w:val="0"/>
        <w:spacing w:after="120"/>
        <w:rPr>
          <w:rFonts w:asciiTheme="minorHAnsi" w:hAnsiTheme="minorHAnsi" w:cs="Arial"/>
          <w:lang w:eastAsia="en-AU"/>
        </w:rPr>
      </w:pPr>
      <w:r w:rsidRPr="00D3297A">
        <w:rPr>
          <w:rFonts w:asciiTheme="minorHAnsi" w:hAnsiTheme="minorHAnsi" w:cstheme="minorHAnsi"/>
        </w:rPr>
        <w:t xml:space="preserve">The </w:t>
      </w:r>
      <w:r w:rsidRPr="00D3297A">
        <w:rPr>
          <w:rFonts w:asciiTheme="minorHAnsi" w:hAnsiTheme="minorHAnsi" w:cs="Arial"/>
          <w:lang w:eastAsia="en-AU"/>
        </w:rPr>
        <w:t>Dat</w:t>
      </w:r>
      <w:r w:rsidR="00EA5BE4">
        <w:rPr>
          <w:rFonts w:asciiTheme="minorHAnsi" w:hAnsiTheme="minorHAnsi" w:cs="Arial"/>
          <w:lang w:eastAsia="en-AU"/>
        </w:rPr>
        <w:t>a Governance Board will include</w:t>
      </w:r>
      <w:r w:rsidRPr="00D3297A">
        <w:rPr>
          <w:rFonts w:asciiTheme="minorHAnsi" w:hAnsiTheme="minorHAnsi" w:cs="Arial"/>
          <w:lang w:eastAsia="en-AU"/>
        </w:rPr>
        <w:t xml:space="preserve"> representatives from </w:t>
      </w:r>
      <w:r w:rsidR="006E6389" w:rsidRPr="00D3297A">
        <w:rPr>
          <w:rFonts w:asciiTheme="minorHAnsi" w:hAnsiTheme="minorHAnsi" w:cs="Arial"/>
          <w:lang w:eastAsia="en-AU"/>
        </w:rPr>
        <w:t xml:space="preserve">the </w:t>
      </w:r>
      <w:r w:rsidRPr="00D3297A">
        <w:rPr>
          <w:rFonts w:asciiTheme="minorHAnsi" w:hAnsiTheme="minorHAnsi" w:cs="Arial"/>
          <w:lang w:eastAsia="en-AU"/>
        </w:rPr>
        <w:t>A</w:t>
      </w:r>
      <w:r w:rsidR="00EA5BE4">
        <w:rPr>
          <w:rFonts w:asciiTheme="minorHAnsi" w:hAnsiTheme="minorHAnsi" w:cs="Arial"/>
          <w:lang w:eastAsia="en-AU"/>
        </w:rPr>
        <w:t xml:space="preserve">ustralian </w:t>
      </w:r>
      <w:r w:rsidRPr="00D3297A">
        <w:rPr>
          <w:rFonts w:asciiTheme="minorHAnsi" w:hAnsiTheme="minorHAnsi" w:cs="Arial"/>
          <w:lang w:eastAsia="en-AU"/>
        </w:rPr>
        <w:t>I</w:t>
      </w:r>
      <w:r w:rsidR="00EA5BE4">
        <w:rPr>
          <w:rFonts w:asciiTheme="minorHAnsi" w:hAnsiTheme="minorHAnsi" w:cs="Arial"/>
          <w:lang w:eastAsia="en-AU"/>
        </w:rPr>
        <w:t xml:space="preserve">nstitute of </w:t>
      </w:r>
      <w:r w:rsidRPr="00D3297A">
        <w:rPr>
          <w:rFonts w:asciiTheme="minorHAnsi" w:hAnsiTheme="minorHAnsi" w:cs="Arial"/>
          <w:lang w:eastAsia="en-AU"/>
        </w:rPr>
        <w:t>H</w:t>
      </w:r>
      <w:r w:rsidR="00EA5BE4">
        <w:rPr>
          <w:rFonts w:asciiTheme="minorHAnsi" w:hAnsiTheme="minorHAnsi" w:cs="Arial"/>
          <w:lang w:eastAsia="en-AU"/>
        </w:rPr>
        <w:t>ealth and Welfare</w:t>
      </w:r>
      <w:r w:rsidR="006E6389" w:rsidRPr="00D3297A">
        <w:rPr>
          <w:rFonts w:asciiTheme="minorHAnsi" w:hAnsiTheme="minorHAnsi" w:cs="Arial"/>
          <w:lang w:eastAsia="en-AU"/>
        </w:rPr>
        <w:t>,</w:t>
      </w:r>
      <w:r w:rsidRPr="00D3297A">
        <w:rPr>
          <w:rFonts w:asciiTheme="minorHAnsi" w:hAnsiTheme="minorHAnsi" w:cs="Arial"/>
          <w:lang w:eastAsia="en-AU"/>
        </w:rPr>
        <w:t xml:space="preserve"> </w:t>
      </w:r>
      <w:r w:rsidR="006E6389" w:rsidRPr="00D3297A">
        <w:rPr>
          <w:rFonts w:asciiTheme="minorHAnsi" w:hAnsiTheme="minorHAnsi" w:cs="Arial"/>
          <w:lang w:eastAsia="en-AU"/>
        </w:rPr>
        <w:t xml:space="preserve">the </w:t>
      </w:r>
      <w:r w:rsidR="00EA5BE4">
        <w:rPr>
          <w:rFonts w:asciiTheme="minorHAnsi" w:hAnsiTheme="minorHAnsi" w:cs="Arial"/>
          <w:lang w:eastAsia="en-AU"/>
        </w:rPr>
        <w:t xml:space="preserve">Australian Digital Health </w:t>
      </w:r>
      <w:r w:rsidR="00CF2873">
        <w:rPr>
          <w:rFonts w:asciiTheme="minorHAnsi" w:hAnsiTheme="minorHAnsi" w:cs="Arial"/>
          <w:lang w:eastAsia="en-AU"/>
        </w:rPr>
        <w:t>Agency</w:t>
      </w:r>
      <w:r w:rsidRPr="00D3297A">
        <w:rPr>
          <w:rFonts w:asciiTheme="minorHAnsi" w:hAnsiTheme="minorHAnsi" w:cs="Arial"/>
          <w:lang w:eastAsia="en-AU"/>
        </w:rPr>
        <w:t>, and</w:t>
      </w:r>
      <w:r w:rsidR="006E6389" w:rsidRPr="00D3297A">
        <w:rPr>
          <w:rFonts w:asciiTheme="minorHAnsi" w:hAnsiTheme="minorHAnsi" w:cs="Arial"/>
          <w:lang w:eastAsia="en-AU"/>
        </w:rPr>
        <w:t xml:space="preserve"> a range of</w:t>
      </w:r>
      <w:r w:rsidRPr="00D3297A">
        <w:rPr>
          <w:rFonts w:asciiTheme="minorHAnsi" w:hAnsiTheme="minorHAnsi" w:cs="Arial"/>
          <w:lang w:eastAsia="en-AU"/>
        </w:rPr>
        <w:t xml:space="preserve"> independent experts on matters including population health, research, da</w:t>
      </w:r>
      <w:r w:rsidR="00EA5BE4">
        <w:rPr>
          <w:rFonts w:asciiTheme="minorHAnsi" w:hAnsiTheme="minorHAnsi" w:cs="Arial"/>
          <w:lang w:eastAsia="en-AU"/>
        </w:rPr>
        <w:t>ta science, data governance, privacy</w:t>
      </w:r>
      <w:r w:rsidRPr="00D3297A">
        <w:rPr>
          <w:rFonts w:asciiTheme="minorHAnsi" w:hAnsiTheme="minorHAnsi" w:cs="Arial"/>
          <w:lang w:eastAsia="en-AU"/>
        </w:rPr>
        <w:t xml:space="preserve"> and consumer advocacy.</w:t>
      </w:r>
    </w:p>
    <w:p w14:paraId="2D8604BB" w14:textId="77777777" w:rsidR="00617447" w:rsidRPr="00005DB0" w:rsidRDefault="00005DB0" w:rsidP="00617447">
      <w:pPr>
        <w:widowControl w:val="0"/>
        <w:spacing w:after="60"/>
        <w:rPr>
          <w:rFonts w:asciiTheme="minorHAnsi" w:hAnsiTheme="minorHAnsi" w:cstheme="minorHAnsi"/>
        </w:rPr>
      </w:pPr>
      <w:r>
        <w:rPr>
          <w:rFonts w:asciiTheme="minorHAnsi" w:hAnsiTheme="minorHAnsi" w:cs="Arial"/>
          <w:lang w:eastAsia="en-AU"/>
        </w:rPr>
        <w:t xml:space="preserve">It will </w:t>
      </w:r>
      <w:r w:rsidR="00B63B00">
        <w:rPr>
          <w:rFonts w:asciiTheme="minorHAnsi" w:hAnsiTheme="minorHAnsi" w:cstheme="minorHAnsi"/>
        </w:rPr>
        <w:t>assess applications to use MHR system data for rese</w:t>
      </w:r>
      <w:r>
        <w:rPr>
          <w:rFonts w:asciiTheme="minorHAnsi" w:hAnsiTheme="minorHAnsi" w:cstheme="minorHAnsi"/>
        </w:rPr>
        <w:t>arch and public health purposes on a case</w:t>
      </w:r>
      <w:r w:rsidR="00ED5145">
        <w:rPr>
          <w:rFonts w:asciiTheme="minorHAnsi" w:hAnsiTheme="minorHAnsi" w:cstheme="minorHAnsi"/>
        </w:rPr>
        <w:t>-</w:t>
      </w:r>
      <w:r>
        <w:rPr>
          <w:rFonts w:asciiTheme="minorHAnsi" w:hAnsiTheme="minorHAnsi" w:cstheme="minorHAnsi"/>
        </w:rPr>
        <w:t>by</w:t>
      </w:r>
      <w:r w:rsidR="00ED5145">
        <w:rPr>
          <w:rFonts w:asciiTheme="minorHAnsi" w:hAnsiTheme="minorHAnsi" w:cstheme="minorHAnsi"/>
        </w:rPr>
        <w:t>-</w:t>
      </w:r>
      <w:r>
        <w:rPr>
          <w:rFonts w:asciiTheme="minorHAnsi" w:hAnsiTheme="minorHAnsi" w:cstheme="minorHAnsi"/>
        </w:rPr>
        <w:t>case basis, and in accordance with the conditions outlined in the framework. This will</w:t>
      </w:r>
      <w:r w:rsidR="00B63B00">
        <w:rPr>
          <w:rFonts w:asciiTheme="minorHAnsi" w:hAnsiTheme="minorHAnsi" w:cstheme="minorHAnsi"/>
        </w:rPr>
        <w:t xml:space="preserve"> provide </w:t>
      </w:r>
      <w:r w:rsidR="00B63B00" w:rsidRPr="00531C50">
        <w:rPr>
          <w:rFonts w:asciiTheme="minorHAnsi" w:hAnsiTheme="minorHAnsi" w:cstheme="minorHAnsi"/>
        </w:rPr>
        <w:t>an extra layer of protection, transparency and accountability for the privacy of individuals’ MHR system data where that data is to be made available for research and public health purposes.</w:t>
      </w:r>
      <w:r w:rsidR="00617447">
        <w:rPr>
          <w:rFonts w:asciiTheme="minorHAnsi" w:hAnsiTheme="minorHAnsi" w:cstheme="minorHAnsi"/>
        </w:rPr>
        <w:t xml:space="preserve"> </w:t>
      </w:r>
    </w:p>
    <w:p w14:paraId="09705187" w14:textId="77777777" w:rsidR="00ED5145" w:rsidRPr="002942E3" w:rsidRDefault="00617447" w:rsidP="002942E3">
      <w:pPr>
        <w:spacing w:after="120"/>
        <w:rPr>
          <w:rFonts w:asciiTheme="minorHAnsi" w:hAnsiTheme="minorHAnsi" w:cstheme="minorHAnsi"/>
        </w:rPr>
      </w:pPr>
      <w:r>
        <w:rPr>
          <w:rFonts w:asciiTheme="minorHAnsi" w:hAnsiTheme="minorHAnsi" w:cstheme="minorHAnsi"/>
        </w:rPr>
        <w:t xml:space="preserve">Successful applicants will also be required to adhere to strict conditions of use agreements to ensure appropriate use of data, and will be subject to </w:t>
      </w:r>
      <w:r w:rsidR="002B3613" w:rsidRPr="002F6DD1">
        <w:rPr>
          <w:rFonts w:asciiTheme="minorHAnsi" w:hAnsiTheme="minorHAnsi" w:cstheme="minorHAnsi"/>
        </w:rPr>
        <w:t xml:space="preserve">criminal penalties for </w:t>
      </w:r>
      <w:r w:rsidR="002B3613">
        <w:rPr>
          <w:rFonts w:asciiTheme="minorHAnsi" w:hAnsiTheme="minorHAnsi" w:cstheme="minorHAnsi"/>
        </w:rPr>
        <w:t>misuse of MHR system information</w:t>
      </w:r>
      <w:r>
        <w:rPr>
          <w:rFonts w:asciiTheme="minorHAnsi" w:hAnsiTheme="minorHAnsi" w:cstheme="minorHAnsi"/>
        </w:rPr>
        <w:t>. These penalties</w:t>
      </w:r>
      <w:r w:rsidR="002B3613" w:rsidRPr="002F6DD1">
        <w:rPr>
          <w:rFonts w:asciiTheme="minorHAnsi" w:hAnsiTheme="minorHAnsi" w:cstheme="minorHAnsi"/>
        </w:rPr>
        <w:t xml:space="preserve"> include up to five years in jail and up to $63,000 in fines. Civil penalties can incur up to $315,000 in fines</w:t>
      </w:r>
      <w:r w:rsidR="002B3613">
        <w:rPr>
          <w:rFonts w:asciiTheme="minorHAnsi" w:hAnsiTheme="minorHAnsi" w:cstheme="minorHAnsi"/>
        </w:rPr>
        <w:t>.</w:t>
      </w:r>
    </w:p>
    <w:p w14:paraId="34F4687B" w14:textId="77777777" w:rsidR="003801DF" w:rsidRPr="003801DF" w:rsidRDefault="003801DF" w:rsidP="00D03A9B">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7" w:name="_Toc19042847"/>
      <w:r w:rsidRPr="003801DF">
        <w:rPr>
          <w:b/>
          <w:color w:val="auto"/>
        </w:rPr>
        <w:t>Recommendation 6</w:t>
      </w:r>
      <w:bookmarkEnd w:id="7"/>
    </w:p>
    <w:p w14:paraId="1F59189E" w14:textId="77777777" w:rsidR="003801DF" w:rsidRDefault="00D03A9B" w:rsidP="00D03A9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5.23</w:t>
      </w:r>
      <w:r>
        <w:rPr>
          <w:rFonts w:asciiTheme="minorHAnsi" w:hAnsiTheme="minorHAnsi"/>
        </w:rPr>
        <w:tab/>
      </w:r>
      <w:r w:rsidR="003801DF" w:rsidRPr="007237F7">
        <w:rPr>
          <w:rFonts w:asciiTheme="minorHAnsi" w:hAnsiTheme="minorHAnsi"/>
        </w:rPr>
        <w:t>The committee recommends that no third-party access to an individual's My Health Record be permissible, without the explicit permission of the patient, except to maintain accurate contact information.</w:t>
      </w:r>
    </w:p>
    <w:p w14:paraId="38122863" w14:textId="1BAC961A" w:rsidR="00B902B6" w:rsidRDefault="00B902B6" w:rsidP="00FA5D96">
      <w:pPr>
        <w:spacing w:after="120"/>
        <w:rPr>
          <w:rFonts w:asciiTheme="minorHAnsi" w:hAnsiTheme="minorHAnsi" w:cstheme="minorHAnsi"/>
        </w:rPr>
      </w:pPr>
      <w:r w:rsidRPr="0065448F">
        <w:rPr>
          <w:rFonts w:asciiTheme="minorHAnsi" w:hAnsiTheme="minorHAnsi" w:cstheme="minorHAnsi"/>
        </w:rPr>
        <w:t xml:space="preserve">The </w:t>
      </w:r>
      <w:r w:rsidR="00C805D1">
        <w:rPr>
          <w:rFonts w:asciiTheme="minorHAnsi" w:hAnsiTheme="minorHAnsi" w:cstheme="minorHAnsi"/>
        </w:rPr>
        <w:t>Government</w:t>
      </w:r>
      <w:r w:rsidR="00C805D1" w:rsidRPr="0065448F">
        <w:rPr>
          <w:rFonts w:asciiTheme="minorHAnsi" w:hAnsiTheme="minorHAnsi" w:cstheme="minorHAnsi"/>
        </w:rPr>
        <w:t xml:space="preserve"> </w:t>
      </w:r>
      <w:r w:rsidR="00F47BC6">
        <w:rPr>
          <w:rFonts w:asciiTheme="minorHAnsi" w:hAnsiTheme="minorHAnsi" w:cstheme="minorHAnsi"/>
        </w:rPr>
        <w:t xml:space="preserve">notes </w:t>
      </w:r>
      <w:r w:rsidRPr="0065448F">
        <w:rPr>
          <w:rFonts w:asciiTheme="minorHAnsi" w:hAnsiTheme="minorHAnsi" w:cstheme="minorHAnsi"/>
        </w:rPr>
        <w:t>this recommendation.</w:t>
      </w:r>
    </w:p>
    <w:p w14:paraId="2BA42047" w14:textId="77777777" w:rsidR="004D6892" w:rsidRDefault="004D6892" w:rsidP="0065448F">
      <w:pPr>
        <w:spacing w:after="120"/>
        <w:rPr>
          <w:rFonts w:asciiTheme="minorHAnsi" w:hAnsiTheme="minorHAnsi" w:cstheme="minorHAnsi"/>
        </w:rPr>
      </w:pPr>
      <w:r>
        <w:rPr>
          <w:rFonts w:asciiTheme="minorHAnsi" w:hAnsiTheme="minorHAnsi" w:cstheme="minorHAnsi"/>
        </w:rPr>
        <w:t xml:space="preserve">The </w:t>
      </w:r>
      <w:r w:rsidR="00C805D1">
        <w:rPr>
          <w:rFonts w:asciiTheme="minorHAnsi" w:hAnsiTheme="minorHAnsi" w:cstheme="minorHAnsi"/>
        </w:rPr>
        <w:t>MHR Act</w:t>
      </w:r>
      <w:r>
        <w:rPr>
          <w:rFonts w:asciiTheme="minorHAnsi" w:hAnsiTheme="minorHAnsi" w:cstheme="minorHAnsi"/>
        </w:rPr>
        <w:t xml:space="preserve"> makes clear that only registered participants in the MHR system </w:t>
      </w:r>
      <w:r w:rsidRPr="00077577">
        <w:rPr>
          <w:rFonts w:asciiTheme="minorHAnsi" w:hAnsiTheme="minorHAnsi" w:cstheme="minorHAnsi"/>
        </w:rPr>
        <w:t xml:space="preserve">are authorised to </w:t>
      </w:r>
      <w:r>
        <w:rPr>
          <w:rFonts w:asciiTheme="minorHAnsi" w:hAnsiTheme="minorHAnsi" w:cstheme="minorHAnsi"/>
        </w:rPr>
        <w:t xml:space="preserve">access </w:t>
      </w:r>
      <w:r w:rsidRPr="00077577">
        <w:rPr>
          <w:rFonts w:asciiTheme="minorHAnsi" w:hAnsiTheme="minorHAnsi" w:cstheme="minorHAnsi"/>
        </w:rPr>
        <w:t xml:space="preserve">health information in a consumer’s </w:t>
      </w:r>
      <w:r>
        <w:rPr>
          <w:rFonts w:asciiTheme="minorHAnsi" w:hAnsiTheme="minorHAnsi" w:cstheme="minorHAnsi"/>
        </w:rPr>
        <w:t xml:space="preserve">MHR. </w:t>
      </w:r>
    </w:p>
    <w:p w14:paraId="5277141E" w14:textId="77777777" w:rsidR="00285F04" w:rsidRDefault="00285F04" w:rsidP="00285F04">
      <w:pPr>
        <w:spacing w:after="120"/>
        <w:rPr>
          <w:rFonts w:asciiTheme="minorHAnsi" w:hAnsiTheme="minorHAnsi" w:cstheme="minorHAnsi"/>
        </w:rPr>
      </w:pPr>
      <w:r w:rsidRPr="0065448F">
        <w:rPr>
          <w:rFonts w:asciiTheme="minorHAnsi" w:hAnsiTheme="minorHAnsi" w:cstheme="minorHAnsi"/>
        </w:rPr>
        <w:t xml:space="preserve">The regime for collecting, using and disclosing </w:t>
      </w:r>
      <w:r w:rsidR="00CF2873">
        <w:rPr>
          <w:rFonts w:asciiTheme="minorHAnsi" w:hAnsiTheme="minorHAnsi" w:cstheme="minorHAnsi"/>
        </w:rPr>
        <w:t>MHR</w:t>
      </w:r>
      <w:r w:rsidRPr="0065448F">
        <w:rPr>
          <w:rFonts w:asciiTheme="minorHAnsi" w:hAnsiTheme="minorHAnsi" w:cstheme="minorHAnsi"/>
        </w:rPr>
        <w:t xml:space="preserve"> information </w:t>
      </w:r>
      <w:r>
        <w:rPr>
          <w:rFonts w:asciiTheme="minorHAnsi" w:hAnsiTheme="minorHAnsi" w:cstheme="minorHAnsi"/>
        </w:rPr>
        <w:t xml:space="preserve">in the </w:t>
      </w:r>
      <w:r w:rsidR="00C805D1">
        <w:rPr>
          <w:rFonts w:asciiTheme="minorHAnsi" w:hAnsiTheme="minorHAnsi" w:cstheme="minorHAnsi"/>
        </w:rPr>
        <w:t>MHR</w:t>
      </w:r>
      <w:r w:rsidR="00ED5145">
        <w:rPr>
          <w:rFonts w:asciiTheme="minorHAnsi" w:hAnsiTheme="minorHAnsi" w:cstheme="minorHAnsi"/>
        </w:rPr>
        <w:t> </w:t>
      </w:r>
      <w:r w:rsidR="00C805D1">
        <w:rPr>
          <w:rFonts w:asciiTheme="minorHAnsi" w:hAnsiTheme="minorHAnsi" w:cstheme="minorHAnsi"/>
        </w:rPr>
        <w:t>Act</w:t>
      </w:r>
      <w:r>
        <w:rPr>
          <w:rFonts w:asciiTheme="minorHAnsi" w:hAnsiTheme="minorHAnsi" w:cstheme="minorHAnsi"/>
        </w:rPr>
        <w:t xml:space="preserve">, </w:t>
      </w:r>
      <w:r w:rsidRPr="0065448F">
        <w:rPr>
          <w:rFonts w:asciiTheme="minorHAnsi" w:hAnsiTheme="minorHAnsi" w:cstheme="minorHAnsi"/>
        </w:rPr>
        <w:t xml:space="preserve">largely reflects the existing privacy framework set out in the </w:t>
      </w:r>
      <w:r w:rsidRPr="0065448F">
        <w:rPr>
          <w:rFonts w:asciiTheme="minorHAnsi" w:hAnsiTheme="minorHAnsi" w:cstheme="minorHAnsi"/>
          <w:i/>
          <w:iCs/>
        </w:rPr>
        <w:t>Privacy Act 1988</w:t>
      </w:r>
      <w:r>
        <w:rPr>
          <w:rFonts w:asciiTheme="minorHAnsi" w:hAnsiTheme="minorHAnsi" w:cstheme="minorHAnsi"/>
        </w:rPr>
        <w:t xml:space="preserve"> (</w:t>
      </w:r>
      <w:r w:rsidRPr="0065448F">
        <w:rPr>
          <w:rFonts w:asciiTheme="minorHAnsi" w:hAnsiTheme="minorHAnsi" w:cstheme="minorHAnsi"/>
        </w:rPr>
        <w:t xml:space="preserve">although the </w:t>
      </w:r>
      <w:r w:rsidR="00ED5145">
        <w:rPr>
          <w:rFonts w:asciiTheme="minorHAnsi" w:hAnsiTheme="minorHAnsi" w:cstheme="minorHAnsi"/>
        </w:rPr>
        <w:t>MH</w:t>
      </w:r>
      <w:r w:rsidR="00D3297A">
        <w:rPr>
          <w:rFonts w:asciiTheme="minorHAnsi" w:hAnsiTheme="minorHAnsi" w:cstheme="minorHAnsi"/>
        </w:rPr>
        <w:t>R</w:t>
      </w:r>
      <w:r w:rsidRPr="0065448F">
        <w:rPr>
          <w:rFonts w:asciiTheme="minorHAnsi" w:hAnsiTheme="minorHAnsi" w:cstheme="minorHAnsi"/>
        </w:rPr>
        <w:t xml:space="preserve"> regime is more restrictive is some cases</w:t>
      </w:r>
      <w:r>
        <w:rPr>
          <w:rFonts w:asciiTheme="minorHAnsi" w:hAnsiTheme="minorHAnsi" w:cstheme="minorHAnsi"/>
        </w:rPr>
        <w:t>)</w:t>
      </w:r>
      <w:r w:rsidRPr="0065448F">
        <w:rPr>
          <w:rFonts w:asciiTheme="minorHAnsi" w:hAnsiTheme="minorHAnsi" w:cstheme="minorHAnsi"/>
        </w:rPr>
        <w:t xml:space="preserve">. </w:t>
      </w:r>
    </w:p>
    <w:p w14:paraId="3D4B91F3" w14:textId="22F4E75F" w:rsidR="0065448F" w:rsidRDefault="0065448F" w:rsidP="0065448F">
      <w:pPr>
        <w:spacing w:after="120"/>
        <w:rPr>
          <w:rFonts w:asciiTheme="minorHAnsi" w:hAnsiTheme="minorHAnsi" w:cstheme="minorHAnsi"/>
        </w:rPr>
      </w:pPr>
      <w:r w:rsidRPr="0065448F">
        <w:rPr>
          <w:rFonts w:asciiTheme="minorHAnsi" w:hAnsiTheme="minorHAnsi" w:cstheme="minorHAnsi"/>
        </w:rPr>
        <w:t xml:space="preserve">The regime also provides authority for other circumstances in which the information is needed for particular purposes and these are consistent with permissions afforded by the </w:t>
      </w:r>
      <w:r w:rsidRPr="006E6389">
        <w:rPr>
          <w:rFonts w:asciiTheme="minorHAnsi" w:hAnsiTheme="minorHAnsi" w:cstheme="minorHAnsi"/>
          <w:i/>
        </w:rPr>
        <w:t>Privacy Act</w:t>
      </w:r>
      <w:r w:rsidR="00C805D1" w:rsidRPr="006E6389">
        <w:rPr>
          <w:rFonts w:asciiTheme="minorHAnsi" w:hAnsiTheme="minorHAnsi" w:cstheme="minorHAnsi"/>
          <w:i/>
        </w:rPr>
        <w:t xml:space="preserve"> 1988</w:t>
      </w:r>
      <w:r w:rsidRPr="006E6389">
        <w:rPr>
          <w:rFonts w:asciiTheme="minorHAnsi" w:hAnsiTheme="minorHAnsi" w:cstheme="minorHAnsi"/>
          <w:i/>
        </w:rPr>
        <w:t>,</w:t>
      </w:r>
      <w:r w:rsidRPr="0065448F">
        <w:rPr>
          <w:rFonts w:asciiTheme="minorHAnsi" w:hAnsiTheme="minorHAnsi" w:cstheme="minorHAnsi"/>
        </w:rPr>
        <w:t xml:space="preserve"> for example, to provide emergency care to an individual, in response to a court order about a </w:t>
      </w:r>
      <w:r w:rsidR="00ED5145">
        <w:rPr>
          <w:rFonts w:asciiTheme="minorHAnsi" w:hAnsiTheme="minorHAnsi" w:cstheme="minorHAnsi"/>
        </w:rPr>
        <w:t>MHR</w:t>
      </w:r>
      <w:r w:rsidRPr="0065448F">
        <w:rPr>
          <w:rFonts w:asciiTheme="minorHAnsi" w:hAnsiTheme="minorHAnsi" w:cstheme="minorHAnsi"/>
        </w:rPr>
        <w:t>-specific matter, or in operating the system where the individual would reasonably expect it to occur (</w:t>
      </w:r>
      <w:r w:rsidR="00394CCC">
        <w:rPr>
          <w:rFonts w:asciiTheme="minorHAnsi" w:hAnsiTheme="minorHAnsi" w:cstheme="minorHAnsi"/>
        </w:rPr>
        <w:t>i.e.</w:t>
      </w:r>
      <w:r w:rsidRPr="0065448F">
        <w:rPr>
          <w:rFonts w:asciiTheme="minorHAnsi" w:hAnsiTheme="minorHAnsi" w:cstheme="minorHAnsi"/>
        </w:rPr>
        <w:t xml:space="preserve"> if a breach is being inves</w:t>
      </w:r>
      <w:r w:rsidR="008F134F">
        <w:rPr>
          <w:rFonts w:asciiTheme="minorHAnsi" w:hAnsiTheme="minorHAnsi" w:cstheme="minorHAnsi"/>
        </w:rPr>
        <w:t>tigated by the System Operator)</w:t>
      </w:r>
      <w:r w:rsidRPr="0065448F">
        <w:rPr>
          <w:rFonts w:asciiTheme="minorHAnsi" w:hAnsiTheme="minorHAnsi" w:cstheme="minorHAnsi"/>
        </w:rPr>
        <w:t>.</w:t>
      </w:r>
    </w:p>
    <w:p w14:paraId="172AE2F5" w14:textId="503B9F83" w:rsidR="008F5CEA" w:rsidRPr="0065448F" w:rsidRDefault="002B0DF1" w:rsidP="0065448F">
      <w:pPr>
        <w:spacing w:after="120"/>
        <w:rPr>
          <w:rFonts w:asciiTheme="minorHAnsi" w:hAnsiTheme="minorHAnsi" w:cstheme="minorHAnsi"/>
        </w:rPr>
      </w:pPr>
      <w:r>
        <w:rPr>
          <w:rFonts w:asciiTheme="minorHAnsi" w:hAnsiTheme="minorHAnsi" w:cstheme="minorHAnsi"/>
        </w:rPr>
        <w:t>T</w:t>
      </w:r>
      <w:r w:rsidR="00633EAE">
        <w:rPr>
          <w:rFonts w:asciiTheme="minorHAnsi" w:hAnsiTheme="minorHAnsi" w:cstheme="minorHAnsi"/>
        </w:rPr>
        <w:t>he 2018 Strengthening Privacy amendments offered further pr</w:t>
      </w:r>
      <w:r>
        <w:rPr>
          <w:rFonts w:asciiTheme="minorHAnsi" w:hAnsiTheme="minorHAnsi" w:cstheme="minorHAnsi"/>
        </w:rPr>
        <w:t>otections to individuals</w:t>
      </w:r>
      <w:r w:rsidR="00D71B87">
        <w:rPr>
          <w:rFonts w:asciiTheme="minorHAnsi" w:hAnsiTheme="minorHAnsi" w:cstheme="minorHAnsi"/>
        </w:rPr>
        <w:t xml:space="preserve"> </w:t>
      </w:r>
      <w:r w:rsidR="00633EAE">
        <w:rPr>
          <w:rFonts w:asciiTheme="minorHAnsi" w:hAnsiTheme="minorHAnsi" w:cstheme="minorHAnsi"/>
        </w:rPr>
        <w:t>by prohibiting the release of My Health Records to</w:t>
      </w:r>
      <w:r w:rsidR="00633EAE" w:rsidRPr="00633EAE">
        <w:rPr>
          <w:rFonts w:asciiTheme="minorHAnsi" w:hAnsiTheme="minorHAnsi" w:cstheme="minorHAnsi"/>
        </w:rPr>
        <w:t xml:space="preserve"> </w:t>
      </w:r>
      <w:r w:rsidR="002945C0">
        <w:rPr>
          <w:rFonts w:asciiTheme="minorHAnsi" w:hAnsiTheme="minorHAnsi" w:cstheme="minorHAnsi"/>
        </w:rPr>
        <w:t xml:space="preserve">a </w:t>
      </w:r>
      <w:r w:rsidR="00633EAE" w:rsidRPr="00633EAE">
        <w:rPr>
          <w:rFonts w:asciiTheme="minorHAnsi" w:hAnsiTheme="minorHAnsi" w:cstheme="minorHAnsi"/>
        </w:rPr>
        <w:t>law enforcement agency or government body without a court order or an order by a judicial officer</w:t>
      </w:r>
      <w:r w:rsidR="0086442F">
        <w:rPr>
          <w:rFonts w:asciiTheme="minorHAnsi" w:hAnsiTheme="minorHAnsi" w:cstheme="minorHAnsi"/>
        </w:rPr>
        <w:t>, other than the</w:t>
      </w:r>
      <w:r w:rsidR="008157C3">
        <w:rPr>
          <w:rFonts w:asciiTheme="minorHAnsi" w:hAnsiTheme="minorHAnsi" w:cstheme="minorHAnsi"/>
        </w:rPr>
        <w:t xml:space="preserve"> Commonwealth</w:t>
      </w:r>
      <w:r w:rsidR="0086442F">
        <w:rPr>
          <w:rFonts w:asciiTheme="minorHAnsi" w:hAnsiTheme="minorHAnsi" w:cstheme="minorHAnsi"/>
        </w:rPr>
        <w:t xml:space="preserve"> Auditor General, </w:t>
      </w:r>
      <w:r w:rsidR="008157C3">
        <w:rPr>
          <w:rFonts w:asciiTheme="minorHAnsi" w:hAnsiTheme="minorHAnsi" w:cstheme="minorHAnsi"/>
        </w:rPr>
        <w:t xml:space="preserve">Commonwealth </w:t>
      </w:r>
      <w:r w:rsidR="0086442F">
        <w:rPr>
          <w:rFonts w:asciiTheme="minorHAnsi" w:hAnsiTheme="minorHAnsi" w:cstheme="minorHAnsi"/>
        </w:rPr>
        <w:t>Ombudsman and Information Commissioner</w:t>
      </w:r>
      <w:r w:rsidR="00633EAE" w:rsidRPr="00633EAE">
        <w:rPr>
          <w:rFonts w:asciiTheme="minorHAnsi" w:hAnsiTheme="minorHAnsi" w:cstheme="minorHAnsi"/>
        </w:rPr>
        <w:t>.</w:t>
      </w:r>
    </w:p>
    <w:p w14:paraId="63519603" w14:textId="77777777" w:rsidR="0065448F" w:rsidRDefault="00285F04" w:rsidP="00D3297A">
      <w:pPr>
        <w:spacing w:after="120"/>
        <w:jc w:val="both"/>
        <w:rPr>
          <w:rFonts w:asciiTheme="minorHAnsi" w:hAnsiTheme="minorHAnsi" w:cstheme="minorHAnsi"/>
        </w:rPr>
      </w:pPr>
      <w:r>
        <w:rPr>
          <w:rFonts w:asciiTheme="minorHAnsi" w:hAnsiTheme="minorHAnsi" w:cstheme="minorHAnsi"/>
        </w:rPr>
        <w:lastRenderedPageBreak/>
        <w:t>A</w:t>
      </w:r>
      <w:r w:rsidRPr="00136452">
        <w:rPr>
          <w:rFonts w:asciiTheme="minorHAnsi" w:hAnsiTheme="minorHAnsi" w:cstheme="minorHAnsi"/>
        </w:rPr>
        <w:t>ll access to MHRs is logged and subject</w:t>
      </w:r>
      <w:r>
        <w:rPr>
          <w:rFonts w:asciiTheme="minorHAnsi" w:hAnsiTheme="minorHAnsi" w:cstheme="minorHAnsi"/>
        </w:rPr>
        <w:t xml:space="preserve"> to audit in accordance with the </w:t>
      </w:r>
      <w:r w:rsidR="00C805D1">
        <w:rPr>
          <w:rFonts w:asciiTheme="minorHAnsi" w:hAnsiTheme="minorHAnsi" w:cstheme="minorHAnsi"/>
        </w:rPr>
        <w:t>MHR Act</w:t>
      </w:r>
      <w:r>
        <w:rPr>
          <w:rFonts w:asciiTheme="minorHAnsi" w:hAnsiTheme="minorHAnsi" w:cstheme="minorHAnsi"/>
        </w:rPr>
        <w:t xml:space="preserve">. </w:t>
      </w:r>
    </w:p>
    <w:p w14:paraId="0AC62ADE" w14:textId="77777777" w:rsidR="00AE3747" w:rsidRPr="003801DF" w:rsidRDefault="00AE3747" w:rsidP="00AE3747">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8" w:name="_Toc19042848"/>
      <w:r w:rsidRPr="003801DF">
        <w:rPr>
          <w:b/>
          <w:color w:val="auto"/>
        </w:rPr>
        <w:t>Recommendation 7</w:t>
      </w:r>
      <w:bookmarkEnd w:id="8"/>
    </w:p>
    <w:p w14:paraId="6F673972" w14:textId="77777777" w:rsidR="00AE3747" w:rsidRPr="007237F7" w:rsidRDefault="00AE3747" w:rsidP="00AE374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5.25</w:t>
      </w:r>
      <w:r>
        <w:rPr>
          <w:rFonts w:asciiTheme="minorHAnsi" w:hAnsiTheme="minorHAnsi"/>
        </w:rPr>
        <w:tab/>
      </w:r>
      <w:r w:rsidRPr="007237F7">
        <w:rPr>
          <w:rFonts w:asciiTheme="minorHAnsi" w:hAnsiTheme="minorHAnsi"/>
        </w:rPr>
        <w:t>The committee recommends that the Australian Government amend the My Health Records Act 2012 and the Healthcare Identifiers Act 2010 to ensure that it is clear that an individual's My Health Record cannot be accessed for employment or insurance purposes.</w:t>
      </w:r>
    </w:p>
    <w:p w14:paraId="6613D075" w14:textId="77777777" w:rsidR="00D03A9B" w:rsidRPr="00D03B41" w:rsidRDefault="00D03A9B" w:rsidP="00D03B41">
      <w:pPr>
        <w:spacing w:after="120"/>
        <w:rPr>
          <w:rFonts w:asciiTheme="minorHAnsi" w:hAnsiTheme="minorHAnsi" w:cstheme="minorHAnsi"/>
        </w:rPr>
      </w:pPr>
      <w:r w:rsidRPr="00D03B41">
        <w:rPr>
          <w:rFonts w:asciiTheme="minorHAnsi" w:hAnsiTheme="minorHAnsi" w:cstheme="minorHAnsi"/>
        </w:rPr>
        <w:t xml:space="preserve">The </w:t>
      </w:r>
      <w:r w:rsidR="00C805D1">
        <w:rPr>
          <w:rFonts w:asciiTheme="minorHAnsi" w:hAnsiTheme="minorHAnsi" w:cstheme="minorHAnsi"/>
        </w:rPr>
        <w:t>Government</w:t>
      </w:r>
      <w:r w:rsidR="00C805D1" w:rsidRPr="00D03B41">
        <w:rPr>
          <w:rFonts w:asciiTheme="minorHAnsi" w:hAnsiTheme="minorHAnsi" w:cstheme="minorHAnsi"/>
        </w:rPr>
        <w:t xml:space="preserve"> </w:t>
      </w:r>
      <w:r w:rsidR="00617447">
        <w:rPr>
          <w:rFonts w:asciiTheme="minorHAnsi" w:hAnsiTheme="minorHAnsi" w:cstheme="minorHAnsi"/>
        </w:rPr>
        <w:t>supports</w:t>
      </w:r>
      <w:r w:rsidR="00BB7178">
        <w:rPr>
          <w:rFonts w:asciiTheme="minorHAnsi" w:hAnsiTheme="minorHAnsi" w:cstheme="minorHAnsi"/>
        </w:rPr>
        <w:t xml:space="preserve"> this</w:t>
      </w:r>
      <w:r w:rsidR="00BB7178" w:rsidRPr="00D03B41">
        <w:rPr>
          <w:rFonts w:asciiTheme="minorHAnsi" w:hAnsiTheme="minorHAnsi" w:cstheme="minorHAnsi"/>
        </w:rPr>
        <w:t xml:space="preserve"> </w:t>
      </w:r>
      <w:r w:rsidRPr="00D03B41">
        <w:rPr>
          <w:rFonts w:asciiTheme="minorHAnsi" w:hAnsiTheme="minorHAnsi" w:cstheme="minorHAnsi"/>
        </w:rPr>
        <w:t>recommendation.</w:t>
      </w:r>
    </w:p>
    <w:p w14:paraId="2131170F" w14:textId="61DFE671" w:rsidR="002A62B3" w:rsidRPr="00F47BC6" w:rsidRDefault="00617447" w:rsidP="00AE3747">
      <w:pPr>
        <w:spacing w:after="120"/>
        <w:rPr>
          <w:rFonts w:asciiTheme="minorHAnsi" w:hAnsiTheme="minorHAnsi" w:cstheme="minorHAnsi"/>
        </w:rPr>
      </w:pPr>
      <w:r>
        <w:rPr>
          <w:rFonts w:asciiTheme="minorHAnsi" w:hAnsiTheme="minorHAnsi" w:cstheme="minorHAnsi"/>
        </w:rPr>
        <w:t xml:space="preserve">The Government’s recent amendments </w:t>
      </w:r>
      <w:r w:rsidR="00EA5BE4">
        <w:rPr>
          <w:rFonts w:asciiTheme="minorHAnsi" w:hAnsiTheme="minorHAnsi" w:cstheme="minorHAnsi"/>
        </w:rPr>
        <w:t xml:space="preserve">to the </w:t>
      </w:r>
      <w:r w:rsidR="00EA5BE4" w:rsidRPr="00F47BC6">
        <w:rPr>
          <w:rFonts w:asciiTheme="minorHAnsi" w:hAnsiTheme="minorHAnsi" w:cstheme="minorHAnsi"/>
        </w:rPr>
        <w:t>MHR Act</w:t>
      </w:r>
      <w:r w:rsidR="00C047BE" w:rsidRPr="00F47BC6">
        <w:rPr>
          <w:rFonts w:asciiTheme="minorHAnsi" w:hAnsiTheme="minorHAnsi" w:cstheme="minorHAnsi"/>
        </w:rPr>
        <w:t>,</w:t>
      </w:r>
      <w:r w:rsidR="003D3084" w:rsidRPr="00F47BC6">
        <w:rPr>
          <w:rFonts w:asciiTheme="minorHAnsi" w:hAnsiTheme="minorHAnsi" w:cstheme="minorHAnsi"/>
        </w:rPr>
        <w:t xml:space="preserve"> </w:t>
      </w:r>
      <w:r w:rsidR="003D3084" w:rsidRPr="003827C7">
        <w:rPr>
          <w:rFonts w:asciiTheme="minorHAnsi" w:hAnsiTheme="minorHAnsi"/>
        </w:rPr>
        <w:t>which were passed by Parliament on 26 November 2018</w:t>
      </w:r>
      <w:r w:rsidR="00C047BE" w:rsidRPr="003827C7">
        <w:rPr>
          <w:rFonts w:asciiTheme="minorHAnsi" w:hAnsiTheme="minorHAnsi"/>
        </w:rPr>
        <w:t>,</w:t>
      </w:r>
      <w:r w:rsidR="003D3084" w:rsidRPr="00F47BC6">
        <w:rPr>
          <w:rFonts w:asciiTheme="minorHAnsi" w:hAnsiTheme="minorHAnsi" w:cstheme="minorHAnsi"/>
        </w:rPr>
        <w:t xml:space="preserve"> </w:t>
      </w:r>
      <w:r w:rsidRPr="00F47BC6">
        <w:rPr>
          <w:rFonts w:asciiTheme="minorHAnsi" w:hAnsiTheme="minorHAnsi" w:cstheme="minorHAnsi"/>
        </w:rPr>
        <w:t xml:space="preserve">prohibit </w:t>
      </w:r>
      <w:r w:rsidR="002A62B3" w:rsidRPr="00F47BC6">
        <w:rPr>
          <w:rFonts w:asciiTheme="minorHAnsi" w:hAnsiTheme="minorHAnsi" w:cstheme="minorHAnsi"/>
        </w:rPr>
        <w:t>insurers and employers from requesting</w:t>
      </w:r>
      <w:r w:rsidRPr="00F47BC6">
        <w:rPr>
          <w:rFonts w:asciiTheme="minorHAnsi" w:hAnsiTheme="minorHAnsi" w:cstheme="minorHAnsi"/>
        </w:rPr>
        <w:t xml:space="preserve">, or coercing a </w:t>
      </w:r>
      <w:r w:rsidR="002A62B3" w:rsidRPr="00F47BC6">
        <w:rPr>
          <w:rFonts w:asciiTheme="minorHAnsi" w:hAnsiTheme="minorHAnsi" w:cstheme="minorHAnsi"/>
        </w:rPr>
        <w:t>healthcare recipient to d</w:t>
      </w:r>
      <w:r w:rsidRPr="00F47BC6">
        <w:rPr>
          <w:rFonts w:asciiTheme="minorHAnsi" w:hAnsiTheme="minorHAnsi" w:cstheme="minorHAnsi"/>
        </w:rPr>
        <w:t>isclose MHR information to them</w:t>
      </w:r>
      <w:r w:rsidR="008937A8" w:rsidRPr="00F47BC6">
        <w:rPr>
          <w:rFonts w:asciiTheme="minorHAnsi" w:hAnsiTheme="minorHAnsi" w:cstheme="minorHAnsi"/>
        </w:rPr>
        <w:t xml:space="preserve">. </w:t>
      </w:r>
    </w:p>
    <w:p w14:paraId="734E6C45" w14:textId="77777777" w:rsidR="00B17471" w:rsidRDefault="00671E29" w:rsidP="00AE3747">
      <w:pPr>
        <w:spacing w:after="120"/>
        <w:rPr>
          <w:rFonts w:asciiTheme="minorHAnsi" w:hAnsiTheme="minorHAnsi" w:cstheme="minorHAnsi"/>
        </w:rPr>
      </w:pPr>
      <w:r>
        <w:rPr>
          <w:rFonts w:asciiTheme="minorHAnsi" w:hAnsiTheme="minorHAnsi" w:cstheme="minorHAnsi"/>
        </w:rPr>
        <w:t>In addition,</w:t>
      </w:r>
      <w:r w:rsidR="00B17471">
        <w:rPr>
          <w:rFonts w:asciiTheme="minorHAnsi" w:hAnsiTheme="minorHAnsi" w:cstheme="minorHAnsi"/>
        </w:rPr>
        <w:t xml:space="preserve"> t</w:t>
      </w:r>
      <w:r w:rsidR="00ED7BFE">
        <w:rPr>
          <w:rFonts w:asciiTheme="minorHAnsi" w:hAnsiTheme="minorHAnsi" w:cstheme="minorHAnsi"/>
        </w:rPr>
        <w:t>he</w:t>
      </w:r>
      <w:r w:rsidR="00721CA0" w:rsidRPr="002F486B">
        <w:rPr>
          <w:rFonts w:asciiTheme="minorHAnsi" w:hAnsiTheme="minorHAnsi" w:cstheme="minorHAnsi"/>
        </w:rPr>
        <w:t xml:space="preserve"> </w:t>
      </w:r>
      <w:r w:rsidR="00537E0C" w:rsidRPr="00537E0C">
        <w:rPr>
          <w:rFonts w:asciiTheme="minorHAnsi" w:hAnsiTheme="minorHAnsi" w:cstheme="minorHAnsi"/>
          <w:i/>
          <w:iCs/>
        </w:rPr>
        <w:t>Healthcare Identifiers Act 2010</w:t>
      </w:r>
      <w:r w:rsidR="00ED7BFE">
        <w:rPr>
          <w:rFonts w:asciiTheme="minorHAnsi" w:hAnsiTheme="minorHAnsi" w:cstheme="minorHAnsi"/>
        </w:rPr>
        <w:t xml:space="preserve"> </w:t>
      </w:r>
      <w:r w:rsidR="00537E0C" w:rsidRPr="00537E0C">
        <w:rPr>
          <w:rFonts w:asciiTheme="minorHAnsi" w:hAnsiTheme="minorHAnsi" w:cstheme="minorHAnsi"/>
        </w:rPr>
        <w:t xml:space="preserve">specifically prohibits </w:t>
      </w:r>
      <w:r w:rsidR="00ED7BFE">
        <w:rPr>
          <w:rFonts w:asciiTheme="minorHAnsi" w:hAnsiTheme="minorHAnsi" w:cstheme="minorHAnsi"/>
        </w:rPr>
        <w:t>the</w:t>
      </w:r>
      <w:r w:rsidR="00B17471">
        <w:rPr>
          <w:rFonts w:asciiTheme="minorHAnsi" w:hAnsiTheme="minorHAnsi" w:cstheme="minorHAnsi"/>
        </w:rPr>
        <w:t xml:space="preserve"> </w:t>
      </w:r>
      <w:r w:rsidR="00B17471" w:rsidRPr="00B17471">
        <w:rPr>
          <w:rFonts w:asciiTheme="minorHAnsi" w:hAnsiTheme="minorHAnsi" w:cstheme="minorHAnsi"/>
        </w:rPr>
        <w:t xml:space="preserve">collection, use or disclosure of the healthcare identifier of a healthcare recipient for the purpose of communicating or managing health information </w:t>
      </w:r>
      <w:r w:rsidR="00B17471">
        <w:rPr>
          <w:rFonts w:asciiTheme="minorHAnsi" w:hAnsiTheme="minorHAnsi" w:cstheme="minorHAnsi"/>
        </w:rPr>
        <w:t xml:space="preserve">for insurance or employment purposes. </w:t>
      </w:r>
    </w:p>
    <w:p w14:paraId="229C7A65" w14:textId="77777777" w:rsidR="00684CAB" w:rsidRDefault="00BB7178" w:rsidP="00AE3747">
      <w:pPr>
        <w:spacing w:after="120"/>
        <w:rPr>
          <w:rFonts w:asciiTheme="minorHAnsi" w:hAnsiTheme="minorHAnsi" w:cstheme="minorHAnsi"/>
        </w:rPr>
      </w:pPr>
      <w:r>
        <w:rPr>
          <w:rFonts w:asciiTheme="minorHAnsi" w:hAnsiTheme="minorHAnsi" w:cstheme="minorHAnsi"/>
        </w:rPr>
        <w:t>Organisations that</w:t>
      </w:r>
      <w:r w:rsidR="008937A8">
        <w:rPr>
          <w:rFonts w:asciiTheme="minorHAnsi" w:hAnsiTheme="minorHAnsi" w:cstheme="minorHAnsi"/>
        </w:rPr>
        <w:t xml:space="preserve"> use MHR information for such </w:t>
      </w:r>
      <w:r>
        <w:rPr>
          <w:rFonts w:asciiTheme="minorHAnsi" w:hAnsiTheme="minorHAnsi" w:cstheme="minorHAnsi"/>
        </w:rPr>
        <w:t>purpose</w:t>
      </w:r>
      <w:r w:rsidR="008937A8">
        <w:rPr>
          <w:rFonts w:asciiTheme="minorHAnsi" w:hAnsiTheme="minorHAnsi" w:cstheme="minorHAnsi"/>
        </w:rPr>
        <w:t>s</w:t>
      </w:r>
      <w:r>
        <w:rPr>
          <w:rFonts w:asciiTheme="minorHAnsi" w:hAnsiTheme="minorHAnsi" w:cstheme="minorHAnsi"/>
        </w:rPr>
        <w:t xml:space="preserve"> w</w:t>
      </w:r>
      <w:r w:rsidR="008937A8">
        <w:rPr>
          <w:rFonts w:asciiTheme="minorHAnsi" w:hAnsiTheme="minorHAnsi" w:cstheme="minorHAnsi"/>
        </w:rPr>
        <w:t>ill</w:t>
      </w:r>
      <w:r>
        <w:rPr>
          <w:rFonts w:asciiTheme="minorHAnsi" w:hAnsiTheme="minorHAnsi" w:cstheme="minorHAnsi"/>
        </w:rPr>
        <w:t xml:space="preserve"> be subject to penalties </w:t>
      </w:r>
      <w:r w:rsidR="002A62B3">
        <w:rPr>
          <w:rFonts w:asciiTheme="minorHAnsi" w:hAnsiTheme="minorHAnsi" w:cstheme="minorHAnsi"/>
        </w:rPr>
        <w:t xml:space="preserve">of </w:t>
      </w:r>
      <w:r w:rsidR="00B17471">
        <w:rPr>
          <w:rFonts w:asciiTheme="minorHAnsi" w:hAnsiTheme="minorHAnsi" w:cstheme="minorHAnsi"/>
        </w:rPr>
        <w:t xml:space="preserve">up </w:t>
      </w:r>
      <w:r>
        <w:rPr>
          <w:rFonts w:asciiTheme="minorHAnsi" w:hAnsiTheme="minorHAnsi" w:cstheme="minorHAnsi"/>
        </w:rPr>
        <w:t>to $1,575,000 or imprisonment for up to five years</w:t>
      </w:r>
      <w:r w:rsidR="002A62B3">
        <w:rPr>
          <w:rFonts w:asciiTheme="minorHAnsi" w:hAnsiTheme="minorHAnsi" w:cstheme="minorHAnsi"/>
        </w:rPr>
        <w:t>.</w:t>
      </w:r>
    </w:p>
    <w:p w14:paraId="68103ABF" w14:textId="77777777" w:rsidR="003801DF" w:rsidRPr="003801DF" w:rsidRDefault="003801DF" w:rsidP="007237F7">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9" w:name="_Toc19042849"/>
      <w:r w:rsidRPr="003801DF">
        <w:rPr>
          <w:b/>
          <w:color w:val="auto"/>
        </w:rPr>
        <w:t>Recommendation 8</w:t>
      </w:r>
      <w:bookmarkEnd w:id="9"/>
    </w:p>
    <w:p w14:paraId="51AAAB38" w14:textId="77777777" w:rsidR="003801DF" w:rsidRPr="007237F7" w:rsidRDefault="002000E7" w:rsidP="007237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5.26</w:t>
      </w:r>
      <w:r>
        <w:rPr>
          <w:rFonts w:asciiTheme="minorHAnsi" w:hAnsiTheme="minorHAnsi"/>
        </w:rPr>
        <w:tab/>
      </w:r>
      <w:r w:rsidR="003801DF" w:rsidRPr="007237F7">
        <w:rPr>
          <w:rFonts w:asciiTheme="minorHAnsi" w:hAnsiTheme="minorHAnsi"/>
        </w:rPr>
        <w:t>The committee recommends that access to My Health Records for the purposes of data matching between government departments be explicitly limited only to a person's name, address, date of birth and contact information, and that no other information contained in a person's My Health Record be made available.</w:t>
      </w:r>
    </w:p>
    <w:p w14:paraId="1B776A86" w14:textId="77777777" w:rsidR="0054798B" w:rsidRDefault="0054798B" w:rsidP="00D3297A">
      <w:pPr>
        <w:spacing w:after="120"/>
        <w:rPr>
          <w:rFonts w:asciiTheme="minorHAnsi" w:hAnsiTheme="minorHAnsi" w:cstheme="minorHAnsi"/>
        </w:rPr>
      </w:pPr>
      <w:r>
        <w:rPr>
          <w:rFonts w:asciiTheme="minorHAnsi" w:hAnsiTheme="minorHAnsi" w:cstheme="minorHAnsi"/>
        </w:rPr>
        <w:t xml:space="preserve">The Government notes this recommendation. </w:t>
      </w:r>
    </w:p>
    <w:p w14:paraId="4F3E4EBA" w14:textId="77777777" w:rsidR="00C42AAB" w:rsidRPr="00D3297A" w:rsidRDefault="00C42AAB" w:rsidP="00D3297A">
      <w:pPr>
        <w:spacing w:after="120"/>
        <w:rPr>
          <w:rFonts w:asciiTheme="minorHAnsi" w:hAnsiTheme="minorHAnsi" w:cstheme="minorHAnsi"/>
        </w:rPr>
      </w:pPr>
      <w:r w:rsidRPr="00D3297A">
        <w:rPr>
          <w:rFonts w:asciiTheme="minorHAnsi" w:hAnsiTheme="minorHAnsi" w:cstheme="minorHAnsi"/>
        </w:rPr>
        <w:t>Information required for data matching purposes is dependent on the outcomes being</w:t>
      </w:r>
      <w:r w:rsidR="006347BE" w:rsidRPr="000C5519">
        <w:rPr>
          <w:rFonts w:asciiTheme="minorHAnsi" w:hAnsiTheme="minorHAnsi" w:cstheme="minorHAnsi"/>
        </w:rPr>
        <w:t xml:space="preserve"> sought through the matching. </w:t>
      </w:r>
    </w:p>
    <w:p w14:paraId="245F0A51" w14:textId="3EDF0E6E" w:rsidR="00114926" w:rsidRPr="00D3297A" w:rsidRDefault="00C42AAB" w:rsidP="00D3297A">
      <w:pPr>
        <w:spacing w:after="120"/>
        <w:rPr>
          <w:rFonts w:asciiTheme="minorHAnsi" w:hAnsiTheme="minorHAnsi" w:cstheme="minorHAnsi"/>
        </w:rPr>
      </w:pPr>
      <w:r w:rsidRPr="00D3297A">
        <w:rPr>
          <w:rFonts w:asciiTheme="minorHAnsi" w:hAnsiTheme="minorHAnsi" w:cstheme="minorHAnsi"/>
        </w:rPr>
        <w:t xml:space="preserve">The data required to undertake matching for the purpose of authenticating a persons’ identity in the </w:t>
      </w:r>
      <w:r w:rsidR="00CF2873">
        <w:rPr>
          <w:rFonts w:asciiTheme="minorHAnsi" w:hAnsiTheme="minorHAnsi" w:cstheme="minorHAnsi"/>
        </w:rPr>
        <w:t>MHR</w:t>
      </w:r>
      <w:r w:rsidRPr="00D3297A">
        <w:rPr>
          <w:rFonts w:asciiTheme="minorHAnsi" w:hAnsiTheme="minorHAnsi" w:cstheme="minorHAnsi"/>
        </w:rPr>
        <w:t xml:space="preserve"> are governed by the Trusted Digital Identity Framework, which set</w:t>
      </w:r>
      <w:r w:rsidR="00410A2C">
        <w:rPr>
          <w:rFonts w:asciiTheme="minorHAnsi" w:hAnsiTheme="minorHAnsi" w:cstheme="minorHAnsi"/>
        </w:rPr>
        <w:t>s</w:t>
      </w:r>
      <w:r w:rsidRPr="00D3297A">
        <w:rPr>
          <w:rFonts w:asciiTheme="minorHAnsi" w:hAnsiTheme="minorHAnsi" w:cstheme="minorHAnsi"/>
        </w:rPr>
        <w:t xml:space="preserve"> the rules and standards for how personal information is handled by participating government agencies and organisations. </w:t>
      </w:r>
      <w:r w:rsidR="00A37D48" w:rsidRPr="00D3297A">
        <w:rPr>
          <w:rFonts w:asciiTheme="minorHAnsi" w:hAnsiTheme="minorHAnsi" w:cstheme="minorHAnsi"/>
        </w:rPr>
        <w:t xml:space="preserve">The data required to undertake matching for the purpose of authenticating a persons’ identity </w:t>
      </w:r>
      <w:r w:rsidRPr="00D3297A">
        <w:rPr>
          <w:rFonts w:asciiTheme="minorHAnsi" w:hAnsiTheme="minorHAnsi" w:cstheme="minorHAnsi"/>
        </w:rPr>
        <w:t xml:space="preserve">in the </w:t>
      </w:r>
      <w:r w:rsidR="00251018">
        <w:rPr>
          <w:rFonts w:asciiTheme="minorHAnsi" w:hAnsiTheme="minorHAnsi" w:cstheme="minorHAnsi"/>
        </w:rPr>
        <w:t>MHR</w:t>
      </w:r>
      <w:r w:rsidRPr="00D3297A">
        <w:rPr>
          <w:rFonts w:asciiTheme="minorHAnsi" w:hAnsiTheme="minorHAnsi" w:cstheme="minorHAnsi"/>
        </w:rPr>
        <w:t xml:space="preserve"> </w:t>
      </w:r>
      <w:r w:rsidR="00A37D48" w:rsidRPr="00D3297A">
        <w:rPr>
          <w:rFonts w:asciiTheme="minorHAnsi" w:hAnsiTheme="minorHAnsi" w:cstheme="minorHAnsi"/>
        </w:rPr>
        <w:t>are set out in the Trusted Digital Identity Framework</w:t>
      </w:r>
      <w:r w:rsidRPr="00D3297A">
        <w:rPr>
          <w:rFonts w:asciiTheme="minorHAnsi" w:hAnsiTheme="minorHAnsi" w:cstheme="minorHAnsi"/>
        </w:rPr>
        <w:t xml:space="preserve">. The data items set out in this </w:t>
      </w:r>
      <w:r w:rsidR="00251018">
        <w:rPr>
          <w:rFonts w:asciiTheme="minorHAnsi" w:hAnsiTheme="minorHAnsi" w:cstheme="minorHAnsi"/>
        </w:rPr>
        <w:t>F</w:t>
      </w:r>
      <w:r w:rsidRPr="00D3297A">
        <w:rPr>
          <w:rFonts w:asciiTheme="minorHAnsi" w:hAnsiTheme="minorHAnsi" w:cstheme="minorHAnsi"/>
        </w:rPr>
        <w:t xml:space="preserve">ramework are </w:t>
      </w:r>
      <w:r w:rsidR="00A37D48" w:rsidRPr="00D3297A">
        <w:rPr>
          <w:rFonts w:asciiTheme="minorHAnsi" w:hAnsiTheme="minorHAnsi" w:cstheme="minorHAnsi"/>
        </w:rPr>
        <w:t xml:space="preserve">the </w:t>
      </w:r>
      <w:r w:rsidR="00EA5BE4">
        <w:rPr>
          <w:rFonts w:asciiTheme="minorHAnsi" w:hAnsiTheme="minorHAnsi" w:cstheme="minorHAnsi"/>
        </w:rPr>
        <w:t>same as those contained in</w:t>
      </w:r>
      <w:r w:rsidRPr="00D3297A">
        <w:rPr>
          <w:rFonts w:asciiTheme="minorHAnsi" w:hAnsiTheme="minorHAnsi" w:cstheme="minorHAnsi"/>
        </w:rPr>
        <w:t xml:space="preserve"> this recommendation. </w:t>
      </w:r>
      <w:r w:rsidR="00A37D48" w:rsidRPr="00D3297A">
        <w:rPr>
          <w:rFonts w:asciiTheme="minorHAnsi" w:hAnsiTheme="minorHAnsi" w:cstheme="minorHAnsi"/>
        </w:rPr>
        <w:t xml:space="preserve"> </w:t>
      </w:r>
    </w:p>
    <w:p w14:paraId="6D1B899C" w14:textId="77777777" w:rsidR="00114926" w:rsidRPr="00D3297A" w:rsidRDefault="00114926" w:rsidP="00D3297A">
      <w:pPr>
        <w:spacing w:after="120"/>
        <w:rPr>
          <w:rFonts w:asciiTheme="minorHAnsi" w:hAnsiTheme="minorHAnsi" w:cstheme="minorHAnsi"/>
        </w:rPr>
      </w:pPr>
      <w:r w:rsidRPr="00D3297A">
        <w:rPr>
          <w:rFonts w:asciiTheme="minorHAnsi" w:hAnsiTheme="minorHAnsi" w:cstheme="minorHAnsi"/>
        </w:rPr>
        <w:t xml:space="preserve">However, </w:t>
      </w:r>
      <w:r w:rsidR="00251018">
        <w:rPr>
          <w:rFonts w:asciiTheme="minorHAnsi" w:hAnsiTheme="minorHAnsi" w:cstheme="minorHAnsi"/>
        </w:rPr>
        <w:t>MHR</w:t>
      </w:r>
      <w:r w:rsidRPr="00D3297A">
        <w:rPr>
          <w:rFonts w:asciiTheme="minorHAnsi" w:hAnsiTheme="minorHAnsi" w:cstheme="minorHAnsi"/>
        </w:rPr>
        <w:t xml:space="preserve"> system data</w:t>
      </w:r>
      <w:r w:rsidR="00A37D48" w:rsidRPr="00D3297A">
        <w:rPr>
          <w:rFonts w:asciiTheme="minorHAnsi" w:hAnsiTheme="minorHAnsi" w:cstheme="minorHAnsi"/>
        </w:rPr>
        <w:t xml:space="preserve"> matching performed for</w:t>
      </w:r>
      <w:r w:rsidRPr="00D3297A">
        <w:rPr>
          <w:rFonts w:asciiTheme="minorHAnsi" w:hAnsiTheme="minorHAnsi" w:cstheme="minorHAnsi"/>
        </w:rPr>
        <w:t xml:space="preserve"> broader purposes, </w:t>
      </w:r>
      <w:r w:rsidR="006347BE" w:rsidRPr="000C5519">
        <w:rPr>
          <w:rFonts w:asciiTheme="minorHAnsi" w:hAnsiTheme="minorHAnsi" w:cstheme="minorHAnsi"/>
        </w:rPr>
        <w:t>for example for</w:t>
      </w:r>
      <w:r w:rsidR="00A37D48" w:rsidRPr="00D3297A">
        <w:rPr>
          <w:rFonts w:asciiTheme="minorHAnsi" w:hAnsiTheme="minorHAnsi" w:cstheme="minorHAnsi"/>
        </w:rPr>
        <w:t xml:space="preserve"> medical and public health research purposes (not identity authentication)</w:t>
      </w:r>
      <w:r w:rsidRPr="00D3297A">
        <w:rPr>
          <w:rFonts w:asciiTheme="minorHAnsi" w:hAnsiTheme="minorHAnsi" w:cstheme="minorHAnsi"/>
        </w:rPr>
        <w:t>,</w:t>
      </w:r>
      <w:r w:rsidR="00A37D48" w:rsidRPr="00D3297A">
        <w:rPr>
          <w:rFonts w:asciiTheme="minorHAnsi" w:hAnsiTheme="minorHAnsi" w:cstheme="minorHAnsi"/>
        </w:rPr>
        <w:t xml:space="preserve"> often requires other data attributes to va</w:t>
      </w:r>
      <w:r w:rsidRPr="00D3297A">
        <w:rPr>
          <w:rFonts w:asciiTheme="minorHAnsi" w:hAnsiTheme="minorHAnsi" w:cstheme="minorHAnsi"/>
        </w:rPr>
        <w:t xml:space="preserve">lidate and perform data linkage. Limiting the data attributes that may be utilised for data matching purposes may significantly constrain future potential benefits from the secondary use of MHR information system. </w:t>
      </w:r>
    </w:p>
    <w:p w14:paraId="547B0AC0" w14:textId="3BD4D280" w:rsidR="006347BE" w:rsidRPr="000C5519" w:rsidRDefault="005F2A10" w:rsidP="00D3297A">
      <w:pPr>
        <w:spacing w:after="120"/>
        <w:rPr>
          <w:rFonts w:asciiTheme="minorHAnsi" w:hAnsiTheme="minorHAnsi" w:cstheme="minorHAnsi"/>
        </w:rPr>
      </w:pPr>
      <w:r>
        <w:rPr>
          <w:rFonts w:asciiTheme="minorHAnsi" w:hAnsiTheme="minorHAnsi" w:cstheme="minorHAnsi"/>
        </w:rPr>
        <w:lastRenderedPageBreak/>
        <w:t xml:space="preserve">The </w:t>
      </w:r>
      <w:r w:rsidR="006347BE" w:rsidRPr="000C5519">
        <w:rPr>
          <w:rFonts w:asciiTheme="minorHAnsi" w:hAnsiTheme="minorHAnsi" w:cstheme="minorHAnsi"/>
          <w:i/>
        </w:rPr>
        <w:t>Framework for the secondary use of My Health Record system data</w:t>
      </w:r>
      <w:r w:rsidR="006347BE" w:rsidRPr="000C5519">
        <w:rPr>
          <w:rFonts w:asciiTheme="minorHAnsi" w:hAnsiTheme="minorHAnsi" w:cstheme="minorHAnsi"/>
        </w:rPr>
        <w:t xml:space="preserve"> will govern the use of </w:t>
      </w:r>
      <w:r w:rsidR="00CF2873">
        <w:rPr>
          <w:rFonts w:asciiTheme="minorHAnsi" w:hAnsiTheme="minorHAnsi" w:cstheme="minorHAnsi"/>
        </w:rPr>
        <w:t>MHR</w:t>
      </w:r>
      <w:r w:rsidR="006347BE" w:rsidRPr="00D3297A">
        <w:rPr>
          <w:rFonts w:asciiTheme="minorHAnsi" w:hAnsiTheme="minorHAnsi" w:cstheme="minorHAnsi"/>
        </w:rPr>
        <w:t xml:space="preserve"> information for research and public health purposes. </w:t>
      </w:r>
    </w:p>
    <w:p w14:paraId="0F5842F1" w14:textId="77777777" w:rsidR="000C5519" w:rsidRDefault="006347BE" w:rsidP="00D3297A">
      <w:pPr>
        <w:spacing w:after="120"/>
        <w:rPr>
          <w:rFonts w:asciiTheme="minorHAnsi" w:hAnsiTheme="minorHAnsi" w:cstheme="minorHAnsi"/>
        </w:rPr>
      </w:pPr>
      <w:r w:rsidRPr="000C5519">
        <w:rPr>
          <w:rFonts w:asciiTheme="minorHAnsi" w:hAnsiTheme="minorHAnsi" w:cstheme="minorHAnsi"/>
        </w:rPr>
        <w:t>The Government’s recent amendments to the MHR Act provide</w:t>
      </w:r>
      <w:r w:rsidR="000C5519" w:rsidRPr="000C5519">
        <w:rPr>
          <w:rFonts w:asciiTheme="minorHAnsi" w:hAnsiTheme="minorHAnsi" w:cstheme="minorHAnsi"/>
        </w:rPr>
        <w:t>d</w:t>
      </w:r>
      <w:r w:rsidRPr="000C5519">
        <w:rPr>
          <w:rFonts w:asciiTheme="minorHAnsi" w:hAnsiTheme="minorHAnsi" w:cstheme="minorHAnsi"/>
        </w:rPr>
        <w:t xml:space="preserve"> a legislative basis </w:t>
      </w:r>
      <w:r w:rsidR="000C5519" w:rsidRPr="000C5519">
        <w:rPr>
          <w:rFonts w:asciiTheme="minorHAnsi" w:hAnsiTheme="minorHAnsi" w:cstheme="minorHAnsi"/>
        </w:rPr>
        <w:t>for a number of critical governance structures</w:t>
      </w:r>
      <w:r w:rsidRPr="000C5519">
        <w:rPr>
          <w:rFonts w:asciiTheme="minorHAnsi" w:hAnsiTheme="minorHAnsi" w:cstheme="minorHAnsi"/>
        </w:rPr>
        <w:t xml:space="preserve"> </w:t>
      </w:r>
      <w:r w:rsidR="000C5519" w:rsidRPr="000C5519">
        <w:rPr>
          <w:rFonts w:asciiTheme="minorHAnsi" w:hAnsiTheme="minorHAnsi" w:cstheme="minorHAnsi"/>
        </w:rPr>
        <w:t xml:space="preserve">required to support </w:t>
      </w:r>
      <w:r w:rsidRPr="000C5519">
        <w:rPr>
          <w:rFonts w:asciiTheme="minorHAnsi" w:hAnsiTheme="minorHAnsi" w:cstheme="minorHAnsi"/>
        </w:rPr>
        <w:t xml:space="preserve">the appropriate use of </w:t>
      </w:r>
      <w:r w:rsidR="00CF2873">
        <w:rPr>
          <w:rFonts w:asciiTheme="minorHAnsi" w:hAnsiTheme="minorHAnsi" w:cstheme="minorHAnsi"/>
        </w:rPr>
        <w:t>MHR</w:t>
      </w:r>
      <w:r w:rsidRPr="000C5519">
        <w:rPr>
          <w:rFonts w:asciiTheme="minorHAnsi" w:hAnsiTheme="minorHAnsi" w:cstheme="minorHAnsi"/>
        </w:rPr>
        <w:t xml:space="preserve"> data</w:t>
      </w:r>
      <w:r w:rsidR="000C5519" w:rsidRPr="000C5519">
        <w:rPr>
          <w:rFonts w:asciiTheme="minorHAnsi" w:hAnsiTheme="minorHAnsi" w:cstheme="minorHAnsi"/>
        </w:rPr>
        <w:t xml:space="preserve">. These included the establishment and functions of a Data Governance Board that will play a fundamental oversight role in the use of </w:t>
      </w:r>
      <w:r w:rsidR="00CF2873">
        <w:rPr>
          <w:rFonts w:asciiTheme="minorHAnsi" w:hAnsiTheme="minorHAnsi" w:cstheme="minorHAnsi"/>
        </w:rPr>
        <w:t>MHR</w:t>
      </w:r>
      <w:r w:rsidR="000C5519" w:rsidRPr="000C5519">
        <w:rPr>
          <w:rFonts w:asciiTheme="minorHAnsi" w:hAnsiTheme="minorHAnsi" w:cstheme="minorHAnsi"/>
        </w:rPr>
        <w:t xml:space="preserve"> information for research and public health purposes, and </w:t>
      </w:r>
      <w:r w:rsidRPr="000C5519">
        <w:rPr>
          <w:rFonts w:asciiTheme="minorHAnsi" w:hAnsiTheme="minorHAnsi" w:cstheme="minorHAnsi"/>
        </w:rPr>
        <w:t>naming the</w:t>
      </w:r>
      <w:r w:rsidRPr="00D3297A">
        <w:rPr>
          <w:rFonts w:asciiTheme="minorHAnsi" w:hAnsiTheme="minorHAnsi" w:cstheme="minorHAnsi"/>
        </w:rPr>
        <w:t xml:space="preserve"> Australian Institute of Health and Welfare – a trusted expert in handling sensitive data – as the data custodian under this framework</w:t>
      </w:r>
      <w:r w:rsidR="000C5519" w:rsidRPr="000C5519">
        <w:rPr>
          <w:rFonts w:asciiTheme="minorHAnsi" w:hAnsiTheme="minorHAnsi" w:cstheme="minorHAnsi"/>
        </w:rPr>
        <w:t xml:space="preserve">. </w:t>
      </w:r>
    </w:p>
    <w:p w14:paraId="2E28F977" w14:textId="77777777" w:rsidR="003801DF" w:rsidRPr="003801DF" w:rsidRDefault="003801DF" w:rsidP="007237F7">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10" w:name="_Toc19042850"/>
      <w:r w:rsidRPr="003801DF">
        <w:rPr>
          <w:b/>
          <w:color w:val="auto"/>
        </w:rPr>
        <w:t>Recommendation 9</w:t>
      </w:r>
      <w:bookmarkEnd w:id="10"/>
    </w:p>
    <w:p w14:paraId="74F71F32" w14:textId="77777777" w:rsidR="003801DF" w:rsidRPr="007237F7" w:rsidRDefault="002000E7" w:rsidP="007237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5.28</w:t>
      </w:r>
      <w:r>
        <w:rPr>
          <w:rFonts w:asciiTheme="minorHAnsi" w:hAnsiTheme="minorHAnsi"/>
        </w:rPr>
        <w:tab/>
      </w:r>
      <w:r w:rsidR="003801DF" w:rsidRPr="007237F7">
        <w:rPr>
          <w:rFonts w:asciiTheme="minorHAnsi" w:hAnsiTheme="minorHAnsi"/>
        </w:rPr>
        <w:t>The committee recommends that the legislation be amended to make explicit that a request for record deletion is to be interpreted as a right to be unlisted, and as such, that every record is protected from third-party access even after it is deleted, and that no cached or back-up version of a record can be accessed after a patient has requested its destruction.</w:t>
      </w:r>
    </w:p>
    <w:p w14:paraId="4774C09E" w14:textId="77777777" w:rsidR="00D03A9B" w:rsidRPr="002000E7" w:rsidRDefault="00D03A9B" w:rsidP="002000E7">
      <w:pPr>
        <w:spacing w:after="120"/>
        <w:rPr>
          <w:rFonts w:asciiTheme="minorHAnsi" w:hAnsiTheme="minorHAnsi" w:cstheme="minorHAnsi"/>
        </w:rPr>
      </w:pPr>
      <w:r w:rsidRPr="002000E7">
        <w:rPr>
          <w:rFonts w:asciiTheme="minorHAnsi" w:hAnsiTheme="minorHAnsi" w:cstheme="minorHAnsi"/>
        </w:rPr>
        <w:t xml:space="preserve">The </w:t>
      </w:r>
      <w:r w:rsidR="00C805D1">
        <w:rPr>
          <w:rFonts w:asciiTheme="minorHAnsi" w:hAnsiTheme="minorHAnsi" w:cstheme="minorHAnsi"/>
        </w:rPr>
        <w:t>Government</w:t>
      </w:r>
      <w:r w:rsidR="00C805D1" w:rsidRPr="002000E7">
        <w:rPr>
          <w:rFonts w:asciiTheme="minorHAnsi" w:hAnsiTheme="minorHAnsi" w:cstheme="minorHAnsi"/>
        </w:rPr>
        <w:t xml:space="preserve"> </w:t>
      </w:r>
      <w:r w:rsidR="008937A8">
        <w:rPr>
          <w:rFonts w:asciiTheme="minorHAnsi" w:hAnsiTheme="minorHAnsi" w:cstheme="minorHAnsi"/>
        </w:rPr>
        <w:t>supports</w:t>
      </w:r>
      <w:r w:rsidR="00F36A2A" w:rsidRPr="002000E7">
        <w:rPr>
          <w:rFonts w:asciiTheme="minorHAnsi" w:hAnsiTheme="minorHAnsi" w:cstheme="minorHAnsi"/>
        </w:rPr>
        <w:t xml:space="preserve"> </w:t>
      </w:r>
      <w:r w:rsidRPr="002000E7">
        <w:rPr>
          <w:rFonts w:asciiTheme="minorHAnsi" w:hAnsiTheme="minorHAnsi" w:cstheme="minorHAnsi"/>
        </w:rPr>
        <w:t>this recommendation</w:t>
      </w:r>
      <w:r w:rsidR="007620FE">
        <w:rPr>
          <w:rFonts w:asciiTheme="minorHAnsi" w:hAnsiTheme="minorHAnsi" w:cstheme="minorHAnsi"/>
        </w:rPr>
        <w:t>.</w:t>
      </w:r>
    </w:p>
    <w:p w14:paraId="650E4630" w14:textId="7E34ACDE" w:rsidR="00620673" w:rsidRDefault="001166D6" w:rsidP="002000E7">
      <w:pPr>
        <w:spacing w:after="120"/>
        <w:rPr>
          <w:rFonts w:asciiTheme="minorHAnsi" w:hAnsiTheme="minorHAnsi" w:cstheme="minorHAnsi"/>
        </w:rPr>
      </w:pPr>
      <w:r>
        <w:rPr>
          <w:rFonts w:asciiTheme="minorHAnsi" w:hAnsiTheme="minorHAnsi" w:cstheme="minorHAnsi"/>
        </w:rPr>
        <w:t>Amendments to the MHR Act</w:t>
      </w:r>
      <w:r w:rsidR="002000E7" w:rsidRPr="00DF3CB5">
        <w:rPr>
          <w:rFonts w:asciiTheme="minorHAnsi" w:hAnsiTheme="minorHAnsi" w:cstheme="minorHAnsi"/>
          <w:i/>
        </w:rPr>
        <w:t xml:space="preserve"> </w:t>
      </w:r>
      <w:r w:rsidR="008937A8">
        <w:rPr>
          <w:rFonts w:asciiTheme="minorHAnsi" w:hAnsiTheme="minorHAnsi" w:cstheme="minorHAnsi"/>
        </w:rPr>
        <w:t xml:space="preserve">that came in to effect on 11 December 2018, </w:t>
      </w:r>
      <w:r w:rsidR="00232CA5" w:rsidRPr="002000E7">
        <w:rPr>
          <w:rFonts w:asciiTheme="minorHAnsi" w:hAnsiTheme="minorHAnsi" w:cstheme="minorHAnsi"/>
        </w:rPr>
        <w:t>require the</w:t>
      </w:r>
      <w:r w:rsidR="00D05166">
        <w:rPr>
          <w:rFonts w:asciiTheme="minorHAnsi" w:hAnsiTheme="minorHAnsi" w:cstheme="minorHAnsi"/>
        </w:rPr>
        <w:t xml:space="preserve"> </w:t>
      </w:r>
      <w:r w:rsidR="00EA5BE4">
        <w:rPr>
          <w:rFonts w:asciiTheme="minorHAnsi" w:hAnsiTheme="minorHAnsi" w:cstheme="minorHAnsi"/>
        </w:rPr>
        <w:t xml:space="preserve">Australian Digital Health </w:t>
      </w:r>
      <w:r w:rsidR="00D05166">
        <w:rPr>
          <w:rFonts w:asciiTheme="minorHAnsi" w:hAnsiTheme="minorHAnsi" w:cstheme="minorHAnsi"/>
        </w:rPr>
        <w:t>Agency (as the System Operator)</w:t>
      </w:r>
      <w:r w:rsidR="00232CA5" w:rsidRPr="002000E7">
        <w:rPr>
          <w:rFonts w:asciiTheme="minorHAnsi" w:hAnsiTheme="minorHAnsi" w:cstheme="minorHAnsi"/>
        </w:rPr>
        <w:t xml:space="preserve"> to delete any health information</w:t>
      </w:r>
      <w:r w:rsidR="00B02F53">
        <w:rPr>
          <w:rFonts w:asciiTheme="minorHAnsi" w:hAnsiTheme="minorHAnsi" w:cstheme="minorHAnsi"/>
        </w:rPr>
        <w:t xml:space="preserve"> from the National Repositories Service</w:t>
      </w:r>
      <w:r w:rsidR="00232CA5" w:rsidRPr="002000E7">
        <w:rPr>
          <w:rFonts w:asciiTheme="minorHAnsi" w:hAnsiTheme="minorHAnsi" w:cstheme="minorHAnsi"/>
        </w:rPr>
        <w:t xml:space="preserve">, including back-ups and copies that it holds about a healthcare recipient who has requested that their </w:t>
      </w:r>
      <w:r w:rsidR="00DF3CB5">
        <w:rPr>
          <w:rFonts w:asciiTheme="minorHAnsi" w:hAnsiTheme="minorHAnsi" w:cstheme="minorHAnsi"/>
        </w:rPr>
        <w:t>MHR</w:t>
      </w:r>
      <w:r w:rsidR="00232CA5" w:rsidRPr="002000E7">
        <w:rPr>
          <w:rFonts w:asciiTheme="minorHAnsi" w:hAnsiTheme="minorHAnsi" w:cstheme="minorHAnsi"/>
        </w:rPr>
        <w:t xml:space="preserve"> be cancelled.</w:t>
      </w:r>
    </w:p>
    <w:p w14:paraId="084BBA4E" w14:textId="77777777" w:rsidR="003801DF" w:rsidRPr="007620FE" w:rsidRDefault="003801DF" w:rsidP="007620FE">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11" w:name="_Toc19042851"/>
      <w:r w:rsidRPr="007620FE">
        <w:rPr>
          <w:b/>
          <w:color w:val="auto"/>
        </w:rPr>
        <w:t>Recommendation 10</w:t>
      </w:r>
      <w:bookmarkEnd w:id="11"/>
    </w:p>
    <w:p w14:paraId="5C36E507" w14:textId="77777777" w:rsidR="007620FE" w:rsidRPr="005C14B2" w:rsidRDefault="002000E7" w:rsidP="005C14B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sidRPr="007620FE">
        <w:rPr>
          <w:rFonts w:asciiTheme="minorHAnsi" w:hAnsiTheme="minorHAnsi"/>
        </w:rPr>
        <w:t>5.32</w:t>
      </w:r>
      <w:r w:rsidRPr="007620FE">
        <w:rPr>
          <w:rFonts w:asciiTheme="minorHAnsi" w:hAnsiTheme="minorHAnsi"/>
        </w:rPr>
        <w:tab/>
      </w:r>
      <w:r w:rsidR="003801DF" w:rsidRPr="007620FE">
        <w:rPr>
          <w:rFonts w:asciiTheme="minorHAnsi" w:hAnsiTheme="minorHAnsi"/>
        </w:rPr>
        <w:t>The committee recommends that the Australian Digital Health Agency</w:t>
      </w:r>
      <w:r w:rsidR="004038F5">
        <w:rPr>
          <w:rFonts w:asciiTheme="minorHAnsi" w:hAnsiTheme="minorHAnsi"/>
        </w:rPr>
        <w:t xml:space="preserve"> </w:t>
      </w:r>
      <w:r w:rsidR="003801DF" w:rsidRPr="007620FE">
        <w:rPr>
          <w:rFonts w:asciiTheme="minorHAnsi" w:hAnsiTheme="minorHAnsi"/>
        </w:rPr>
        <w:t>revise its media strategy to provide more targeted comprehensive education about My Health Record.</w:t>
      </w:r>
    </w:p>
    <w:p w14:paraId="40FD1B34" w14:textId="77777777" w:rsidR="0054798B" w:rsidRDefault="007620FE" w:rsidP="007620FE">
      <w:pPr>
        <w:spacing w:after="120"/>
        <w:rPr>
          <w:rFonts w:asciiTheme="minorHAnsi" w:hAnsiTheme="minorHAnsi" w:cstheme="minorHAnsi"/>
        </w:rPr>
      </w:pPr>
      <w:r w:rsidRPr="002000E7">
        <w:rPr>
          <w:rFonts w:asciiTheme="minorHAnsi" w:hAnsiTheme="minorHAnsi" w:cstheme="minorHAnsi"/>
        </w:rPr>
        <w:t xml:space="preserve">The </w:t>
      </w:r>
      <w:r>
        <w:rPr>
          <w:rFonts w:asciiTheme="minorHAnsi" w:hAnsiTheme="minorHAnsi" w:cstheme="minorHAnsi"/>
        </w:rPr>
        <w:t>Government</w:t>
      </w:r>
      <w:r w:rsidRPr="002000E7">
        <w:rPr>
          <w:rFonts w:asciiTheme="minorHAnsi" w:hAnsiTheme="minorHAnsi" w:cstheme="minorHAnsi"/>
        </w:rPr>
        <w:t xml:space="preserve"> </w:t>
      </w:r>
      <w:r>
        <w:rPr>
          <w:rFonts w:asciiTheme="minorHAnsi" w:hAnsiTheme="minorHAnsi" w:cstheme="minorHAnsi"/>
        </w:rPr>
        <w:t>supports</w:t>
      </w:r>
      <w:r w:rsidRPr="002000E7">
        <w:rPr>
          <w:rFonts w:asciiTheme="minorHAnsi" w:hAnsiTheme="minorHAnsi" w:cstheme="minorHAnsi"/>
        </w:rPr>
        <w:t xml:space="preserve"> this recommendation</w:t>
      </w:r>
      <w:r>
        <w:rPr>
          <w:rFonts w:asciiTheme="minorHAnsi" w:hAnsiTheme="minorHAnsi" w:cstheme="minorHAnsi"/>
        </w:rPr>
        <w:t>.</w:t>
      </w:r>
      <w:r w:rsidR="0054798B">
        <w:rPr>
          <w:rFonts w:asciiTheme="minorHAnsi" w:hAnsiTheme="minorHAnsi" w:cstheme="minorHAnsi"/>
        </w:rPr>
        <w:t xml:space="preserve"> </w:t>
      </w:r>
    </w:p>
    <w:p w14:paraId="490975AD" w14:textId="77777777" w:rsidR="007620FE" w:rsidRPr="002000E7" w:rsidRDefault="0054798B" w:rsidP="007620FE">
      <w:pPr>
        <w:spacing w:after="120"/>
        <w:rPr>
          <w:rFonts w:asciiTheme="minorHAnsi" w:hAnsiTheme="minorHAnsi" w:cstheme="minorHAnsi"/>
        </w:rPr>
      </w:pPr>
      <w:r>
        <w:rPr>
          <w:rFonts w:asciiTheme="minorHAnsi" w:hAnsiTheme="minorHAnsi" w:cstheme="minorHAnsi"/>
        </w:rPr>
        <w:t xml:space="preserve">Please refer to the response provided for Recommendation 11 for further information. </w:t>
      </w:r>
    </w:p>
    <w:p w14:paraId="22A7BB87" w14:textId="77777777" w:rsidR="00EE30F6" w:rsidRPr="007620FE" w:rsidRDefault="00EE30F6" w:rsidP="007620FE">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12" w:name="_Toc19042852"/>
      <w:r w:rsidRPr="007620FE">
        <w:rPr>
          <w:b/>
          <w:color w:val="auto"/>
        </w:rPr>
        <w:t>Recommendation 11</w:t>
      </w:r>
      <w:bookmarkEnd w:id="12"/>
    </w:p>
    <w:p w14:paraId="17D1E6F6" w14:textId="77777777" w:rsidR="00EE30F6" w:rsidRPr="007620FE" w:rsidRDefault="00EE30F6" w:rsidP="007620F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sidRPr="007620FE">
        <w:rPr>
          <w:rFonts w:asciiTheme="minorHAnsi" w:hAnsiTheme="minorHAnsi"/>
        </w:rPr>
        <w:t>5.36</w:t>
      </w:r>
      <w:r w:rsidRPr="007620FE">
        <w:rPr>
          <w:rFonts w:asciiTheme="minorHAnsi" w:hAnsiTheme="minorHAnsi"/>
        </w:rPr>
        <w:tab/>
        <w:t>The committee recommends that the Australian Digital Health Agency identify, engage with and provide additional support to vulnerable groups to ensure that they have the means to decide whether to opt out, whether to adjust the access controls within their My Health Record and how to do this.</w:t>
      </w:r>
    </w:p>
    <w:p w14:paraId="6A9638B1" w14:textId="77777777" w:rsidR="00303E7D" w:rsidRDefault="00232CA5" w:rsidP="00F13186">
      <w:pPr>
        <w:spacing w:after="120"/>
        <w:rPr>
          <w:rFonts w:asciiTheme="minorHAnsi" w:hAnsiTheme="minorHAnsi" w:cstheme="minorHAnsi"/>
        </w:rPr>
      </w:pPr>
      <w:r w:rsidRPr="00F13186">
        <w:rPr>
          <w:rFonts w:asciiTheme="minorHAnsi" w:hAnsiTheme="minorHAnsi" w:cstheme="minorHAnsi"/>
        </w:rPr>
        <w:t xml:space="preserve">The </w:t>
      </w:r>
      <w:r w:rsidR="00C805D1">
        <w:rPr>
          <w:rFonts w:asciiTheme="minorHAnsi" w:hAnsiTheme="minorHAnsi" w:cstheme="minorHAnsi"/>
        </w:rPr>
        <w:t>Government</w:t>
      </w:r>
      <w:r w:rsidR="00C805D1" w:rsidRPr="00F13186">
        <w:rPr>
          <w:rFonts w:asciiTheme="minorHAnsi" w:hAnsiTheme="minorHAnsi" w:cstheme="minorHAnsi"/>
        </w:rPr>
        <w:t xml:space="preserve"> </w:t>
      </w:r>
      <w:r w:rsidRPr="00F13186">
        <w:rPr>
          <w:rFonts w:asciiTheme="minorHAnsi" w:hAnsiTheme="minorHAnsi" w:cstheme="minorHAnsi"/>
        </w:rPr>
        <w:t xml:space="preserve">supports </w:t>
      </w:r>
      <w:r w:rsidR="00F47BCA">
        <w:rPr>
          <w:rFonts w:asciiTheme="minorHAnsi" w:hAnsiTheme="minorHAnsi" w:cstheme="minorHAnsi"/>
        </w:rPr>
        <w:t>this</w:t>
      </w:r>
      <w:r w:rsidR="004F4E77">
        <w:rPr>
          <w:rFonts w:asciiTheme="minorHAnsi" w:hAnsiTheme="minorHAnsi" w:cstheme="minorHAnsi"/>
        </w:rPr>
        <w:t xml:space="preserve"> </w:t>
      </w:r>
      <w:r w:rsidR="00F13186">
        <w:rPr>
          <w:rFonts w:asciiTheme="minorHAnsi" w:hAnsiTheme="minorHAnsi" w:cstheme="minorHAnsi"/>
        </w:rPr>
        <w:t>recommendation</w:t>
      </w:r>
      <w:r w:rsidR="00F47BCA">
        <w:rPr>
          <w:rFonts w:asciiTheme="minorHAnsi" w:hAnsiTheme="minorHAnsi" w:cstheme="minorHAnsi"/>
        </w:rPr>
        <w:t>.</w:t>
      </w:r>
    </w:p>
    <w:p w14:paraId="2009C987" w14:textId="4075159C" w:rsidR="00F47BCA" w:rsidRPr="00D3297A" w:rsidRDefault="00F47BCA" w:rsidP="00D3297A">
      <w:pPr>
        <w:rPr>
          <w:rFonts w:asciiTheme="minorHAnsi" w:hAnsiTheme="minorHAnsi" w:cstheme="minorHAnsi"/>
        </w:rPr>
      </w:pPr>
      <w:r w:rsidRPr="00D3297A">
        <w:rPr>
          <w:rFonts w:asciiTheme="minorHAnsi" w:hAnsiTheme="minorHAnsi" w:cstheme="minorHAnsi"/>
        </w:rPr>
        <w:t xml:space="preserve">Determination of the groups considered </w:t>
      </w:r>
      <w:r w:rsidR="00410A2C">
        <w:rPr>
          <w:rFonts w:asciiTheme="minorHAnsi" w:hAnsiTheme="minorHAnsi" w:cstheme="minorHAnsi"/>
        </w:rPr>
        <w:t>‘</w:t>
      </w:r>
      <w:r w:rsidRPr="00D3297A">
        <w:rPr>
          <w:rFonts w:asciiTheme="minorHAnsi" w:hAnsiTheme="minorHAnsi" w:cstheme="minorHAnsi"/>
        </w:rPr>
        <w:t>hard to reach</w:t>
      </w:r>
      <w:r w:rsidR="00410A2C">
        <w:rPr>
          <w:rFonts w:asciiTheme="minorHAnsi" w:hAnsiTheme="minorHAnsi" w:cstheme="minorHAnsi"/>
        </w:rPr>
        <w:t>’</w:t>
      </w:r>
      <w:r w:rsidRPr="00D3297A">
        <w:rPr>
          <w:rFonts w:asciiTheme="minorHAnsi" w:hAnsiTheme="minorHAnsi" w:cstheme="minorHAnsi"/>
        </w:rPr>
        <w:t xml:space="preserve"> or vulnerable for the purposes of the MHR Expansion Program was through size of the group based on Cen</w:t>
      </w:r>
      <w:r w:rsidRPr="00D3297A">
        <w:rPr>
          <w:rFonts w:asciiTheme="minorHAnsi" w:hAnsiTheme="minorHAnsi" w:cstheme="minorHAnsi"/>
        </w:rPr>
        <w:lastRenderedPageBreak/>
        <w:t>sus data (or other credible data available through desktop research), the likely challenge for the group to come into contact with national communications being planned</w:t>
      </w:r>
      <w:r w:rsidR="007620FE">
        <w:rPr>
          <w:rFonts w:asciiTheme="minorHAnsi" w:hAnsiTheme="minorHAnsi" w:cstheme="minorHAnsi"/>
        </w:rPr>
        <w:t>,</w:t>
      </w:r>
      <w:r w:rsidRPr="00D3297A">
        <w:rPr>
          <w:rFonts w:asciiTheme="minorHAnsi" w:hAnsiTheme="minorHAnsi" w:cstheme="minorHAnsi"/>
        </w:rPr>
        <w:t xml:space="preserve"> and any issues they may face in regards to literacy, privacy or access.</w:t>
      </w:r>
    </w:p>
    <w:p w14:paraId="78402016" w14:textId="2D81E95D" w:rsidR="009615FA" w:rsidRDefault="00F47BCA" w:rsidP="00F47BCA">
      <w:pPr>
        <w:rPr>
          <w:rFonts w:asciiTheme="minorHAnsi" w:hAnsiTheme="minorHAnsi" w:cstheme="minorHAnsi"/>
        </w:rPr>
      </w:pPr>
      <w:r w:rsidRPr="00D3297A">
        <w:rPr>
          <w:rFonts w:asciiTheme="minorHAnsi" w:hAnsiTheme="minorHAnsi" w:cstheme="minorHAnsi"/>
        </w:rPr>
        <w:t>The Agency engaged with over 4</w:t>
      </w:r>
      <w:r w:rsidR="009615FA">
        <w:rPr>
          <w:rFonts w:asciiTheme="minorHAnsi" w:hAnsiTheme="minorHAnsi" w:cstheme="minorHAnsi"/>
        </w:rPr>
        <w:t>5</w:t>
      </w:r>
      <w:r w:rsidRPr="00D3297A">
        <w:rPr>
          <w:rFonts w:asciiTheme="minorHAnsi" w:hAnsiTheme="minorHAnsi" w:cstheme="minorHAnsi"/>
        </w:rPr>
        <w:t xml:space="preserve"> national and state-based peak advocacy and other organisations which represent or support a wide range of ‘hard to reach’ and vulnerable groups including the Australian Council of Social Services (ACOSS), Mental Health Australia, LGBTI Health Alliance, National Rural Health Alliance, National Aboriginal Community Controlled Health Organisation, Positive Life NSW, Australian Association for Adolescent Health and others across the Expansion Program (July 2018 – end of January 2019). </w:t>
      </w:r>
    </w:p>
    <w:p w14:paraId="3284F0BF" w14:textId="7D80B972" w:rsidR="00F47BCA" w:rsidRPr="00F47BC6" w:rsidRDefault="00E65A18" w:rsidP="00F47BCA">
      <w:pPr>
        <w:rPr>
          <w:rFonts w:asciiTheme="minorHAnsi" w:hAnsiTheme="minorHAnsi" w:cstheme="minorHAnsi"/>
        </w:rPr>
      </w:pPr>
      <w:r w:rsidRPr="00F47BC6">
        <w:rPr>
          <w:rFonts w:asciiTheme="minorHAnsi" w:hAnsiTheme="minorHAnsi" w:cstheme="minorHAnsi"/>
        </w:rPr>
        <w:t xml:space="preserve">Communication, </w:t>
      </w:r>
      <w:r w:rsidR="009F33A9" w:rsidRPr="003827C7">
        <w:rPr>
          <w:rFonts w:asciiTheme="minorHAnsi" w:hAnsiTheme="minorHAnsi"/>
        </w:rPr>
        <w:t>and information developed for these groups</w:t>
      </w:r>
      <w:r w:rsidRPr="003827C7">
        <w:rPr>
          <w:rFonts w:asciiTheme="minorHAnsi" w:hAnsiTheme="minorHAnsi"/>
        </w:rPr>
        <w:t>,</w:t>
      </w:r>
      <w:r w:rsidR="009F33A9" w:rsidRPr="003827C7">
        <w:rPr>
          <w:rFonts w:asciiTheme="minorHAnsi" w:hAnsiTheme="minorHAnsi"/>
        </w:rPr>
        <w:t xml:space="preserve"> </w:t>
      </w:r>
      <w:r w:rsidR="00F47BCA" w:rsidRPr="00F47BC6">
        <w:rPr>
          <w:rFonts w:asciiTheme="minorHAnsi" w:hAnsiTheme="minorHAnsi" w:cstheme="minorHAnsi"/>
        </w:rPr>
        <w:t xml:space="preserve">was provided through these organisations to reach their member bases. </w:t>
      </w:r>
    </w:p>
    <w:p w14:paraId="3114ABC6" w14:textId="712484B4" w:rsidR="00F47BCA" w:rsidRPr="00D3297A" w:rsidRDefault="007620FE" w:rsidP="00F47BCA">
      <w:pPr>
        <w:rPr>
          <w:rFonts w:asciiTheme="minorHAnsi" w:hAnsiTheme="minorHAnsi" w:cstheme="minorHAnsi"/>
        </w:rPr>
      </w:pPr>
      <w:r>
        <w:rPr>
          <w:rFonts w:asciiTheme="minorHAnsi" w:hAnsiTheme="minorHAnsi" w:cstheme="minorHAnsi"/>
        </w:rPr>
        <w:t xml:space="preserve">The Agency </w:t>
      </w:r>
      <w:r w:rsidR="00F47BCA" w:rsidRPr="00D3297A">
        <w:rPr>
          <w:rFonts w:asciiTheme="minorHAnsi" w:hAnsiTheme="minorHAnsi" w:cstheme="minorHAnsi"/>
        </w:rPr>
        <w:t xml:space="preserve">engaged </w:t>
      </w:r>
      <w:r>
        <w:rPr>
          <w:rFonts w:asciiTheme="minorHAnsi" w:hAnsiTheme="minorHAnsi" w:cstheme="minorHAnsi"/>
        </w:rPr>
        <w:t>all</w:t>
      </w:r>
      <w:r w:rsidR="00F47BCA" w:rsidRPr="00D3297A">
        <w:rPr>
          <w:rFonts w:asciiTheme="minorHAnsi" w:hAnsiTheme="minorHAnsi" w:cstheme="minorHAnsi"/>
        </w:rPr>
        <w:t xml:space="preserve"> 31 Primary Health Networks (PHNs) throughout Australia to provide locally based engagement within the community, which includes hard t</w:t>
      </w:r>
      <w:r>
        <w:rPr>
          <w:rFonts w:asciiTheme="minorHAnsi" w:hAnsiTheme="minorHAnsi" w:cstheme="minorHAnsi"/>
        </w:rPr>
        <w:t>o reach and vulnerable groups. O</w:t>
      </w:r>
      <w:r w:rsidR="00F47BCA" w:rsidRPr="00D3297A">
        <w:rPr>
          <w:rFonts w:asciiTheme="minorHAnsi" w:hAnsiTheme="minorHAnsi" w:cstheme="minorHAnsi"/>
        </w:rPr>
        <w:t>ver 850 local events</w:t>
      </w:r>
      <w:r>
        <w:rPr>
          <w:rFonts w:asciiTheme="minorHAnsi" w:hAnsiTheme="minorHAnsi" w:cstheme="minorHAnsi"/>
        </w:rPr>
        <w:t xml:space="preserve"> were</w:t>
      </w:r>
      <w:r w:rsidR="00F47BCA" w:rsidRPr="00D3297A">
        <w:rPr>
          <w:rFonts w:asciiTheme="minorHAnsi" w:hAnsiTheme="minorHAnsi" w:cstheme="minorHAnsi"/>
        </w:rPr>
        <w:t xml:space="preserve"> delivered across the country during the opt</w:t>
      </w:r>
      <w:r w:rsidR="004B1426">
        <w:rPr>
          <w:rFonts w:asciiTheme="minorHAnsi" w:hAnsiTheme="minorHAnsi" w:cstheme="minorHAnsi"/>
        </w:rPr>
        <w:noBreakHyphen/>
      </w:r>
      <w:r w:rsidR="00F47BCA" w:rsidRPr="00D3297A">
        <w:rPr>
          <w:rFonts w:asciiTheme="minorHAnsi" w:hAnsiTheme="minorHAnsi" w:cstheme="minorHAnsi"/>
        </w:rPr>
        <w:t xml:space="preserve">out period specifically targeting vulnerable groups. Remote access community engagement plans were implemented in 5 highly remote regions of Australia. </w:t>
      </w:r>
    </w:p>
    <w:p w14:paraId="010EA359" w14:textId="2FC6369F" w:rsidR="00F47BCA" w:rsidRDefault="00F47BCA" w:rsidP="00F47BCA">
      <w:pPr>
        <w:rPr>
          <w:rFonts w:asciiTheme="minorHAnsi" w:hAnsiTheme="minorHAnsi" w:cstheme="minorHAnsi"/>
        </w:rPr>
      </w:pPr>
      <w:r w:rsidRPr="00D3297A">
        <w:rPr>
          <w:rFonts w:asciiTheme="minorHAnsi" w:hAnsiTheme="minorHAnsi" w:cstheme="minorHAnsi"/>
        </w:rPr>
        <w:t xml:space="preserve">A suite of communication materials was made available via multiple channels in text, audio and video. Key materials were translated into 17 different languages and an additional 15 indigenous languages. Low literacy and ASLAN materials were also created. Messaging included the benefits of </w:t>
      </w:r>
      <w:r w:rsidR="00CF2873">
        <w:rPr>
          <w:rFonts w:asciiTheme="minorHAnsi" w:hAnsiTheme="minorHAnsi" w:cstheme="minorHAnsi"/>
        </w:rPr>
        <w:t>MHR</w:t>
      </w:r>
      <w:r w:rsidRPr="00D3297A">
        <w:rPr>
          <w:rFonts w:asciiTheme="minorHAnsi" w:hAnsiTheme="minorHAnsi" w:cstheme="minorHAnsi"/>
        </w:rPr>
        <w:t>, how to opt</w:t>
      </w:r>
      <w:r w:rsidR="00394CCC">
        <w:rPr>
          <w:rFonts w:asciiTheme="minorHAnsi" w:hAnsiTheme="minorHAnsi" w:cstheme="minorHAnsi"/>
        </w:rPr>
        <w:t>-</w:t>
      </w:r>
      <w:r w:rsidRPr="00D3297A">
        <w:rPr>
          <w:rFonts w:asciiTheme="minorHAnsi" w:hAnsiTheme="minorHAnsi" w:cstheme="minorHAnsi"/>
        </w:rPr>
        <w:t>out, where to go for help and how to control privacy settings.</w:t>
      </w:r>
      <w:r w:rsidR="00303E7D">
        <w:rPr>
          <w:rFonts w:asciiTheme="minorHAnsi" w:hAnsiTheme="minorHAnsi" w:cstheme="minorHAnsi"/>
        </w:rPr>
        <w:t xml:space="preserve"> </w:t>
      </w:r>
    </w:p>
    <w:p w14:paraId="12F91176" w14:textId="0126A696" w:rsidR="009615FA" w:rsidRDefault="007620FE" w:rsidP="007069D3">
      <w:pPr>
        <w:pStyle w:val="OutlineNumbered1"/>
        <w:spacing w:after="120"/>
        <w:rPr>
          <w:rFonts w:asciiTheme="minorHAnsi" w:hAnsiTheme="minorHAnsi" w:cstheme="minorHAnsi"/>
        </w:rPr>
      </w:pPr>
      <w:r w:rsidRPr="00D3297A">
        <w:rPr>
          <w:rFonts w:asciiTheme="minorHAnsi" w:hAnsiTheme="minorHAnsi" w:cstheme="minorHAnsi"/>
        </w:rPr>
        <w:t xml:space="preserve">Materials developed during the expansion period will continue to be accessible via the </w:t>
      </w:r>
      <w:r>
        <w:rPr>
          <w:rFonts w:asciiTheme="minorHAnsi" w:hAnsiTheme="minorHAnsi" w:cstheme="minorHAnsi"/>
        </w:rPr>
        <w:t>MHR</w:t>
      </w:r>
      <w:r w:rsidRPr="00D3297A">
        <w:rPr>
          <w:rFonts w:asciiTheme="minorHAnsi" w:hAnsiTheme="minorHAnsi" w:cstheme="minorHAnsi"/>
        </w:rPr>
        <w:t xml:space="preserve"> website, microsite and via print-on-demand. </w:t>
      </w:r>
      <w:r w:rsidR="009615FA">
        <w:rPr>
          <w:rFonts w:asciiTheme="minorHAnsi" w:hAnsiTheme="minorHAnsi" w:cstheme="minorHAnsi"/>
        </w:rPr>
        <w:t xml:space="preserve"> </w:t>
      </w:r>
    </w:p>
    <w:p w14:paraId="299D4DB2" w14:textId="1F15C8EC" w:rsidR="00906D94" w:rsidRPr="009D46AC" w:rsidRDefault="009615FA" w:rsidP="009D46AC">
      <w:pPr>
        <w:pStyle w:val="OutlineNumbered1"/>
        <w:rPr>
          <w:rFonts w:ascii="Calibri" w:hAnsi="Calibri" w:cs="Calibri"/>
        </w:rPr>
      </w:pPr>
      <w:r>
        <w:rPr>
          <w:rFonts w:asciiTheme="minorHAnsi" w:hAnsiTheme="minorHAnsi" w:cstheme="minorHAnsi"/>
        </w:rPr>
        <w:t xml:space="preserve">It is an ongoing priority of the Australian Digital Health Agency to focus on communication, authentic engagement and support </w:t>
      </w:r>
      <w:r w:rsidR="005D4740">
        <w:rPr>
          <w:rFonts w:asciiTheme="minorHAnsi" w:hAnsiTheme="minorHAnsi" w:cstheme="minorHAnsi"/>
        </w:rPr>
        <w:t>to</w:t>
      </w:r>
      <w:r>
        <w:rPr>
          <w:rFonts w:asciiTheme="minorHAnsi" w:hAnsiTheme="minorHAnsi" w:cstheme="minorHAnsi"/>
        </w:rPr>
        <w:t xml:space="preserve"> ensure</w:t>
      </w:r>
      <w:r>
        <w:rPr>
          <w:rFonts w:ascii="Calibri" w:hAnsi="Calibri" w:cs="Calibri"/>
        </w:rPr>
        <w:t xml:space="preserve"> the user experience for a consumer or healthcare provider accessing the</w:t>
      </w:r>
      <w:r w:rsidR="00983E6F">
        <w:rPr>
          <w:rFonts w:ascii="Calibri" w:hAnsi="Calibri" w:cs="Calibri"/>
        </w:rPr>
        <w:t xml:space="preserve"> MHR</w:t>
      </w:r>
      <w:r>
        <w:rPr>
          <w:rFonts w:ascii="Calibri" w:hAnsi="Calibri" w:cs="Calibri"/>
        </w:rPr>
        <w:t xml:space="preserve"> system is positive and promotes effective use. </w:t>
      </w:r>
      <w:r>
        <w:rPr>
          <w:rFonts w:asciiTheme="minorHAnsi" w:hAnsiTheme="minorHAnsi" w:cstheme="minorHAnsi"/>
        </w:rPr>
        <w:t xml:space="preserve"> </w:t>
      </w:r>
    </w:p>
    <w:p w14:paraId="17E57319" w14:textId="77777777" w:rsidR="003801DF" w:rsidRPr="003801DF" w:rsidRDefault="003801DF" w:rsidP="007237F7">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13" w:name="_Toc19042853"/>
      <w:r w:rsidRPr="003801DF">
        <w:rPr>
          <w:b/>
          <w:color w:val="auto"/>
        </w:rPr>
        <w:t>Recommendation 12</w:t>
      </w:r>
      <w:bookmarkEnd w:id="13"/>
    </w:p>
    <w:p w14:paraId="587D56AB" w14:textId="77777777" w:rsidR="003801DF" w:rsidRPr="007237F7" w:rsidRDefault="00F13186" w:rsidP="007237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5.37</w:t>
      </w:r>
      <w:r>
        <w:rPr>
          <w:rFonts w:asciiTheme="minorHAnsi" w:hAnsiTheme="minorHAnsi"/>
        </w:rPr>
        <w:tab/>
        <w:t xml:space="preserve"> </w:t>
      </w:r>
      <w:r w:rsidR="003801DF" w:rsidRPr="007237F7">
        <w:rPr>
          <w:rFonts w:asciiTheme="minorHAnsi" w:hAnsiTheme="minorHAnsi"/>
        </w:rPr>
        <w:t>The committee recommends that the Australian Government commit additional funding for a broad-based education campaign regarding My Health Record, with particular regard to communicating with vulnerable and hard to reach communities.</w:t>
      </w:r>
    </w:p>
    <w:p w14:paraId="5B72B260" w14:textId="705B07FE" w:rsidR="00462D30" w:rsidRDefault="00232CA5" w:rsidP="00D830C7">
      <w:pPr>
        <w:spacing w:after="120"/>
        <w:rPr>
          <w:rFonts w:asciiTheme="minorHAnsi" w:hAnsiTheme="minorHAnsi" w:cstheme="minorHAnsi"/>
        </w:rPr>
      </w:pPr>
      <w:r w:rsidRPr="00F13186">
        <w:rPr>
          <w:rFonts w:asciiTheme="minorHAnsi" w:hAnsiTheme="minorHAnsi" w:cstheme="minorHAnsi"/>
        </w:rPr>
        <w:t xml:space="preserve">The </w:t>
      </w:r>
      <w:r w:rsidR="00C805D1">
        <w:rPr>
          <w:rFonts w:asciiTheme="minorHAnsi" w:hAnsiTheme="minorHAnsi" w:cstheme="minorHAnsi"/>
        </w:rPr>
        <w:t>Government</w:t>
      </w:r>
      <w:r w:rsidR="00C805D1" w:rsidRPr="00F13186">
        <w:rPr>
          <w:rFonts w:asciiTheme="minorHAnsi" w:hAnsiTheme="minorHAnsi" w:cstheme="minorHAnsi"/>
        </w:rPr>
        <w:t xml:space="preserve"> </w:t>
      </w:r>
      <w:r w:rsidR="00546647">
        <w:rPr>
          <w:rFonts w:asciiTheme="minorHAnsi" w:hAnsiTheme="minorHAnsi" w:cstheme="minorHAnsi"/>
        </w:rPr>
        <w:t>supports</w:t>
      </w:r>
      <w:r w:rsidRPr="00F13186">
        <w:rPr>
          <w:rFonts w:asciiTheme="minorHAnsi" w:hAnsiTheme="minorHAnsi" w:cstheme="minorHAnsi"/>
        </w:rPr>
        <w:t xml:space="preserve"> this recommendation</w:t>
      </w:r>
      <w:r w:rsidR="00F47BCA">
        <w:rPr>
          <w:rFonts w:asciiTheme="minorHAnsi" w:hAnsiTheme="minorHAnsi" w:cstheme="minorHAnsi"/>
        </w:rPr>
        <w:t>.</w:t>
      </w:r>
    </w:p>
    <w:p w14:paraId="5A3203B6" w14:textId="77777777" w:rsidR="00F47BCA" w:rsidRPr="00BE0187" w:rsidRDefault="00BE0187" w:rsidP="00D830C7">
      <w:pPr>
        <w:spacing w:after="120"/>
        <w:rPr>
          <w:rFonts w:asciiTheme="minorHAnsi" w:hAnsiTheme="minorHAnsi" w:cstheme="minorHAnsi"/>
        </w:rPr>
      </w:pPr>
      <w:r w:rsidRPr="00637BCB">
        <w:rPr>
          <w:rFonts w:asciiTheme="minorHAnsi" w:hAnsiTheme="minorHAnsi" w:cstheme="minorHAnsi"/>
        </w:rPr>
        <w:t>Since the conclusion of the Inquiry the A</w:t>
      </w:r>
      <w:r w:rsidR="004038F5">
        <w:rPr>
          <w:rFonts w:asciiTheme="minorHAnsi" w:hAnsiTheme="minorHAnsi" w:cstheme="minorHAnsi"/>
        </w:rPr>
        <w:t>gency</w:t>
      </w:r>
      <w:r w:rsidRPr="00637BCB">
        <w:rPr>
          <w:rFonts w:asciiTheme="minorHAnsi" w:hAnsiTheme="minorHAnsi" w:cstheme="minorHAnsi"/>
        </w:rPr>
        <w:t xml:space="preserve"> has undertaken</w:t>
      </w:r>
      <w:r w:rsidR="004038F5">
        <w:rPr>
          <w:rFonts w:asciiTheme="minorHAnsi" w:hAnsiTheme="minorHAnsi" w:cstheme="minorHAnsi"/>
        </w:rPr>
        <w:t xml:space="preserve"> a range of communication</w:t>
      </w:r>
      <w:r w:rsidRPr="00637BCB">
        <w:rPr>
          <w:rFonts w:asciiTheme="minorHAnsi" w:hAnsiTheme="minorHAnsi" w:cstheme="minorHAnsi"/>
        </w:rPr>
        <w:t xml:space="preserve"> activities to educate and inform consumers that they now have a record and </w:t>
      </w:r>
      <w:r w:rsidRPr="00637BCB">
        <w:rPr>
          <w:rFonts w:asciiTheme="minorHAnsi" w:hAnsiTheme="minorHAnsi" w:cstheme="minorHAnsi"/>
        </w:rPr>
        <w:lastRenderedPageBreak/>
        <w:t xml:space="preserve">can start using and adding information to theirs. The focus of the activity is to encourage healthcare providers to start viewing and uploading information to the system given that most of their patients now have a MHR, and inform consumers they have a MHR they can now access and to start a conversation with their doctors to view and upload their important medical information to their record. </w:t>
      </w:r>
    </w:p>
    <w:p w14:paraId="4BC53A1A" w14:textId="7D39CF71" w:rsidR="00BE0187" w:rsidRPr="00637BCB" w:rsidRDefault="00BE0187" w:rsidP="00D830C7">
      <w:pPr>
        <w:spacing w:after="120"/>
        <w:rPr>
          <w:rFonts w:asciiTheme="minorHAnsi" w:hAnsiTheme="minorHAnsi" w:cstheme="minorHAnsi"/>
        </w:rPr>
      </w:pPr>
      <w:r w:rsidRPr="00637BCB">
        <w:rPr>
          <w:rFonts w:asciiTheme="minorHAnsi" w:hAnsiTheme="minorHAnsi" w:cstheme="minorHAnsi"/>
        </w:rPr>
        <w:t>Key audiences who are high health system users were targe</w:t>
      </w:r>
      <w:r w:rsidR="00820F38">
        <w:rPr>
          <w:rFonts w:asciiTheme="minorHAnsi" w:hAnsiTheme="minorHAnsi" w:cstheme="minorHAnsi"/>
        </w:rPr>
        <w:t>ted. These include: consumers (</w:t>
      </w:r>
      <w:r w:rsidRPr="00637BCB">
        <w:rPr>
          <w:rFonts w:asciiTheme="minorHAnsi" w:hAnsiTheme="minorHAnsi" w:cstheme="minorHAnsi"/>
        </w:rPr>
        <w:t>parents with young children, people with chronic illness, carers, older Australians and primary health provider audiences</w:t>
      </w:r>
      <w:r w:rsidR="00820F38">
        <w:rPr>
          <w:rFonts w:asciiTheme="minorHAnsi" w:hAnsiTheme="minorHAnsi" w:cstheme="minorHAnsi"/>
        </w:rPr>
        <w:t>), GP</w:t>
      </w:r>
      <w:r w:rsidRPr="00637BCB">
        <w:rPr>
          <w:rFonts w:asciiTheme="minorHAnsi" w:hAnsiTheme="minorHAnsi" w:cstheme="minorHAnsi"/>
        </w:rPr>
        <w:t>s, pharmacists and to increase connectivity, specialists. Channels to reach these aud</w:t>
      </w:r>
      <w:r w:rsidR="00820F38">
        <w:rPr>
          <w:rFonts w:asciiTheme="minorHAnsi" w:hAnsiTheme="minorHAnsi" w:cstheme="minorHAnsi"/>
        </w:rPr>
        <w:t>iences included GP waiting room</w:t>
      </w:r>
      <w:r w:rsidRPr="00637BCB">
        <w:rPr>
          <w:rFonts w:asciiTheme="minorHAnsi" w:hAnsiTheme="minorHAnsi" w:cstheme="minorHAnsi"/>
        </w:rPr>
        <w:t xml:space="preserve"> media, digital and social channels and health advocacy member communication. </w:t>
      </w:r>
    </w:p>
    <w:p w14:paraId="6852E13E" w14:textId="4C469F21" w:rsidR="00BE0187" w:rsidRPr="00637BCB" w:rsidRDefault="00BE0187" w:rsidP="00D830C7">
      <w:pPr>
        <w:spacing w:after="120"/>
        <w:rPr>
          <w:rFonts w:asciiTheme="minorHAnsi" w:hAnsiTheme="minorHAnsi" w:cstheme="minorHAnsi"/>
        </w:rPr>
      </w:pPr>
      <w:r>
        <w:rPr>
          <w:rFonts w:asciiTheme="minorHAnsi" w:hAnsiTheme="minorHAnsi" w:cstheme="minorHAnsi"/>
        </w:rPr>
        <w:t>Additionally, over</w:t>
      </w:r>
      <w:r w:rsidRPr="00637BCB">
        <w:rPr>
          <w:rFonts w:asciiTheme="minorHAnsi" w:hAnsiTheme="minorHAnsi" w:cstheme="minorHAnsi"/>
        </w:rPr>
        <w:t xml:space="preserve"> 7</w:t>
      </w:r>
      <w:r w:rsidR="00983E6F">
        <w:rPr>
          <w:rFonts w:asciiTheme="minorHAnsi" w:hAnsiTheme="minorHAnsi" w:cstheme="minorHAnsi"/>
        </w:rPr>
        <w:t>0</w:t>
      </w:r>
      <w:r w:rsidRPr="00637BCB">
        <w:rPr>
          <w:rFonts w:asciiTheme="minorHAnsi" w:hAnsiTheme="minorHAnsi" w:cstheme="minorHAnsi"/>
        </w:rPr>
        <w:t xml:space="preserve"> co-design workshops were run between January and June 2019 to inform the development of communication and </w:t>
      </w:r>
      <w:r w:rsidR="00820F38">
        <w:rPr>
          <w:rFonts w:asciiTheme="minorHAnsi" w:hAnsiTheme="minorHAnsi" w:cstheme="minorHAnsi"/>
        </w:rPr>
        <w:t>education materials that are</w:t>
      </w:r>
      <w:r w:rsidRPr="00637BCB">
        <w:rPr>
          <w:rFonts w:asciiTheme="minorHAnsi" w:hAnsiTheme="minorHAnsi" w:cstheme="minorHAnsi"/>
        </w:rPr>
        <w:t xml:space="preserve"> used to support vulnerable and hard to reach communities on how to utilise MHR and engage effectively with their healthcare provider. </w:t>
      </w:r>
    </w:p>
    <w:p w14:paraId="4E97F3A5" w14:textId="088DB319" w:rsidR="00BE0187" w:rsidRDefault="00BE0187" w:rsidP="00D830C7">
      <w:pPr>
        <w:spacing w:after="120"/>
        <w:rPr>
          <w:rFonts w:asciiTheme="minorHAnsi" w:hAnsiTheme="minorHAnsi" w:cstheme="minorHAnsi"/>
        </w:rPr>
      </w:pPr>
      <w:r w:rsidRPr="00637BCB">
        <w:rPr>
          <w:rFonts w:asciiTheme="minorHAnsi" w:hAnsiTheme="minorHAnsi" w:cstheme="minorHAnsi"/>
        </w:rPr>
        <w:t>Consumer and peak representat</w:t>
      </w:r>
      <w:r w:rsidR="00820F38">
        <w:rPr>
          <w:rFonts w:asciiTheme="minorHAnsi" w:hAnsiTheme="minorHAnsi" w:cstheme="minorHAnsi"/>
        </w:rPr>
        <w:t>ives at the co-design workshops</w:t>
      </w:r>
      <w:r w:rsidRPr="00637BCB">
        <w:rPr>
          <w:rFonts w:asciiTheme="minorHAnsi" w:hAnsiTheme="minorHAnsi" w:cstheme="minorHAnsi"/>
        </w:rPr>
        <w:t xml:space="preserve"> identified the need for more MHR education for people with low digital health literacy o</w:t>
      </w:r>
      <w:r w:rsidR="00820F38">
        <w:rPr>
          <w:rFonts w:asciiTheme="minorHAnsi" w:hAnsiTheme="minorHAnsi" w:cstheme="minorHAnsi"/>
        </w:rPr>
        <w:t xml:space="preserve">r vulnerabilities including </w:t>
      </w:r>
      <w:r w:rsidRPr="00637BCB">
        <w:rPr>
          <w:rFonts w:asciiTheme="minorHAnsi" w:hAnsiTheme="minorHAnsi" w:cstheme="minorHAnsi"/>
        </w:rPr>
        <w:t xml:space="preserve">children and youth.  </w:t>
      </w:r>
    </w:p>
    <w:p w14:paraId="2DE4DF49" w14:textId="77777777" w:rsidR="00820F38" w:rsidRDefault="00BE0187" w:rsidP="00D830C7">
      <w:pPr>
        <w:spacing w:after="120"/>
        <w:rPr>
          <w:rFonts w:asciiTheme="minorHAnsi" w:hAnsiTheme="minorHAnsi" w:cstheme="minorHAnsi"/>
        </w:rPr>
      </w:pPr>
      <w:r w:rsidRPr="00637BCB">
        <w:rPr>
          <w:rFonts w:asciiTheme="minorHAnsi" w:hAnsiTheme="minorHAnsi" w:cstheme="minorHAnsi"/>
        </w:rPr>
        <w:t>In response to this feedback, the A</w:t>
      </w:r>
      <w:r w:rsidR="004038F5">
        <w:rPr>
          <w:rFonts w:asciiTheme="minorHAnsi" w:hAnsiTheme="minorHAnsi" w:cstheme="minorHAnsi"/>
        </w:rPr>
        <w:t>gency</w:t>
      </w:r>
      <w:r w:rsidRPr="00637BCB">
        <w:rPr>
          <w:rFonts w:asciiTheme="minorHAnsi" w:hAnsiTheme="minorHAnsi" w:cstheme="minorHAnsi"/>
        </w:rPr>
        <w:t xml:space="preserve"> entered into a n</w:t>
      </w:r>
      <w:r w:rsidR="00820F38">
        <w:rPr>
          <w:rFonts w:asciiTheme="minorHAnsi" w:hAnsiTheme="minorHAnsi" w:cstheme="minorHAnsi"/>
        </w:rPr>
        <w:t>umber of arrangements including:</w:t>
      </w:r>
    </w:p>
    <w:p w14:paraId="7775B083" w14:textId="77777777" w:rsidR="00820F38" w:rsidRDefault="00BE0187" w:rsidP="00D830C7">
      <w:pPr>
        <w:pStyle w:val="ListParagraph"/>
        <w:numPr>
          <w:ilvl w:val="0"/>
          <w:numId w:val="12"/>
        </w:numPr>
        <w:spacing w:after="120"/>
        <w:contextualSpacing w:val="0"/>
        <w:rPr>
          <w:rFonts w:asciiTheme="minorHAnsi" w:hAnsiTheme="minorHAnsi" w:cstheme="minorHAnsi"/>
        </w:rPr>
      </w:pPr>
      <w:r w:rsidRPr="00820F38">
        <w:rPr>
          <w:rFonts w:asciiTheme="minorHAnsi" w:hAnsiTheme="minorHAnsi" w:cstheme="minorHAnsi"/>
        </w:rPr>
        <w:t>a partnership with the Good Things Foundation to d</w:t>
      </w:r>
      <w:r w:rsidR="00820F38">
        <w:rPr>
          <w:rFonts w:asciiTheme="minorHAnsi" w:hAnsiTheme="minorHAnsi" w:cstheme="minorHAnsi"/>
        </w:rPr>
        <w:t>eliver a MHR education program;</w:t>
      </w:r>
    </w:p>
    <w:p w14:paraId="29B2106D" w14:textId="77777777" w:rsidR="00820F38" w:rsidRDefault="00820F38" w:rsidP="00D830C7">
      <w:pPr>
        <w:pStyle w:val="ListParagraph"/>
        <w:numPr>
          <w:ilvl w:val="0"/>
          <w:numId w:val="12"/>
        </w:numPr>
        <w:spacing w:after="120"/>
        <w:contextualSpacing w:val="0"/>
        <w:rPr>
          <w:rFonts w:asciiTheme="minorHAnsi" w:hAnsiTheme="minorHAnsi" w:cstheme="minorHAnsi"/>
        </w:rPr>
      </w:pPr>
      <w:r>
        <w:rPr>
          <w:rFonts w:asciiTheme="minorHAnsi" w:hAnsiTheme="minorHAnsi" w:cstheme="minorHAnsi"/>
        </w:rPr>
        <w:t xml:space="preserve">a </w:t>
      </w:r>
      <w:r w:rsidR="00BE0187" w:rsidRPr="00820F38">
        <w:rPr>
          <w:rFonts w:asciiTheme="minorHAnsi" w:hAnsiTheme="minorHAnsi" w:cstheme="minorHAnsi"/>
        </w:rPr>
        <w:t>bi-lingual education pilot in 13 different language</w:t>
      </w:r>
      <w:r>
        <w:rPr>
          <w:rFonts w:asciiTheme="minorHAnsi" w:hAnsiTheme="minorHAnsi" w:cstheme="minorHAnsi"/>
        </w:rPr>
        <w:t xml:space="preserve">s in Victorian communities with </w:t>
      </w:r>
      <w:r w:rsidR="00BE0187" w:rsidRPr="00820F38">
        <w:rPr>
          <w:rFonts w:asciiTheme="minorHAnsi" w:hAnsiTheme="minorHAnsi" w:cstheme="minorHAnsi"/>
        </w:rPr>
        <w:t xml:space="preserve">Diversewerks; and </w:t>
      </w:r>
    </w:p>
    <w:p w14:paraId="35047B3D" w14:textId="66132C3F" w:rsidR="00820F38" w:rsidRPr="00820F38" w:rsidRDefault="00BE0187" w:rsidP="00D830C7">
      <w:pPr>
        <w:pStyle w:val="ListParagraph"/>
        <w:numPr>
          <w:ilvl w:val="0"/>
          <w:numId w:val="12"/>
        </w:numPr>
        <w:spacing w:after="120"/>
        <w:ind w:left="714" w:hanging="357"/>
        <w:contextualSpacing w:val="0"/>
        <w:rPr>
          <w:rFonts w:asciiTheme="minorHAnsi" w:hAnsiTheme="minorHAnsi" w:cstheme="minorHAnsi"/>
        </w:rPr>
      </w:pPr>
      <w:r w:rsidRPr="00820F38">
        <w:rPr>
          <w:rFonts w:asciiTheme="minorHAnsi" w:hAnsiTheme="minorHAnsi" w:cstheme="minorHAnsi"/>
        </w:rPr>
        <w:t>a partnership with the Australian Library and Information Association to train library staff across Australia to equip them with the confidence and knowledge to provide information on MHR specific to the needs of t</w:t>
      </w:r>
      <w:r w:rsidR="00820F38">
        <w:rPr>
          <w:rFonts w:asciiTheme="minorHAnsi" w:hAnsiTheme="minorHAnsi" w:cstheme="minorHAnsi"/>
        </w:rPr>
        <w:t>he different consumer cohorts. </w:t>
      </w:r>
    </w:p>
    <w:p w14:paraId="366ADEE7" w14:textId="5BFA8671" w:rsidR="00BE0187" w:rsidRPr="00820F38" w:rsidRDefault="00BE0187" w:rsidP="00D830C7">
      <w:pPr>
        <w:spacing w:after="120"/>
        <w:rPr>
          <w:rFonts w:asciiTheme="minorHAnsi" w:hAnsiTheme="minorHAnsi" w:cstheme="minorHAnsi"/>
        </w:rPr>
      </w:pPr>
      <w:r w:rsidRPr="00820F38">
        <w:rPr>
          <w:rFonts w:asciiTheme="minorHAnsi" w:hAnsiTheme="minorHAnsi" w:cstheme="minorHAnsi"/>
        </w:rPr>
        <w:t>The National Children’s Commissioner is also engaged through the Australian Human Rights Commission to develop and deliver engagement and education materials for children and youth about MHR and their privacy and rights.</w:t>
      </w:r>
    </w:p>
    <w:p w14:paraId="11415CE0" w14:textId="77777777" w:rsidR="00820F38" w:rsidRDefault="00BE0187" w:rsidP="00D830C7">
      <w:pPr>
        <w:spacing w:after="120"/>
        <w:rPr>
          <w:rFonts w:asciiTheme="minorHAnsi" w:hAnsiTheme="minorHAnsi" w:cstheme="minorHAnsi"/>
        </w:rPr>
      </w:pPr>
      <w:r w:rsidRPr="00637BCB">
        <w:rPr>
          <w:rFonts w:asciiTheme="minorHAnsi" w:hAnsiTheme="minorHAnsi" w:cstheme="minorHAnsi"/>
        </w:rPr>
        <w:t>T</w:t>
      </w:r>
      <w:r w:rsidR="00820F38">
        <w:rPr>
          <w:rFonts w:asciiTheme="minorHAnsi" w:hAnsiTheme="minorHAnsi" w:cstheme="minorHAnsi"/>
        </w:rPr>
        <w:t>he MHR Story Books designed by t</w:t>
      </w:r>
      <w:r w:rsidRPr="00637BCB">
        <w:rPr>
          <w:rFonts w:asciiTheme="minorHAnsi" w:hAnsiTheme="minorHAnsi" w:cstheme="minorHAnsi"/>
        </w:rPr>
        <w:t>he Aboriginal Health and Medical Research Coun</w:t>
      </w:r>
      <w:r w:rsidR="00820F38">
        <w:rPr>
          <w:rFonts w:asciiTheme="minorHAnsi" w:hAnsiTheme="minorHAnsi" w:cstheme="minorHAnsi"/>
        </w:rPr>
        <w:t>cil of New South Wales with</w:t>
      </w:r>
      <w:r w:rsidRPr="00637BCB">
        <w:rPr>
          <w:rFonts w:asciiTheme="minorHAnsi" w:hAnsiTheme="minorHAnsi" w:cstheme="minorHAnsi"/>
        </w:rPr>
        <w:t xml:space="preserve"> the </w:t>
      </w:r>
      <w:r w:rsidR="004038F5">
        <w:rPr>
          <w:rFonts w:asciiTheme="minorHAnsi" w:hAnsiTheme="minorHAnsi" w:cstheme="minorHAnsi"/>
        </w:rPr>
        <w:t>Agency</w:t>
      </w:r>
      <w:r w:rsidRPr="00637BCB">
        <w:rPr>
          <w:rFonts w:asciiTheme="minorHAnsi" w:hAnsiTheme="minorHAnsi" w:cstheme="minorHAnsi"/>
        </w:rPr>
        <w:t xml:space="preserve"> are an example of materials recently released to address the needs of Aborigina</w:t>
      </w:r>
      <w:r w:rsidR="004038F5">
        <w:rPr>
          <w:rFonts w:asciiTheme="minorHAnsi" w:hAnsiTheme="minorHAnsi" w:cstheme="minorHAnsi"/>
        </w:rPr>
        <w:t>l and Torres Strait Islanders. </w:t>
      </w:r>
      <w:r w:rsidRPr="00637BCB">
        <w:rPr>
          <w:rFonts w:asciiTheme="minorHAnsi" w:hAnsiTheme="minorHAnsi" w:cstheme="minorHAnsi"/>
        </w:rPr>
        <w:t xml:space="preserve">The works of three Aboriginal artists help to present information on MHR in a highly visual way specific for the audience.  </w:t>
      </w:r>
    </w:p>
    <w:p w14:paraId="3CF61537" w14:textId="5F9E80CA" w:rsidR="00637BCB" w:rsidRDefault="00BE0187" w:rsidP="00D830C7">
      <w:pPr>
        <w:spacing w:after="120"/>
        <w:rPr>
          <w:rFonts w:asciiTheme="minorHAnsi" w:hAnsiTheme="minorHAnsi" w:cstheme="minorHAnsi"/>
        </w:rPr>
      </w:pPr>
      <w:r w:rsidRPr="00637BCB">
        <w:rPr>
          <w:rFonts w:asciiTheme="minorHAnsi" w:hAnsiTheme="minorHAnsi" w:cstheme="minorHAnsi"/>
        </w:rPr>
        <w:t xml:space="preserve">Other examples of material soon to be released include </w:t>
      </w:r>
      <w:r w:rsidR="00820F38">
        <w:rPr>
          <w:rFonts w:asciiTheme="minorHAnsi" w:hAnsiTheme="minorHAnsi" w:cstheme="minorHAnsi"/>
        </w:rPr>
        <w:t>Auslan</w:t>
      </w:r>
      <w:bookmarkStart w:id="14" w:name="_GoBack"/>
      <w:bookmarkEnd w:id="14"/>
      <w:r w:rsidR="00820F38">
        <w:rPr>
          <w:rFonts w:asciiTheme="minorHAnsi" w:hAnsiTheme="minorHAnsi" w:cstheme="minorHAnsi"/>
        </w:rPr>
        <w:t>-translated guidance for d</w:t>
      </w:r>
      <w:r w:rsidRPr="00637BCB">
        <w:rPr>
          <w:rFonts w:asciiTheme="minorHAnsi" w:hAnsiTheme="minorHAnsi" w:cstheme="minorHAnsi"/>
        </w:rPr>
        <w:t>eaf Australians and information tailored for families and people at risk such as those experiencing domestic violence.</w:t>
      </w:r>
    </w:p>
    <w:p w14:paraId="496CFCA9" w14:textId="77777777" w:rsidR="003801DF" w:rsidRPr="003801DF" w:rsidRDefault="003801DF" w:rsidP="007237F7">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15" w:name="_Toc19042854"/>
      <w:r w:rsidRPr="003801DF">
        <w:rPr>
          <w:b/>
          <w:color w:val="auto"/>
        </w:rPr>
        <w:lastRenderedPageBreak/>
        <w:t>Recommendation 13</w:t>
      </w:r>
      <w:bookmarkEnd w:id="15"/>
    </w:p>
    <w:p w14:paraId="7525A945" w14:textId="77777777" w:rsidR="003801DF" w:rsidRPr="007237F7" w:rsidRDefault="009F7EC5" w:rsidP="007237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Pr>
          <w:rFonts w:asciiTheme="minorHAnsi" w:hAnsiTheme="minorHAnsi"/>
        </w:rPr>
        <w:t>5.38</w:t>
      </w:r>
      <w:r>
        <w:rPr>
          <w:rFonts w:asciiTheme="minorHAnsi" w:hAnsiTheme="minorHAnsi"/>
        </w:rPr>
        <w:tab/>
      </w:r>
      <w:r w:rsidR="003801DF" w:rsidRPr="007237F7">
        <w:rPr>
          <w:rFonts w:asciiTheme="minorHAnsi" w:hAnsiTheme="minorHAnsi"/>
        </w:rPr>
        <w:t>The committee recommends that the Australian Government extend the opt-out period for the My Health Record system for a further twelve months.</w:t>
      </w:r>
    </w:p>
    <w:p w14:paraId="40DBC004" w14:textId="47071114" w:rsidR="00D03A9B" w:rsidRDefault="00D03A9B" w:rsidP="009F7EC5">
      <w:pPr>
        <w:spacing w:after="120"/>
        <w:rPr>
          <w:rFonts w:asciiTheme="minorHAnsi" w:hAnsiTheme="minorHAnsi" w:cstheme="minorHAnsi"/>
        </w:rPr>
      </w:pPr>
      <w:r w:rsidRPr="009F7EC5">
        <w:rPr>
          <w:rFonts w:asciiTheme="minorHAnsi" w:hAnsiTheme="minorHAnsi" w:cstheme="minorHAnsi"/>
        </w:rPr>
        <w:t xml:space="preserve">The </w:t>
      </w:r>
      <w:r w:rsidR="00C805D1">
        <w:rPr>
          <w:rFonts w:asciiTheme="minorHAnsi" w:hAnsiTheme="minorHAnsi" w:cstheme="minorHAnsi"/>
        </w:rPr>
        <w:t>Government</w:t>
      </w:r>
      <w:r w:rsidR="00C805D1" w:rsidRPr="009F7EC5">
        <w:rPr>
          <w:rFonts w:asciiTheme="minorHAnsi" w:hAnsiTheme="minorHAnsi" w:cstheme="minorHAnsi"/>
        </w:rPr>
        <w:t xml:space="preserve"> </w:t>
      </w:r>
      <w:r w:rsidR="00F47BC6">
        <w:rPr>
          <w:rFonts w:asciiTheme="minorHAnsi" w:hAnsiTheme="minorHAnsi" w:cstheme="minorHAnsi"/>
        </w:rPr>
        <w:t>notes</w:t>
      </w:r>
      <w:r w:rsidRPr="009F7EC5">
        <w:rPr>
          <w:rFonts w:asciiTheme="minorHAnsi" w:hAnsiTheme="minorHAnsi" w:cstheme="minorHAnsi"/>
        </w:rPr>
        <w:t xml:space="preserve"> this recommendation</w:t>
      </w:r>
      <w:r w:rsidR="003827C7">
        <w:rPr>
          <w:rFonts w:asciiTheme="minorHAnsi" w:hAnsiTheme="minorHAnsi" w:cstheme="minorHAnsi"/>
        </w:rPr>
        <w:t xml:space="preserve"> because it has</w:t>
      </w:r>
      <w:r w:rsidR="00E14C67">
        <w:rPr>
          <w:rFonts w:asciiTheme="minorHAnsi" w:hAnsiTheme="minorHAnsi" w:cstheme="minorHAnsi"/>
        </w:rPr>
        <w:t xml:space="preserve"> </w:t>
      </w:r>
      <w:r w:rsidR="00F47BC6">
        <w:rPr>
          <w:rFonts w:asciiTheme="minorHAnsi" w:hAnsiTheme="minorHAnsi" w:cstheme="minorHAnsi"/>
        </w:rPr>
        <w:t>been superseded by</w:t>
      </w:r>
      <w:r w:rsidR="003827C7">
        <w:rPr>
          <w:rFonts w:asciiTheme="minorHAnsi" w:hAnsiTheme="minorHAnsi" w:cstheme="minorHAnsi"/>
        </w:rPr>
        <w:t xml:space="preserve"> the creation of the r</w:t>
      </w:r>
      <w:r w:rsidR="00F47BC6">
        <w:rPr>
          <w:rFonts w:asciiTheme="minorHAnsi" w:hAnsiTheme="minorHAnsi" w:cstheme="minorHAnsi"/>
        </w:rPr>
        <w:t>ecords</w:t>
      </w:r>
      <w:r w:rsidR="005C14B2">
        <w:rPr>
          <w:rFonts w:asciiTheme="minorHAnsi" w:hAnsiTheme="minorHAnsi" w:cstheme="minorHAnsi"/>
        </w:rPr>
        <w:t>.</w:t>
      </w:r>
    </w:p>
    <w:p w14:paraId="49622E59" w14:textId="445F37C0" w:rsidR="009A0C50" w:rsidRPr="009F7EC5" w:rsidRDefault="00820F38" w:rsidP="009A0C50">
      <w:pPr>
        <w:spacing w:after="120"/>
        <w:rPr>
          <w:rFonts w:asciiTheme="minorHAnsi" w:hAnsiTheme="minorHAnsi" w:cstheme="minorHAnsi"/>
        </w:rPr>
      </w:pPr>
      <w:r>
        <w:rPr>
          <w:rFonts w:asciiTheme="minorHAnsi" w:hAnsiTheme="minorHAnsi" w:cstheme="minorHAnsi"/>
        </w:rPr>
        <w:t xml:space="preserve">The Australian Government </w:t>
      </w:r>
      <w:r w:rsidR="009A0C50">
        <w:rPr>
          <w:rFonts w:asciiTheme="minorHAnsi" w:hAnsiTheme="minorHAnsi" w:cstheme="minorHAnsi"/>
        </w:rPr>
        <w:t xml:space="preserve">extended the opt-out period twice from its original conclusion date of 15 October 2018 through to 31 January 2019, to ensure consumers had adequate time to time to consider whether they wish to opt-out of having a MHR. </w:t>
      </w:r>
    </w:p>
    <w:p w14:paraId="5698DE74" w14:textId="6351ACAB" w:rsidR="009A0C50" w:rsidRPr="001F6390" w:rsidRDefault="009A0C50" w:rsidP="009A0C50">
      <w:pPr>
        <w:spacing w:after="120"/>
        <w:rPr>
          <w:rFonts w:asciiTheme="minorHAnsi" w:hAnsiTheme="minorHAnsi" w:cstheme="minorHAnsi"/>
        </w:rPr>
      </w:pPr>
      <w:r>
        <w:rPr>
          <w:rFonts w:asciiTheme="minorHAnsi" w:hAnsiTheme="minorHAnsi" w:cstheme="minorHAnsi"/>
        </w:rPr>
        <w:t>The 2018 Strengthening Privacy amendments to the MHR Act</w:t>
      </w:r>
      <w:r w:rsidR="009234EC">
        <w:rPr>
          <w:rFonts w:asciiTheme="minorHAnsi" w:hAnsiTheme="minorHAnsi" w:cstheme="minorHAnsi"/>
        </w:rPr>
        <w:t xml:space="preserve"> (which took effect on </w:t>
      </w:r>
      <w:r w:rsidR="00F24948">
        <w:rPr>
          <w:rFonts w:asciiTheme="minorHAnsi" w:hAnsiTheme="minorHAnsi" w:cstheme="minorHAnsi"/>
        </w:rPr>
        <w:t>11 </w:t>
      </w:r>
      <w:r w:rsidR="009234EC">
        <w:rPr>
          <w:rFonts w:asciiTheme="minorHAnsi" w:hAnsiTheme="minorHAnsi" w:cstheme="minorHAnsi"/>
        </w:rPr>
        <w:t>December</w:t>
      </w:r>
      <w:r w:rsidR="00F24948">
        <w:rPr>
          <w:rFonts w:asciiTheme="minorHAnsi" w:hAnsiTheme="minorHAnsi" w:cstheme="minorHAnsi"/>
        </w:rPr>
        <w:t> </w:t>
      </w:r>
      <w:r w:rsidR="009234EC">
        <w:rPr>
          <w:rFonts w:asciiTheme="minorHAnsi" w:hAnsiTheme="minorHAnsi" w:cstheme="minorHAnsi"/>
        </w:rPr>
        <w:t>2018)</w:t>
      </w:r>
      <w:r>
        <w:rPr>
          <w:rFonts w:asciiTheme="minorHAnsi" w:hAnsiTheme="minorHAnsi" w:cstheme="minorHAnsi"/>
        </w:rPr>
        <w:t xml:space="preserve"> enable individuals to </w:t>
      </w:r>
      <w:r w:rsidRPr="00CD3202">
        <w:rPr>
          <w:rFonts w:asciiTheme="minorHAnsi" w:hAnsiTheme="minorHAnsi" w:cstheme="minorHAnsi"/>
        </w:rPr>
        <w:t>permanently delete their records, and any backups, at any time</w:t>
      </w:r>
      <w:r>
        <w:rPr>
          <w:rFonts w:asciiTheme="minorHAnsi" w:hAnsiTheme="minorHAnsi" w:cstheme="minorHAnsi"/>
        </w:rPr>
        <w:t xml:space="preserve">. This effectively means than </w:t>
      </w:r>
      <w:r w:rsidRPr="001F6390">
        <w:rPr>
          <w:rFonts w:asciiTheme="minorHAnsi" w:hAnsiTheme="minorHAnsi" w:cstheme="minorHAnsi"/>
        </w:rPr>
        <w:t>an individual's right to opt-out remains constant, even after the after the conclu</w:t>
      </w:r>
      <w:r>
        <w:rPr>
          <w:rFonts w:asciiTheme="minorHAnsi" w:hAnsiTheme="minorHAnsi" w:cstheme="minorHAnsi"/>
        </w:rPr>
        <w:t>sion of the</w:t>
      </w:r>
      <w:r w:rsidRPr="00A3248A">
        <w:rPr>
          <w:rFonts w:asciiTheme="minorHAnsi" w:hAnsiTheme="minorHAnsi" w:cstheme="minorHAnsi"/>
        </w:rPr>
        <w:t xml:space="preserve"> formal opt-out period, negating the </w:t>
      </w:r>
      <w:r w:rsidRPr="001F6390">
        <w:rPr>
          <w:rFonts w:asciiTheme="minorHAnsi" w:hAnsiTheme="minorHAnsi" w:cstheme="minorHAnsi"/>
        </w:rPr>
        <w:t>nee</w:t>
      </w:r>
      <w:r w:rsidRPr="00370A4E">
        <w:rPr>
          <w:rFonts w:asciiTheme="minorHAnsi" w:hAnsiTheme="minorHAnsi" w:cstheme="minorHAnsi"/>
        </w:rPr>
        <w:t>d to extend the opt-out period</w:t>
      </w:r>
      <w:r>
        <w:rPr>
          <w:rFonts w:asciiTheme="minorHAnsi" w:hAnsiTheme="minorHAnsi" w:cstheme="minorHAnsi"/>
        </w:rPr>
        <w:t xml:space="preserve">. </w:t>
      </w:r>
    </w:p>
    <w:p w14:paraId="6E4F26AE" w14:textId="12B115AF" w:rsidR="007D3B7E" w:rsidRDefault="009F7EC5" w:rsidP="00DA6485">
      <w:pPr>
        <w:spacing w:after="120"/>
        <w:rPr>
          <w:rFonts w:asciiTheme="minorHAnsi" w:hAnsiTheme="minorHAnsi" w:cstheme="minorHAnsi"/>
        </w:rPr>
      </w:pPr>
      <w:r w:rsidRPr="009F7EC5">
        <w:rPr>
          <w:rFonts w:asciiTheme="minorHAnsi" w:hAnsiTheme="minorHAnsi" w:cstheme="minorHAnsi"/>
        </w:rPr>
        <w:t xml:space="preserve">The legislation </w:t>
      </w:r>
      <w:r w:rsidR="008E4627">
        <w:rPr>
          <w:rFonts w:asciiTheme="minorHAnsi" w:hAnsiTheme="minorHAnsi" w:cstheme="minorHAnsi"/>
        </w:rPr>
        <w:t>t</w:t>
      </w:r>
      <w:r w:rsidR="00ED7BFE">
        <w:rPr>
          <w:rFonts w:asciiTheme="minorHAnsi" w:hAnsiTheme="minorHAnsi" w:cstheme="minorHAnsi"/>
        </w:rPr>
        <w:t xml:space="preserve">hat </w:t>
      </w:r>
      <w:r w:rsidR="00232CA5" w:rsidRPr="009F7EC5">
        <w:rPr>
          <w:rFonts w:asciiTheme="minorHAnsi" w:hAnsiTheme="minorHAnsi" w:cstheme="minorHAnsi"/>
        </w:rPr>
        <w:t>enable</w:t>
      </w:r>
      <w:r w:rsidR="00ED7BFE">
        <w:rPr>
          <w:rFonts w:asciiTheme="minorHAnsi" w:hAnsiTheme="minorHAnsi" w:cstheme="minorHAnsi"/>
        </w:rPr>
        <w:t>d the</w:t>
      </w:r>
      <w:r w:rsidR="00232CA5" w:rsidRPr="009F7EC5">
        <w:rPr>
          <w:rFonts w:asciiTheme="minorHAnsi" w:hAnsiTheme="minorHAnsi" w:cstheme="minorHAnsi"/>
        </w:rPr>
        <w:t xml:space="preserve"> MHR </w:t>
      </w:r>
      <w:r w:rsidR="00ED7BFE">
        <w:rPr>
          <w:rFonts w:asciiTheme="minorHAnsi" w:hAnsiTheme="minorHAnsi" w:cstheme="minorHAnsi"/>
        </w:rPr>
        <w:t xml:space="preserve">system to move to </w:t>
      </w:r>
      <w:r w:rsidR="00232CA5" w:rsidRPr="009F7EC5">
        <w:rPr>
          <w:rFonts w:asciiTheme="minorHAnsi" w:hAnsiTheme="minorHAnsi" w:cstheme="minorHAnsi"/>
        </w:rPr>
        <w:t>an opt-out syste</w:t>
      </w:r>
      <w:r w:rsidR="00820F38">
        <w:rPr>
          <w:rFonts w:asciiTheme="minorHAnsi" w:hAnsiTheme="minorHAnsi" w:cstheme="minorHAnsi"/>
        </w:rPr>
        <w:t xml:space="preserve">m passed Parliament </w:t>
      </w:r>
      <w:r w:rsidR="00232CA5" w:rsidRPr="009F7EC5">
        <w:rPr>
          <w:rFonts w:asciiTheme="minorHAnsi" w:hAnsiTheme="minorHAnsi" w:cstheme="minorHAnsi"/>
        </w:rPr>
        <w:t>in 2015</w:t>
      </w:r>
      <w:r w:rsidR="007D3B7E">
        <w:rPr>
          <w:rFonts w:asciiTheme="minorHAnsi" w:hAnsiTheme="minorHAnsi" w:cstheme="minorHAnsi"/>
        </w:rPr>
        <w:t xml:space="preserve">. It received </w:t>
      </w:r>
      <w:r w:rsidR="00232CA5" w:rsidRPr="009F7EC5">
        <w:rPr>
          <w:rFonts w:asciiTheme="minorHAnsi" w:hAnsiTheme="minorHAnsi" w:cstheme="minorHAnsi"/>
        </w:rPr>
        <w:t xml:space="preserve">bipartisan </w:t>
      </w:r>
      <w:r w:rsidR="007D3B7E">
        <w:rPr>
          <w:rFonts w:asciiTheme="minorHAnsi" w:hAnsiTheme="minorHAnsi" w:cstheme="minorHAnsi"/>
        </w:rPr>
        <w:t>support</w:t>
      </w:r>
      <w:r w:rsidR="00232CA5" w:rsidRPr="009F7EC5">
        <w:rPr>
          <w:rFonts w:asciiTheme="minorHAnsi" w:hAnsiTheme="minorHAnsi" w:cstheme="minorHAnsi"/>
        </w:rPr>
        <w:t xml:space="preserve"> </w:t>
      </w:r>
      <w:r w:rsidR="007D3B7E">
        <w:rPr>
          <w:rFonts w:asciiTheme="minorHAnsi" w:hAnsiTheme="minorHAnsi" w:cstheme="minorHAnsi"/>
        </w:rPr>
        <w:t>during</w:t>
      </w:r>
      <w:r w:rsidR="00232CA5" w:rsidRPr="009F7EC5">
        <w:rPr>
          <w:rFonts w:asciiTheme="minorHAnsi" w:hAnsiTheme="minorHAnsi" w:cstheme="minorHAnsi"/>
        </w:rPr>
        <w:t xml:space="preserve"> this period. </w:t>
      </w:r>
    </w:p>
    <w:p w14:paraId="6D8BD592" w14:textId="4CA810A9" w:rsidR="007D3B7E" w:rsidRDefault="00394CCC" w:rsidP="00DA6485">
      <w:pPr>
        <w:spacing w:after="120"/>
        <w:rPr>
          <w:rFonts w:asciiTheme="minorHAnsi" w:hAnsiTheme="minorHAnsi" w:cstheme="minorHAnsi"/>
        </w:rPr>
      </w:pPr>
      <w:r>
        <w:rPr>
          <w:rFonts w:asciiTheme="minorHAnsi" w:hAnsiTheme="minorHAnsi" w:cstheme="minorHAnsi"/>
        </w:rPr>
        <w:t>The opt-out approach has</w:t>
      </w:r>
      <w:r w:rsidR="00232CA5" w:rsidRPr="009F7EC5">
        <w:rPr>
          <w:rFonts w:asciiTheme="minorHAnsi" w:hAnsiTheme="minorHAnsi" w:cstheme="minorHAnsi"/>
        </w:rPr>
        <w:t xml:space="preserve"> the support of major health peak bod</w:t>
      </w:r>
      <w:r w:rsidR="00B37083">
        <w:rPr>
          <w:rFonts w:asciiTheme="minorHAnsi" w:hAnsiTheme="minorHAnsi" w:cstheme="minorHAnsi"/>
        </w:rPr>
        <w:t xml:space="preserve">ies </w:t>
      </w:r>
      <w:r>
        <w:rPr>
          <w:rFonts w:asciiTheme="minorHAnsi" w:hAnsiTheme="minorHAnsi" w:cstheme="minorHAnsi"/>
        </w:rPr>
        <w:t>including</w:t>
      </w:r>
      <w:r w:rsidR="00232CA5" w:rsidRPr="009F7EC5">
        <w:rPr>
          <w:rFonts w:asciiTheme="minorHAnsi" w:hAnsiTheme="minorHAnsi" w:cstheme="minorHAnsi"/>
        </w:rPr>
        <w:t xml:space="preserve"> the </w:t>
      </w:r>
      <w:r w:rsidR="00820F38">
        <w:rPr>
          <w:rFonts w:asciiTheme="minorHAnsi" w:hAnsiTheme="minorHAnsi" w:cstheme="minorHAnsi"/>
        </w:rPr>
        <w:t xml:space="preserve">Consumer Health Forum, the </w:t>
      </w:r>
      <w:r w:rsidR="00232CA5" w:rsidRPr="009F7EC5">
        <w:rPr>
          <w:rFonts w:asciiTheme="minorHAnsi" w:hAnsiTheme="minorHAnsi" w:cstheme="minorHAnsi"/>
        </w:rPr>
        <w:t>A</w:t>
      </w:r>
      <w:r w:rsidR="008F1686">
        <w:rPr>
          <w:rFonts w:asciiTheme="minorHAnsi" w:hAnsiTheme="minorHAnsi" w:cstheme="minorHAnsi"/>
        </w:rPr>
        <w:t>ustralian Medical Association</w:t>
      </w:r>
      <w:r w:rsidR="00232CA5" w:rsidRPr="009F7EC5">
        <w:rPr>
          <w:rFonts w:asciiTheme="minorHAnsi" w:hAnsiTheme="minorHAnsi" w:cstheme="minorHAnsi"/>
        </w:rPr>
        <w:t xml:space="preserve">, </w:t>
      </w:r>
      <w:r w:rsidR="00820F38">
        <w:rPr>
          <w:rFonts w:asciiTheme="minorHAnsi" w:hAnsiTheme="minorHAnsi" w:cstheme="minorHAnsi"/>
        </w:rPr>
        <w:t xml:space="preserve">and the </w:t>
      </w:r>
      <w:r w:rsidR="00232CA5" w:rsidRPr="009F7EC5">
        <w:rPr>
          <w:rFonts w:asciiTheme="minorHAnsi" w:hAnsiTheme="minorHAnsi" w:cstheme="minorHAnsi"/>
        </w:rPr>
        <w:t>R</w:t>
      </w:r>
      <w:r w:rsidR="008F1686">
        <w:rPr>
          <w:rFonts w:asciiTheme="minorHAnsi" w:hAnsiTheme="minorHAnsi" w:cstheme="minorHAnsi"/>
        </w:rPr>
        <w:t xml:space="preserve">oyal </w:t>
      </w:r>
      <w:r w:rsidR="00232CA5" w:rsidRPr="009F7EC5">
        <w:rPr>
          <w:rFonts w:asciiTheme="minorHAnsi" w:hAnsiTheme="minorHAnsi" w:cstheme="minorHAnsi"/>
        </w:rPr>
        <w:t>A</w:t>
      </w:r>
      <w:r w:rsidR="008F1686">
        <w:rPr>
          <w:rFonts w:asciiTheme="minorHAnsi" w:hAnsiTheme="minorHAnsi" w:cstheme="minorHAnsi"/>
        </w:rPr>
        <w:t xml:space="preserve">ustralian </w:t>
      </w:r>
      <w:r w:rsidR="00232CA5" w:rsidRPr="009F7EC5">
        <w:rPr>
          <w:rFonts w:asciiTheme="minorHAnsi" w:hAnsiTheme="minorHAnsi" w:cstheme="minorHAnsi"/>
        </w:rPr>
        <w:t>C</w:t>
      </w:r>
      <w:r w:rsidR="008F1686">
        <w:rPr>
          <w:rFonts w:asciiTheme="minorHAnsi" w:hAnsiTheme="minorHAnsi" w:cstheme="minorHAnsi"/>
        </w:rPr>
        <w:t xml:space="preserve">ollege of </w:t>
      </w:r>
      <w:r w:rsidR="00232CA5" w:rsidRPr="009F7EC5">
        <w:rPr>
          <w:rFonts w:asciiTheme="minorHAnsi" w:hAnsiTheme="minorHAnsi" w:cstheme="minorHAnsi"/>
        </w:rPr>
        <w:t>G</w:t>
      </w:r>
      <w:r w:rsidR="008F1686">
        <w:rPr>
          <w:rFonts w:asciiTheme="minorHAnsi" w:hAnsiTheme="minorHAnsi" w:cstheme="minorHAnsi"/>
        </w:rPr>
        <w:t xml:space="preserve">eneral </w:t>
      </w:r>
      <w:r w:rsidR="00232CA5" w:rsidRPr="009F7EC5">
        <w:rPr>
          <w:rFonts w:asciiTheme="minorHAnsi" w:hAnsiTheme="minorHAnsi" w:cstheme="minorHAnsi"/>
        </w:rPr>
        <w:t>P</w:t>
      </w:r>
      <w:r w:rsidR="008F1686">
        <w:rPr>
          <w:rFonts w:asciiTheme="minorHAnsi" w:hAnsiTheme="minorHAnsi" w:cstheme="minorHAnsi"/>
        </w:rPr>
        <w:t>ractitioners</w:t>
      </w:r>
      <w:r w:rsidR="00906D94">
        <w:rPr>
          <w:rFonts w:asciiTheme="minorHAnsi" w:hAnsiTheme="minorHAnsi" w:cstheme="minorHAnsi"/>
        </w:rPr>
        <w:t xml:space="preserve">. </w:t>
      </w:r>
    </w:p>
    <w:p w14:paraId="288D45B1" w14:textId="299F147F" w:rsidR="00101746" w:rsidRDefault="007D3B7E" w:rsidP="00820F38">
      <w:pPr>
        <w:spacing w:after="240"/>
        <w:rPr>
          <w:rFonts w:asciiTheme="minorHAnsi" w:hAnsiTheme="minorHAnsi" w:cstheme="minorHAnsi"/>
        </w:rPr>
      </w:pPr>
      <w:r>
        <w:rPr>
          <w:rFonts w:asciiTheme="minorHAnsi" w:hAnsiTheme="minorHAnsi" w:cstheme="minorHAnsi"/>
        </w:rPr>
        <w:t>Continued support from these</w:t>
      </w:r>
      <w:r w:rsidR="00B37083">
        <w:rPr>
          <w:rFonts w:asciiTheme="minorHAnsi" w:hAnsiTheme="minorHAnsi" w:cstheme="minorHAnsi"/>
        </w:rPr>
        <w:t xml:space="preserve"> peak bodies </w:t>
      </w:r>
      <w:r w:rsidR="00232CA5" w:rsidRPr="009F7EC5">
        <w:rPr>
          <w:rFonts w:asciiTheme="minorHAnsi" w:hAnsiTheme="minorHAnsi" w:cstheme="minorHAnsi"/>
        </w:rPr>
        <w:t xml:space="preserve">for an opt-out approach </w:t>
      </w:r>
      <w:r>
        <w:rPr>
          <w:rFonts w:asciiTheme="minorHAnsi" w:hAnsiTheme="minorHAnsi" w:cstheme="minorHAnsi"/>
        </w:rPr>
        <w:t xml:space="preserve">was reaffirmed during </w:t>
      </w:r>
      <w:r w:rsidR="00232CA5" w:rsidRPr="009F7EC5">
        <w:rPr>
          <w:rFonts w:asciiTheme="minorHAnsi" w:hAnsiTheme="minorHAnsi" w:cstheme="minorHAnsi"/>
        </w:rPr>
        <w:t xml:space="preserve">their appearance before the </w:t>
      </w:r>
      <w:r w:rsidR="00820F38">
        <w:rPr>
          <w:rFonts w:asciiTheme="minorHAnsi" w:hAnsiTheme="minorHAnsi" w:cstheme="minorHAnsi"/>
        </w:rPr>
        <w:t>hearings</w:t>
      </w:r>
      <w:r w:rsidR="00B37083">
        <w:rPr>
          <w:rFonts w:asciiTheme="minorHAnsi" w:hAnsiTheme="minorHAnsi" w:cstheme="minorHAnsi"/>
        </w:rPr>
        <w:t xml:space="preserve"> </w:t>
      </w:r>
      <w:r>
        <w:rPr>
          <w:rFonts w:asciiTheme="minorHAnsi" w:hAnsiTheme="minorHAnsi" w:cstheme="minorHAnsi"/>
        </w:rPr>
        <w:t xml:space="preserve">for this inquiry </w:t>
      </w:r>
      <w:r w:rsidR="00820F38">
        <w:rPr>
          <w:rFonts w:asciiTheme="minorHAnsi" w:hAnsiTheme="minorHAnsi" w:cstheme="minorHAnsi"/>
        </w:rPr>
        <w:t xml:space="preserve">on 11 September </w:t>
      </w:r>
      <w:r w:rsidR="00B37083">
        <w:rPr>
          <w:rFonts w:asciiTheme="minorHAnsi" w:hAnsiTheme="minorHAnsi" w:cstheme="minorHAnsi"/>
        </w:rPr>
        <w:t>and 17 September 2018</w:t>
      </w:r>
      <w:r w:rsidR="00232CA5" w:rsidRPr="009F7EC5">
        <w:rPr>
          <w:rFonts w:asciiTheme="minorHAnsi" w:hAnsiTheme="minorHAnsi" w:cstheme="minorHAnsi"/>
        </w:rPr>
        <w:t>. In addition</w:t>
      </w:r>
      <w:r w:rsidR="009F7EC5" w:rsidRPr="009F7EC5">
        <w:rPr>
          <w:rFonts w:asciiTheme="minorHAnsi" w:hAnsiTheme="minorHAnsi" w:cstheme="minorHAnsi"/>
        </w:rPr>
        <w:t>,</w:t>
      </w:r>
      <w:r w:rsidR="00232CA5" w:rsidRPr="009F7EC5">
        <w:rPr>
          <w:rFonts w:asciiTheme="minorHAnsi" w:hAnsiTheme="minorHAnsi" w:cstheme="minorHAnsi"/>
        </w:rPr>
        <w:t xml:space="preserve"> all </w:t>
      </w:r>
      <w:r w:rsidR="00456667">
        <w:rPr>
          <w:rFonts w:asciiTheme="minorHAnsi" w:hAnsiTheme="minorHAnsi" w:cstheme="minorHAnsi"/>
        </w:rPr>
        <w:t>s</w:t>
      </w:r>
      <w:r w:rsidR="00232CA5" w:rsidRPr="009F7EC5">
        <w:rPr>
          <w:rFonts w:asciiTheme="minorHAnsi" w:hAnsiTheme="minorHAnsi" w:cstheme="minorHAnsi"/>
        </w:rPr>
        <w:t xml:space="preserve">tate and </w:t>
      </w:r>
      <w:r w:rsidR="008F1686">
        <w:rPr>
          <w:rFonts w:asciiTheme="minorHAnsi" w:hAnsiTheme="minorHAnsi" w:cstheme="minorHAnsi"/>
        </w:rPr>
        <w:t>t</w:t>
      </w:r>
      <w:r w:rsidR="00232CA5" w:rsidRPr="009F7EC5">
        <w:rPr>
          <w:rFonts w:asciiTheme="minorHAnsi" w:hAnsiTheme="minorHAnsi" w:cstheme="minorHAnsi"/>
        </w:rPr>
        <w:t xml:space="preserve">erritory </w:t>
      </w:r>
      <w:r w:rsidR="00540D18">
        <w:rPr>
          <w:rFonts w:asciiTheme="minorHAnsi" w:hAnsiTheme="minorHAnsi" w:cstheme="minorHAnsi"/>
        </w:rPr>
        <w:t>h</w:t>
      </w:r>
      <w:r w:rsidR="00232CA5" w:rsidRPr="009F7EC5">
        <w:rPr>
          <w:rFonts w:asciiTheme="minorHAnsi" w:hAnsiTheme="minorHAnsi" w:cstheme="minorHAnsi"/>
        </w:rPr>
        <w:t xml:space="preserve">ealth </w:t>
      </w:r>
      <w:r w:rsidR="00540D18">
        <w:rPr>
          <w:rFonts w:asciiTheme="minorHAnsi" w:hAnsiTheme="minorHAnsi" w:cstheme="minorHAnsi"/>
        </w:rPr>
        <w:t>m</w:t>
      </w:r>
      <w:r w:rsidR="00232CA5" w:rsidRPr="009F7EC5">
        <w:rPr>
          <w:rFonts w:asciiTheme="minorHAnsi" w:hAnsiTheme="minorHAnsi" w:cstheme="minorHAnsi"/>
        </w:rPr>
        <w:t>inister</w:t>
      </w:r>
      <w:r w:rsidR="009F7EC5" w:rsidRPr="009F7EC5">
        <w:rPr>
          <w:rFonts w:asciiTheme="minorHAnsi" w:hAnsiTheme="minorHAnsi" w:cstheme="minorHAnsi"/>
        </w:rPr>
        <w:t>s</w:t>
      </w:r>
      <w:r w:rsidR="00232CA5" w:rsidRPr="009F7EC5">
        <w:rPr>
          <w:rFonts w:asciiTheme="minorHAnsi" w:hAnsiTheme="minorHAnsi" w:cstheme="minorHAnsi"/>
        </w:rPr>
        <w:t xml:space="preserve"> unanimously reaffirmed their support for an opt-out approach </w:t>
      </w:r>
      <w:r w:rsidR="00B37083">
        <w:rPr>
          <w:rFonts w:asciiTheme="minorHAnsi" w:hAnsiTheme="minorHAnsi" w:cstheme="minorHAnsi"/>
        </w:rPr>
        <w:t>during</w:t>
      </w:r>
      <w:r w:rsidR="00232CA5" w:rsidRPr="009F7EC5">
        <w:rPr>
          <w:rFonts w:asciiTheme="minorHAnsi" w:hAnsiTheme="minorHAnsi" w:cstheme="minorHAnsi"/>
        </w:rPr>
        <w:t xml:space="preserve"> the </w:t>
      </w:r>
      <w:r w:rsidR="009F7EC5" w:rsidRPr="009F7EC5">
        <w:rPr>
          <w:rFonts w:asciiTheme="minorHAnsi" w:hAnsiTheme="minorHAnsi" w:cstheme="minorHAnsi"/>
        </w:rPr>
        <w:t xml:space="preserve">COAG Health Council Meeting in </w:t>
      </w:r>
      <w:r w:rsidR="00540D18">
        <w:rPr>
          <w:rFonts w:asciiTheme="minorHAnsi" w:hAnsiTheme="minorHAnsi" w:cstheme="minorHAnsi"/>
        </w:rPr>
        <w:t xml:space="preserve">August </w:t>
      </w:r>
      <w:r w:rsidR="009F7EC5" w:rsidRPr="009F7EC5">
        <w:rPr>
          <w:rFonts w:asciiTheme="minorHAnsi" w:hAnsiTheme="minorHAnsi" w:cstheme="minorHAnsi"/>
        </w:rPr>
        <w:t>2018.</w:t>
      </w:r>
    </w:p>
    <w:p w14:paraId="03C6CA08" w14:textId="77777777" w:rsidR="003801DF" w:rsidRPr="003801DF" w:rsidRDefault="003801DF" w:rsidP="00D03A9B">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b/>
          <w:color w:val="auto"/>
        </w:rPr>
      </w:pPr>
      <w:bookmarkStart w:id="16" w:name="_Toc19042855"/>
      <w:r w:rsidRPr="003801DF">
        <w:rPr>
          <w:b/>
          <w:color w:val="auto"/>
        </w:rPr>
        <w:t>Recommendation 14</w:t>
      </w:r>
      <w:bookmarkEnd w:id="16"/>
    </w:p>
    <w:p w14:paraId="7C41587D" w14:textId="77777777" w:rsidR="003801DF" w:rsidRDefault="003801DF" w:rsidP="00D03A9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rPr>
      </w:pPr>
      <w:r w:rsidRPr="007237F7">
        <w:rPr>
          <w:rFonts w:asciiTheme="minorHAnsi" w:hAnsiTheme="minorHAnsi"/>
        </w:rPr>
        <w:t>5.45 The committee recommends that the My Health Record system's operator, or operators, report regularly and comprehensively to Parliament on the management of the My Health Record system.</w:t>
      </w:r>
    </w:p>
    <w:p w14:paraId="71ECAD77" w14:textId="77777777" w:rsidR="00D03A9B" w:rsidRPr="00CB611C" w:rsidRDefault="00EC7838" w:rsidP="00CB611C">
      <w:pPr>
        <w:spacing w:after="120"/>
        <w:rPr>
          <w:rFonts w:asciiTheme="minorHAnsi" w:hAnsiTheme="minorHAnsi" w:cstheme="minorHAnsi"/>
        </w:rPr>
      </w:pPr>
      <w:r w:rsidRPr="00CB611C">
        <w:rPr>
          <w:rFonts w:asciiTheme="minorHAnsi" w:hAnsiTheme="minorHAnsi" w:cstheme="minorHAnsi"/>
        </w:rPr>
        <w:t xml:space="preserve">The </w:t>
      </w:r>
      <w:r w:rsidR="00C805D1">
        <w:rPr>
          <w:rFonts w:asciiTheme="minorHAnsi" w:hAnsiTheme="minorHAnsi" w:cstheme="minorHAnsi"/>
        </w:rPr>
        <w:t>Government</w:t>
      </w:r>
      <w:r w:rsidR="00C805D1" w:rsidRPr="00CB611C">
        <w:rPr>
          <w:rFonts w:asciiTheme="minorHAnsi" w:hAnsiTheme="minorHAnsi" w:cstheme="minorHAnsi"/>
        </w:rPr>
        <w:t xml:space="preserve"> </w:t>
      </w:r>
      <w:r w:rsidR="000D59B3">
        <w:rPr>
          <w:rFonts w:asciiTheme="minorHAnsi" w:hAnsiTheme="minorHAnsi" w:cstheme="minorHAnsi"/>
        </w:rPr>
        <w:t xml:space="preserve">supports </w:t>
      </w:r>
      <w:r w:rsidRPr="00CB611C">
        <w:rPr>
          <w:rFonts w:asciiTheme="minorHAnsi" w:hAnsiTheme="minorHAnsi" w:cstheme="minorHAnsi"/>
        </w:rPr>
        <w:t>this recommendation</w:t>
      </w:r>
      <w:r w:rsidR="00B51CD3">
        <w:rPr>
          <w:rFonts w:asciiTheme="minorHAnsi" w:hAnsiTheme="minorHAnsi" w:cstheme="minorHAnsi"/>
        </w:rPr>
        <w:t>.</w:t>
      </w:r>
      <w:r w:rsidRPr="00CB611C">
        <w:rPr>
          <w:rFonts w:asciiTheme="minorHAnsi" w:hAnsiTheme="minorHAnsi" w:cstheme="minorHAnsi"/>
        </w:rPr>
        <w:t xml:space="preserve"> </w:t>
      </w:r>
    </w:p>
    <w:p w14:paraId="1FC7AA64" w14:textId="77777777" w:rsidR="007D7353" w:rsidRDefault="000D59B3" w:rsidP="00CB611C">
      <w:pPr>
        <w:spacing w:after="120"/>
        <w:rPr>
          <w:rFonts w:asciiTheme="minorHAnsi" w:hAnsiTheme="minorHAnsi" w:cstheme="minorHAnsi"/>
        </w:rPr>
      </w:pPr>
      <w:r>
        <w:rPr>
          <w:rFonts w:asciiTheme="minorHAnsi" w:hAnsiTheme="minorHAnsi" w:cstheme="minorHAnsi"/>
        </w:rPr>
        <w:t>In accordance with the</w:t>
      </w:r>
      <w:r w:rsidR="007D7353" w:rsidRPr="00CB611C">
        <w:rPr>
          <w:rFonts w:asciiTheme="minorHAnsi" w:hAnsiTheme="minorHAnsi" w:cstheme="minorHAnsi"/>
        </w:rPr>
        <w:t> </w:t>
      </w:r>
      <w:r w:rsidR="007D7353" w:rsidRPr="00820F38">
        <w:rPr>
          <w:rFonts w:asciiTheme="minorHAnsi" w:hAnsiTheme="minorHAnsi" w:cstheme="minorHAnsi"/>
          <w:i/>
          <w:iCs/>
        </w:rPr>
        <w:t>Public Governance, Performance and Accountability Act 2013</w:t>
      </w:r>
      <w:r w:rsidR="007D7353" w:rsidRPr="00CB611C">
        <w:rPr>
          <w:rFonts w:asciiTheme="minorHAnsi" w:hAnsiTheme="minorHAnsi" w:cstheme="minorHAnsi"/>
        </w:rPr>
        <w:t> and the </w:t>
      </w:r>
      <w:r w:rsidR="009F2224">
        <w:rPr>
          <w:rFonts w:asciiTheme="minorHAnsi" w:hAnsiTheme="minorHAnsi" w:cstheme="minorHAnsi"/>
        </w:rPr>
        <w:t>MHR Act</w:t>
      </w:r>
      <w:r w:rsidR="007D3B7E">
        <w:rPr>
          <w:rFonts w:asciiTheme="minorHAnsi" w:hAnsiTheme="minorHAnsi" w:cstheme="minorHAnsi"/>
        </w:rPr>
        <w:t xml:space="preserve">, </w:t>
      </w:r>
      <w:r w:rsidR="005063DC">
        <w:rPr>
          <w:rFonts w:asciiTheme="minorHAnsi" w:hAnsiTheme="minorHAnsi" w:cstheme="minorHAnsi"/>
        </w:rPr>
        <w:t>t</w:t>
      </w:r>
      <w:r w:rsidR="00514BBB">
        <w:rPr>
          <w:rFonts w:asciiTheme="minorHAnsi" w:hAnsiTheme="minorHAnsi" w:cstheme="minorHAnsi"/>
        </w:rPr>
        <w:t xml:space="preserve">he </w:t>
      </w:r>
      <w:r>
        <w:rPr>
          <w:rFonts w:asciiTheme="minorHAnsi" w:hAnsiTheme="minorHAnsi" w:cstheme="minorHAnsi"/>
        </w:rPr>
        <w:t xml:space="preserve">Agency as the </w:t>
      </w:r>
      <w:r w:rsidR="00514BBB">
        <w:rPr>
          <w:rFonts w:asciiTheme="minorHAnsi" w:hAnsiTheme="minorHAnsi" w:cstheme="minorHAnsi"/>
        </w:rPr>
        <w:t>System Operator is required to</w:t>
      </w:r>
      <w:r w:rsidR="007D7353">
        <w:rPr>
          <w:rFonts w:asciiTheme="minorHAnsi" w:hAnsiTheme="minorHAnsi" w:cstheme="minorHAnsi"/>
        </w:rPr>
        <w:t xml:space="preserve"> </w:t>
      </w:r>
      <w:r>
        <w:rPr>
          <w:rFonts w:asciiTheme="minorHAnsi" w:hAnsiTheme="minorHAnsi" w:cstheme="minorHAnsi"/>
        </w:rPr>
        <w:t xml:space="preserve">provide </w:t>
      </w:r>
      <w:r w:rsidR="007D7353">
        <w:rPr>
          <w:rFonts w:asciiTheme="minorHAnsi" w:hAnsiTheme="minorHAnsi" w:cstheme="minorHAnsi"/>
        </w:rPr>
        <w:t>an annual report</w:t>
      </w:r>
      <w:r>
        <w:rPr>
          <w:rFonts w:asciiTheme="minorHAnsi" w:hAnsiTheme="minorHAnsi" w:cstheme="minorHAnsi"/>
        </w:rPr>
        <w:t xml:space="preserve"> that is tabled in </w:t>
      </w:r>
      <w:r w:rsidR="00101746">
        <w:rPr>
          <w:rFonts w:asciiTheme="minorHAnsi" w:hAnsiTheme="minorHAnsi" w:cstheme="minorHAnsi"/>
        </w:rPr>
        <w:t>P</w:t>
      </w:r>
      <w:r>
        <w:rPr>
          <w:rFonts w:asciiTheme="minorHAnsi" w:hAnsiTheme="minorHAnsi" w:cstheme="minorHAnsi"/>
        </w:rPr>
        <w:t xml:space="preserve">arliament. </w:t>
      </w:r>
    </w:p>
    <w:p w14:paraId="49E0710E" w14:textId="77777777" w:rsidR="00232CA5" w:rsidRPr="00CB611C" w:rsidRDefault="007D3B7E" w:rsidP="00CB611C">
      <w:pPr>
        <w:spacing w:after="120"/>
        <w:rPr>
          <w:rFonts w:asciiTheme="minorHAnsi" w:hAnsiTheme="minorHAnsi" w:cstheme="minorHAnsi"/>
        </w:rPr>
      </w:pPr>
      <w:r>
        <w:rPr>
          <w:rFonts w:asciiTheme="minorHAnsi" w:hAnsiTheme="minorHAnsi" w:cstheme="minorHAnsi"/>
        </w:rPr>
        <w:t xml:space="preserve">Additionally, </w:t>
      </w:r>
      <w:r w:rsidRPr="000D59B3">
        <w:rPr>
          <w:rFonts w:asciiTheme="minorHAnsi" w:hAnsiTheme="minorHAnsi" w:cstheme="minorHAnsi"/>
        </w:rPr>
        <w:t xml:space="preserve">in accordance with section 106 of the </w:t>
      </w:r>
      <w:r w:rsidR="009F2224">
        <w:rPr>
          <w:rFonts w:asciiTheme="minorHAnsi" w:hAnsiTheme="minorHAnsi" w:cstheme="minorHAnsi"/>
        </w:rPr>
        <w:t>MHR Act</w:t>
      </w:r>
      <w:r>
        <w:rPr>
          <w:rFonts w:asciiTheme="minorHAnsi" w:hAnsiTheme="minorHAnsi" w:cstheme="minorHAnsi"/>
        </w:rPr>
        <w:t>,</w:t>
      </w:r>
      <w:r w:rsidRPr="000D59B3">
        <w:rPr>
          <w:rFonts w:asciiTheme="minorHAnsi" w:hAnsiTheme="minorHAnsi" w:cstheme="minorHAnsi"/>
        </w:rPr>
        <w:t xml:space="preserve"> and section 30 of the </w:t>
      </w:r>
      <w:r w:rsidRPr="000F1539">
        <w:rPr>
          <w:rFonts w:asciiTheme="minorHAnsi" w:hAnsiTheme="minorHAnsi" w:cstheme="minorHAnsi"/>
          <w:i/>
        </w:rPr>
        <w:t>Healthcare Identifiers Act 2010</w:t>
      </w:r>
      <w:r w:rsidRPr="000D59B3">
        <w:rPr>
          <w:rFonts w:asciiTheme="minorHAnsi" w:hAnsiTheme="minorHAnsi" w:cstheme="minorHAnsi"/>
        </w:rPr>
        <w:t xml:space="preserve"> </w:t>
      </w:r>
      <w:r w:rsidR="00CB611C" w:rsidRPr="00CB611C">
        <w:rPr>
          <w:rFonts w:asciiTheme="minorHAnsi" w:hAnsiTheme="minorHAnsi" w:cstheme="minorHAnsi"/>
        </w:rPr>
        <w:t>t</w:t>
      </w:r>
      <w:r w:rsidR="00232CA5" w:rsidRPr="00CB611C">
        <w:rPr>
          <w:rFonts w:asciiTheme="minorHAnsi" w:hAnsiTheme="minorHAnsi" w:cstheme="minorHAnsi"/>
        </w:rPr>
        <w:t xml:space="preserve">he Australian Information Commissioner </w:t>
      </w:r>
      <w:r>
        <w:rPr>
          <w:rFonts w:asciiTheme="minorHAnsi" w:hAnsiTheme="minorHAnsi" w:cstheme="minorHAnsi"/>
        </w:rPr>
        <w:t>is required to produce</w:t>
      </w:r>
      <w:r w:rsidR="00232CA5" w:rsidRPr="00CB611C">
        <w:rPr>
          <w:rFonts w:asciiTheme="minorHAnsi" w:hAnsiTheme="minorHAnsi" w:cstheme="minorHAnsi"/>
        </w:rPr>
        <w:t xml:space="preserve"> a</w:t>
      </w:r>
      <w:r w:rsidR="000D59B3">
        <w:rPr>
          <w:rFonts w:asciiTheme="minorHAnsi" w:hAnsiTheme="minorHAnsi" w:cstheme="minorHAnsi"/>
        </w:rPr>
        <w:t xml:space="preserve">n annual report </w:t>
      </w:r>
      <w:r w:rsidR="00232CA5" w:rsidRPr="00CB611C">
        <w:rPr>
          <w:rFonts w:asciiTheme="minorHAnsi" w:hAnsiTheme="minorHAnsi" w:cstheme="minorHAnsi"/>
        </w:rPr>
        <w:t>on the work of the Age</w:t>
      </w:r>
      <w:r w:rsidR="000D59B3">
        <w:rPr>
          <w:rFonts w:asciiTheme="minorHAnsi" w:hAnsiTheme="minorHAnsi" w:cstheme="minorHAnsi"/>
        </w:rPr>
        <w:t xml:space="preserve">ncy as the MHR System Operator, </w:t>
      </w:r>
      <w:r>
        <w:rPr>
          <w:rFonts w:asciiTheme="minorHAnsi" w:hAnsiTheme="minorHAnsi" w:cstheme="minorHAnsi"/>
        </w:rPr>
        <w:t>regarding their</w:t>
      </w:r>
      <w:r w:rsidR="000D59B3" w:rsidRPr="00CB611C">
        <w:rPr>
          <w:rFonts w:asciiTheme="minorHAnsi" w:hAnsiTheme="minorHAnsi" w:cstheme="minorHAnsi"/>
        </w:rPr>
        <w:t xml:space="preserve"> digital health complia</w:t>
      </w:r>
      <w:r w:rsidR="000D59B3">
        <w:rPr>
          <w:rFonts w:asciiTheme="minorHAnsi" w:hAnsiTheme="minorHAnsi" w:cstheme="minorHAnsi"/>
        </w:rPr>
        <w:t xml:space="preserve">nce and enforcement activity. </w:t>
      </w:r>
    </w:p>
    <w:sectPr w:rsidR="00232CA5" w:rsidRPr="00CB611C" w:rsidSect="00CF2873">
      <w:footerReference w:type="default" r:id="rId12"/>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08868" w14:textId="77777777" w:rsidR="00E14C67" w:rsidRDefault="00E14C67" w:rsidP="00A01ED9">
      <w:pPr>
        <w:spacing w:after="0" w:line="240" w:lineRule="auto"/>
      </w:pPr>
      <w:r>
        <w:separator/>
      </w:r>
    </w:p>
  </w:endnote>
  <w:endnote w:type="continuationSeparator" w:id="0">
    <w:p w14:paraId="41651265" w14:textId="77777777" w:rsidR="00E14C67" w:rsidRDefault="00E14C67" w:rsidP="00A01ED9">
      <w:pPr>
        <w:spacing w:after="0" w:line="240" w:lineRule="auto"/>
      </w:pPr>
      <w:r>
        <w:continuationSeparator/>
      </w:r>
    </w:p>
  </w:endnote>
  <w:endnote w:type="continuationNotice" w:id="1">
    <w:p w14:paraId="2CF315E8" w14:textId="77777777" w:rsidR="00E14C67" w:rsidRDefault="00E14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4309"/>
      <w:docPartObj>
        <w:docPartGallery w:val="Page Numbers (Bottom of Page)"/>
        <w:docPartUnique/>
      </w:docPartObj>
    </w:sdtPr>
    <w:sdtEndPr>
      <w:rPr>
        <w:noProof/>
      </w:rPr>
    </w:sdtEndPr>
    <w:sdtContent>
      <w:p w14:paraId="659473DB" w14:textId="4CC379C0" w:rsidR="00232CA5" w:rsidRDefault="00232CA5">
        <w:pPr>
          <w:pStyle w:val="Footer"/>
          <w:jc w:val="right"/>
        </w:pPr>
        <w:r>
          <w:fldChar w:fldCharType="begin"/>
        </w:r>
        <w:r>
          <w:instrText xml:space="preserve"> PAGE   \* MERGEFORMAT </w:instrText>
        </w:r>
        <w:r>
          <w:fldChar w:fldCharType="separate"/>
        </w:r>
        <w:r w:rsidR="007A4C82">
          <w:rPr>
            <w:noProof/>
          </w:rPr>
          <w:t>11</w:t>
        </w:r>
        <w:r>
          <w:rPr>
            <w:noProof/>
          </w:rPr>
          <w:fldChar w:fldCharType="end"/>
        </w:r>
      </w:p>
    </w:sdtContent>
  </w:sdt>
  <w:p w14:paraId="0B2D75D9" w14:textId="77777777" w:rsidR="00A01ED9" w:rsidRDefault="00A0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D046" w14:textId="77777777" w:rsidR="00E14C67" w:rsidRDefault="00E14C67" w:rsidP="00A01ED9">
      <w:pPr>
        <w:spacing w:after="0" w:line="240" w:lineRule="auto"/>
      </w:pPr>
      <w:r>
        <w:separator/>
      </w:r>
    </w:p>
  </w:footnote>
  <w:footnote w:type="continuationSeparator" w:id="0">
    <w:p w14:paraId="566F14D4" w14:textId="77777777" w:rsidR="00E14C67" w:rsidRDefault="00E14C67" w:rsidP="00A01ED9">
      <w:pPr>
        <w:spacing w:after="0" w:line="240" w:lineRule="auto"/>
      </w:pPr>
      <w:r>
        <w:continuationSeparator/>
      </w:r>
    </w:p>
  </w:footnote>
  <w:footnote w:type="continuationNotice" w:id="1">
    <w:p w14:paraId="01CFC2BA" w14:textId="77777777" w:rsidR="00E14C67" w:rsidRDefault="00E14C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B355C0"/>
    <w:multiLevelType w:val="hybridMultilevel"/>
    <w:tmpl w:val="C3BCCD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41FE2"/>
    <w:multiLevelType w:val="hybridMultilevel"/>
    <w:tmpl w:val="B08EE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40ED8"/>
    <w:multiLevelType w:val="hybridMultilevel"/>
    <w:tmpl w:val="A666401C"/>
    <w:lvl w:ilvl="0" w:tplc="82543378">
      <w:start w:val="1"/>
      <w:numFmt w:val="bullet"/>
      <w:lvlText w:val=""/>
      <w:lvlJc w:val="left"/>
      <w:pPr>
        <w:ind w:left="720" w:hanging="360"/>
      </w:pPr>
      <w:rPr>
        <w:rFonts w:ascii="Symbol" w:hAnsi="Symbol" w:hint="default"/>
        <w:color w:val="auto"/>
      </w:rPr>
    </w:lvl>
    <w:lvl w:ilvl="1" w:tplc="222EA32E">
      <w:start w:val="1"/>
      <w:numFmt w:val="bullet"/>
      <w:lvlText w:val=""/>
      <w:lvlJc w:val="left"/>
      <w:pPr>
        <w:ind w:left="1440" w:hanging="360"/>
      </w:pPr>
      <w:rPr>
        <w:rFonts w:ascii="Symbol" w:hAnsi="Symbol" w:hint="default"/>
      </w:rPr>
    </w:lvl>
    <w:lvl w:ilvl="2" w:tplc="A8B8471E" w:tentative="1">
      <w:start w:val="1"/>
      <w:numFmt w:val="bullet"/>
      <w:lvlText w:val=""/>
      <w:lvlJc w:val="left"/>
      <w:pPr>
        <w:ind w:left="2160" w:hanging="360"/>
      </w:pPr>
      <w:rPr>
        <w:rFonts w:ascii="Wingdings" w:hAnsi="Wingdings" w:hint="default"/>
      </w:rPr>
    </w:lvl>
    <w:lvl w:ilvl="3" w:tplc="AFAA9060" w:tentative="1">
      <w:start w:val="1"/>
      <w:numFmt w:val="bullet"/>
      <w:lvlText w:val=""/>
      <w:lvlJc w:val="left"/>
      <w:pPr>
        <w:ind w:left="2880" w:hanging="360"/>
      </w:pPr>
      <w:rPr>
        <w:rFonts w:ascii="Symbol" w:hAnsi="Symbol" w:hint="default"/>
      </w:rPr>
    </w:lvl>
    <w:lvl w:ilvl="4" w:tplc="14D48624" w:tentative="1">
      <w:start w:val="1"/>
      <w:numFmt w:val="bullet"/>
      <w:lvlText w:val="o"/>
      <w:lvlJc w:val="left"/>
      <w:pPr>
        <w:ind w:left="3600" w:hanging="360"/>
      </w:pPr>
      <w:rPr>
        <w:rFonts w:ascii="Courier New" w:hAnsi="Courier New" w:cs="Courier New" w:hint="default"/>
      </w:rPr>
    </w:lvl>
    <w:lvl w:ilvl="5" w:tplc="82FA19E0" w:tentative="1">
      <w:start w:val="1"/>
      <w:numFmt w:val="bullet"/>
      <w:lvlText w:val=""/>
      <w:lvlJc w:val="left"/>
      <w:pPr>
        <w:ind w:left="4320" w:hanging="360"/>
      </w:pPr>
      <w:rPr>
        <w:rFonts w:ascii="Wingdings" w:hAnsi="Wingdings" w:hint="default"/>
      </w:rPr>
    </w:lvl>
    <w:lvl w:ilvl="6" w:tplc="2D46579E" w:tentative="1">
      <w:start w:val="1"/>
      <w:numFmt w:val="bullet"/>
      <w:lvlText w:val=""/>
      <w:lvlJc w:val="left"/>
      <w:pPr>
        <w:ind w:left="5040" w:hanging="360"/>
      </w:pPr>
      <w:rPr>
        <w:rFonts w:ascii="Symbol" w:hAnsi="Symbol" w:hint="default"/>
      </w:rPr>
    </w:lvl>
    <w:lvl w:ilvl="7" w:tplc="C5DAD938" w:tentative="1">
      <w:start w:val="1"/>
      <w:numFmt w:val="bullet"/>
      <w:lvlText w:val="o"/>
      <w:lvlJc w:val="left"/>
      <w:pPr>
        <w:ind w:left="5760" w:hanging="360"/>
      </w:pPr>
      <w:rPr>
        <w:rFonts w:ascii="Courier New" w:hAnsi="Courier New" w:cs="Courier New" w:hint="default"/>
      </w:rPr>
    </w:lvl>
    <w:lvl w:ilvl="8" w:tplc="F82A2B1C" w:tentative="1">
      <w:start w:val="1"/>
      <w:numFmt w:val="bullet"/>
      <w:lvlText w:val=""/>
      <w:lvlJc w:val="left"/>
      <w:pPr>
        <w:ind w:left="6480" w:hanging="360"/>
      </w:pPr>
      <w:rPr>
        <w:rFonts w:ascii="Wingdings" w:hAnsi="Wingdings" w:hint="default"/>
      </w:rPr>
    </w:lvl>
  </w:abstractNum>
  <w:abstractNum w:abstractNumId="3" w15:restartNumberingAfterBreak="0">
    <w:nsid w:val="1C150AB9"/>
    <w:multiLevelType w:val="hybridMultilevel"/>
    <w:tmpl w:val="0ED67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01403F"/>
    <w:multiLevelType w:val="hybridMultilevel"/>
    <w:tmpl w:val="E972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41BF8"/>
    <w:multiLevelType w:val="hybridMultilevel"/>
    <w:tmpl w:val="5686A452"/>
    <w:lvl w:ilvl="0" w:tplc="0C090001">
      <w:start w:val="1"/>
      <w:numFmt w:val="bullet"/>
      <w:lvlText w:val=""/>
      <w:lvlJc w:val="left"/>
      <w:pPr>
        <w:ind w:left="990" w:hanging="63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08A312F"/>
    <w:multiLevelType w:val="hybridMultilevel"/>
    <w:tmpl w:val="455AFFBC"/>
    <w:lvl w:ilvl="0" w:tplc="F3AE158E">
      <w:start w:val="1"/>
      <w:numFmt w:val="bullet"/>
      <w:lvlText w:val=""/>
      <w:lvlJc w:val="left"/>
      <w:pPr>
        <w:ind w:left="2437" w:hanging="360"/>
      </w:pPr>
      <w:rPr>
        <w:rFonts w:ascii="Symbol" w:hAnsi="Symbol" w:hint="default"/>
      </w:rPr>
    </w:lvl>
    <w:lvl w:ilvl="1" w:tplc="222EA32E">
      <w:start w:val="1"/>
      <w:numFmt w:val="bullet"/>
      <w:lvlText w:val=""/>
      <w:lvlJc w:val="left"/>
      <w:pPr>
        <w:ind w:left="3157" w:hanging="360"/>
      </w:pPr>
      <w:rPr>
        <w:rFonts w:ascii="Symbol" w:hAnsi="Symbol" w:hint="default"/>
      </w:rPr>
    </w:lvl>
    <w:lvl w:ilvl="2" w:tplc="F2E49FFE" w:tentative="1">
      <w:start w:val="1"/>
      <w:numFmt w:val="bullet"/>
      <w:lvlText w:val=""/>
      <w:lvlJc w:val="left"/>
      <w:pPr>
        <w:ind w:left="3877" w:hanging="360"/>
      </w:pPr>
      <w:rPr>
        <w:rFonts w:ascii="Wingdings" w:hAnsi="Wingdings" w:hint="default"/>
      </w:rPr>
    </w:lvl>
    <w:lvl w:ilvl="3" w:tplc="3AD8DF2E" w:tentative="1">
      <w:start w:val="1"/>
      <w:numFmt w:val="bullet"/>
      <w:lvlText w:val=""/>
      <w:lvlJc w:val="left"/>
      <w:pPr>
        <w:ind w:left="4597" w:hanging="360"/>
      </w:pPr>
      <w:rPr>
        <w:rFonts w:ascii="Symbol" w:hAnsi="Symbol" w:hint="default"/>
      </w:rPr>
    </w:lvl>
    <w:lvl w:ilvl="4" w:tplc="8460F5F6" w:tentative="1">
      <w:start w:val="1"/>
      <w:numFmt w:val="bullet"/>
      <w:lvlText w:val="o"/>
      <w:lvlJc w:val="left"/>
      <w:pPr>
        <w:ind w:left="5317" w:hanging="360"/>
      </w:pPr>
      <w:rPr>
        <w:rFonts w:ascii="Courier New" w:hAnsi="Courier New" w:cs="Courier New" w:hint="default"/>
      </w:rPr>
    </w:lvl>
    <w:lvl w:ilvl="5" w:tplc="6B88C1A0" w:tentative="1">
      <w:start w:val="1"/>
      <w:numFmt w:val="bullet"/>
      <w:lvlText w:val=""/>
      <w:lvlJc w:val="left"/>
      <w:pPr>
        <w:ind w:left="6037" w:hanging="360"/>
      </w:pPr>
      <w:rPr>
        <w:rFonts w:ascii="Wingdings" w:hAnsi="Wingdings" w:hint="default"/>
      </w:rPr>
    </w:lvl>
    <w:lvl w:ilvl="6" w:tplc="B16E4528" w:tentative="1">
      <w:start w:val="1"/>
      <w:numFmt w:val="bullet"/>
      <w:lvlText w:val=""/>
      <w:lvlJc w:val="left"/>
      <w:pPr>
        <w:ind w:left="6757" w:hanging="360"/>
      </w:pPr>
      <w:rPr>
        <w:rFonts w:ascii="Symbol" w:hAnsi="Symbol" w:hint="default"/>
      </w:rPr>
    </w:lvl>
    <w:lvl w:ilvl="7" w:tplc="95CE7D3A" w:tentative="1">
      <w:start w:val="1"/>
      <w:numFmt w:val="bullet"/>
      <w:lvlText w:val="o"/>
      <w:lvlJc w:val="left"/>
      <w:pPr>
        <w:ind w:left="7477" w:hanging="360"/>
      </w:pPr>
      <w:rPr>
        <w:rFonts w:ascii="Courier New" w:hAnsi="Courier New" w:cs="Courier New" w:hint="default"/>
      </w:rPr>
    </w:lvl>
    <w:lvl w:ilvl="8" w:tplc="ADC61EC2" w:tentative="1">
      <w:start w:val="1"/>
      <w:numFmt w:val="bullet"/>
      <w:lvlText w:val=""/>
      <w:lvlJc w:val="left"/>
      <w:pPr>
        <w:ind w:left="8197" w:hanging="360"/>
      </w:pPr>
      <w:rPr>
        <w:rFonts w:ascii="Wingdings" w:hAnsi="Wingdings" w:hint="default"/>
      </w:rPr>
    </w:lvl>
  </w:abstractNum>
  <w:abstractNum w:abstractNumId="7" w15:restartNumberingAfterBreak="0">
    <w:nsid w:val="43346897"/>
    <w:multiLevelType w:val="hybridMultilevel"/>
    <w:tmpl w:val="788E3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6B59A3"/>
    <w:multiLevelType w:val="hybridMultilevel"/>
    <w:tmpl w:val="096E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4F7900"/>
    <w:multiLevelType w:val="hybridMultilevel"/>
    <w:tmpl w:val="8BFA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E134AE"/>
    <w:multiLevelType w:val="hybridMultilevel"/>
    <w:tmpl w:val="880A7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75977704"/>
    <w:multiLevelType w:val="hybridMultilevel"/>
    <w:tmpl w:val="4FB06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2635A5"/>
    <w:multiLevelType w:val="hybridMultilevel"/>
    <w:tmpl w:val="D9A8AFE2"/>
    <w:lvl w:ilvl="0" w:tplc="0FA47F8A">
      <w:start w:val="1"/>
      <w:numFmt w:val="bullet"/>
      <w:lvlText w:val=""/>
      <w:lvlJc w:val="left"/>
      <w:pPr>
        <w:ind w:left="360" w:hanging="360"/>
      </w:pPr>
      <w:rPr>
        <w:rFonts w:ascii="Symbol" w:hAnsi="Symbol" w:hint="default"/>
        <w:color w:val="auto"/>
        <w:sz w:val="28"/>
        <w:szCs w:val="28"/>
      </w:rPr>
    </w:lvl>
    <w:lvl w:ilvl="1" w:tplc="36F2628E">
      <w:start w:val="1"/>
      <w:numFmt w:val="bullet"/>
      <w:lvlText w:val="o"/>
      <w:lvlJc w:val="left"/>
      <w:pPr>
        <w:ind w:left="1440" w:hanging="360"/>
      </w:pPr>
      <w:rPr>
        <w:rFonts w:ascii="Courier New" w:hAnsi="Courier New" w:cs="Courier New" w:hint="default"/>
      </w:rPr>
    </w:lvl>
    <w:lvl w:ilvl="2" w:tplc="36F6D310" w:tentative="1">
      <w:start w:val="1"/>
      <w:numFmt w:val="bullet"/>
      <w:lvlText w:val=""/>
      <w:lvlJc w:val="left"/>
      <w:pPr>
        <w:ind w:left="2160" w:hanging="360"/>
      </w:pPr>
      <w:rPr>
        <w:rFonts w:ascii="Wingdings" w:hAnsi="Wingdings" w:hint="default"/>
      </w:rPr>
    </w:lvl>
    <w:lvl w:ilvl="3" w:tplc="BB925BF6" w:tentative="1">
      <w:start w:val="1"/>
      <w:numFmt w:val="bullet"/>
      <w:lvlText w:val=""/>
      <w:lvlJc w:val="left"/>
      <w:pPr>
        <w:ind w:left="2880" w:hanging="360"/>
      </w:pPr>
      <w:rPr>
        <w:rFonts w:ascii="Symbol" w:hAnsi="Symbol" w:hint="default"/>
      </w:rPr>
    </w:lvl>
    <w:lvl w:ilvl="4" w:tplc="71EA7BC6" w:tentative="1">
      <w:start w:val="1"/>
      <w:numFmt w:val="bullet"/>
      <w:lvlText w:val="o"/>
      <w:lvlJc w:val="left"/>
      <w:pPr>
        <w:ind w:left="3600" w:hanging="360"/>
      </w:pPr>
      <w:rPr>
        <w:rFonts w:ascii="Courier New" w:hAnsi="Courier New" w:cs="Courier New" w:hint="default"/>
      </w:rPr>
    </w:lvl>
    <w:lvl w:ilvl="5" w:tplc="00343948" w:tentative="1">
      <w:start w:val="1"/>
      <w:numFmt w:val="bullet"/>
      <w:lvlText w:val=""/>
      <w:lvlJc w:val="left"/>
      <w:pPr>
        <w:ind w:left="4320" w:hanging="360"/>
      </w:pPr>
      <w:rPr>
        <w:rFonts w:ascii="Wingdings" w:hAnsi="Wingdings" w:hint="default"/>
      </w:rPr>
    </w:lvl>
    <w:lvl w:ilvl="6" w:tplc="E014EA00" w:tentative="1">
      <w:start w:val="1"/>
      <w:numFmt w:val="bullet"/>
      <w:lvlText w:val=""/>
      <w:lvlJc w:val="left"/>
      <w:pPr>
        <w:ind w:left="5040" w:hanging="360"/>
      </w:pPr>
      <w:rPr>
        <w:rFonts w:ascii="Symbol" w:hAnsi="Symbol" w:hint="default"/>
      </w:rPr>
    </w:lvl>
    <w:lvl w:ilvl="7" w:tplc="A816F478" w:tentative="1">
      <w:start w:val="1"/>
      <w:numFmt w:val="bullet"/>
      <w:lvlText w:val="o"/>
      <w:lvlJc w:val="left"/>
      <w:pPr>
        <w:ind w:left="5760" w:hanging="360"/>
      </w:pPr>
      <w:rPr>
        <w:rFonts w:ascii="Courier New" w:hAnsi="Courier New" w:cs="Courier New" w:hint="default"/>
      </w:rPr>
    </w:lvl>
    <w:lvl w:ilvl="8" w:tplc="39AC0E88"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4"/>
  </w:num>
  <w:num w:numId="5">
    <w:abstractNumId w:val="1"/>
  </w:num>
  <w:num w:numId="6">
    <w:abstractNumId w:val="11"/>
  </w:num>
  <w:num w:numId="7">
    <w:abstractNumId w:val="2"/>
  </w:num>
  <w:num w:numId="8">
    <w:abstractNumId w:val="6"/>
  </w:num>
  <w:num w:numId="9">
    <w:abstractNumId w:val="3"/>
  </w:num>
  <w:num w:numId="10">
    <w:abstractNumId w:val="5"/>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2"/>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D9"/>
    <w:rsid w:val="00005DB0"/>
    <w:rsid w:val="00025340"/>
    <w:rsid w:val="00032F88"/>
    <w:rsid w:val="00046505"/>
    <w:rsid w:val="0005330E"/>
    <w:rsid w:val="00053E61"/>
    <w:rsid w:val="000614C5"/>
    <w:rsid w:val="00070C33"/>
    <w:rsid w:val="00077577"/>
    <w:rsid w:val="00090BF3"/>
    <w:rsid w:val="000918C9"/>
    <w:rsid w:val="000A76CE"/>
    <w:rsid w:val="000C5519"/>
    <w:rsid w:val="000D0D96"/>
    <w:rsid w:val="000D2245"/>
    <w:rsid w:val="000D59B3"/>
    <w:rsid w:val="000F1539"/>
    <w:rsid w:val="000F2CDB"/>
    <w:rsid w:val="00101746"/>
    <w:rsid w:val="00114926"/>
    <w:rsid w:val="001166D6"/>
    <w:rsid w:val="00130027"/>
    <w:rsid w:val="0013012A"/>
    <w:rsid w:val="001319BD"/>
    <w:rsid w:val="001327D5"/>
    <w:rsid w:val="00133ED1"/>
    <w:rsid w:val="00136452"/>
    <w:rsid w:val="001547D9"/>
    <w:rsid w:val="0015775C"/>
    <w:rsid w:val="00187FDB"/>
    <w:rsid w:val="001A241B"/>
    <w:rsid w:val="001A256D"/>
    <w:rsid w:val="001B0262"/>
    <w:rsid w:val="001D4E50"/>
    <w:rsid w:val="001E32C0"/>
    <w:rsid w:val="001E3F2D"/>
    <w:rsid w:val="002000E7"/>
    <w:rsid w:val="0021558F"/>
    <w:rsid w:val="00222D59"/>
    <w:rsid w:val="0022689F"/>
    <w:rsid w:val="002304BA"/>
    <w:rsid w:val="00232CA5"/>
    <w:rsid w:val="00251018"/>
    <w:rsid w:val="00251EDD"/>
    <w:rsid w:val="00253AAE"/>
    <w:rsid w:val="002645AF"/>
    <w:rsid w:val="00272B4A"/>
    <w:rsid w:val="00273257"/>
    <w:rsid w:val="00280050"/>
    <w:rsid w:val="00285F04"/>
    <w:rsid w:val="002901DA"/>
    <w:rsid w:val="002942E3"/>
    <w:rsid w:val="002945C0"/>
    <w:rsid w:val="002A62B3"/>
    <w:rsid w:val="002B0DF1"/>
    <w:rsid w:val="002B3613"/>
    <w:rsid w:val="002C0324"/>
    <w:rsid w:val="002C59FF"/>
    <w:rsid w:val="002D366E"/>
    <w:rsid w:val="002F200D"/>
    <w:rsid w:val="002F486B"/>
    <w:rsid w:val="00300FC3"/>
    <w:rsid w:val="00303E7D"/>
    <w:rsid w:val="003147F1"/>
    <w:rsid w:val="00330C69"/>
    <w:rsid w:val="00344DC0"/>
    <w:rsid w:val="00352F4D"/>
    <w:rsid w:val="00355425"/>
    <w:rsid w:val="003615EB"/>
    <w:rsid w:val="00367EC1"/>
    <w:rsid w:val="00370A4E"/>
    <w:rsid w:val="003801DF"/>
    <w:rsid w:val="003827C7"/>
    <w:rsid w:val="00390221"/>
    <w:rsid w:val="00394CCC"/>
    <w:rsid w:val="003A36E6"/>
    <w:rsid w:val="003B1814"/>
    <w:rsid w:val="003C7A3F"/>
    <w:rsid w:val="003D2AFB"/>
    <w:rsid w:val="003D3084"/>
    <w:rsid w:val="003F34C0"/>
    <w:rsid w:val="004038F5"/>
    <w:rsid w:val="004041A2"/>
    <w:rsid w:val="00410A2C"/>
    <w:rsid w:val="004341CB"/>
    <w:rsid w:val="004511D3"/>
    <w:rsid w:val="00453392"/>
    <w:rsid w:val="00453F0F"/>
    <w:rsid w:val="00456667"/>
    <w:rsid w:val="00462D30"/>
    <w:rsid w:val="00474410"/>
    <w:rsid w:val="00477A19"/>
    <w:rsid w:val="004A2CEE"/>
    <w:rsid w:val="004A53D3"/>
    <w:rsid w:val="004A6980"/>
    <w:rsid w:val="004B1426"/>
    <w:rsid w:val="004C1F64"/>
    <w:rsid w:val="004D4CB4"/>
    <w:rsid w:val="004D4FB3"/>
    <w:rsid w:val="004D6892"/>
    <w:rsid w:val="004D7D30"/>
    <w:rsid w:val="004E104D"/>
    <w:rsid w:val="004E2422"/>
    <w:rsid w:val="004E5B54"/>
    <w:rsid w:val="004F42C0"/>
    <w:rsid w:val="004F4E77"/>
    <w:rsid w:val="005063DC"/>
    <w:rsid w:val="00514BBB"/>
    <w:rsid w:val="00516FD3"/>
    <w:rsid w:val="0052340C"/>
    <w:rsid w:val="00531C50"/>
    <w:rsid w:val="00537E0C"/>
    <w:rsid w:val="00540D18"/>
    <w:rsid w:val="00541E08"/>
    <w:rsid w:val="00546647"/>
    <w:rsid w:val="0054710A"/>
    <w:rsid w:val="0054798B"/>
    <w:rsid w:val="00562D25"/>
    <w:rsid w:val="005662F4"/>
    <w:rsid w:val="0057090B"/>
    <w:rsid w:val="00577264"/>
    <w:rsid w:val="00580AA2"/>
    <w:rsid w:val="0058178A"/>
    <w:rsid w:val="005912F4"/>
    <w:rsid w:val="005B4B76"/>
    <w:rsid w:val="005B545A"/>
    <w:rsid w:val="005C14B2"/>
    <w:rsid w:val="005D4740"/>
    <w:rsid w:val="005D6D64"/>
    <w:rsid w:val="005E3929"/>
    <w:rsid w:val="005F0A76"/>
    <w:rsid w:val="005F2A10"/>
    <w:rsid w:val="005F39D5"/>
    <w:rsid w:val="00601CEE"/>
    <w:rsid w:val="00617447"/>
    <w:rsid w:val="00620673"/>
    <w:rsid w:val="00625149"/>
    <w:rsid w:val="0063260E"/>
    <w:rsid w:val="00633EAE"/>
    <w:rsid w:val="006347BE"/>
    <w:rsid w:val="006378A2"/>
    <w:rsid w:val="00637BCB"/>
    <w:rsid w:val="0065448F"/>
    <w:rsid w:val="00657C1B"/>
    <w:rsid w:val="00671CBD"/>
    <w:rsid w:val="00671E29"/>
    <w:rsid w:val="0068032E"/>
    <w:rsid w:val="00683E4B"/>
    <w:rsid w:val="00684CAB"/>
    <w:rsid w:val="00694C53"/>
    <w:rsid w:val="00694EF6"/>
    <w:rsid w:val="00695130"/>
    <w:rsid w:val="006958B3"/>
    <w:rsid w:val="006A17E0"/>
    <w:rsid w:val="006E2376"/>
    <w:rsid w:val="006E6389"/>
    <w:rsid w:val="006F22B1"/>
    <w:rsid w:val="007038FC"/>
    <w:rsid w:val="007069D3"/>
    <w:rsid w:val="00707E1C"/>
    <w:rsid w:val="00715ECE"/>
    <w:rsid w:val="00721CA0"/>
    <w:rsid w:val="007237F7"/>
    <w:rsid w:val="00746A5E"/>
    <w:rsid w:val="007620FE"/>
    <w:rsid w:val="00777D2B"/>
    <w:rsid w:val="00784693"/>
    <w:rsid w:val="007A15F3"/>
    <w:rsid w:val="007A4C82"/>
    <w:rsid w:val="007C281C"/>
    <w:rsid w:val="007D220A"/>
    <w:rsid w:val="007D3B7E"/>
    <w:rsid w:val="007D7353"/>
    <w:rsid w:val="007F7EEA"/>
    <w:rsid w:val="008059DB"/>
    <w:rsid w:val="00807D49"/>
    <w:rsid w:val="00814D21"/>
    <w:rsid w:val="008157C3"/>
    <w:rsid w:val="0082030C"/>
    <w:rsid w:val="00820F38"/>
    <w:rsid w:val="00821F1A"/>
    <w:rsid w:val="00827415"/>
    <w:rsid w:val="008508C3"/>
    <w:rsid w:val="00850970"/>
    <w:rsid w:val="008540C1"/>
    <w:rsid w:val="00856883"/>
    <w:rsid w:val="00857092"/>
    <w:rsid w:val="008633F2"/>
    <w:rsid w:val="0086442F"/>
    <w:rsid w:val="00864C12"/>
    <w:rsid w:val="0087497B"/>
    <w:rsid w:val="008806A0"/>
    <w:rsid w:val="00880BD6"/>
    <w:rsid w:val="008937A8"/>
    <w:rsid w:val="008976A2"/>
    <w:rsid w:val="008A43AB"/>
    <w:rsid w:val="008A63C4"/>
    <w:rsid w:val="008C0E0A"/>
    <w:rsid w:val="008C3AEB"/>
    <w:rsid w:val="008C7EA6"/>
    <w:rsid w:val="008D23DD"/>
    <w:rsid w:val="008E36F9"/>
    <w:rsid w:val="008E400A"/>
    <w:rsid w:val="008E4627"/>
    <w:rsid w:val="008F0613"/>
    <w:rsid w:val="008F134F"/>
    <w:rsid w:val="008F1686"/>
    <w:rsid w:val="008F5487"/>
    <w:rsid w:val="008F5CEA"/>
    <w:rsid w:val="009046A3"/>
    <w:rsid w:val="00906D94"/>
    <w:rsid w:val="00913B85"/>
    <w:rsid w:val="009234EC"/>
    <w:rsid w:val="00926E50"/>
    <w:rsid w:val="00936BBA"/>
    <w:rsid w:val="00943685"/>
    <w:rsid w:val="009538DF"/>
    <w:rsid w:val="00956402"/>
    <w:rsid w:val="009615FA"/>
    <w:rsid w:val="00964621"/>
    <w:rsid w:val="00983E6F"/>
    <w:rsid w:val="00996721"/>
    <w:rsid w:val="009A0C50"/>
    <w:rsid w:val="009A6201"/>
    <w:rsid w:val="009C0CA6"/>
    <w:rsid w:val="009D46AC"/>
    <w:rsid w:val="009D561F"/>
    <w:rsid w:val="009D794B"/>
    <w:rsid w:val="009E3516"/>
    <w:rsid w:val="009E4DB3"/>
    <w:rsid w:val="009F2224"/>
    <w:rsid w:val="009F33A9"/>
    <w:rsid w:val="009F7EC5"/>
    <w:rsid w:val="00A01ED9"/>
    <w:rsid w:val="00A3248A"/>
    <w:rsid w:val="00A33126"/>
    <w:rsid w:val="00A37D48"/>
    <w:rsid w:val="00A54607"/>
    <w:rsid w:val="00A55836"/>
    <w:rsid w:val="00A75348"/>
    <w:rsid w:val="00A76689"/>
    <w:rsid w:val="00A80D9F"/>
    <w:rsid w:val="00A8157B"/>
    <w:rsid w:val="00AB6446"/>
    <w:rsid w:val="00AE3747"/>
    <w:rsid w:val="00AE4CF1"/>
    <w:rsid w:val="00AE5DFD"/>
    <w:rsid w:val="00AE7615"/>
    <w:rsid w:val="00AF69CE"/>
    <w:rsid w:val="00B02957"/>
    <w:rsid w:val="00B02F53"/>
    <w:rsid w:val="00B17471"/>
    <w:rsid w:val="00B37083"/>
    <w:rsid w:val="00B4158E"/>
    <w:rsid w:val="00B51CD3"/>
    <w:rsid w:val="00B63B00"/>
    <w:rsid w:val="00B7646E"/>
    <w:rsid w:val="00B86135"/>
    <w:rsid w:val="00B866A9"/>
    <w:rsid w:val="00B902B6"/>
    <w:rsid w:val="00B92193"/>
    <w:rsid w:val="00BA561A"/>
    <w:rsid w:val="00BB2BB9"/>
    <w:rsid w:val="00BB7178"/>
    <w:rsid w:val="00BE0187"/>
    <w:rsid w:val="00BE060A"/>
    <w:rsid w:val="00BF1183"/>
    <w:rsid w:val="00C00418"/>
    <w:rsid w:val="00C047BE"/>
    <w:rsid w:val="00C173EE"/>
    <w:rsid w:val="00C4283E"/>
    <w:rsid w:val="00C42AAB"/>
    <w:rsid w:val="00C75A10"/>
    <w:rsid w:val="00C805D1"/>
    <w:rsid w:val="00C85D09"/>
    <w:rsid w:val="00C909B9"/>
    <w:rsid w:val="00CA4861"/>
    <w:rsid w:val="00CB0238"/>
    <w:rsid w:val="00CB3066"/>
    <w:rsid w:val="00CB4284"/>
    <w:rsid w:val="00CB611C"/>
    <w:rsid w:val="00CB7194"/>
    <w:rsid w:val="00CE317A"/>
    <w:rsid w:val="00CF19FD"/>
    <w:rsid w:val="00CF2873"/>
    <w:rsid w:val="00D03A9B"/>
    <w:rsid w:val="00D03B41"/>
    <w:rsid w:val="00D05166"/>
    <w:rsid w:val="00D12249"/>
    <w:rsid w:val="00D1372C"/>
    <w:rsid w:val="00D1422C"/>
    <w:rsid w:val="00D157F6"/>
    <w:rsid w:val="00D27867"/>
    <w:rsid w:val="00D3297A"/>
    <w:rsid w:val="00D34B9C"/>
    <w:rsid w:val="00D36353"/>
    <w:rsid w:val="00D47A4F"/>
    <w:rsid w:val="00D50236"/>
    <w:rsid w:val="00D71B87"/>
    <w:rsid w:val="00D830C7"/>
    <w:rsid w:val="00D95EE7"/>
    <w:rsid w:val="00DA5F07"/>
    <w:rsid w:val="00DA6485"/>
    <w:rsid w:val="00DB0F84"/>
    <w:rsid w:val="00DB5540"/>
    <w:rsid w:val="00DB5E39"/>
    <w:rsid w:val="00DB70E3"/>
    <w:rsid w:val="00DF2AD7"/>
    <w:rsid w:val="00DF3CB5"/>
    <w:rsid w:val="00E0432F"/>
    <w:rsid w:val="00E04408"/>
    <w:rsid w:val="00E14C67"/>
    <w:rsid w:val="00E22644"/>
    <w:rsid w:val="00E30C5E"/>
    <w:rsid w:val="00E372BB"/>
    <w:rsid w:val="00E4775A"/>
    <w:rsid w:val="00E55075"/>
    <w:rsid w:val="00E63602"/>
    <w:rsid w:val="00E65A18"/>
    <w:rsid w:val="00E720B0"/>
    <w:rsid w:val="00E86BCE"/>
    <w:rsid w:val="00EA5964"/>
    <w:rsid w:val="00EA5BE4"/>
    <w:rsid w:val="00EB24F2"/>
    <w:rsid w:val="00EB3D54"/>
    <w:rsid w:val="00EB6F6F"/>
    <w:rsid w:val="00EC2758"/>
    <w:rsid w:val="00EC7838"/>
    <w:rsid w:val="00ED5145"/>
    <w:rsid w:val="00ED7BFE"/>
    <w:rsid w:val="00EE14F7"/>
    <w:rsid w:val="00EE30F6"/>
    <w:rsid w:val="00EF0DD4"/>
    <w:rsid w:val="00F01D5D"/>
    <w:rsid w:val="00F032F8"/>
    <w:rsid w:val="00F07B5D"/>
    <w:rsid w:val="00F11FB6"/>
    <w:rsid w:val="00F13186"/>
    <w:rsid w:val="00F14D6C"/>
    <w:rsid w:val="00F170F4"/>
    <w:rsid w:val="00F24948"/>
    <w:rsid w:val="00F36A2A"/>
    <w:rsid w:val="00F47BC6"/>
    <w:rsid w:val="00F47BCA"/>
    <w:rsid w:val="00F50280"/>
    <w:rsid w:val="00F530A9"/>
    <w:rsid w:val="00F530F2"/>
    <w:rsid w:val="00F56EB7"/>
    <w:rsid w:val="00F62BA5"/>
    <w:rsid w:val="00F74240"/>
    <w:rsid w:val="00F95D89"/>
    <w:rsid w:val="00FA2DDE"/>
    <w:rsid w:val="00FA5D96"/>
    <w:rsid w:val="00FC0F89"/>
    <w:rsid w:val="00FC67F3"/>
    <w:rsid w:val="00FC71EC"/>
    <w:rsid w:val="00FD0C96"/>
    <w:rsid w:val="00FE266C"/>
    <w:rsid w:val="00FE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25CB22"/>
  <w15:chartTrackingRefBased/>
  <w15:docId w15:val="{2C93CAC0-BE65-4DF3-BCD1-2B5B20A3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1E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ED9"/>
  </w:style>
  <w:style w:type="paragraph" w:styleId="Footer">
    <w:name w:val="footer"/>
    <w:basedOn w:val="Normal"/>
    <w:link w:val="FooterChar"/>
    <w:uiPriority w:val="99"/>
    <w:unhideWhenUsed/>
    <w:rsid w:val="00A01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ED9"/>
  </w:style>
  <w:style w:type="paragraph" w:styleId="Title">
    <w:name w:val="Title"/>
    <w:basedOn w:val="Normal"/>
    <w:next w:val="Normal"/>
    <w:link w:val="TitleChar"/>
    <w:uiPriority w:val="10"/>
    <w:qFormat/>
    <w:rsid w:val="00A01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E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1ED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1ED9"/>
    <w:pPr>
      <w:outlineLvl w:val="9"/>
    </w:pPr>
    <w:rPr>
      <w:lang w:val="en-US"/>
    </w:rPr>
  </w:style>
  <w:style w:type="character" w:customStyle="1" w:styleId="Heading2Char">
    <w:name w:val="Heading 2 Char"/>
    <w:basedOn w:val="DefaultParagraphFont"/>
    <w:link w:val="Heading2"/>
    <w:uiPriority w:val="9"/>
    <w:rsid w:val="003801D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26E50"/>
    <w:pPr>
      <w:tabs>
        <w:tab w:val="right" w:leader="dot" w:pos="9016"/>
      </w:tabs>
      <w:spacing w:after="100"/>
    </w:pPr>
  </w:style>
  <w:style w:type="paragraph" w:styleId="TOC2">
    <w:name w:val="toc 2"/>
    <w:basedOn w:val="Normal"/>
    <w:next w:val="Normal"/>
    <w:autoRedefine/>
    <w:uiPriority w:val="39"/>
    <w:unhideWhenUsed/>
    <w:rsid w:val="00926E50"/>
    <w:pPr>
      <w:tabs>
        <w:tab w:val="right" w:leader="dot" w:pos="9016"/>
      </w:tabs>
      <w:spacing w:after="100"/>
      <w:ind w:left="240"/>
    </w:pPr>
  </w:style>
  <w:style w:type="character" w:styleId="Hyperlink">
    <w:name w:val="Hyperlink"/>
    <w:basedOn w:val="DefaultParagraphFont"/>
    <w:uiPriority w:val="99"/>
    <w:unhideWhenUsed/>
    <w:rsid w:val="003801DF"/>
    <w:rPr>
      <w:color w:val="0563C1" w:themeColor="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B3066"/>
    <w:pPr>
      <w:spacing w:after="0" w:line="240" w:lineRule="auto"/>
      <w:ind w:left="720"/>
      <w:contextualSpacing/>
    </w:pPr>
    <w:rPr>
      <w:rFonts w:eastAsia="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B3066"/>
    <w:rPr>
      <w:rFonts w:eastAsia="Times New Roman"/>
    </w:rPr>
  </w:style>
  <w:style w:type="paragraph" w:styleId="PlainText">
    <w:name w:val="Plain Text"/>
    <w:basedOn w:val="Normal"/>
    <w:link w:val="PlainTextChar"/>
    <w:uiPriority w:val="99"/>
    <w:unhideWhenUsed/>
    <w:rsid w:val="00B4158E"/>
    <w:pPr>
      <w:spacing w:after="0" w:line="240" w:lineRule="auto"/>
    </w:pPr>
    <w:rPr>
      <w:rFonts w:ascii="Calibri" w:hAnsi="Calibri"/>
      <w:sz w:val="22"/>
      <w:szCs w:val="22"/>
      <w:lang w:eastAsia="en-AU"/>
    </w:rPr>
  </w:style>
  <w:style w:type="character" w:customStyle="1" w:styleId="PlainTextChar">
    <w:name w:val="Plain Text Char"/>
    <w:basedOn w:val="DefaultParagraphFont"/>
    <w:link w:val="PlainText"/>
    <w:uiPriority w:val="99"/>
    <w:rsid w:val="00B4158E"/>
    <w:rPr>
      <w:rFonts w:ascii="Calibri" w:hAnsi="Calibri"/>
      <w:sz w:val="22"/>
      <w:szCs w:val="22"/>
      <w:lang w:eastAsia="en-AU"/>
    </w:rPr>
  </w:style>
  <w:style w:type="character" w:styleId="CommentReference">
    <w:name w:val="annotation reference"/>
    <w:basedOn w:val="DefaultParagraphFont"/>
    <w:uiPriority w:val="99"/>
    <w:semiHidden/>
    <w:unhideWhenUsed/>
    <w:rsid w:val="00777D2B"/>
    <w:rPr>
      <w:sz w:val="16"/>
      <w:szCs w:val="16"/>
    </w:rPr>
  </w:style>
  <w:style w:type="paragraph" w:styleId="CommentText">
    <w:name w:val="annotation text"/>
    <w:basedOn w:val="Normal"/>
    <w:link w:val="CommentTextChar"/>
    <w:uiPriority w:val="99"/>
    <w:semiHidden/>
    <w:unhideWhenUsed/>
    <w:rsid w:val="00777D2B"/>
    <w:pPr>
      <w:spacing w:line="240" w:lineRule="auto"/>
    </w:pPr>
    <w:rPr>
      <w:sz w:val="20"/>
      <w:szCs w:val="20"/>
    </w:rPr>
  </w:style>
  <w:style w:type="character" w:customStyle="1" w:styleId="CommentTextChar">
    <w:name w:val="Comment Text Char"/>
    <w:basedOn w:val="DefaultParagraphFont"/>
    <w:link w:val="CommentText"/>
    <w:uiPriority w:val="99"/>
    <w:semiHidden/>
    <w:rsid w:val="00777D2B"/>
    <w:rPr>
      <w:sz w:val="20"/>
      <w:szCs w:val="20"/>
    </w:rPr>
  </w:style>
  <w:style w:type="paragraph" w:styleId="CommentSubject">
    <w:name w:val="annotation subject"/>
    <w:basedOn w:val="CommentText"/>
    <w:next w:val="CommentText"/>
    <w:link w:val="CommentSubjectChar"/>
    <w:uiPriority w:val="99"/>
    <w:semiHidden/>
    <w:unhideWhenUsed/>
    <w:rsid w:val="00777D2B"/>
    <w:rPr>
      <w:b/>
      <w:bCs/>
    </w:rPr>
  </w:style>
  <w:style w:type="character" w:customStyle="1" w:styleId="CommentSubjectChar">
    <w:name w:val="Comment Subject Char"/>
    <w:basedOn w:val="CommentTextChar"/>
    <w:link w:val="CommentSubject"/>
    <w:uiPriority w:val="99"/>
    <w:semiHidden/>
    <w:rsid w:val="00777D2B"/>
    <w:rPr>
      <w:b/>
      <w:bCs/>
      <w:sz w:val="20"/>
      <w:szCs w:val="20"/>
    </w:rPr>
  </w:style>
  <w:style w:type="paragraph" w:styleId="BalloonText">
    <w:name w:val="Balloon Text"/>
    <w:basedOn w:val="Normal"/>
    <w:link w:val="BalloonTextChar"/>
    <w:uiPriority w:val="99"/>
    <w:semiHidden/>
    <w:unhideWhenUsed/>
    <w:rsid w:val="0077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2B"/>
    <w:rPr>
      <w:rFonts w:ascii="Segoe UI" w:hAnsi="Segoe UI" w:cs="Segoe UI"/>
      <w:sz w:val="18"/>
      <w:szCs w:val="18"/>
    </w:rPr>
  </w:style>
  <w:style w:type="paragraph" w:styleId="Revision">
    <w:name w:val="Revision"/>
    <w:hidden/>
    <w:uiPriority w:val="99"/>
    <w:semiHidden/>
    <w:rsid w:val="00F530F2"/>
    <w:pPr>
      <w:spacing w:after="0" w:line="240" w:lineRule="auto"/>
    </w:pPr>
  </w:style>
  <w:style w:type="character" w:styleId="FootnoteReference">
    <w:name w:val="footnote reference"/>
    <w:aliases w:val="(NECG) Footnote Reference"/>
    <w:unhideWhenUsed/>
    <w:rsid w:val="001547D9"/>
    <w:rPr>
      <w:vertAlign w:val="superscript"/>
    </w:rPr>
  </w:style>
  <w:style w:type="paragraph" w:styleId="FootnoteText">
    <w:name w:val="footnote text"/>
    <w:aliases w:val="NG - Footnote,(NECG) Footnote Text"/>
    <w:basedOn w:val="Normal"/>
    <w:link w:val="FootnoteTextChar"/>
    <w:qFormat/>
    <w:rsid w:val="001547D9"/>
    <w:pPr>
      <w:spacing w:after="0" w:line="240" w:lineRule="auto"/>
    </w:pPr>
    <w:rPr>
      <w:rFonts w:eastAsia="Times New Roman"/>
      <w:sz w:val="20"/>
      <w:szCs w:val="20"/>
      <w:lang w:val="en-US" w:eastAsia="en-AU"/>
    </w:rPr>
  </w:style>
  <w:style w:type="character" w:customStyle="1" w:styleId="FootnoteTextChar">
    <w:name w:val="Footnote Text Char"/>
    <w:aliases w:val="NG - Footnote Char,(NECG) Footnote Text Char"/>
    <w:basedOn w:val="DefaultParagraphFont"/>
    <w:link w:val="FootnoteText"/>
    <w:rsid w:val="001547D9"/>
    <w:rPr>
      <w:rFonts w:eastAsia="Times New Roman"/>
      <w:sz w:val="20"/>
      <w:szCs w:val="20"/>
      <w:lang w:val="en-US" w:eastAsia="en-AU"/>
    </w:rPr>
  </w:style>
  <w:style w:type="character" w:styleId="Emphasis">
    <w:name w:val="Emphasis"/>
    <w:basedOn w:val="DefaultParagraphFont"/>
    <w:uiPriority w:val="20"/>
    <w:qFormat/>
    <w:rsid w:val="00537E0C"/>
    <w:rPr>
      <w:i/>
      <w:iCs/>
    </w:rPr>
  </w:style>
  <w:style w:type="paragraph" w:styleId="NormalWeb">
    <w:name w:val="Normal (Web)"/>
    <w:basedOn w:val="Normal"/>
    <w:uiPriority w:val="99"/>
    <w:semiHidden/>
    <w:unhideWhenUsed/>
    <w:rsid w:val="008F5CEA"/>
    <w:pPr>
      <w:spacing w:before="100" w:beforeAutospacing="1" w:after="100" w:afterAutospacing="1" w:line="240" w:lineRule="auto"/>
    </w:pPr>
    <w:rPr>
      <w:rFonts w:eastAsia="Times New Roman"/>
      <w:lang w:eastAsia="en-AU"/>
    </w:rPr>
  </w:style>
  <w:style w:type="paragraph" w:customStyle="1" w:styleId="Default">
    <w:name w:val="Default"/>
    <w:rsid w:val="00821F1A"/>
    <w:pPr>
      <w:autoSpaceDE w:val="0"/>
      <w:autoSpaceDN w:val="0"/>
      <w:adjustRightInd w:val="0"/>
      <w:spacing w:after="0" w:line="240" w:lineRule="auto"/>
    </w:pPr>
    <w:rPr>
      <w:rFonts w:ascii="Raleway" w:hAnsi="Raleway" w:cs="Raleway"/>
      <w:color w:val="000000"/>
    </w:rPr>
  </w:style>
  <w:style w:type="paragraph" w:customStyle="1" w:styleId="Pa8">
    <w:name w:val="Pa8"/>
    <w:basedOn w:val="Default"/>
    <w:next w:val="Default"/>
    <w:uiPriority w:val="99"/>
    <w:rsid w:val="00821F1A"/>
    <w:pPr>
      <w:spacing w:line="241" w:lineRule="atLeast"/>
    </w:pPr>
    <w:rPr>
      <w:rFonts w:cs="Times New Roman"/>
      <w:color w:val="auto"/>
    </w:rPr>
  </w:style>
  <w:style w:type="character" w:customStyle="1" w:styleId="OutlineNumbered1Char">
    <w:name w:val="Outline Numbered 1 Char"/>
    <w:basedOn w:val="DefaultParagraphFont"/>
    <w:link w:val="OutlineNumbered1"/>
    <w:locked/>
    <w:rsid w:val="009D46AC"/>
    <w:rPr>
      <w:rFonts w:ascii="Book Antiqua" w:hAnsi="Book Antiqua"/>
    </w:rPr>
  </w:style>
  <w:style w:type="paragraph" w:customStyle="1" w:styleId="OutlineNumbered1">
    <w:name w:val="Outline Numbered 1"/>
    <w:basedOn w:val="Normal"/>
    <w:link w:val="OutlineNumbered1Char"/>
    <w:rsid w:val="009D46AC"/>
    <w:pPr>
      <w:spacing w:after="24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6580">
      <w:bodyDiv w:val="1"/>
      <w:marLeft w:val="0"/>
      <w:marRight w:val="0"/>
      <w:marTop w:val="0"/>
      <w:marBottom w:val="0"/>
      <w:divBdr>
        <w:top w:val="none" w:sz="0" w:space="0" w:color="auto"/>
        <w:left w:val="none" w:sz="0" w:space="0" w:color="auto"/>
        <w:bottom w:val="none" w:sz="0" w:space="0" w:color="auto"/>
        <w:right w:val="none" w:sz="0" w:space="0" w:color="auto"/>
      </w:divBdr>
      <w:divsChild>
        <w:div w:id="146337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120674">
      <w:bodyDiv w:val="1"/>
      <w:marLeft w:val="0"/>
      <w:marRight w:val="0"/>
      <w:marTop w:val="0"/>
      <w:marBottom w:val="0"/>
      <w:divBdr>
        <w:top w:val="none" w:sz="0" w:space="0" w:color="auto"/>
        <w:left w:val="none" w:sz="0" w:space="0" w:color="auto"/>
        <w:bottom w:val="none" w:sz="0" w:space="0" w:color="auto"/>
        <w:right w:val="none" w:sz="0" w:space="0" w:color="auto"/>
      </w:divBdr>
    </w:div>
    <w:div w:id="296951971">
      <w:bodyDiv w:val="1"/>
      <w:marLeft w:val="0"/>
      <w:marRight w:val="0"/>
      <w:marTop w:val="0"/>
      <w:marBottom w:val="0"/>
      <w:divBdr>
        <w:top w:val="none" w:sz="0" w:space="0" w:color="auto"/>
        <w:left w:val="none" w:sz="0" w:space="0" w:color="auto"/>
        <w:bottom w:val="none" w:sz="0" w:space="0" w:color="auto"/>
        <w:right w:val="none" w:sz="0" w:space="0" w:color="auto"/>
      </w:divBdr>
    </w:div>
    <w:div w:id="316761990">
      <w:bodyDiv w:val="1"/>
      <w:marLeft w:val="0"/>
      <w:marRight w:val="0"/>
      <w:marTop w:val="0"/>
      <w:marBottom w:val="0"/>
      <w:divBdr>
        <w:top w:val="none" w:sz="0" w:space="0" w:color="auto"/>
        <w:left w:val="none" w:sz="0" w:space="0" w:color="auto"/>
        <w:bottom w:val="none" w:sz="0" w:space="0" w:color="auto"/>
        <w:right w:val="none" w:sz="0" w:space="0" w:color="auto"/>
      </w:divBdr>
      <w:divsChild>
        <w:div w:id="1657109940">
          <w:marLeft w:val="0"/>
          <w:marRight w:val="0"/>
          <w:marTop w:val="0"/>
          <w:marBottom w:val="0"/>
          <w:divBdr>
            <w:top w:val="none" w:sz="0" w:space="0" w:color="auto"/>
            <w:left w:val="none" w:sz="0" w:space="0" w:color="auto"/>
            <w:bottom w:val="none" w:sz="0" w:space="0" w:color="auto"/>
            <w:right w:val="none" w:sz="0" w:space="0" w:color="auto"/>
          </w:divBdr>
        </w:div>
      </w:divsChild>
    </w:div>
    <w:div w:id="364018288">
      <w:bodyDiv w:val="1"/>
      <w:marLeft w:val="0"/>
      <w:marRight w:val="0"/>
      <w:marTop w:val="0"/>
      <w:marBottom w:val="0"/>
      <w:divBdr>
        <w:top w:val="none" w:sz="0" w:space="0" w:color="auto"/>
        <w:left w:val="none" w:sz="0" w:space="0" w:color="auto"/>
        <w:bottom w:val="none" w:sz="0" w:space="0" w:color="auto"/>
        <w:right w:val="none" w:sz="0" w:space="0" w:color="auto"/>
      </w:divBdr>
    </w:div>
    <w:div w:id="390346536">
      <w:bodyDiv w:val="1"/>
      <w:marLeft w:val="0"/>
      <w:marRight w:val="0"/>
      <w:marTop w:val="0"/>
      <w:marBottom w:val="0"/>
      <w:divBdr>
        <w:top w:val="none" w:sz="0" w:space="0" w:color="auto"/>
        <w:left w:val="none" w:sz="0" w:space="0" w:color="auto"/>
        <w:bottom w:val="none" w:sz="0" w:space="0" w:color="auto"/>
        <w:right w:val="none" w:sz="0" w:space="0" w:color="auto"/>
      </w:divBdr>
      <w:divsChild>
        <w:div w:id="1007175102">
          <w:marLeft w:val="0"/>
          <w:marRight w:val="0"/>
          <w:marTop w:val="0"/>
          <w:marBottom w:val="0"/>
          <w:divBdr>
            <w:top w:val="none" w:sz="0" w:space="0" w:color="auto"/>
            <w:left w:val="none" w:sz="0" w:space="0" w:color="auto"/>
            <w:bottom w:val="none" w:sz="0" w:space="0" w:color="auto"/>
            <w:right w:val="none" w:sz="0" w:space="0" w:color="auto"/>
          </w:divBdr>
        </w:div>
      </w:divsChild>
    </w:div>
    <w:div w:id="422534867">
      <w:bodyDiv w:val="1"/>
      <w:marLeft w:val="0"/>
      <w:marRight w:val="0"/>
      <w:marTop w:val="0"/>
      <w:marBottom w:val="0"/>
      <w:divBdr>
        <w:top w:val="none" w:sz="0" w:space="0" w:color="auto"/>
        <w:left w:val="none" w:sz="0" w:space="0" w:color="auto"/>
        <w:bottom w:val="none" w:sz="0" w:space="0" w:color="auto"/>
        <w:right w:val="none" w:sz="0" w:space="0" w:color="auto"/>
      </w:divBdr>
    </w:div>
    <w:div w:id="438567558">
      <w:bodyDiv w:val="1"/>
      <w:marLeft w:val="0"/>
      <w:marRight w:val="0"/>
      <w:marTop w:val="0"/>
      <w:marBottom w:val="0"/>
      <w:divBdr>
        <w:top w:val="none" w:sz="0" w:space="0" w:color="auto"/>
        <w:left w:val="none" w:sz="0" w:space="0" w:color="auto"/>
        <w:bottom w:val="none" w:sz="0" w:space="0" w:color="auto"/>
        <w:right w:val="none" w:sz="0" w:space="0" w:color="auto"/>
      </w:divBdr>
    </w:div>
    <w:div w:id="651325051">
      <w:bodyDiv w:val="1"/>
      <w:marLeft w:val="0"/>
      <w:marRight w:val="0"/>
      <w:marTop w:val="0"/>
      <w:marBottom w:val="0"/>
      <w:divBdr>
        <w:top w:val="none" w:sz="0" w:space="0" w:color="auto"/>
        <w:left w:val="none" w:sz="0" w:space="0" w:color="auto"/>
        <w:bottom w:val="none" w:sz="0" w:space="0" w:color="auto"/>
        <w:right w:val="none" w:sz="0" w:space="0" w:color="auto"/>
      </w:divBdr>
      <w:divsChild>
        <w:div w:id="2036032260">
          <w:marLeft w:val="0"/>
          <w:marRight w:val="0"/>
          <w:marTop w:val="0"/>
          <w:marBottom w:val="0"/>
          <w:divBdr>
            <w:top w:val="none" w:sz="0" w:space="0" w:color="auto"/>
            <w:left w:val="none" w:sz="0" w:space="0" w:color="auto"/>
            <w:bottom w:val="none" w:sz="0" w:space="0" w:color="auto"/>
            <w:right w:val="none" w:sz="0" w:space="0" w:color="auto"/>
          </w:divBdr>
        </w:div>
      </w:divsChild>
    </w:div>
    <w:div w:id="821963930">
      <w:bodyDiv w:val="1"/>
      <w:marLeft w:val="0"/>
      <w:marRight w:val="0"/>
      <w:marTop w:val="0"/>
      <w:marBottom w:val="0"/>
      <w:divBdr>
        <w:top w:val="none" w:sz="0" w:space="0" w:color="auto"/>
        <w:left w:val="none" w:sz="0" w:space="0" w:color="auto"/>
        <w:bottom w:val="none" w:sz="0" w:space="0" w:color="auto"/>
        <w:right w:val="none" w:sz="0" w:space="0" w:color="auto"/>
      </w:divBdr>
    </w:div>
    <w:div w:id="845901855">
      <w:bodyDiv w:val="1"/>
      <w:marLeft w:val="0"/>
      <w:marRight w:val="0"/>
      <w:marTop w:val="0"/>
      <w:marBottom w:val="0"/>
      <w:divBdr>
        <w:top w:val="none" w:sz="0" w:space="0" w:color="auto"/>
        <w:left w:val="none" w:sz="0" w:space="0" w:color="auto"/>
        <w:bottom w:val="none" w:sz="0" w:space="0" w:color="auto"/>
        <w:right w:val="none" w:sz="0" w:space="0" w:color="auto"/>
      </w:divBdr>
    </w:div>
    <w:div w:id="932281707">
      <w:bodyDiv w:val="1"/>
      <w:marLeft w:val="0"/>
      <w:marRight w:val="0"/>
      <w:marTop w:val="0"/>
      <w:marBottom w:val="0"/>
      <w:divBdr>
        <w:top w:val="none" w:sz="0" w:space="0" w:color="auto"/>
        <w:left w:val="none" w:sz="0" w:space="0" w:color="auto"/>
        <w:bottom w:val="none" w:sz="0" w:space="0" w:color="auto"/>
        <w:right w:val="none" w:sz="0" w:space="0" w:color="auto"/>
      </w:divBdr>
    </w:div>
    <w:div w:id="1020274076">
      <w:bodyDiv w:val="1"/>
      <w:marLeft w:val="0"/>
      <w:marRight w:val="0"/>
      <w:marTop w:val="0"/>
      <w:marBottom w:val="0"/>
      <w:divBdr>
        <w:top w:val="none" w:sz="0" w:space="0" w:color="auto"/>
        <w:left w:val="none" w:sz="0" w:space="0" w:color="auto"/>
        <w:bottom w:val="none" w:sz="0" w:space="0" w:color="auto"/>
        <w:right w:val="none" w:sz="0" w:space="0" w:color="auto"/>
      </w:divBdr>
    </w:div>
    <w:div w:id="1364163427">
      <w:bodyDiv w:val="1"/>
      <w:marLeft w:val="0"/>
      <w:marRight w:val="0"/>
      <w:marTop w:val="0"/>
      <w:marBottom w:val="0"/>
      <w:divBdr>
        <w:top w:val="none" w:sz="0" w:space="0" w:color="auto"/>
        <w:left w:val="none" w:sz="0" w:space="0" w:color="auto"/>
        <w:bottom w:val="none" w:sz="0" w:space="0" w:color="auto"/>
        <w:right w:val="none" w:sz="0" w:space="0" w:color="auto"/>
      </w:divBdr>
    </w:div>
    <w:div w:id="1929726841">
      <w:bodyDiv w:val="1"/>
      <w:marLeft w:val="0"/>
      <w:marRight w:val="0"/>
      <w:marTop w:val="0"/>
      <w:marBottom w:val="0"/>
      <w:divBdr>
        <w:top w:val="none" w:sz="0" w:space="0" w:color="auto"/>
        <w:left w:val="none" w:sz="0" w:space="0" w:color="auto"/>
        <w:bottom w:val="none" w:sz="0" w:space="0" w:color="auto"/>
        <w:right w:val="none" w:sz="0" w:space="0" w:color="auto"/>
      </w:divBdr>
    </w:div>
    <w:div w:id="2062171409">
      <w:bodyDiv w:val="1"/>
      <w:marLeft w:val="0"/>
      <w:marRight w:val="0"/>
      <w:marTop w:val="0"/>
      <w:marBottom w:val="0"/>
      <w:divBdr>
        <w:top w:val="none" w:sz="0" w:space="0" w:color="auto"/>
        <w:left w:val="none" w:sz="0" w:space="0" w:color="auto"/>
        <w:bottom w:val="none" w:sz="0" w:space="0" w:color="auto"/>
        <w:right w:val="none" w:sz="0" w:space="0" w:color="auto"/>
      </w:divBdr>
    </w:div>
    <w:div w:id="20856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533E059DC22341A1E37DF71753F967" ma:contentTypeVersion="" ma:contentTypeDescription="PDMS Document Site Content Type" ma:contentTypeScope="" ma:versionID="f3de396b6a3f87b98f05db96114157b1">
  <xsd:schema xmlns:xsd="http://www.w3.org/2001/XMLSchema" xmlns:xs="http://www.w3.org/2001/XMLSchema" xmlns:p="http://schemas.microsoft.com/office/2006/metadata/properties" xmlns:ns2="0E292120-FA9D-451A-9C54-02261D6DB74E" targetNamespace="http://schemas.microsoft.com/office/2006/metadata/properties" ma:root="true" ma:fieldsID="5566fe0cacbc587cd68426af7bcebca9" ns2:_="">
    <xsd:import namespace="0E292120-FA9D-451A-9C54-02261D6DB7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2120-FA9D-451A-9C54-02261D6DB7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E292120-FA9D-451A-9C54-02261D6DB7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6897-38BA-4E1A-9286-2AF70C7C2861}">
  <ds:schemaRefs>
    <ds:schemaRef ds:uri="http://schemas.microsoft.com/sharepoint/v3/contenttype/forms"/>
  </ds:schemaRefs>
</ds:datastoreItem>
</file>

<file path=customXml/itemProps2.xml><?xml version="1.0" encoding="utf-8"?>
<ds:datastoreItem xmlns:ds="http://schemas.openxmlformats.org/officeDocument/2006/customXml" ds:itemID="{F4D959ED-1D39-4450-A94D-F48FC44F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2120-FA9D-451A-9C54-02261D6D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C5D6B-0F3B-498E-9875-2AC21E697BE6}">
  <ds:schemaRefs>
    <ds:schemaRef ds:uri="http://schemas.openxmlformats.org/package/2006/metadata/core-properties"/>
    <ds:schemaRef ds:uri="0E292120-FA9D-451A-9C54-02261D6DB74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E476E64-1208-46D5-962D-69415E63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dc:creator>
  <cp:keywords/>
  <dc:description/>
  <cp:lastModifiedBy>PROUDFOOT, Cassandra</cp:lastModifiedBy>
  <cp:revision>3</cp:revision>
  <cp:lastPrinted>2019-09-19T03:48:00Z</cp:lastPrinted>
  <dcterms:created xsi:type="dcterms:W3CDTF">2020-11-03T01:12:00Z</dcterms:created>
  <dcterms:modified xsi:type="dcterms:W3CDTF">2020-11-03T01:22:00Z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0x010100266966F133664895A6EE3632470D45F500BA533E059DC22341A1E37DF71753F967</vt:lpwstr>
  </property>
</Properties>
</file>