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Verdana" w:hAnsi="Verdana" w:cs="Times New Roman"/>
          <w:b w:val="0"/>
          <w:bCs w:val="0"/>
          <w:kern w:val="0"/>
          <w:sz w:val="32"/>
          <w:szCs w:val="24"/>
        </w:rPr>
        <w:id w:val="-778645133"/>
        <w:docPartObj>
          <w:docPartGallery w:val="Cover Pages"/>
          <w:docPartUnique/>
        </w:docPartObj>
      </w:sdtPr>
      <w:sdtEndPr>
        <w:rPr>
          <w:kern w:val="32"/>
          <w:sz w:val="2"/>
        </w:rPr>
      </w:sdtEndPr>
      <w:sdtContent>
        <w:p w:rsidR="000D1D1D" w:rsidRPr="000D1D1D" w:rsidRDefault="000D1D1D" w:rsidP="000D1D1D">
          <w:pPr>
            <w:pStyle w:val="Heading1"/>
            <w:jc w:val="center"/>
            <w:rPr>
              <w:rFonts w:ascii="Verdana" w:hAnsi="Verdana"/>
              <w:sz w:val="32"/>
            </w:rPr>
          </w:pPr>
          <w:r w:rsidRPr="000D1D1D">
            <w:rPr>
              <w:rFonts w:ascii="Verdana" w:hAnsi="Verdana"/>
              <w:sz w:val="32"/>
            </w:rPr>
            <w:t>Header Agreement for the National Psychosocial Support measure</w:t>
          </w:r>
        </w:p>
        <w:p w:rsidR="000D1D1D" w:rsidRDefault="001101C5" w:rsidP="000D1D1D">
          <w:pPr>
            <w:spacing w:line="260" w:lineRule="exact"/>
            <w:rPr>
              <w:b/>
              <w:sz w:val="28"/>
            </w:rPr>
          </w:pPr>
        </w:p>
      </w:sdtContent>
    </w:sdt>
    <w:p w:rsidR="000D1D1D" w:rsidRPr="00AA3356" w:rsidRDefault="000D1D1D" w:rsidP="000D1D1D">
      <w:pPr>
        <w:spacing w:line="260" w:lineRule="exact"/>
        <w:rPr>
          <w:rFonts w:cs="Arial"/>
          <w:b/>
          <w:bCs/>
          <w:kern w:val="32"/>
          <w:sz w:val="2"/>
          <w:szCs w:val="32"/>
        </w:rPr>
      </w:pPr>
      <w:r w:rsidRPr="00AA3356">
        <w:rPr>
          <w:b/>
          <w:sz w:val="28"/>
        </w:rPr>
        <w:t>Part 1 — Preliminaries and Intent</w:t>
      </w:r>
    </w:p>
    <w:p w:rsidR="000D1D1D" w:rsidRPr="00AA3356" w:rsidRDefault="000D1D1D" w:rsidP="000D1D1D">
      <w:pPr>
        <w:pStyle w:val="Normalnumbered"/>
        <w:numPr>
          <w:ilvl w:val="0"/>
          <w:numId w:val="1"/>
        </w:numPr>
        <w:spacing w:before="240" w:after="0"/>
        <w:jc w:val="left"/>
        <w:rPr>
          <w:rFonts w:ascii="Verdana" w:hAnsi="Verdana" w:cs="Arial"/>
          <w:color w:val="auto"/>
          <w:sz w:val="20"/>
        </w:rPr>
      </w:pPr>
      <w:r w:rsidRPr="00AA3356">
        <w:rPr>
          <w:rFonts w:ascii="Verdana" w:hAnsi="Verdana"/>
          <w:color w:val="auto"/>
          <w:sz w:val="20"/>
        </w:rPr>
        <w:t xml:space="preserve">The Commonwealth of Australia (the Commonwealth) and </w:t>
      </w:r>
      <w:r>
        <w:rPr>
          <w:rFonts w:ascii="Verdana" w:hAnsi="Verdana"/>
          <w:color w:val="auto"/>
          <w:sz w:val="20"/>
        </w:rPr>
        <w:t xml:space="preserve">the States and Territories </w:t>
      </w:r>
      <w:r w:rsidRPr="00AA3356">
        <w:rPr>
          <w:rFonts w:ascii="Verdana" w:hAnsi="Verdana"/>
          <w:color w:val="auto"/>
          <w:sz w:val="20"/>
        </w:rPr>
        <w:t>acknowledge that while Australia is in the process of transitioning to a national disability insurance scheme</w:t>
      </w:r>
      <w:r>
        <w:rPr>
          <w:rFonts w:ascii="Verdana" w:hAnsi="Verdana"/>
          <w:color w:val="auto"/>
          <w:sz w:val="20"/>
        </w:rPr>
        <w:t xml:space="preserve"> (NDIS)</w:t>
      </w:r>
      <w:r w:rsidRPr="00AA3356">
        <w:rPr>
          <w:rFonts w:ascii="Verdana" w:hAnsi="Verdana"/>
          <w:color w:val="auto"/>
          <w:sz w:val="20"/>
        </w:rPr>
        <w:t xml:space="preserve"> and has a high performing health system, some people with severe mental illness and associated psychosocial functional impairment may not always be appropriately supported through these systems. </w:t>
      </w:r>
    </w:p>
    <w:p w:rsidR="000D1D1D" w:rsidRPr="00AA3356" w:rsidRDefault="000D1D1D" w:rsidP="000D1D1D">
      <w:pPr>
        <w:pStyle w:val="Normalnumbered"/>
        <w:numPr>
          <w:ilvl w:val="0"/>
          <w:numId w:val="1"/>
        </w:numPr>
        <w:spacing w:before="240" w:after="0"/>
        <w:jc w:val="left"/>
        <w:rPr>
          <w:rFonts w:ascii="Verdana" w:hAnsi="Verdana"/>
          <w:color w:val="auto"/>
          <w:sz w:val="20"/>
        </w:rPr>
      </w:pPr>
      <w:r w:rsidRPr="00AA3356">
        <w:rPr>
          <w:rFonts w:ascii="Verdana" w:hAnsi="Verdana"/>
          <w:color w:val="auto"/>
          <w:sz w:val="20"/>
        </w:rPr>
        <w:t xml:space="preserve">This Bilateral Agreement (the Agreement) recognises the mutual interest and investment of the Commonwealth </w:t>
      </w:r>
      <w:r>
        <w:rPr>
          <w:rFonts w:ascii="Verdana" w:hAnsi="Verdana"/>
          <w:color w:val="auto"/>
          <w:sz w:val="20"/>
        </w:rPr>
        <w:t xml:space="preserve">and the States and Territories </w:t>
      </w:r>
      <w:r w:rsidRPr="00AA3356">
        <w:rPr>
          <w:rFonts w:ascii="Verdana" w:hAnsi="Verdana"/>
          <w:color w:val="auto"/>
          <w:sz w:val="20"/>
        </w:rPr>
        <w:t>in</w:t>
      </w:r>
      <w:r>
        <w:rPr>
          <w:rFonts w:ascii="Verdana" w:hAnsi="Verdana"/>
          <w:color w:val="auto"/>
          <w:sz w:val="20"/>
        </w:rPr>
        <w:t xml:space="preserve"> ensuring </w:t>
      </w:r>
      <w:r w:rsidRPr="00AA3356">
        <w:rPr>
          <w:rFonts w:ascii="Verdana" w:hAnsi="Verdana"/>
          <w:color w:val="auto"/>
          <w:sz w:val="20"/>
        </w:rPr>
        <w:t xml:space="preserve">people with severe mental illness and associated psychosocial functional impairment who are not </w:t>
      </w:r>
      <w:r>
        <w:rPr>
          <w:rFonts w:ascii="Verdana" w:hAnsi="Verdana"/>
          <w:color w:val="auto"/>
          <w:sz w:val="20"/>
        </w:rPr>
        <w:t xml:space="preserve">more </w:t>
      </w:r>
      <w:r w:rsidRPr="00AA3356">
        <w:rPr>
          <w:rFonts w:ascii="Verdana" w:hAnsi="Verdana"/>
          <w:color w:val="auto"/>
          <w:sz w:val="20"/>
        </w:rPr>
        <w:t xml:space="preserve">appropriately </w:t>
      </w:r>
      <w:r>
        <w:rPr>
          <w:rFonts w:ascii="Verdana" w:hAnsi="Verdana"/>
          <w:color w:val="auto"/>
          <w:sz w:val="20"/>
        </w:rPr>
        <w:t>funded</w:t>
      </w:r>
      <w:r w:rsidRPr="00AA3356">
        <w:rPr>
          <w:rFonts w:ascii="Verdana" w:hAnsi="Verdana"/>
          <w:color w:val="auto"/>
          <w:sz w:val="20"/>
        </w:rPr>
        <w:t xml:space="preserve"> through the NDIS</w:t>
      </w:r>
      <w:r>
        <w:rPr>
          <w:rFonts w:ascii="Verdana" w:hAnsi="Verdana"/>
          <w:color w:val="auto"/>
          <w:sz w:val="20"/>
        </w:rPr>
        <w:t xml:space="preserve"> can access psychosocial services to optimise mental health outcomes and support recovery,</w:t>
      </w:r>
      <w:r w:rsidRPr="00AA3356">
        <w:rPr>
          <w:rFonts w:ascii="Verdana" w:hAnsi="Verdana"/>
          <w:color w:val="auto"/>
          <w:sz w:val="20"/>
        </w:rPr>
        <w:t xml:space="preserve"> thus reducing avoidable demand for health services. </w:t>
      </w:r>
    </w:p>
    <w:p w:rsidR="000D1D1D" w:rsidRPr="00AA3356" w:rsidRDefault="000D1D1D" w:rsidP="000D1D1D">
      <w:pPr>
        <w:pStyle w:val="Normalnumbered"/>
        <w:numPr>
          <w:ilvl w:val="0"/>
          <w:numId w:val="1"/>
        </w:numPr>
        <w:spacing w:before="240" w:after="0"/>
        <w:jc w:val="left"/>
        <w:rPr>
          <w:rFonts w:ascii="Verdana" w:hAnsi="Verdana"/>
          <w:color w:val="auto"/>
          <w:sz w:val="20"/>
        </w:rPr>
      </w:pPr>
      <w:r w:rsidRPr="00AA3356">
        <w:rPr>
          <w:rFonts w:ascii="Verdana" w:hAnsi="Verdana" w:cs="Arial"/>
          <w:color w:val="auto"/>
          <w:sz w:val="20"/>
        </w:rPr>
        <w:t xml:space="preserve">The Agreement </w:t>
      </w:r>
      <w:r w:rsidRPr="00AA3356">
        <w:rPr>
          <w:rFonts w:ascii="Verdana" w:hAnsi="Verdana"/>
          <w:color w:val="auto"/>
          <w:sz w:val="20"/>
        </w:rPr>
        <w:t xml:space="preserve">sets out an </w:t>
      </w:r>
      <w:r>
        <w:rPr>
          <w:rFonts w:ascii="Verdana" w:hAnsi="Verdana"/>
          <w:color w:val="auto"/>
          <w:sz w:val="20"/>
        </w:rPr>
        <w:t>agreed approach</w:t>
      </w:r>
      <w:r w:rsidRPr="00AA3356">
        <w:rPr>
          <w:rFonts w:ascii="Verdana" w:hAnsi="Verdana"/>
          <w:color w:val="auto"/>
          <w:sz w:val="20"/>
        </w:rPr>
        <w:t xml:space="preserve"> to</w:t>
      </w:r>
      <w:r w:rsidRPr="00AA3356">
        <w:rPr>
          <w:rFonts w:ascii="Verdana" w:hAnsi="Verdana" w:cs="Arial"/>
          <w:color w:val="auto"/>
          <w:sz w:val="20"/>
        </w:rPr>
        <w:t xml:space="preserve"> progress</w:t>
      </w:r>
      <w:r>
        <w:rPr>
          <w:rFonts w:ascii="Verdana" w:hAnsi="Verdana" w:cs="Arial"/>
          <w:color w:val="auto"/>
          <w:sz w:val="20"/>
        </w:rPr>
        <w:t xml:space="preserve"> </w:t>
      </w:r>
      <w:r w:rsidRPr="00AA3356">
        <w:rPr>
          <w:rFonts w:ascii="Verdana" w:hAnsi="Verdana" w:cs="Arial"/>
          <w:color w:val="auto"/>
          <w:sz w:val="20"/>
        </w:rPr>
        <w:t xml:space="preserve">the National Psychosocial Support </w:t>
      </w:r>
      <w:r>
        <w:rPr>
          <w:rFonts w:ascii="Verdana" w:hAnsi="Verdana" w:cs="Arial"/>
          <w:color w:val="auto"/>
          <w:sz w:val="20"/>
        </w:rPr>
        <w:t>M</w:t>
      </w:r>
      <w:r w:rsidRPr="00AA3356">
        <w:rPr>
          <w:rFonts w:ascii="Verdana" w:hAnsi="Verdana" w:cs="Arial"/>
          <w:color w:val="auto"/>
          <w:sz w:val="20"/>
        </w:rPr>
        <w:t>easure.</w:t>
      </w:r>
    </w:p>
    <w:p w:rsidR="000D1D1D" w:rsidRPr="00FF6654" w:rsidRDefault="000D1D1D" w:rsidP="000D1D1D">
      <w:pPr>
        <w:pStyle w:val="Normalnumbered"/>
        <w:numPr>
          <w:ilvl w:val="0"/>
          <w:numId w:val="1"/>
        </w:numPr>
        <w:spacing w:before="240" w:after="0"/>
        <w:jc w:val="left"/>
        <w:rPr>
          <w:rFonts w:ascii="Verdana" w:hAnsi="Verdana"/>
          <w:color w:val="auto"/>
          <w:sz w:val="20"/>
        </w:rPr>
      </w:pPr>
      <w:r w:rsidRPr="00AA3356">
        <w:rPr>
          <w:rFonts w:ascii="Verdana" w:hAnsi="Verdana" w:cs="Arial"/>
          <w:color w:val="auto"/>
          <w:sz w:val="20"/>
        </w:rPr>
        <w:t xml:space="preserve">The </w:t>
      </w:r>
      <w:r>
        <w:rPr>
          <w:rFonts w:ascii="Verdana" w:hAnsi="Verdana" w:cs="Arial"/>
          <w:color w:val="auto"/>
          <w:sz w:val="20"/>
        </w:rPr>
        <w:t xml:space="preserve">activities delivered under this </w:t>
      </w:r>
      <w:r w:rsidRPr="00AA3356">
        <w:rPr>
          <w:rFonts w:ascii="Verdana" w:hAnsi="Verdana" w:cs="Arial"/>
          <w:color w:val="auto"/>
          <w:sz w:val="20"/>
        </w:rPr>
        <w:t xml:space="preserve">Agreement complement reforms </w:t>
      </w:r>
      <w:r>
        <w:rPr>
          <w:rFonts w:ascii="Verdana" w:hAnsi="Verdana" w:cs="Arial"/>
          <w:color w:val="auto"/>
          <w:sz w:val="20"/>
        </w:rPr>
        <w:t xml:space="preserve">identified in the </w:t>
      </w:r>
      <w:r w:rsidRPr="00AA3356">
        <w:rPr>
          <w:rFonts w:ascii="Verdana" w:hAnsi="Verdana" w:cs="Arial"/>
          <w:color w:val="auto"/>
          <w:sz w:val="20"/>
        </w:rPr>
        <w:t>Fifth National Mental Health and Suicide Prevention Plan</w:t>
      </w:r>
      <w:r>
        <w:rPr>
          <w:rFonts w:ascii="Verdana" w:hAnsi="Verdana" w:cs="Arial"/>
          <w:color w:val="auto"/>
          <w:sz w:val="20"/>
        </w:rPr>
        <w:t>.</w:t>
      </w:r>
    </w:p>
    <w:p w:rsidR="000D1D1D" w:rsidRPr="00AA3356" w:rsidRDefault="000D1D1D" w:rsidP="000D1D1D">
      <w:pPr>
        <w:pStyle w:val="Normalnumbered"/>
        <w:numPr>
          <w:ilvl w:val="0"/>
          <w:numId w:val="1"/>
        </w:numPr>
        <w:spacing w:before="240" w:after="0"/>
        <w:jc w:val="left"/>
        <w:rPr>
          <w:rFonts w:ascii="Verdana" w:hAnsi="Verdana"/>
          <w:color w:val="auto"/>
          <w:sz w:val="20"/>
        </w:rPr>
      </w:pPr>
      <w:r>
        <w:rPr>
          <w:rFonts w:ascii="Verdana" w:hAnsi="Verdana"/>
          <w:color w:val="auto"/>
          <w:sz w:val="20"/>
        </w:rPr>
        <w:t xml:space="preserve">This Agreement is entered into on the understanding that the States and Territories will not be disadvantaged or worse off as a result of any subsequent agreement the Commonwealth makes with any other state or territory that could impact on the implementation and financial contributions of the National Psychosocial Support Measure in the </w:t>
      </w:r>
      <w:r w:rsidR="00084224">
        <w:rPr>
          <w:rFonts w:ascii="Verdana" w:hAnsi="Verdana"/>
          <w:color w:val="auto"/>
          <w:sz w:val="20"/>
        </w:rPr>
        <w:t>States and Territories</w:t>
      </w:r>
      <w:r>
        <w:rPr>
          <w:rFonts w:ascii="Verdana" w:hAnsi="Verdana"/>
          <w:color w:val="auto"/>
          <w:sz w:val="20"/>
        </w:rPr>
        <w:t>.</w:t>
      </w:r>
    </w:p>
    <w:p w:rsidR="000D1D1D" w:rsidRPr="00AA3356" w:rsidRDefault="000D1D1D" w:rsidP="000D1D1D">
      <w:pPr>
        <w:pStyle w:val="Normalnumbered"/>
        <w:tabs>
          <w:tab w:val="clear" w:pos="851"/>
        </w:tabs>
        <w:spacing w:before="240" w:after="0"/>
        <w:ind w:left="567" w:firstLine="0"/>
        <w:jc w:val="left"/>
        <w:rPr>
          <w:rFonts w:ascii="Verdana" w:hAnsi="Verdana"/>
          <w:color w:val="auto"/>
          <w:sz w:val="20"/>
        </w:rPr>
      </w:pPr>
    </w:p>
    <w:p w:rsidR="000D1D1D" w:rsidRPr="00AA3356" w:rsidRDefault="000D1D1D" w:rsidP="000D1D1D">
      <w:pPr>
        <w:pStyle w:val="Heading1"/>
        <w:spacing w:after="0" w:line="260" w:lineRule="exact"/>
        <w:rPr>
          <w:rFonts w:ascii="Verdana" w:hAnsi="Verdana"/>
        </w:rPr>
      </w:pPr>
      <w:r w:rsidRPr="00AA3356">
        <w:rPr>
          <w:rFonts w:ascii="Verdana" w:hAnsi="Verdana"/>
        </w:rPr>
        <w:t xml:space="preserve">Part 2 — Parties and Operation of Agreement </w:t>
      </w:r>
    </w:p>
    <w:p w:rsidR="000D1D1D" w:rsidRPr="00AA3356" w:rsidRDefault="000D1D1D" w:rsidP="000D1D1D">
      <w:pPr>
        <w:pStyle w:val="Heading2"/>
        <w:spacing w:line="260" w:lineRule="exact"/>
        <w:rPr>
          <w:rFonts w:ascii="Verdana" w:hAnsi="Verdana"/>
        </w:rPr>
      </w:pPr>
      <w:r w:rsidRPr="00AA3356">
        <w:rPr>
          <w:rFonts w:ascii="Verdana" w:hAnsi="Verdana"/>
        </w:rPr>
        <w:t>Parties to the Agreement</w:t>
      </w:r>
    </w:p>
    <w:p w:rsidR="000D1D1D" w:rsidRPr="00AA3356" w:rsidRDefault="000D1D1D" w:rsidP="000D1D1D">
      <w:pPr>
        <w:pStyle w:val="Normalnumbered"/>
        <w:numPr>
          <w:ilvl w:val="0"/>
          <w:numId w:val="1"/>
        </w:numPr>
        <w:spacing w:before="240" w:after="0"/>
        <w:jc w:val="left"/>
        <w:rPr>
          <w:rFonts w:ascii="Verdana" w:hAnsi="Verdana"/>
          <w:b/>
          <w:color w:val="auto"/>
          <w:sz w:val="20"/>
        </w:rPr>
      </w:pPr>
      <w:r w:rsidRPr="00AA3356">
        <w:rPr>
          <w:rFonts w:ascii="Verdana" w:hAnsi="Verdana"/>
          <w:color w:val="auto"/>
          <w:sz w:val="20"/>
        </w:rPr>
        <w:t xml:space="preserve">The Agreement is between the Commonwealth and </w:t>
      </w:r>
      <w:r>
        <w:rPr>
          <w:rFonts w:ascii="Verdana" w:hAnsi="Verdana"/>
          <w:color w:val="auto"/>
          <w:sz w:val="20"/>
        </w:rPr>
        <w:t>the States and Territories</w:t>
      </w:r>
    </w:p>
    <w:p w:rsidR="000D1D1D" w:rsidRPr="00AA3356" w:rsidRDefault="000D1D1D" w:rsidP="000D1D1D">
      <w:pPr>
        <w:pStyle w:val="Heading2"/>
        <w:spacing w:line="260" w:lineRule="exact"/>
        <w:rPr>
          <w:rFonts w:ascii="Verdana" w:hAnsi="Verdana"/>
          <w:szCs w:val="20"/>
        </w:rPr>
      </w:pPr>
      <w:r w:rsidRPr="00AA3356">
        <w:rPr>
          <w:rFonts w:ascii="Verdana" w:hAnsi="Verdana"/>
          <w:szCs w:val="20"/>
        </w:rPr>
        <w:t>Commencement, duration and review of the Agreement</w:t>
      </w:r>
    </w:p>
    <w:p w:rsidR="000D1D1D" w:rsidRPr="00AA3356" w:rsidRDefault="000D1D1D" w:rsidP="000D1D1D">
      <w:pPr>
        <w:pStyle w:val="Normalnumbered"/>
        <w:numPr>
          <w:ilvl w:val="0"/>
          <w:numId w:val="1"/>
        </w:numPr>
        <w:spacing w:before="240" w:after="0"/>
        <w:jc w:val="left"/>
        <w:rPr>
          <w:rFonts w:ascii="Verdana" w:hAnsi="Verdana"/>
          <w:color w:val="auto"/>
          <w:sz w:val="20"/>
        </w:rPr>
      </w:pPr>
      <w:r w:rsidRPr="00AA3356">
        <w:rPr>
          <w:rFonts w:ascii="Verdana" w:hAnsi="Verdana"/>
          <w:color w:val="auto"/>
          <w:sz w:val="20"/>
        </w:rPr>
        <w:t xml:space="preserve">The Agreement will commence on </w:t>
      </w:r>
      <w:r>
        <w:rPr>
          <w:rFonts w:ascii="Verdana" w:hAnsi="Verdana"/>
          <w:color w:val="auto"/>
          <w:sz w:val="20"/>
        </w:rPr>
        <w:t>the date of signing.</w:t>
      </w:r>
    </w:p>
    <w:p w:rsidR="000D1D1D" w:rsidRPr="00AA3356" w:rsidRDefault="000D1D1D" w:rsidP="000D1D1D">
      <w:pPr>
        <w:pStyle w:val="Normalnumbered"/>
        <w:numPr>
          <w:ilvl w:val="0"/>
          <w:numId w:val="1"/>
        </w:numPr>
        <w:spacing w:before="240" w:after="0"/>
        <w:jc w:val="left"/>
        <w:rPr>
          <w:rFonts w:ascii="Verdana" w:hAnsi="Verdana"/>
          <w:color w:val="auto"/>
          <w:sz w:val="20"/>
        </w:rPr>
      </w:pPr>
      <w:r w:rsidRPr="00AA3356">
        <w:rPr>
          <w:rFonts w:ascii="Verdana" w:hAnsi="Verdana"/>
          <w:color w:val="auto"/>
          <w:sz w:val="20"/>
        </w:rPr>
        <w:t>The Agreement will expire on 30 June 2021</w:t>
      </w:r>
      <w:r>
        <w:rPr>
          <w:rFonts w:ascii="Verdana" w:hAnsi="Verdana"/>
          <w:color w:val="auto"/>
          <w:sz w:val="20"/>
        </w:rPr>
        <w:t xml:space="preserve">. </w:t>
      </w:r>
      <w:r w:rsidRPr="00AA3356">
        <w:rPr>
          <w:rFonts w:ascii="Verdana" w:hAnsi="Verdana"/>
          <w:color w:val="auto"/>
          <w:sz w:val="20"/>
        </w:rPr>
        <w:t>COAG</w:t>
      </w:r>
      <w:r>
        <w:rPr>
          <w:rFonts w:ascii="Verdana" w:hAnsi="Verdana"/>
          <w:color w:val="auto"/>
          <w:sz w:val="20"/>
        </w:rPr>
        <w:t xml:space="preserve"> Health Council will </w:t>
      </w:r>
      <w:r w:rsidRPr="00AA3356">
        <w:rPr>
          <w:rFonts w:ascii="Verdana" w:hAnsi="Verdana"/>
          <w:color w:val="auto"/>
          <w:sz w:val="20"/>
        </w:rPr>
        <w:t xml:space="preserve">consider arrangements beyond this point.  </w:t>
      </w:r>
    </w:p>
    <w:p w:rsidR="001101C5" w:rsidRDefault="001101C5">
      <w:pPr>
        <w:spacing w:before="0" w:after="160" w:line="259" w:lineRule="auto"/>
        <w:rPr>
          <w:rFonts w:cs="Arial"/>
          <w:b/>
          <w:bCs/>
          <w:i/>
          <w:iCs/>
          <w:szCs w:val="20"/>
        </w:rPr>
      </w:pPr>
      <w:r>
        <w:rPr>
          <w:szCs w:val="20"/>
        </w:rPr>
        <w:br w:type="page"/>
      </w:r>
    </w:p>
    <w:p w:rsidR="000D1D1D" w:rsidRPr="00AA3356" w:rsidRDefault="000D1D1D" w:rsidP="000D1D1D">
      <w:pPr>
        <w:pStyle w:val="Heading2"/>
        <w:spacing w:line="260" w:lineRule="exact"/>
        <w:rPr>
          <w:rFonts w:ascii="Verdana" w:hAnsi="Verdana"/>
          <w:szCs w:val="20"/>
        </w:rPr>
      </w:pPr>
      <w:bookmarkStart w:id="0" w:name="_GoBack"/>
      <w:bookmarkEnd w:id="0"/>
      <w:r w:rsidRPr="00AA3356">
        <w:rPr>
          <w:rFonts w:ascii="Verdana" w:hAnsi="Verdana"/>
          <w:szCs w:val="20"/>
        </w:rPr>
        <w:lastRenderedPageBreak/>
        <w:t xml:space="preserve">Interoperability </w:t>
      </w:r>
    </w:p>
    <w:p w:rsidR="000D1D1D" w:rsidRPr="00AA3356" w:rsidRDefault="000D1D1D" w:rsidP="000D1D1D">
      <w:pPr>
        <w:pStyle w:val="Normalnumbered"/>
        <w:numPr>
          <w:ilvl w:val="0"/>
          <w:numId w:val="1"/>
        </w:numPr>
        <w:spacing w:before="240" w:after="0"/>
        <w:jc w:val="left"/>
        <w:rPr>
          <w:rFonts w:ascii="Verdana" w:hAnsi="Verdana"/>
          <w:color w:val="auto"/>
          <w:sz w:val="20"/>
        </w:rPr>
      </w:pPr>
      <w:r w:rsidRPr="00AA3356">
        <w:rPr>
          <w:rFonts w:ascii="Verdana" w:hAnsi="Verdana"/>
          <w:color w:val="auto"/>
          <w:sz w:val="20"/>
        </w:rPr>
        <w:t>The Agreement is to be considered in conjunction with:</w:t>
      </w:r>
    </w:p>
    <w:p w:rsidR="000D1D1D" w:rsidRPr="00DA5DD8" w:rsidRDefault="000D1D1D" w:rsidP="000D1D1D">
      <w:pPr>
        <w:pStyle w:val="ListParagraph"/>
        <w:numPr>
          <w:ilvl w:val="0"/>
          <w:numId w:val="4"/>
        </w:numPr>
        <w:spacing w:line="260" w:lineRule="exact"/>
        <w:contextualSpacing w:val="0"/>
        <w:rPr>
          <w:szCs w:val="20"/>
        </w:rPr>
      </w:pPr>
      <w:r w:rsidRPr="00DA5DD8">
        <w:rPr>
          <w:szCs w:val="20"/>
        </w:rPr>
        <w:t xml:space="preserve">The </w:t>
      </w:r>
      <w:r w:rsidRPr="00DA5DD8">
        <w:rPr>
          <w:i/>
          <w:szCs w:val="20"/>
        </w:rPr>
        <w:t>Intergovernmental Agreement for the National Disability Insurance (NDIS) Launch</w:t>
      </w:r>
      <w:r>
        <w:rPr>
          <w:i/>
          <w:szCs w:val="20"/>
        </w:rPr>
        <w:t xml:space="preserve">; </w:t>
      </w:r>
      <w:r w:rsidRPr="00DA5DD8">
        <w:rPr>
          <w:szCs w:val="20"/>
        </w:rPr>
        <w:t>and</w:t>
      </w:r>
    </w:p>
    <w:p w:rsidR="000D1D1D" w:rsidRPr="00AA3356" w:rsidRDefault="000D1D1D" w:rsidP="000D1D1D">
      <w:pPr>
        <w:pStyle w:val="ListParagraph"/>
        <w:numPr>
          <w:ilvl w:val="0"/>
          <w:numId w:val="4"/>
        </w:numPr>
        <w:spacing w:line="260" w:lineRule="exact"/>
        <w:contextualSpacing w:val="0"/>
        <w:rPr>
          <w:szCs w:val="20"/>
        </w:rPr>
      </w:pPr>
      <w:r w:rsidRPr="00AA3356">
        <w:rPr>
          <w:rFonts w:cs="Arial"/>
        </w:rPr>
        <w:t xml:space="preserve">The </w:t>
      </w:r>
      <w:r w:rsidRPr="00AA3356">
        <w:rPr>
          <w:rFonts w:cs="Arial"/>
          <w:i/>
        </w:rPr>
        <w:t>National Healthcare Agreement 2012</w:t>
      </w:r>
      <w:r>
        <w:rPr>
          <w:rFonts w:cs="Arial"/>
        </w:rPr>
        <w:t>.</w:t>
      </w:r>
    </w:p>
    <w:p w:rsidR="000D1D1D" w:rsidRPr="00AA3356" w:rsidRDefault="000D1D1D" w:rsidP="000D1D1D">
      <w:pPr>
        <w:pStyle w:val="Normalnumbered"/>
        <w:numPr>
          <w:ilvl w:val="0"/>
          <w:numId w:val="1"/>
        </w:numPr>
        <w:spacing w:before="240" w:after="0"/>
        <w:jc w:val="left"/>
        <w:rPr>
          <w:rFonts w:ascii="Verdana" w:hAnsi="Verdana"/>
          <w:color w:val="auto"/>
          <w:sz w:val="20"/>
        </w:rPr>
      </w:pPr>
      <w:r w:rsidRPr="00AA3356">
        <w:rPr>
          <w:rFonts w:ascii="Verdana" w:hAnsi="Verdana"/>
          <w:color w:val="auto"/>
          <w:sz w:val="20"/>
        </w:rPr>
        <w:t>Schedules to this Agreement may include, but not be limited to:</w:t>
      </w:r>
    </w:p>
    <w:p w:rsidR="000D1D1D" w:rsidRPr="00AA3356" w:rsidRDefault="000D1D1D" w:rsidP="000D1D1D">
      <w:pPr>
        <w:pStyle w:val="ListParagraph"/>
        <w:numPr>
          <w:ilvl w:val="0"/>
          <w:numId w:val="5"/>
        </w:numPr>
        <w:spacing w:line="260" w:lineRule="exact"/>
        <w:contextualSpacing w:val="0"/>
        <w:rPr>
          <w:szCs w:val="20"/>
        </w:rPr>
      </w:pPr>
      <w:r w:rsidRPr="00AA3356">
        <w:rPr>
          <w:rFonts w:cs="Arial"/>
        </w:rPr>
        <w:t>Schedule A:  Implementation Plan</w:t>
      </w:r>
      <w:r>
        <w:rPr>
          <w:rFonts w:cs="Arial"/>
        </w:rPr>
        <w:t>.</w:t>
      </w:r>
    </w:p>
    <w:p w:rsidR="000D1D1D" w:rsidRPr="00AA3356" w:rsidRDefault="000D1D1D" w:rsidP="000D1D1D">
      <w:pPr>
        <w:pStyle w:val="Heading1"/>
        <w:spacing w:after="0" w:line="260" w:lineRule="exact"/>
        <w:rPr>
          <w:rFonts w:ascii="Verdana" w:hAnsi="Verdana"/>
        </w:rPr>
      </w:pPr>
      <w:r w:rsidRPr="00AA3356">
        <w:rPr>
          <w:rFonts w:ascii="Verdana" w:hAnsi="Verdana"/>
        </w:rPr>
        <w:t xml:space="preserve">Part 3 — </w:t>
      </w:r>
      <w:r w:rsidRPr="00AA3356">
        <w:rPr>
          <w:rFonts w:ascii="Verdana" w:hAnsi="Verdana"/>
          <w:bCs w:val="0"/>
        </w:rPr>
        <w:t xml:space="preserve">Objectives, </w:t>
      </w:r>
      <w:r w:rsidRPr="00AA3356">
        <w:rPr>
          <w:rFonts w:ascii="Verdana" w:hAnsi="Verdana"/>
        </w:rPr>
        <w:t>Outcomes and Activities</w:t>
      </w:r>
    </w:p>
    <w:p w:rsidR="000D1D1D" w:rsidRPr="00AA3356" w:rsidRDefault="000D1D1D" w:rsidP="000D1D1D">
      <w:pPr>
        <w:pStyle w:val="Normalnumbered"/>
        <w:numPr>
          <w:ilvl w:val="0"/>
          <w:numId w:val="1"/>
        </w:numPr>
        <w:tabs>
          <w:tab w:val="num" w:pos="851"/>
        </w:tabs>
        <w:spacing w:before="240" w:after="0"/>
        <w:jc w:val="left"/>
        <w:rPr>
          <w:rFonts w:ascii="Verdana" w:hAnsi="Verdana"/>
          <w:color w:val="auto"/>
          <w:sz w:val="20"/>
        </w:rPr>
      </w:pPr>
      <w:r w:rsidRPr="00AA3356">
        <w:rPr>
          <w:rFonts w:ascii="Verdana" w:hAnsi="Verdana"/>
          <w:color w:val="auto"/>
          <w:sz w:val="20"/>
        </w:rPr>
        <w:t xml:space="preserve">The overarching objective of the Agreement is to support the implementation of the </w:t>
      </w:r>
      <w:r>
        <w:rPr>
          <w:rFonts w:ascii="Verdana" w:hAnsi="Verdana"/>
          <w:color w:val="auto"/>
          <w:sz w:val="20"/>
        </w:rPr>
        <w:t>N</w:t>
      </w:r>
      <w:r w:rsidRPr="00AA3356">
        <w:rPr>
          <w:rFonts w:ascii="Verdana" w:hAnsi="Verdana"/>
          <w:color w:val="auto"/>
          <w:sz w:val="20"/>
        </w:rPr>
        <w:t xml:space="preserve">ational </w:t>
      </w:r>
      <w:r>
        <w:rPr>
          <w:rFonts w:ascii="Verdana" w:hAnsi="Verdana"/>
          <w:color w:val="auto"/>
          <w:sz w:val="20"/>
        </w:rPr>
        <w:t>P</w:t>
      </w:r>
      <w:r w:rsidRPr="00AA3356">
        <w:rPr>
          <w:rFonts w:ascii="Verdana" w:hAnsi="Verdana"/>
          <w:color w:val="auto"/>
          <w:sz w:val="20"/>
        </w:rPr>
        <w:t xml:space="preserve">sychosocial </w:t>
      </w:r>
      <w:r>
        <w:rPr>
          <w:rFonts w:ascii="Verdana" w:hAnsi="Verdana"/>
          <w:color w:val="auto"/>
          <w:sz w:val="20"/>
        </w:rPr>
        <w:t>S</w:t>
      </w:r>
      <w:r w:rsidRPr="00AA3356">
        <w:rPr>
          <w:rFonts w:ascii="Verdana" w:hAnsi="Verdana"/>
          <w:color w:val="auto"/>
          <w:sz w:val="20"/>
        </w:rPr>
        <w:t xml:space="preserve">upport </w:t>
      </w:r>
      <w:r>
        <w:rPr>
          <w:rFonts w:ascii="Verdana" w:hAnsi="Verdana"/>
          <w:color w:val="auto"/>
          <w:sz w:val="20"/>
        </w:rPr>
        <w:t>M</w:t>
      </w:r>
      <w:r w:rsidRPr="00AA3356">
        <w:rPr>
          <w:rFonts w:ascii="Verdana" w:hAnsi="Verdana"/>
          <w:color w:val="auto"/>
          <w:sz w:val="20"/>
        </w:rPr>
        <w:t>easure to:</w:t>
      </w:r>
    </w:p>
    <w:p w:rsidR="000D1D1D" w:rsidRPr="0037339F" w:rsidRDefault="000D1D1D" w:rsidP="000D1D1D">
      <w:pPr>
        <w:pStyle w:val="BodyText"/>
        <w:numPr>
          <w:ilvl w:val="0"/>
          <w:numId w:val="2"/>
        </w:numPr>
        <w:spacing w:line="260" w:lineRule="exact"/>
        <w:ind w:right="133"/>
        <w:rPr>
          <w:rFonts w:ascii="Verdana" w:eastAsia="SimSun" w:hAnsi="Verdana" w:cs="Arial"/>
          <w:sz w:val="20"/>
          <w:lang w:eastAsia="en-AU"/>
        </w:rPr>
      </w:pPr>
      <w:r w:rsidRPr="00CC3B50">
        <w:rPr>
          <w:rFonts w:ascii="Verdana" w:hAnsi="Verdana"/>
          <w:sz w:val="20"/>
        </w:rPr>
        <w:t>supp</w:t>
      </w:r>
      <w:r w:rsidRPr="00CC3B50">
        <w:rPr>
          <w:rFonts w:ascii="Verdana" w:hAnsi="Verdana"/>
          <w:spacing w:val="5"/>
          <w:sz w:val="20"/>
        </w:rPr>
        <w:t>o</w:t>
      </w:r>
      <w:r w:rsidRPr="00CC3B50">
        <w:rPr>
          <w:rFonts w:ascii="Verdana" w:hAnsi="Verdana"/>
          <w:sz w:val="20"/>
        </w:rPr>
        <w:t>rt</w:t>
      </w:r>
      <w:r w:rsidRPr="00CC3B50">
        <w:rPr>
          <w:rFonts w:ascii="Verdana" w:hAnsi="Verdana"/>
          <w:spacing w:val="9"/>
          <w:sz w:val="20"/>
        </w:rPr>
        <w:t xml:space="preserve"> </w:t>
      </w:r>
      <w:r w:rsidRPr="00CC3B50">
        <w:rPr>
          <w:rFonts w:ascii="Verdana" w:hAnsi="Verdana"/>
          <w:sz w:val="20"/>
        </w:rPr>
        <w:t>pe</w:t>
      </w:r>
      <w:r w:rsidRPr="00CC3B50">
        <w:rPr>
          <w:rFonts w:ascii="Verdana" w:hAnsi="Verdana"/>
          <w:spacing w:val="3"/>
          <w:sz w:val="20"/>
        </w:rPr>
        <w:t>o</w:t>
      </w:r>
      <w:r w:rsidRPr="00CC3B50">
        <w:rPr>
          <w:rFonts w:ascii="Verdana" w:hAnsi="Verdana"/>
          <w:sz w:val="20"/>
        </w:rPr>
        <w:t>p</w:t>
      </w:r>
      <w:r w:rsidRPr="00CC3B50">
        <w:rPr>
          <w:rFonts w:ascii="Verdana" w:hAnsi="Verdana"/>
          <w:spacing w:val="-10"/>
          <w:sz w:val="20"/>
        </w:rPr>
        <w:t>l</w:t>
      </w:r>
      <w:r w:rsidRPr="00CC3B50">
        <w:rPr>
          <w:rFonts w:ascii="Verdana" w:hAnsi="Verdana"/>
          <w:sz w:val="20"/>
        </w:rPr>
        <w:t>e w</w:t>
      </w:r>
      <w:r w:rsidRPr="00CC3B50">
        <w:rPr>
          <w:rFonts w:ascii="Verdana" w:hAnsi="Verdana"/>
          <w:spacing w:val="-9"/>
          <w:sz w:val="20"/>
        </w:rPr>
        <w:t>i</w:t>
      </w:r>
      <w:r w:rsidRPr="00CC3B50">
        <w:rPr>
          <w:rFonts w:ascii="Verdana" w:hAnsi="Verdana"/>
          <w:spacing w:val="5"/>
          <w:sz w:val="20"/>
        </w:rPr>
        <w:t>t</w:t>
      </w:r>
      <w:r w:rsidRPr="00CC3B50">
        <w:rPr>
          <w:rFonts w:ascii="Verdana" w:hAnsi="Verdana"/>
          <w:sz w:val="20"/>
        </w:rPr>
        <w:t>h</w:t>
      </w:r>
      <w:r w:rsidRPr="00CC3B50">
        <w:rPr>
          <w:rFonts w:ascii="Verdana" w:hAnsi="Verdana"/>
          <w:spacing w:val="-3"/>
          <w:sz w:val="20"/>
        </w:rPr>
        <w:t xml:space="preserve"> a </w:t>
      </w:r>
      <w:r w:rsidRPr="00CC3B50">
        <w:rPr>
          <w:rFonts w:ascii="Verdana" w:hAnsi="Verdana"/>
          <w:sz w:val="20"/>
        </w:rPr>
        <w:t>s</w:t>
      </w:r>
      <w:r w:rsidRPr="00CC3B50">
        <w:rPr>
          <w:rFonts w:ascii="Verdana" w:hAnsi="Verdana"/>
          <w:spacing w:val="-4"/>
          <w:sz w:val="20"/>
        </w:rPr>
        <w:t>e</w:t>
      </w:r>
      <w:r w:rsidRPr="00CC3B50">
        <w:rPr>
          <w:rFonts w:ascii="Verdana" w:hAnsi="Verdana"/>
          <w:spacing w:val="-5"/>
          <w:sz w:val="20"/>
        </w:rPr>
        <w:t>v</w:t>
      </w:r>
      <w:r w:rsidRPr="00CC3B50">
        <w:rPr>
          <w:rFonts w:ascii="Verdana" w:hAnsi="Verdana"/>
          <w:sz w:val="20"/>
        </w:rPr>
        <w:t xml:space="preserve">ere </w:t>
      </w:r>
      <w:r w:rsidRPr="00CC3B50">
        <w:rPr>
          <w:rFonts w:ascii="Verdana" w:hAnsi="Verdana"/>
          <w:spacing w:val="-7"/>
          <w:sz w:val="20"/>
        </w:rPr>
        <w:t>m</w:t>
      </w:r>
      <w:r w:rsidRPr="00CC3B50">
        <w:rPr>
          <w:rFonts w:ascii="Verdana" w:hAnsi="Verdana"/>
          <w:sz w:val="20"/>
        </w:rPr>
        <w:t>e</w:t>
      </w:r>
      <w:r w:rsidRPr="00CC3B50">
        <w:rPr>
          <w:rFonts w:ascii="Verdana" w:hAnsi="Verdana"/>
          <w:spacing w:val="-6"/>
          <w:sz w:val="20"/>
        </w:rPr>
        <w:t>n</w:t>
      </w:r>
      <w:r w:rsidRPr="00CC3B50">
        <w:rPr>
          <w:rFonts w:ascii="Verdana" w:hAnsi="Verdana"/>
          <w:spacing w:val="5"/>
          <w:sz w:val="20"/>
        </w:rPr>
        <w:t>t</w:t>
      </w:r>
      <w:r w:rsidRPr="00CC3B50">
        <w:rPr>
          <w:rFonts w:ascii="Verdana" w:hAnsi="Verdana"/>
          <w:sz w:val="20"/>
        </w:rPr>
        <w:t>al</w:t>
      </w:r>
      <w:r w:rsidRPr="00CC3B50">
        <w:rPr>
          <w:rFonts w:ascii="Verdana" w:hAnsi="Verdana"/>
          <w:spacing w:val="-8"/>
          <w:sz w:val="20"/>
        </w:rPr>
        <w:t xml:space="preserve"> </w:t>
      </w:r>
      <w:r w:rsidRPr="00CC3B50">
        <w:rPr>
          <w:rFonts w:ascii="Verdana" w:hAnsi="Verdana"/>
          <w:spacing w:val="-10"/>
          <w:sz w:val="20"/>
        </w:rPr>
        <w:t>ill</w:t>
      </w:r>
      <w:r w:rsidRPr="00CC3B50">
        <w:rPr>
          <w:rFonts w:ascii="Verdana" w:hAnsi="Verdana"/>
          <w:spacing w:val="-5"/>
          <w:sz w:val="20"/>
        </w:rPr>
        <w:t>n</w:t>
      </w:r>
      <w:r w:rsidRPr="00CC3B50">
        <w:rPr>
          <w:rFonts w:ascii="Verdana" w:hAnsi="Verdana"/>
          <w:sz w:val="20"/>
        </w:rPr>
        <w:t>e</w:t>
      </w:r>
      <w:r w:rsidRPr="00CC3B50">
        <w:rPr>
          <w:rFonts w:ascii="Verdana" w:hAnsi="Verdana"/>
          <w:spacing w:val="-4"/>
          <w:sz w:val="20"/>
        </w:rPr>
        <w:t>s</w:t>
      </w:r>
      <w:r w:rsidRPr="00CC3B50">
        <w:rPr>
          <w:rFonts w:ascii="Verdana" w:hAnsi="Verdana"/>
          <w:sz w:val="20"/>
        </w:rPr>
        <w:t xml:space="preserve">s and associated psychosocial </w:t>
      </w:r>
      <w:r w:rsidRPr="00CC3B50">
        <w:rPr>
          <w:rFonts w:ascii="Verdana" w:hAnsi="Verdana" w:cs="Arial"/>
          <w:sz w:val="20"/>
        </w:rPr>
        <w:t>functional impairment who are not more appropriately supported through the NDIS; and</w:t>
      </w:r>
    </w:p>
    <w:p w:rsidR="000D1D1D" w:rsidRPr="00AA3356" w:rsidRDefault="000D1D1D" w:rsidP="000D1D1D">
      <w:pPr>
        <w:pStyle w:val="ListParagraph"/>
        <w:numPr>
          <w:ilvl w:val="0"/>
          <w:numId w:val="2"/>
        </w:numPr>
        <w:spacing w:line="260" w:lineRule="exact"/>
        <w:contextualSpacing w:val="0"/>
        <w:rPr>
          <w:szCs w:val="20"/>
        </w:rPr>
      </w:pPr>
      <w:proofErr w:type="gramStart"/>
      <w:r w:rsidRPr="00F25336">
        <w:rPr>
          <w:rFonts w:eastAsia="Times New Roman" w:cs="Arial"/>
          <w:szCs w:val="20"/>
          <w:lang w:eastAsia="en-US"/>
        </w:rPr>
        <w:t>reduce</w:t>
      </w:r>
      <w:proofErr w:type="gramEnd"/>
      <w:r w:rsidRPr="00F25336">
        <w:rPr>
          <w:rFonts w:eastAsia="Times New Roman" w:cs="Arial"/>
          <w:szCs w:val="20"/>
          <w:lang w:eastAsia="en-US"/>
        </w:rPr>
        <w:t xml:space="preserve"> the </w:t>
      </w:r>
      <w:r>
        <w:rPr>
          <w:rFonts w:eastAsia="Times New Roman" w:cs="Arial"/>
          <w:szCs w:val="20"/>
          <w:lang w:eastAsia="en-US"/>
        </w:rPr>
        <w:t xml:space="preserve">avoidable </w:t>
      </w:r>
      <w:r w:rsidRPr="00F25336">
        <w:rPr>
          <w:rFonts w:eastAsia="Times New Roman" w:cs="Arial"/>
          <w:szCs w:val="20"/>
          <w:lang w:eastAsia="en-US"/>
        </w:rPr>
        <w:t>need for more intense and acute health services</w:t>
      </w:r>
      <w:r w:rsidRPr="00F25336">
        <w:rPr>
          <w:rFonts w:eastAsia="Times New Roman"/>
          <w:szCs w:val="20"/>
          <w:lang w:eastAsia="en-US"/>
        </w:rPr>
        <w:t xml:space="preserve"> and enhance appropriate/optimal use of the health system.</w:t>
      </w:r>
      <w:r>
        <w:rPr>
          <w:szCs w:val="20"/>
        </w:rPr>
        <w:t xml:space="preserve"> </w:t>
      </w:r>
    </w:p>
    <w:p w:rsidR="000D1D1D" w:rsidRPr="00AA3356" w:rsidRDefault="000D1D1D" w:rsidP="000D1D1D">
      <w:pPr>
        <w:pStyle w:val="Normalnumbered"/>
        <w:numPr>
          <w:ilvl w:val="0"/>
          <w:numId w:val="1"/>
        </w:numPr>
        <w:tabs>
          <w:tab w:val="num" w:pos="851"/>
        </w:tabs>
        <w:spacing w:before="240" w:after="0"/>
        <w:jc w:val="left"/>
        <w:rPr>
          <w:rFonts w:ascii="Verdana" w:hAnsi="Verdana"/>
          <w:color w:val="auto"/>
          <w:sz w:val="20"/>
        </w:rPr>
      </w:pPr>
      <w:r w:rsidRPr="00AA3356">
        <w:rPr>
          <w:rFonts w:ascii="Verdana" w:hAnsi="Verdana"/>
          <w:color w:val="auto"/>
          <w:sz w:val="20"/>
        </w:rPr>
        <w:t xml:space="preserve">The Parties will </w:t>
      </w:r>
      <w:r>
        <w:rPr>
          <w:rFonts w:ascii="Verdana" w:hAnsi="Verdana"/>
          <w:color w:val="auto"/>
          <w:sz w:val="20"/>
        </w:rPr>
        <w:t xml:space="preserve">variously </w:t>
      </w:r>
      <w:r w:rsidRPr="00AA3356">
        <w:rPr>
          <w:rFonts w:ascii="Verdana" w:hAnsi="Verdana"/>
          <w:color w:val="auto"/>
          <w:sz w:val="20"/>
        </w:rPr>
        <w:t>contribute to the achievement of these objectives and outcomes through:</w:t>
      </w:r>
    </w:p>
    <w:p w:rsidR="000D1D1D" w:rsidRPr="00C141CC" w:rsidRDefault="000D1D1D" w:rsidP="000D1D1D">
      <w:pPr>
        <w:pStyle w:val="ListParagraph"/>
        <w:numPr>
          <w:ilvl w:val="0"/>
          <w:numId w:val="7"/>
        </w:numPr>
        <w:spacing w:line="260" w:lineRule="exact"/>
        <w:contextualSpacing w:val="0"/>
      </w:pPr>
      <w:r w:rsidRPr="00C141CC">
        <w:t>demonstrating a financial commitment to support people with a severe mental illness and associated psychosocial functional impairment who are not more appropriately supported through the NDIS;</w:t>
      </w:r>
    </w:p>
    <w:p w:rsidR="000D1D1D" w:rsidRPr="00C141CC" w:rsidRDefault="000D1D1D" w:rsidP="000D1D1D">
      <w:pPr>
        <w:pStyle w:val="ListParagraph"/>
        <w:numPr>
          <w:ilvl w:val="0"/>
          <w:numId w:val="7"/>
        </w:numPr>
        <w:spacing w:line="260" w:lineRule="exact"/>
        <w:contextualSpacing w:val="0"/>
      </w:pPr>
      <w:r w:rsidRPr="00C141CC">
        <w:t>providing for a regional approach that would target psychosocial support services to individual needs, creating flexible, efficient service delivery may  include individual and group support and rehabilitation and peer work;</w:t>
      </w:r>
      <w:r>
        <w:t xml:space="preserve"> and</w:t>
      </w:r>
    </w:p>
    <w:p w:rsidR="000D1D1D" w:rsidRPr="00DA5DD8" w:rsidRDefault="000D1D1D" w:rsidP="000D1D1D">
      <w:pPr>
        <w:pStyle w:val="ListParagraph"/>
        <w:numPr>
          <w:ilvl w:val="0"/>
          <w:numId w:val="7"/>
        </w:numPr>
        <w:spacing w:line="260" w:lineRule="exact"/>
        <w:contextualSpacing w:val="0"/>
      </w:pPr>
      <w:proofErr w:type="gramStart"/>
      <w:r w:rsidRPr="00DA5DD8">
        <w:t>improving</w:t>
      </w:r>
      <w:proofErr w:type="gramEnd"/>
      <w:r w:rsidRPr="00DA5DD8">
        <w:t xml:space="preserve"> </w:t>
      </w:r>
      <w:r>
        <w:t xml:space="preserve">service </w:t>
      </w:r>
      <w:r w:rsidRPr="00DA5DD8">
        <w:t xml:space="preserve">coordination for individuals with severe mental illness and associated psychosocial functional impairment, </w:t>
      </w:r>
      <w:r>
        <w:t xml:space="preserve">while </w:t>
      </w:r>
      <w:r w:rsidRPr="00DA5DD8">
        <w:t>taking into account supports available across levels of governments, the community and relevant sectors.</w:t>
      </w:r>
    </w:p>
    <w:p w:rsidR="000D1D1D" w:rsidRPr="00AB58C2" w:rsidRDefault="000D1D1D" w:rsidP="000D1D1D">
      <w:pPr>
        <w:pStyle w:val="ListParagraph"/>
        <w:spacing w:line="260" w:lineRule="exact"/>
        <w:ind w:left="927"/>
        <w:contextualSpacing w:val="0"/>
        <w:rPr>
          <w:spacing w:val="-5"/>
        </w:rPr>
      </w:pPr>
    </w:p>
    <w:p w:rsidR="000D1D1D" w:rsidRPr="00AA3356" w:rsidRDefault="000D1D1D" w:rsidP="000D1D1D">
      <w:pPr>
        <w:pStyle w:val="ListParagraph"/>
        <w:numPr>
          <w:ilvl w:val="0"/>
          <w:numId w:val="1"/>
        </w:numPr>
        <w:spacing w:after="120"/>
      </w:pPr>
      <w:r w:rsidRPr="00AA3356">
        <w:t xml:space="preserve">All activities undertaken under this Agreement should be </w:t>
      </w:r>
      <w:r>
        <w:t xml:space="preserve">consistent </w:t>
      </w:r>
      <w:r w:rsidRPr="00AA3356">
        <w:t>with the priorities and objectives of the Fifth National Mental Health and Suicide Prevention Plan.</w:t>
      </w:r>
    </w:p>
    <w:p w:rsidR="000D1D1D" w:rsidRPr="00AA3356" w:rsidRDefault="000D1D1D" w:rsidP="000D1D1D">
      <w:pPr>
        <w:pStyle w:val="ListParagraph"/>
        <w:spacing w:after="120"/>
        <w:ind w:left="360"/>
      </w:pPr>
    </w:p>
    <w:p w:rsidR="000D1D1D" w:rsidRPr="00AA3356" w:rsidRDefault="000D1D1D" w:rsidP="000D1D1D">
      <w:pPr>
        <w:pStyle w:val="ListParagraph"/>
        <w:numPr>
          <w:ilvl w:val="0"/>
          <w:numId w:val="1"/>
        </w:numPr>
        <w:spacing w:after="120"/>
      </w:pPr>
      <w:r w:rsidRPr="00AA3356">
        <w:t xml:space="preserve">Activities under this Agreement </w:t>
      </w:r>
      <w:r>
        <w:t xml:space="preserve">will </w:t>
      </w:r>
      <w:r w:rsidRPr="00AA3356">
        <w:t xml:space="preserve">be focused on psychosocial support services </w:t>
      </w:r>
      <w:r>
        <w:t xml:space="preserve">and will </w:t>
      </w:r>
      <w:r w:rsidRPr="00AA3356">
        <w:t>aim</w:t>
      </w:r>
      <w:r>
        <w:t xml:space="preserve"> </w:t>
      </w:r>
      <w:r w:rsidRPr="00AA3356">
        <w:t>to contribut</w:t>
      </w:r>
      <w:r>
        <w:t>e</w:t>
      </w:r>
      <w:r w:rsidRPr="00AA3356">
        <w:t xml:space="preserve"> to improvements over time in: </w:t>
      </w:r>
    </w:p>
    <w:p w:rsidR="000D1D1D" w:rsidRPr="00AA3356" w:rsidRDefault="000D1D1D" w:rsidP="000D1D1D">
      <w:pPr>
        <w:pStyle w:val="Normalnumbered"/>
        <w:numPr>
          <w:ilvl w:val="0"/>
          <w:numId w:val="6"/>
        </w:numPr>
        <w:spacing w:before="240" w:after="0"/>
        <w:jc w:val="left"/>
        <w:rPr>
          <w:rFonts w:ascii="Verdana" w:hAnsi="Verdana"/>
          <w:color w:val="auto"/>
          <w:sz w:val="20"/>
        </w:rPr>
      </w:pPr>
      <w:r w:rsidRPr="00AA3356">
        <w:rPr>
          <w:rFonts w:ascii="Verdana" w:hAnsi="Verdana" w:cs="Arial"/>
          <w:sz w:val="20"/>
        </w:rPr>
        <w:t xml:space="preserve">identification </w:t>
      </w:r>
      <w:r>
        <w:rPr>
          <w:rFonts w:ascii="Verdana" w:hAnsi="Verdana" w:cs="Arial"/>
          <w:sz w:val="20"/>
        </w:rPr>
        <w:t xml:space="preserve">of, </w:t>
      </w:r>
      <w:r w:rsidRPr="00AA3356">
        <w:rPr>
          <w:rFonts w:ascii="Verdana" w:hAnsi="Verdana" w:cs="Arial"/>
          <w:sz w:val="20"/>
        </w:rPr>
        <w:t xml:space="preserve">and </w:t>
      </w:r>
      <w:r>
        <w:rPr>
          <w:rFonts w:ascii="Verdana" w:hAnsi="Verdana" w:cs="Arial"/>
          <w:sz w:val="20"/>
        </w:rPr>
        <w:t xml:space="preserve">provision of services </w:t>
      </w:r>
      <w:r w:rsidRPr="00AA3356">
        <w:rPr>
          <w:rFonts w:ascii="Verdana" w:hAnsi="Verdana" w:cs="Arial"/>
          <w:sz w:val="20"/>
        </w:rPr>
        <w:t>and</w:t>
      </w:r>
      <w:r>
        <w:rPr>
          <w:rFonts w:ascii="Verdana" w:hAnsi="Verdana" w:cs="Arial"/>
          <w:sz w:val="20"/>
        </w:rPr>
        <w:t xml:space="preserve"> </w:t>
      </w:r>
      <w:r w:rsidRPr="00AA3356">
        <w:rPr>
          <w:rFonts w:ascii="Verdana" w:hAnsi="Verdana" w:cs="Arial"/>
          <w:sz w:val="20"/>
        </w:rPr>
        <w:t>outcomes fo</w:t>
      </w:r>
      <w:r>
        <w:rPr>
          <w:rFonts w:ascii="Verdana" w:hAnsi="Verdana" w:cs="Arial"/>
          <w:sz w:val="20"/>
        </w:rPr>
        <w:t>r</w:t>
      </w:r>
      <w:r w:rsidRPr="00AA3356">
        <w:rPr>
          <w:rFonts w:ascii="Verdana" w:hAnsi="Verdana" w:cs="Arial"/>
          <w:sz w:val="20"/>
        </w:rPr>
        <w:t xml:space="preserve">, people with </w:t>
      </w:r>
      <w:r>
        <w:rPr>
          <w:rFonts w:ascii="Verdana" w:hAnsi="Verdana" w:cs="Arial"/>
          <w:sz w:val="20"/>
        </w:rPr>
        <w:t xml:space="preserve">a severe mental illness and associated </w:t>
      </w:r>
      <w:r w:rsidRPr="00AA3356">
        <w:rPr>
          <w:rFonts w:ascii="Verdana" w:hAnsi="Verdana" w:cs="Arial"/>
          <w:sz w:val="20"/>
        </w:rPr>
        <w:t xml:space="preserve">psychosocial </w:t>
      </w:r>
      <w:r>
        <w:rPr>
          <w:rFonts w:ascii="Verdana" w:hAnsi="Verdana" w:cs="Arial"/>
          <w:sz w:val="20"/>
        </w:rPr>
        <w:t xml:space="preserve">functional </w:t>
      </w:r>
      <w:r w:rsidRPr="00AA3356">
        <w:rPr>
          <w:rFonts w:ascii="Verdana" w:hAnsi="Verdana" w:cs="Arial"/>
          <w:sz w:val="20"/>
        </w:rPr>
        <w:t>impairment, including those</w:t>
      </w:r>
      <w:r>
        <w:rPr>
          <w:rFonts w:ascii="Verdana" w:hAnsi="Verdana" w:cs="Arial"/>
          <w:sz w:val="20"/>
        </w:rPr>
        <w:t xml:space="preserve"> with</w:t>
      </w:r>
      <w:r w:rsidRPr="00AA3356">
        <w:rPr>
          <w:rFonts w:ascii="Verdana" w:hAnsi="Verdana" w:cs="Arial"/>
          <w:sz w:val="20"/>
        </w:rPr>
        <w:t xml:space="preserve"> complex needs</w:t>
      </w:r>
      <w:r>
        <w:rPr>
          <w:rFonts w:ascii="Verdana" w:hAnsi="Verdana" w:cs="Arial"/>
          <w:sz w:val="20"/>
        </w:rPr>
        <w:t>,</w:t>
      </w:r>
      <w:r w:rsidRPr="00AA3356">
        <w:rPr>
          <w:rFonts w:ascii="Verdana" w:hAnsi="Verdana" w:cs="Arial"/>
          <w:sz w:val="20"/>
        </w:rPr>
        <w:t xml:space="preserve"> who are not </w:t>
      </w:r>
      <w:r>
        <w:rPr>
          <w:rFonts w:ascii="Verdana" w:hAnsi="Verdana" w:cs="Arial"/>
          <w:sz w:val="20"/>
        </w:rPr>
        <w:t xml:space="preserve">more </w:t>
      </w:r>
      <w:r w:rsidRPr="00AA3356">
        <w:rPr>
          <w:rFonts w:ascii="Verdana" w:hAnsi="Verdana" w:cs="Arial"/>
          <w:sz w:val="20"/>
        </w:rPr>
        <w:t xml:space="preserve">appropriately </w:t>
      </w:r>
      <w:r>
        <w:rPr>
          <w:rFonts w:ascii="Verdana" w:hAnsi="Verdana" w:cs="Arial"/>
          <w:sz w:val="20"/>
        </w:rPr>
        <w:t>funded</w:t>
      </w:r>
      <w:r w:rsidRPr="00AA3356">
        <w:rPr>
          <w:rFonts w:ascii="Verdana" w:hAnsi="Verdana" w:cs="Arial"/>
          <w:sz w:val="20"/>
        </w:rPr>
        <w:t xml:space="preserve"> through the NDIS;</w:t>
      </w:r>
    </w:p>
    <w:p w:rsidR="000D1D1D" w:rsidRPr="00AA3356" w:rsidRDefault="000D1D1D" w:rsidP="000D1D1D">
      <w:pPr>
        <w:pStyle w:val="Normalnumbered"/>
        <w:numPr>
          <w:ilvl w:val="0"/>
          <w:numId w:val="6"/>
        </w:numPr>
        <w:spacing w:before="240" w:after="0"/>
        <w:jc w:val="left"/>
        <w:rPr>
          <w:rFonts w:ascii="Verdana" w:hAnsi="Verdana"/>
          <w:color w:val="auto"/>
          <w:sz w:val="20"/>
        </w:rPr>
      </w:pPr>
      <w:r w:rsidRPr="00AA3356">
        <w:rPr>
          <w:rFonts w:ascii="Verdana" w:hAnsi="Verdana" w:cs="Arial"/>
          <w:sz w:val="20"/>
        </w:rPr>
        <w:lastRenderedPageBreak/>
        <w:t>more seamless, high quality and earlier psychosocial supports; and</w:t>
      </w:r>
    </w:p>
    <w:p w:rsidR="000D1D1D" w:rsidRPr="00021B1D" w:rsidRDefault="000D1D1D" w:rsidP="000D1D1D">
      <w:pPr>
        <w:pStyle w:val="Normalnumbered"/>
        <w:numPr>
          <w:ilvl w:val="0"/>
          <w:numId w:val="6"/>
        </w:numPr>
        <w:spacing w:after="0"/>
        <w:jc w:val="left"/>
        <w:rPr>
          <w:b/>
        </w:rPr>
      </w:pPr>
      <w:proofErr w:type="gramStart"/>
      <w:r w:rsidRPr="00021B1D">
        <w:rPr>
          <w:rFonts w:ascii="Verdana" w:hAnsi="Verdana" w:cs="Arial"/>
          <w:sz w:val="20"/>
        </w:rPr>
        <w:t>the</w:t>
      </w:r>
      <w:proofErr w:type="gramEnd"/>
      <w:r w:rsidRPr="00021B1D">
        <w:rPr>
          <w:rFonts w:ascii="Verdana" w:hAnsi="Verdana" w:cs="Arial"/>
          <w:sz w:val="20"/>
        </w:rPr>
        <w:t xml:space="preserve"> efficiency and effectiveness of psychosocial support services across care settings.</w:t>
      </w:r>
    </w:p>
    <w:p w:rsidR="000D1D1D" w:rsidRPr="00AA3356" w:rsidRDefault="000D1D1D" w:rsidP="000D1D1D">
      <w:pPr>
        <w:pStyle w:val="Normalnumbered"/>
        <w:tabs>
          <w:tab w:val="clear" w:pos="851"/>
        </w:tabs>
        <w:spacing w:before="240" w:after="0"/>
        <w:ind w:left="567"/>
        <w:jc w:val="left"/>
        <w:rPr>
          <w:rFonts w:ascii="Verdana" w:hAnsi="Verdana"/>
          <w:b/>
          <w:color w:val="auto"/>
          <w:sz w:val="20"/>
        </w:rPr>
      </w:pPr>
      <w:r w:rsidRPr="00AA3356">
        <w:rPr>
          <w:rFonts w:ascii="Verdana" w:hAnsi="Verdana"/>
          <w:b/>
          <w:color w:val="auto"/>
          <w:sz w:val="20"/>
        </w:rPr>
        <w:t>Areas for Collaboration</w:t>
      </w:r>
    </w:p>
    <w:p w:rsidR="000D1D1D" w:rsidRPr="00AA3356" w:rsidRDefault="000D1D1D" w:rsidP="000D1D1D">
      <w:pPr>
        <w:pStyle w:val="Normalnumbered"/>
        <w:numPr>
          <w:ilvl w:val="0"/>
          <w:numId w:val="1"/>
        </w:numPr>
        <w:tabs>
          <w:tab w:val="num" w:pos="851"/>
        </w:tabs>
        <w:spacing w:before="240" w:after="0"/>
        <w:jc w:val="left"/>
        <w:rPr>
          <w:rFonts w:ascii="Verdana" w:hAnsi="Verdana"/>
          <w:color w:val="auto"/>
          <w:sz w:val="20"/>
        </w:rPr>
      </w:pPr>
      <w:r w:rsidRPr="00AA3356">
        <w:rPr>
          <w:rFonts w:ascii="Verdana" w:hAnsi="Verdana"/>
          <w:color w:val="auto"/>
          <w:sz w:val="20"/>
        </w:rPr>
        <w:t xml:space="preserve">The Parties agree to work together to establish priorities for joint efforts and directions for service delivery and system </w:t>
      </w:r>
      <w:r>
        <w:rPr>
          <w:rFonts w:ascii="Verdana" w:hAnsi="Verdana"/>
          <w:color w:val="auto"/>
          <w:sz w:val="20"/>
        </w:rPr>
        <w:t>collaboration/i</w:t>
      </w:r>
      <w:r w:rsidRPr="00AA3356">
        <w:rPr>
          <w:rFonts w:ascii="Verdana" w:hAnsi="Verdana"/>
          <w:color w:val="auto"/>
          <w:sz w:val="20"/>
        </w:rPr>
        <w:t>ntegration to support people with psychosocial impairment</w:t>
      </w:r>
      <w:r>
        <w:rPr>
          <w:rFonts w:ascii="Verdana" w:hAnsi="Verdana"/>
          <w:color w:val="auto"/>
          <w:sz w:val="20"/>
        </w:rPr>
        <w:t>, such as planning, data exchange and coordination at the system level.</w:t>
      </w:r>
      <w:r w:rsidRPr="00AA3356">
        <w:rPr>
          <w:rFonts w:ascii="Verdana" w:hAnsi="Verdana"/>
          <w:color w:val="auto"/>
          <w:sz w:val="20"/>
        </w:rPr>
        <w:t xml:space="preserve">  </w:t>
      </w:r>
    </w:p>
    <w:p w:rsidR="000D1D1D" w:rsidRPr="00AA3356" w:rsidRDefault="000D1D1D" w:rsidP="000D1D1D">
      <w:pPr>
        <w:pStyle w:val="Heading1"/>
        <w:spacing w:line="260" w:lineRule="exact"/>
        <w:rPr>
          <w:rFonts w:ascii="Verdana" w:hAnsi="Verdana"/>
          <w:i/>
        </w:rPr>
      </w:pPr>
      <w:r w:rsidRPr="00AA3356">
        <w:rPr>
          <w:rFonts w:ascii="Verdana" w:hAnsi="Verdana"/>
        </w:rPr>
        <w:t>Part 4 — Roles and responsibilities</w:t>
      </w:r>
    </w:p>
    <w:p w:rsidR="000D1D1D" w:rsidRPr="00AA3356" w:rsidRDefault="000D1D1D" w:rsidP="000D1D1D">
      <w:pPr>
        <w:pStyle w:val="Normalnumbered"/>
        <w:numPr>
          <w:ilvl w:val="0"/>
          <w:numId w:val="1"/>
        </w:numPr>
        <w:tabs>
          <w:tab w:val="num" w:pos="851"/>
        </w:tabs>
        <w:spacing w:before="240" w:after="0"/>
        <w:jc w:val="left"/>
        <w:rPr>
          <w:rFonts w:ascii="Verdana" w:hAnsi="Verdana"/>
          <w:color w:val="auto"/>
          <w:sz w:val="20"/>
        </w:rPr>
      </w:pPr>
      <w:r w:rsidRPr="00AA3356">
        <w:rPr>
          <w:rFonts w:ascii="Verdana" w:hAnsi="Verdana"/>
          <w:color w:val="auto"/>
          <w:sz w:val="20"/>
        </w:rPr>
        <w:t xml:space="preserve">The Parties agree to work together to implement, monitor, refine and evaluate the </w:t>
      </w:r>
      <w:r>
        <w:rPr>
          <w:rFonts w:ascii="Verdana" w:hAnsi="Verdana"/>
          <w:color w:val="auto"/>
          <w:sz w:val="20"/>
        </w:rPr>
        <w:t xml:space="preserve">national </w:t>
      </w:r>
      <w:r w:rsidRPr="00AA3356">
        <w:rPr>
          <w:rFonts w:ascii="Verdana" w:hAnsi="Verdana"/>
          <w:color w:val="auto"/>
          <w:sz w:val="20"/>
        </w:rPr>
        <w:t>psychosocial support measure under the Agreement, and agree to share information to assist with</w:t>
      </w:r>
      <w:r>
        <w:rPr>
          <w:rFonts w:ascii="Verdana" w:hAnsi="Verdana"/>
          <w:color w:val="auto"/>
          <w:sz w:val="20"/>
        </w:rPr>
        <w:t xml:space="preserve"> planning and</w:t>
      </w:r>
      <w:r w:rsidRPr="00AA3356">
        <w:rPr>
          <w:rFonts w:ascii="Verdana" w:hAnsi="Verdana"/>
          <w:color w:val="auto"/>
          <w:sz w:val="20"/>
        </w:rPr>
        <w:t xml:space="preserve"> policy development, subject to privacy requirements.  </w:t>
      </w:r>
    </w:p>
    <w:p w:rsidR="000D1D1D" w:rsidRPr="00AA3356" w:rsidRDefault="000D1D1D" w:rsidP="000D1D1D">
      <w:pPr>
        <w:pStyle w:val="Heading1"/>
        <w:spacing w:after="0" w:line="260" w:lineRule="exact"/>
        <w:rPr>
          <w:rFonts w:ascii="Verdana" w:hAnsi="Verdana"/>
        </w:rPr>
      </w:pPr>
      <w:r w:rsidRPr="00AA3356">
        <w:rPr>
          <w:rFonts w:ascii="Verdana" w:hAnsi="Verdana"/>
        </w:rPr>
        <w:t>Part 5 —Monitoring progress and evaluation</w:t>
      </w:r>
    </w:p>
    <w:p w:rsidR="000D1D1D" w:rsidRPr="00AA3356" w:rsidRDefault="000D1D1D" w:rsidP="000D1D1D">
      <w:pPr>
        <w:pStyle w:val="Heading2"/>
        <w:spacing w:line="260" w:lineRule="exact"/>
        <w:rPr>
          <w:rFonts w:ascii="Verdana" w:hAnsi="Verdana"/>
          <w:szCs w:val="20"/>
        </w:rPr>
      </w:pPr>
      <w:r>
        <w:rPr>
          <w:rFonts w:ascii="Verdana" w:hAnsi="Verdana"/>
          <w:szCs w:val="20"/>
        </w:rPr>
        <w:t xml:space="preserve">Bilateral </w:t>
      </w:r>
      <w:r w:rsidRPr="00AA3356">
        <w:rPr>
          <w:rFonts w:ascii="Verdana" w:hAnsi="Verdana"/>
          <w:szCs w:val="20"/>
        </w:rPr>
        <w:t>Monitoring Progress</w:t>
      </w:r>
    </w:p>
    <w:p w:rsidR="000D1D1D" w:rsidRPr="00AA3356" w:rsidRDefault="000D1D1D" w:rsidP="000D1D1D">
      <w:pPr>
        <w:pStyle w:val="Normalnumbered"/>
        <w:numPr>
          <w:ilvl w:val="0"/>
          <w:numId w:val="1"/>
        </w:numPr>
        <w:tabs>
          <w:tab w:val="num" w:pos="851"/>
        </w:tabs>
        <w:spacing w:before="240" w:after="0"/>
        <w:jc w:val="left"/>
        <w:rPr>
          <w:rFonts w:ascii="Verdana" w:hAnsi="Verdana"/>
          <w:color w:val="auto"/>
          <w:sz w:val="20"/>
        </w:rPr>
      </w:pPr>
      <w:r w:rsidRPr="00AA3356">
        <w:rPr>
          <w:rFonts w:ascii="Verdana" w:hAnsi="Verdana"/>
          <w:color w:val="auto"/>
          <w:sz w:val="20"/>
        </w:rPr>
        <w:t xml:space="preserve">Progress will be monitored and reported in accordance with Schedule </w:t>
      </w:r>
      <w:proofErr w:type="gramStart"/>
      <w:r w:rsidRPr="00AA3356">
        <w:rPr>
          <w:rFonts w:ascii="Verdana" w:hAnsi="Verdana"/>
          <w:color w:val="auto"/>
          <w:sz w:val="20"/>
        </w:rPr>
        <w:t>A</w:t>
      </w:r>
      <w:proofErr w:type="gramEnd"/>
      <w:r w:rsidRPr="00AA3356">
        <w:rPr>
          <w:rFonts w:ascii="Verdana" w:hAnsi="Verdana"/>
          <w:color w:val="auto"/>
          <w:sz w:val="20"/>
        </w:rPr>
        <w:t xml:space="preserve"> (Implementation Plan). This will support early identification and/or resolution of implementation issues</w:t>
      </w:r>
      <w:r>
        <w:rPr>
          <w:rFonts w:ascii="Verdana" w:hAnsi="Verdana"/>
          <w:color w:val="auto"/>
          <w:sz w:val="20"/>
        </w:rPr>
        <w:t>;</w:t>
      </w:r>
      <w:r w:rsidRPr="00AA3356">
        <w:rPr>
          <w:rFonts w:ascii="Verdana" w:hAnsi="Verdana"/>
          <w:color w:val="auto"/>
          <w:sz w:val="20"/>
        </w:rPr>
        <w:t xml:space="preserve"> inform refinement of the </w:t>
      </w:r>
      <w:r>
        <w:rPr>
          <w:rFonts w:ascii="Verdana" w:hAnsi="Verdana"/>
          <w:color w:val="auto"/>
          <w:sz w:val="20"/>
        </w:rPr>
        <w:t xml:space="preserve">National Psychosocial Support Measure </w:t>
      </w:r>
      <w:r w:rsidRPr="00AA3356">
        <w:rPr>
          <w:rFonts w:ascii="Verdana" w:hAnsi="Verdana"/>
          <w:color w:val="auto"/>
          <w:sz w:val="20"/>
        </w:rPr>
        <w:t>activities</w:t>
      </w:r>
      <w:r>
        <w:rPr>
          <w:rFonts w:ascii="Verdana" w:hAnsi="Verdana"/>
          <w:color w:val="auto"/>
          <w:sz w:val="20"/>
        </w:rPr>
        <w:t>, planning</w:t>
      </w:r>
      <w:r w:rsidRPr="00AA3356">
        <w:rPr>
          <w:rFonts w:ascii="Verdana" w:hAnsi="Verdana"/>
          <w:color w:val="auto"/>
          <w:sz w:val="20"/>
        </w:rPr>
        <w:t xml:space="preserve"> and policy development</w:t>
      </w:r>
      <w:r>
        <w:rPr>
          <w:rFonts w:ascii="Verdana" w:hAnsi="Verdana"/>
          <w:color w:val="auto"/>
          <w:sz w:val="20"/>
        </w:rPr>
        <w:t>;</w:t>
      </w:r>
      <w:r w:rsidRPr="00AA3356">
        <w:rPr>
          <w:rFonts w:ascii="Verdana" w:hAnsi="Verdana"/>
          <w:color w:val="auto"/>
          <w:sz w:val="20"/>
        </w:rPr>
        <w:t xml:space="preserve"> and support evaluation of Agreement activities.</w:t>
      </w:r>
    </w:p>
    <w:p w:rsidR="000D1D1D" w:rsidRPr="00AA3356" w:rsidRDefault="000D1D1D" w:rsidP="000D1D1D">
      <w:pPr>
        <w:pStyle w:val="Normalnumbered"/>
        <w:numPr>
          <w:ilvl w:val="0"/>
          <w:numId w:val="1"/>
        </w:numPr>
        <w:tabs>
          <w:tab w:val="num" w:pos="851"/>
        </w:tabs>
        <w:spacing w:before="240" w:after="0"/>
        <w:jc w:val="left"/>
        <w:rPr>
          <w:rFonts w:ascii="Verdana" w:hAnsi="Verdana"/>
          <w:color w:val="auto"/>
          <w:sz w:val="20"/>
        </w:rPr>
      </w:pPr>
      <w:r w:rsidRPr="00AA3356">
        <w:rPr>
          <w:rFonts w:ascii="Verdana" w:hAnsi="Verdana"/>
          <w:color w:val="auto"/>
          <w:sz w:val="20"/>
        </w:rPr>
        <w:t>Monitoring activities will include:</w:t>
      </w:r>
    </w:p>
    <w:p w:rsidR="000D1D1D" w:rsidRPr="00AA3356" w:rsidRDefault="000D1D1D" w:rsidP="000D1D1D">
      <w:pPr>
        <w:pStyle w:val="ListParagraph"/>
        <w:numPr>
          <w:ilvl w:val="0"/>
          <w:numId w:val="3"/>
        </w:numPr>
        <w:spacing w:line="260" w:lineRule="exact"/>
        <w:contextualSpacing w:val="0"/>
        <w:rPr>
          <w:szCs w:val="20"/>
        </w:rPr>
      </w:pPr>
      <w:r>
        <w:rPr>
          <w:rFonts w:cs="Arial"/>
          <w:szCs w:val="20"/>
        </w:rPr>
        <w:t>s</w:t>
      </w:r>
      <w:r w:rsidRPr="00AA3356">
        <w:rPr>
          <w:rFonts w:cs="Arial"/>
          <w:szCs w:val="20"/>
        </w:rPr>
        <w:t>ix-monthly status reports, on an exception basis, by each Party to relevant executive officers;</w:t>
      </w:r>
      <w:r>
        <w:rPr>
          <w:rFonts w:cs="Arial"/>
          <w:szCs w:val="20"/>
        </w:rPr>
        <w:t xml:space="preserve"> and</w:t>
      </w:r>
    </w:p>
    <w:p w:rsidR="000D1D1D" w:rsidRDefault="000D1D1D" w:rsidP="000D1D1D">
      <w:pPr>
        <w:pStyle w:val="ListParagraph"/>
        <w:numPr>
          <w:ilvl w:val="0"/>
          <w:numId w:val="3"/>
        </w:numPr>
        <w:spacing w:line="260" w:lineRule="exact"/>
        <w:contextualSpacing w:val="0"/>
        <w:rPr>
          <w:szCs w:val="20"/>
        </w:rPr>
      </w:pPr>
      <w:proofErr w:type="gramStart"/>
      <w:r>
        <w:rPr>
          <w:szCs w:val="20"/>
        </w:rPr>
        <w:t>no</w:t>
      </w:r>
      <w:proofErr w:type="gramEnd"/>
      <w:r>
        <w:rPr>
          <w:szCs w:val="20"/>
        </w:rPr>
        <w:t xml:space="preserve"> more than q</w:t>
      </w:r>
      <w:r w:rsidRPr="00AA3356">
        <w:rPr>
          <w:szCs w:val="20"/>
        </w:rPr>
        <w:t>uarterly bilateral officer-level discussions on implementation progress and emerging risks or issues</w:t>
      </w:r>
      <w:r>
        <w:rPr>
          <w:szCs w:val="20"/>
        </w:rPr>
        <w:t>.</w:t>
      </w:r>
    </w:p>
    <w:p w:rsidR="000D1D1D" w:rsidRPr="00E667A9" w:rsidRDefault="000D1D1D" w:rsidP="000D1D1D">
      <w:pPr>
        <w:pStyle w:val="Heading2"/>
        <w:spacing w:line="260" w:lineRule="exact"/>
        <w:rPr>
          <w:rFonts w:ascii="Verdana" w:hAnsi="Verdana"/>
          <w:szCs w:val="20"/>
        </w:rPr>
      </w:pPr>
      <w:r w:rsidRPr="00E667A9">
        <w:rPr>
          <w:rFonts w:ascii="Verdana" w:hAnsi="Verdana"/>
          <w:szCs w:val="20"/>
        </w:rPr>
        <w:t>Evaluation</w:t>
      </w:r>
    </w:p>
    <w:p w:rsidR="000D1D1D" w:rsidRDefault="000D1D1D" w:rsidP="000D1D1D">
      <w:pPr>
        <w:pStyle w:val="Normalnumbered"/>
        <w:numPr>
          <w:ilvl w:val="0"/>
          <w:numId w:val="1"/>
        </w:numPr>
        <w:tabs>
          <w:tab w:val="num" w:pos="851"/>
        </w:tabs>
        <w:spacing w:before="240" w:after="0"/>
        <w:jc w:val="left"/>
        <w:rPr>
          <w:rFonts w:ascii="Verdana" w:hAnsi="Verdana"/>
          <w:color w:val="auto"/>
          <w:sz w:val="20"/>
        </w:rPr>
      </w:pPr>
      <w:r w:rsidRPr="00AA3356" w:rsidDel="007251F6">
        <w:rPr>
          <w:rFonts w:ascii="Verdana" w:hAnsi="Verdana"/>
          <w:color w:val="auto"/>
          <w:sz w:val="20"/>
        </w:rPr>
        <w:t xml:space="preserve">The Commonwealth will undertake an initial evaluation of the </w:t>
      </w:r>
      <w:r>
        <w:rPr>
          <w:rFonts w:ascii="Verdana" w:hAnsi="Verdana"/>
          <w:color w:val="auto"/>
          <w:sz w:val="20"/>
        </w:rPr>
        <w:t>Commonwealth component of the National Psychosocial Support M</w:t>
      </w:r>
      <w:r w:rsidRPr="00AA3356" w:rsidDel="007251F6">
        <w:rPr>
          <w:rFonts w:ascii="Verdana" w:hAnsi="Verdana"/>
          <w:color w:val="auto"/>
          <w:sz w:val="20"/>
        </w:rPr>
        <w:t>easure</w:t>
      </w:r>
      <w:r>
        <w:rPr>
          <w:rFonts w:ascii="Verdana" w:hAnsi="Verdana"/>
          <w:color w:val="auto"/>
          <w:sz w:val="20"/>
        </w:rPr>
        <w:t xml:space="preserve">. </w:t>
      </w:r>
      <w:r w:rsidRPr="00AA3356" w:rsidDel="007251F6">
        <w:rPr>
          <w:rFonts w:ascii="Verdana" w:hAnsi="Verdana"/>
          <w:color w:val="auto"/>
          <w:sz w:val="20"/>
        </w:rPr>
        <w:t xml:space="preserve"> </w:t>
      </w:r>
    </w:p>
    <w:p w:rsidR="000D1D1D" w:rsidRDefault="000D1D1D" w:rsidP="000D1D1D">
      <w:pPr>
        <w:pStyle w:val="Normalnumbered"/>
        <w:numPr>
          <w:ilvl w:val="1"/>
          <w:numId w:val="1"/>
        </w:numPr>
        <w:spacing w:before="240" w:after="0"/>
        <w:jc w:val="left"/>
        <w:rPr>
          <w:rFonts w:ascii="Verdana" w:hAnsi="Verdana"/>
          <w:color w:val="auto"/>
          <w:sz w:val="20"/>
        </w:rPr>
      </w:pPr>
      <w:r>
        <w:rPr>
          <w:rFonts w:ascii="Verdana" w:hAnsi="Verdana"/>
          <w:color w:val="auto"/>
          <w:sz w:val="20"/>
        </w:rPr>
        <w:t>The Commonwealth will consult with the other Party of this Agreement around the evaluation scope and methodology.</w:t>
      </w:r>
    </w:p>
    <w:p w:rsidR="000D1D1D" w:rsidRDefault="000D1D1D" w:rsidP="000D1D1D">
      <w:pPr>
        <w:pStyle w:val="Normalnumbered"/>
        <w:numPr>
          <w:ilvl w:val="1"/>
          <w:numId w:val="1"/>
        </w:numPr>
        <w:spacing w:before="240" w:after="0"/>
        <w:jc w:val="left"/>
        <w:rPr>
          <w:rFonts w:ascii="Verdana" w:hAnsi="Verdana"/>
          <w:color w:val="auto"/>
          <w:sz w:val="20"/>
        </w:rPr>
      </w:pPr>
      <w:r w:rsidRPr="00AA3356">
        <w:rPr>
          <w:rFonts w:ascii="Verdana" w:hAnsi="Verdana"/>
          <w:color w:val="auto"/>
          <w:sz w:val="20"/>
        </w:rPr>
        <w:t xml:space="preserve">Evaluation findings will be used to inform the development of advice to </w:t>
      </w:r>
      <w:r>
        <w:rPr>
          <w:rFonts w:ascii="Verdana" w:hAnsi="Verdana"/>
          <w:color w:val="auto"/>
          <w:sz w:val="20"/>
        </w:rPr>
        <w:t xml:space="preserve">the </w:t>
      </w:r>
      <w:r w:rsidRPr="00AA3356">
        <w:rPr>
          <w:rFonts w:ascii="Verdana" w:hAnsi="Verdana"/>
          <w:color w:val="auto"/>
          <w:sz w:val="20"/>
        </w:rPr>
        <w:t>COAG Health Council in late 2021</w:t>
      </w:r>
      <w:r>
        <w:rPr>
          <w:rFonts w:ascii="Verdana" w:hAnsi="Verdana"/>
          <w:color w:val="auto"/>
          <w:sz w:val="20"/>
        </w:rPr>
        <w:t xml:space="preserve"> on future directions for the </w:t>
      </w:r>
      <w:r w:rsidRPr="00AA3356" w:rsidDel="007251F6">
        <w:rPr>
          <w:rFonts w:ascii="Verdana" w:hAnsi="Verdana"/>
          <w:color w:val="auto"/>
          <w:sz w:val="20"/>
        </w:rPr>
        <w:t xml:space="preserve">National Psychosocial Support </w:t>
      </w:r>
      <w:r>
        <w:rPr>
          <w:rFonts w:ascii="Verdana" w:hAnsi="Verdana"/>
          <w:color w:val="auto"/>
          <w:sz w:val="20"/>
        </w:rPr>
        <w:t>M</w:t>
      </w:r>
      <w:r w:rsidRPr="00AA3356" w:rsidDel="007251F6">
        <w:rPr>
          <w:rFonts w:ascii="Verdana" w:hAnsi="Verdana"/>
          <w:color w:val="auto"/>
          <w:sz w:val="20"/>
        </w:rPr>
        <w:t>easure</w:t>
      </w:r>
      <w:r>
        <w:rPr>
          <w:rFonts w:ascii="Verdana" w:hAnsi="Verdana"/>
          <w:color w:val="auto"/>
          <w:sz w:val="20"/>
        </w:rPr>
        <w:t>, as well as</w:t>
      </w:r>
      <w:r w:rsidRPr="00AA3356">
        <w:rPr>
          <w:rFonts w:ascii="Verdana" w:hAnsi="Verdana"/>
          <w:color w:val="auto"/>
          <w:sz w:val="20"/>
        </w:rPr>
        <w:t xml:space="preserve"> build the evidence base for joint action on supporting people with</w:t>
      </w:r>
      <w:r>
        <w:rPr>
          <w:rFonts w:ascii="Verdana" w:hAnsi="Verdana"/>
          <w:color w:val="auto"/>
          <w:sz w:val="20"/>
        </w:rPr>
        <w:t xml:space="preserve"> a severe mental illness and associated </w:t>
      </w:r>
      <w:r w:rsidRPr="00AA3356">
        <w:rPr>
          <w:rFonts w:ascii="Verdana" w:hAnsi="Verdana"/>
          <w:color w:val="auto"/>
          <w:sz w:val="20"/>
        </w:rPr>
        <w:t xml:space="preserve">psychosocial impairment </w:t>
      </w:r>
      <w:r w:rsidRPr="00AA3356">
        <w:rPr>
          <w:rFonts w:cs="Arial"/>
        </w:rPr>
        <w:t>who are not</w:t>
      </w:r>
      <w:r>
        <w:rPr>
          <w:rFonts w:cs="Arial"/>
        </w:rPr>
        <w:t xml:space="preserve"> more</w:t>
      </w:r>
      <w:r w:rsidRPr="00AA3356">
        <w:rPr>
          <w:rFonts w:cs="Arial"/>
        </w:rPr>
        <w:t xml:space="preserve"> appropriately supported through the NDIS</w:t>
      </w:r>
      <w:r w:rsidRPr="00AA3356">
        <w:rPr>
          <w:rFonts w:ascii="Verdana" w:hAnsi="Verdana"/>
          <w:color w:val="auto"/>
          <w:sz w:val="20"/>
        </w:rPr>
        <w:t>.</w:t>
      </w:r>
    </w:p>
    <w:p w:rsidR="000D1D1D" w:rsidRDefault="000D1D1D" w:rsidP="000D1D1D">
      <w:pPr>
        <w:pStyle w:val="Normalnumbered"/>
        <w:numPr>
          <w:ilvl w:val="1"/>
          <w:numId w:val="1"/>
        </w:numPr>
        <w:spacing w:before="240" w:after="0"/>
        <w:jc w:val="left"/>
        <w:rPr>
          <w:rFonts w:ascii="Verdana" w:hAnsi="Verdana"/>
          <w:color w:val="auto"/>
          <w:sz w:val="20"/>
        </w:rPr>
      </w:pPr>
      <w:r>
        <w:rPr>
          <w:rFonts w:ascii="Verdana" w:hAnsi="Verdana"/>
          <w:color w:val="auto"/>
          <w:sz w:val="20"/>
        </w:rPr>
        <w:t>The Commonwealth will provide a copy of the evaluation to jurisdictions.</w:t>
      </w:r>
    </w:p>
    <w:p w:rsidR="000D1D1D" w:rsidRDefault="000D1D1D" w:rsidP="000D1D1D">
      <w:pPr>
        <w:pStyle w:val="Normalnumbered"/>
        <w:numPr>
          <w:ilvl w:val="0"/>
          <w:numId w:val="1"/>
        </w:numPr>
        <w:tabs>
          <w:tab w:val="num" w:pos="851"/>
        </w:tabs>
        <w:spacing w:before="240" w:after="0"/>
        <w:jc w:val="left"/>
        <w:rPr>
          <w:rFonts w:ascii="Verdana" w:hAnsi="Verdana"/>
          <w:color w:val="auto"/>
          <w:sz w:val="20"/>
        </w:rPr>
      </w:pPr>
      <w:r w:rsidRPr="00BE44C6">
        <w:rPr>
          <w:rFonts w:ascii="Verdana" w:hAnsi="Verdana"/>
          <w:color w:val="auto"/>
          <w:sz w:val="20"/>
        </w:rPr>
        <w:lastRenderedPageBreak/>
        <w:t xml:space="preserve">Where </w:t>
      </w:r>
      <w:r>
        <w:rPr>
          <w:rFonts w:ascii="Verdana" w:hAnsi="Verdana"/>
          <w:color w:val="auto"/>
          <w:sz w:val="20"/>
        </w:rPr>
        <w:t xml:space="preserve">the States and Territories elect to </w:t>
      </w:r>
      <w:r w:rsidRPr="00AA3356">
        <w:rPr>
          <w:rFonts w:ascii="Verdana" w:hAnsi="Verdana"/>
          <w:color w:val="auto"/>
          <w:sz w:val="20"/>
        </w:rPr>
        <w:t>commission services with the Commonwealth through Primary Health Networks (PHNs)</w:t>
      </w:r>
      <w:r>
        <w:rPr>
          <w:rFonts w:ascii="Verdana" w:hAnsi="Verdana"/>
          <w:color w:val="auto"/>
          <w:sz w:val="20"/>
        </w:rPr>
        <w:t>,</w:t>
      </w:r>
      <w:r w:rsidRPr="00AA3356">
        <w:rPr>
          <w:rFonts w:ascii="Verdana" w:hAnsi="Verdana"/>
          <w:color w:val="auto"/>
          <w:sz w:val="20"/>
        </w:rPr>
        <w:t xml:space="preserve"> these services will be considered by the Commonwealth </w:t>
      </w:r>
      <w:r>
        <w:rPr>
          <w:rFonts w:ascii="Verdana" w:hAnsi="Verdana"/>
          <w:color w:val="auto"/>
          <w:sz w:val="20"/>
        </w:rPr>
        <w:t>N</w:t>
      </w:r>
      <w:r w:rsidRPr="00AA3356">
        <w:rPr>
          <w:rFonts w:ascii="Verdana" w:hAnsi="Verdana"/>
          <w:color w:val="auto"/>
          <w:sz w:val="20"/>
        </w:rPr>
        <w:t xml:space="preserve">ational </w:t>
      </w:r>
      <w:r>
        <w:rPr>
          <w:rFonts w:ascii="Verdana" w:hAnsi="Verdana"/>
          <w:color w:val="auto"/>
          <w:sz w:val="20"/>
        </w:rPr>
        <w:t>P</w:t>
      </w:r>
      <w:r w:rsidRPr="00AA3356">
        <w:rPr>
          <w:rFonts w:ascii="Verdana" w:hAnsi="Verdana"/>
          <w:color w:val="auto"/>
          <w:sz w:val="20"/>
        </w:rPr>
        <w:t xml:space="preserve">sychosocial </w:t>
      </w:r>
      <w:r>
        <w:rPr>
          <w:rFonts w:ascii="Verdana" w:hAnsi="Verdana"/>
          <w:color w:val="auto"/>
          <w:sz w:val="20"/>
        </w:rPr>
        <w:t>S</w:t>
      </w:r>
      <w:r w:rsidRPr="00AA3356">
        <w:rPr>
          <w:rFonts w:ascii="Verdana" w:hAnsi="Verdana"/>
          <w:color w:val="auto"/>
          <w:sz w:val="20"/>
        </w:rPr>
        <w:t xml:space="preserve">upport </w:t>
      </w:r>
      <w:r>
        <w:rPr>
          <w:rFonts w:ascii="Verdana" w:hAnsi="Verdana"/>
          <w:color w:val="auto"/>
          <w:sz w:val="20"/>
        </w:rPr>
        <w:t>M</w:t>
      </w:r>
      <w:r w:rsidRPr="00AA3356">
        <w:rPr>
          <w:rFonts w:ascii="Verdana" w:hAnsi="Verdana"/>
          <w:color w:val="auto"/>
          <w:sz w:val="20"/>
        </w:rPr>
        <w:t>easure evaluation</w:t>
      </w:r>
      <w:r>
        <w:rPr>
          <w:rFonts w:ascii="Verdana" w:hAnsi="Verdana"/>
          <w:color w:val="auto"/>
          <w:sz w:val="20"/>
        </w:rPr>
        <w:t>. The evaluation will be u</w:t>
      </w:r>
      <w:r w:rsidRPr="00AA3356">
        <w:rPr>
          <w:rFonts w:ascii="Verdana" w:hAnsi="Verdana"/>
          <w:color w:val="auto"/>
          <w:sz w:val="20"/>
        </w:rPr>
        <w:t xml:space="preserve">ndertaken in partnership with </w:t>
      </w:r>
      <w:r>
        <w:rPr>
          <w:rFonts w:ascii="Verdana" w:hAnsi="Verdana"/>
          <w:color w:val="auto"/>
          <w:sz w:val="20"/>
          <w:shd w:val="clear" w:color="auto" w:fill="FFFFFF" w:themeFill="background1"/>
        </w:rPr>
        <w:t xml:space="preserve">the States and Territories </w:t>
      </w:r>
      <w:r w:rsidRPr="00BE44C6">
        <w:rPr>
          <w:rFonts w:ascii="Verdana" w:hAnsi="Verdana"/>
          <w:color w:val="auto"/>
          <w:sz w:val="20"/>
          <w:shd w:val="clear" w:color="auto" w:fill="FFFFFF" w:themeFill="background1"/>
        </w:rPr>
        <w:t>and</w:t>
      </w:r>
      <w:r>
        <w:rPr>
          <w:rFonts w:ascii="Verdana" w:hAnsi="Verdana"/>
          <w:color w:val="auto"/>
          <w:sz w:val="20"/>
        </w:rPr>
        <w:t xml:space="preserve"> </w:t>
      </w:r>
      <w:r w:rsidRPr="00AA3356">
        <w:rPr>
          <w:rFonts w:ascii="Verdana" w:hAnsi="Verdana"/>
          <w:color w:val="auto"/>
          <w:sz w:val="20"/>
        </w:rPr>
        <w:t>the Commonwealth</w:t>
      </w:r>
      <w:r>
        <w:rPr>
          <w:rFonts w:ascii="Verdana" w:hAnsi="Verdana"/>
          <w:color w:val="auto"/>
          <w:sz w:val="20"/>
        </w:rPr>
        <w:t>, and</w:t>
      </w:r>
      <w:r w:rsidRPr="00AA3356">
        <w:rPr>
          <w:rFonts w:ascii="Verdana" w:hAnsi="Verdana"/>
          <w:color w:val="auto"/>
          <w:sz w:val="20"/>
        </w:rPr>
        <w:t xml:space="preserve"> will recognise the collaborative partnership and its impact on the outcome</w:t>
      </w:r>
      <w:r>
        <w:rPr>
          <w:rFonts w:ascii="Verdana" w:hAnsi="Verdana"/>
          <w:color w:val="auto"/>
          <w:sz w:val="20"/>
        </w:rPr>
        <w:t>s</w:t>
      </w:r>
      <w:r w:rsidRPr="00AA3356">
        <w:rPr>
          <w:rFonts w:ascii="Verdana" w:hAnsi="Verdana"/>
          <w:color w:val="auto"/>
          <w:sz w:val="20"/>
        </w:rPr>
        <w:t xml:space="preserve"> of the national psychosocial support measure.</w:t>
      </w:r>
    </w:p>
    <w:p w:rsidR="000D1D1D" w:rsidRPr="00AB58C2" w:rsidRDefault="000D1D1D" w:rsidP="000D1D1D">
      <w:pPr>
        <w:spacing w:line="260" w:lineRule="exact"/>
        <w:rPr>
          <w:rFonts w:cs="Arial"/>
          <w:b/>
          <w:bCs/>
          <w:i/>
          <w:iCs/>
          <w:szCs w:val="20"/>
        </w:rPr>
      </w:pPr>
      <w:r w:rsidRPr="00AB58C2">
        <w:rPr>
          <w:rFonts w:cs="Arial"/>
          <w:b/>
          <w:bCs/>
          <w:i/>
          <w:iCs/>
          <w:szCs w:val="20"/>
        </w:rPr>
        <w:t>Multilateral Monitoring Progress</w:t>
      </w:r>
    </w:p>
    <w:p w:rsidR="000D1D1D" w:rsidRPr="003C33AE" w:rsidRDefault="000D1D1D" w:rsidP="000D1D1D">
      <w:pPr>
        <w:pStyle w:val="ListParagraph"/>
        <w:numPr>
          <w:ilvl w:val="0"/>
          <w:numId w:val="1"/>
        </w:numPr>
        <w:spacing w:line="260" w:lineRule="exact"/>
        <w:contextualSpacing w:val="0"/>
      </w:pPr>
      <w:r w:rsidRPr="00AA3356">
        <w:rPr>
          <w:szCs w:val="20"/>
        </w:rPr>
        <w:t xml:space="preserve">Multilateral </w:t>
      </w:r>
      <w:r>
        <w:rPr>
          <w:szCs w:val="20"/>
        </w:rPr>
        <w:t xml:space="preserve">reporting, on an exception basis, </w:t>
      </w:r>
      <w:r w:rsidRPr="00AA3356">
        <w:rPr>
          <w:szCs w:val="20"/>
        </w:rPr>
        <w:t xml:space="preserve">on implementation progress and emerging risks or issues </w:t>
      </w:r>
      <w:r>
        <w:rPr>
          <w:szCs w:val="20"/>
        </w:rPr>
        <w:t>will be made to the Australian Health Ministers Advisory Council (AHMAC)</w:t>
      </w:r>
      <w:r w:rsidRPr="00AA3356">
        <w:rPr>
          <w:szCs w:val="20"/>
        </w:rPr>
        <w:t>.</w:t>
      </w:r>
    </w:p>
    <w:p w:rsidR="000D1D1D" w:rsidRPr="00AA3356" w:rsidRDefault="000D1D1D" w:rsidP="000D1D1D">
      <w:pPr>
        <w:pStyle w:val="Heading2"/>
        <w:spacing w:line="260" w:lineRule="exact"/>
        <w:rPr>
          <w:rFonts w:ascii="Verdana" w:hAnsi="Verdana"/>
          <w:szCs w:val="20"/>
        </w:rPr>
      </w:pPr>
      <w:r w:rsidRPr="00AA3356">
        <w:rPr>
          <w:rFonts w:ascii="Verdana" w:hAnsi="Verdana"/>
          <w:szCs w:val="20"/>
        </w:rPr>
        <w:t>Risk and Issues Management</w:t>
      </w:r>
    </w:p>
    <w:p w:rsidR="000D1D1D" w:rsidRPr="00AA3356" w:rsidRDefault="000D1D1D" w:rsidP="000D1D1D">
      <w:pPr>
        <w:pStyle w:val="Normalnumbered"/>
        <w:numPr>
          <w:ilvl w:val="0"/>
          <w:numId w:val="1"/>
        </w:numPr>
        <w:tabs>
          <w:tab w:val="num" w:pos="851"/>
        </w:tabs>
        <w:spacing w:before="240" w:after="0"/>
        <w:jc w:val="left"/>
        <w:rPr>
          <w:rFonts w:ascii="Verdana" w:hAnsi="Verdana"/>
          <w:color w:val="auto"/>
          <w:sz w:val="20"/>
        </w:rPr>
      </w:pPr>
      <w:r w:rsidRPr="00AA3356">
        <w:rPr>
          <w:rFonts w:ascii="Verdana" w:hAnsi="Verdana"/>
          <w:color w:val="auto"/>
          <w:sz w:val="20"/>
        </w:rPr>
        <w:t>The Parties agree that they will continually monitor, review and take necessary action to manage risks over the life of the Agreement</w:t>
      </w:r>
      <w:r>
        <w:rPr>
          <w:rFonts w:ascii="Verdana" w:hAnsi="Verdana"/>
          <w:color w:val="auto"/>
          <w:sz w:val="20"/>
        </w:rPr>
        <w:t>, including in relation to interface issues with other service systems</w:t>
      </w:r>
      <w:r w:rsidRPr="00AA3356">
        <w:rPr>
          <w:rFonts w:ascii="Verdana" w:hAnsi="Verdana"/>
          <w:color w:val="auto"/>
          <w:sz w:val="20"/>
        </w:rPr>
        <w:t>. Where agreed by both Parties, Schedule A will be updated to reflect any substantive changes or extension to activities to effectively manage identified risks.</w:t>
      </w:r>
    </w:p>
    <w:p w:rsidR="000D1D1D" w:rsidRPr="00AA3356" w:rsidRDefault="000D1D1D" w:rsidP="000D1D1D">
      <w:pPr>
        <w:pStyle w:val="Normalnumbered"/>
        <w:numPr>
          <w:ilvl w:val="0"/>
          <w:numId w:val="1"/>
        </w:numPr>
        <w:tabs>
          <w:tab w:val="num" w:pos="851"/>
        </w:tabs>
        <w:spacing w:before="240" w:after="0"/>
        <w:jc w:val="left"/>
        <w:rPr>
          <w:rFonts w:ascii="Verdana" w:hAnsi="Verdana"/>
          <w:color w:val="auto"/>
          <w:sz w:val="20"/>
        </w:rPr>
      </w:pPr>
      <w:r w:rsidRPr="00AA3356">
        <w:rPr>
          <w:rFonts w:ascii="Verdana" w:hAnsi="Verdana"/>
          <w:color w:val="auto"/>
          <w:sz w:val="20"/>
        </w:rPr>
        <w:t xml:space="preserve">Each Party agrees to provide the other Party with reasonable prior notice in writing on any implementation issues and risks that may impact on the progress or success of </w:t>
      </w:r>
      <w:r>
        <w:rPr>
          <w:rFonts w:ascii="Verdana" w:hAnsi="Verdana"/>
          <w:color w:val="auto"/>
          <w:sz w:val="20"/>
        </w:rPr>
        <w:t>the National P</w:t>
      </w:r>
      <w:r w:rsidRPr="00AA3356">
        <w:rPr>
          <w:rFonts w:ascii="Verdana" w:hAnsi="Verdana"/>
          <w:color w:val="auto"/>
          <w:sz w:val="20"/>
        </w:rPr>
        <w:t xml:space="preserve">sychosocial </w:t>
      </w:r>
      <w:r>
        <w:rPr>
          <w:rFonts w:ascii="Verdana" w:hAnsi="Verdana"/>
          <w:color w:val="auto"/>
          <w:sz w:val="20"/>
        </w:rPr>
        <w:t>S</w:t>
      </w:r>
      <w:r w:rsidRPr="00AA3356">
        <w:rPr>
          <w:rFonts w:ascii="Verdana" w:hAnsi="Verdana"/>
          <w:color w:val="auto"/>
          <w:sz w:val="20"/>
        </w:rPr>
        <w:t xml:space="preserve">upport </w:t>
      </w:r>
      <w:r>
        <w:rPr>
          <w:rFonts w:ascii="Verdana" w:hAnsi="Verdana"/>
          <w:color w:val="auto"/>
          <w:sz w:val="20"/>
        </w:rPr>
        <w:t xml:space="preserve">Measure </w:t>
      </w:r>
      <w:r w:rsidRPr="00AA3356">
        <w:rPr>
          <w:rFonts w:ascii="Verdana" w:hAnsi="Verdana"/>
          <w:color w:val="auto"/>
          <w:sz w:val="20"/>
        </w:rPr>
        <w:t xml:space="preserve">activities. </w:t>
      </w:r>
    </w:p>
    <w:p w:rsidR="000D1D1D" w:rsidRPr="00AA3356" w:rsidRDefault="000D1D1D" w:rsidP="000D1D1D">
      <w:pPr>
        <w:pStyle w:val="Normalnumbered"/>
        <w:numPr>
          <w:ilvl w:val="0"/>
          <w:numId w:val="1"/>
        </w:numPr>
        <w:tabs>
          <w:tab w:val="num" w:pos="851"/>
        </w:tabs>
        <w:spacing w:before="240" w:after="0"/>
        <w:jc w:val="left"/>
        <w:rPr>
          <w:rFonts w:ascii="Verdana" w:hAnsi="Verdana"/>
          <w:color w:val="auto"/>
          <w:sz w:val="20"/>
        </w:rPr>
      </w:pPr>
      <w:r w:rsidRPr="00AA3356">
        <w:rPr>
          <w:rFonts w:ascii="Verdana" w:hAnsi="Verdana"/>
          <w:color w:val="auto"/>
          <w:sz w:val="20"/>
        </w:rPr>
        <w:t xml:space="preserve">If risks eventuate at any time for either party, the Party with primary responsibility for the risk will work with the other Party to develop agreed mitigation proposals.  </w:t>
      </w:r>
    </w:p>
    <w:p w:rsidR="000D1D1D" w:rsidRPr="00694998" w:rsidRDefault="000D1D1D" w:rsidP="000D1D1D">
      <w:pPr>
        <w:pStyle w:val="Heading1"/>
        <w:spacing w:after="0" w:line="260" w:lineRule="exact"/>
        <w:rPr>
          <w:rFonts w:ascii="Verdana" w:hAnsi="Verdana"/>
        </w:rPr>
      </w:pPr>
      <w:r w:rsidRPr="00603847">
        <w:rPr>
          <w:rFonts w:ascii="Verdana" w:hAnsi="Verdana"/>
        </w:rPr>
        <w:t>Part 6 — Stakeholders</w:t>
      </w:r>
    </w:p>
    <w:p w:rsidR="000D1D1D" w:rsidRDefault="000D1D1D" w:rsidP="000D1D1D">
      <w:pPr>
        <w:pStyle w:val="Normalnumbered"/>
        <w:numPr>
          <w:ilvl w:val="0"/>
          <w:numId w:val="1"/>
        </w:numPr>
        <w:tabs>
          <w:tab w:val="num" w:pos="851"/>
        </w:tabs>
        <w:spacing w:before="240" w:after="0"/>
        <w:jc w:val="left"/>
        <w:rPr>
          <w:rFonts w:ascii="Verdana" w:hAnsi="Verdana"/>
          <w:color w:val="auto"/>
          <w:sz w:val="20"/>
        </w:rPr>
      </w:pPr>
      <w:r w:rsidRPr="00AA3356">
        <w:rPr>
          <w:rFonts w:ascii="Verdana" w:hAnsi="Verdana"/>
          <w:color w:val="auto"/>
          <w:sz w:val="20"/>
        </w:rPr>
        <w:t>To support appropriate linkages and embed Agreement activities within existing programs and services, the Parties will communicate as appropriate with key stakeholders</w:t>
      </w:r>
      <w:r>
        <w:rPr>
          <w:rFonts w:ascii="Verdana" w:hAnsi="Verdana"/>
          <w:color w:val="auto"/>
          <w:sz w:val="20"/>
        </w:rPr>
        <w:t xml:space="preserve">, as identified by the Parties, </w:t>
      </w:r>
      <w:r w:rsidRPr="00AA3356">
        <w:rPr>
          <w:rFonts w:ascii="Verdana" w:hAnsi="Verdana"/>
          <w:color w:val="auto"/>
          <w:sz w:val="20"/>
        </w:rPr>
        <w:t xml:space="preserve">throughout the life of the Agreement, including through existing communication channels, mechanisms and forums. </w:t>
      </w:r>
    </w:p>
    <w:p w:rsidR="000D1D1D" w:rsidRPr="00AE4598" w:rsidRDefault="000D1D1D" w:rsidP="000D1D1D">
      <w:pPr>
        <w:pStyle w:val="Heading1"/>
        <w:spacing w:after="0" w:line="260" w:lineRule="exact"/>
        <w:rPr>
          <w:rFonts w:ascii="Verdana" w:hAnsi="Verdana"/>
        </w:rPr>
      </w:pPr>
      <w:r>
        <w:rPr>
          <w:rFonts w:ascii="Verdana" w:hAnsi="Verdana"/>
        </w:rPr>
        <w:t xml:space="preserve">Part 7 </w:t>
      </w:r>
      <w:r w:rsidRPr="00694998">
        <w:rPr>
          <w:rFonts w:ascii="Verdana" w:hAnsi="Verdana"/>
        </w:rPr>
        <w:t>—</w:t>
      </w:r>
      <w:r>
        <w:rPr>
          <w:rFonts w:ascii="Verdana" w:hAnsi="Verdana"/>
        </w:rPr>
        <w:t xml:space="preserve"> </w:t>
      </w:r>
      <w:r w:rsidRPr="00AE4598">
        <w:rPr>
          <w:rFonts w:ascii="Verdana" w:hAnsi="Verdana"/>
        </w:rPr>
        <w:t>Communications</w:t>
      </w:r>
    </w:p>
    <w:p w:rsidR="000D1D1D" w:rsidRDefault="000D1D1D" w:rsidP="000D1D1D">
      <w:pPr>
        <w:pStyle w:val="Normalnumbered"/>
        <w:numPr>
          <w:ilvl w:val="0"/>
          <w:numId w:val="1"/>
        </w:numPr>
        <w:tabs>
          <w:tab w:val="num" w:pos="851"/>
        </w:tabs>
        <w:spacing w:before="240" w:after="0"/>
        <w:jc w:val="left"/>
        <w:rPr>
          <w:rFonts w:ascii="Verdana" w:hAnsi="Verdana"/>
          <w:color w:val="auto"/>
          <w:sz w:val="20"/>
        </w:rPr>
      </w:pPr>
      <w:r w:rsidRPr="00AE4598">
        <w:rPr>
          <w:rFonts w:ascii="Verdana" w:hAnsi="Verdana"/>
          <w:color w:val="auto"/>
          <w:sz w:val="20"/>
        </w:rPr>
        <w:t xml:space="preserve">The Parties agree to a collaborative and cooperative approach </w:t>
      </w:r>
      <w:r>
        <w:rPr>
          <w:rFonts w:ascii="Verdana" w:hAnsi="Verdana"/>
          <w:color w:val="auto"/>
          <w:sz w:val="20"/>
        </w:rPr>
        <w:t xml:space="preserve">to external </w:t>
      </w:r>
      <w:r w:rsidRPr="00AE4598">
        <w:rPr>
          <w:rFonts w:ascii="Verdana" w:hAnsi="Verdana"/>
          <w:color w:val="auto"/>
          <w:sz w:val="20"/>
        </w:rPr>
        <w:t xml:space="preserve">communications consistent with the aims of this Agreement. </w:t>
      </w:r>
      <w:r w:rsidRPr="00AA3356">
        <w:rPr>
          <w:rFonts w:ascii="Verdana" w:hAnsi="Verdana"/>
          <w:color w:val="auto"/>
          <w:sz w:val="20"/>
        </w:rPr>
        <w:t xml:space="preserve"> </w:t>
      </w:r>
    </w:p>
    <w:p w:rsidR="000D1D1D" w:rsidRPr="00212E55" w:rsidRDefault="000D1D1D" w:rsidP="000D1D1D">
      <w:pPr>
        <w:pStyle w:val="Normalnumbered"/>
        <w:numPr>
          <w:ilvl w:val="0"/>
          <w:numId w:val="1"/>
        </w:numPr>
        <w:tabs>
          <w:tab w:val="num" w:pos="851"/>
        </w:tabs>
        <w:spacing w:before="240" w:after="0"/>
        <w:jc w:val="left"/>
        <w:rPr>
          <w:rFonts w:ascii="Verdana" w:hAnsi="Verdana"/>
          <w:color w:val="auto"/>
          <w:sz w:val="20"/>
        </w:rPr>
      </w:pPr>
      <w:r w:rsidRPr="00212E55">
        <w:rPr>
          <w:rFonts w:ascii="Verdana" w:hAnsi="Verdana"/>
          <w:color w:val="auto"/>
          <w:sz w:val="20"/>
        </w:rPr>
        <w:t>The Parties agree to consult with one another about any significant publications or announcements, including media releases,</w:t>
      </w:r>
      <w:r>
        <w:rPr>
          <w:rFonts w:ascii="Verdana" w:hAnsi="Verdana"/>
          <w:color w:val="auto"/>
          <w:sz w:val="20"/>
        </w:rPr>
        <w:t xml:space="preserve"> </w:t>
      </w:r>
      <w:r w:rsidRPr="00212E55">
        <w:rPr>
          <w:rFonts w:ascii="Verdana" w:hAnsi="Verdana"/>
          <w:color w:val="auto"/>
          <w:sz w:val="20"/>
        </w:rPr>
        <w:t xml:space="preserve">relating to this Agreement to ensure that each party has sufficient time to participate in those opportunities.  </w:t>
      </w:r>
    </w:p>
    <w:p w:rsidR="000D1D1D" w:rsidRPr="00212E55" w:rsidRDefault="000D1D1D" w:rsidP="000D1D1D">
      <w:pPr>
        <w:pStyle w:val="Normalnumbered"/>
        <w:numPr>
          <w:ilvl w:val="0"/>
          <w:numId w:val="1"/>
        </w:numPr>
        <w:tabs>
          <w:tab w:val="num" w:pos="851"/>
        </w:tabs>
        <w:spacing w:before="240" w:after="0"/>
        <w:jc w:val="left"/>
        <w:rPr>
          <w:rFonts w:ascii="Verdana" w:hAnsi="Verdana"/>
          <w:color w:val="auto"/>
          <w:sz w:val="20"/>
        </w:rPr>
      </w:pPr>
      <w:r w:rsidRPr="00212E55">
        <w:rPr>
          <w:rFonts w:ascii="Verdana" w:hAnsi="Verdana"/>
          <w:color w:val="auto"/>
          <w:sz w:val="20"/>
        </w:rPr>
        <w:t>If there is any doubt about the significance of a proposed announcement or publication, the Parties agree to liaise with each other to determine whether the other Party wishes to be jointly involved.</w:t>
      </w:r>
    </w:p>
    <w:p w:rsidR="000D1D1D" w:rsidRPr="00212E55" w:rsidRDefault="000D1D1D" w:rsidP="000D1D1D">
      <w:pPr>
        <w:pStyle w:val="Normalnumbered"/>
        <w:numPr>
          <w:ilvl w:val="0"/>
          <w:numId w:val="1"/>
        </w:numPr>
        <w:tabs>
          <w:tab w:val="num" w:pos="851"/>
        </w:tabs>
        <w:spacing w:before="240" w:after="0"/>
        <w:jc w:val="left"/>
        <w:rPr>
          <w:rFonts w:ascii="Verdana" w:hAnsi="Verdana"/>
          <w:color w:val="auto"/>
          <w:sz w:val="20"/>
        </w:rPr>
      </w:pPr>
      <w:r w:rsidRPr="00212E55">
        <w:rPr>
          <w:rFonts w:ascii="Verdana" w:hAnsi="Verdana"/>
          <w:color w:val="auto"/>
          <w:sz w:val="20"/>
        </w:rPr>
        <w:t xml:space="preserve">The Parties will use all reasonable endeavours to respond to each other in respect of urgent </w:t>
      </w:r>
      <w:r>
        <w:rPr>
          <w:rFonts w:ascii="Verdana" w:hAnsi="Verdana"/>
          <w:color w:val="auto"/>
          <w:sz w:val="20"/>
        </w:rPr>
        <w:t>announcements</w:t>
      </w:r>
      <w:r w:rsidRPr="00212E55">
        <w:rPr>
          <w:rFonts w:ascii="Verdana" w:hAnsi="Verdana"/>
          <w:color w:val="auto"/>
          <w:sz w:val="20"/>
        </w:rPr>
        <w:t xml:space="preserve"> in a timely manner.</w:t>
      </w:r>
    </w:p>
    <w:p w:rsidR="000D1D1D" w:rsidRPr="00AA3356" w:rsidRDefault="000D1D1D" w:rsidP="000D1D1D">
      <w:pPr>
        <w:pStyle w:val="Normalnumbered"/>
        <w:spacing w:before="240" w:after="0"/>
        <w:ind w:left="0" w:firstLine="0"/>
        <w:jc w:val="left"/>
        <w:rPr>
          <w:rFonts w:ascii="Verdana" w:hAnsi="Verdana"/>
          <w:color w:val="auto"/>
          <w:sz w:val="20"/>
        </w:rPr>
      </w:pPr>
    </w:p>
    <w:p w:rsidR="000D1D1D" w:rsidRPr="00694998" w:rsidRDefault="000D1D1D" w:rsidP="000D1D1D">
      <w:pPr>
        <w:pStyle w:val="Heading1"/>
        <w:spacing w:after="0" w:line="260" w:lineRule="exact"/>
        <w:rPr>
          <w:rFonts w:ascii="Verdana" w:hAnsi="Verdana"/>
        </w:rPr>
      </w:pPr>
      <w:r w:rsidRPr="00694998">
        <w:rPr>
          <w:rFonts w:ascii="Verdana" w:hAnsi="Verdana"/>
        </w:rPr>
        <w:t xml:space="preserve">Part </w:t>
      </w:r>
      <w:r>
        <w:rPr>
          <w:rFonts w:ascii="Verdana" w:hAnsi="Verdana"/>
        </w:rPr>
        <w:t>8</w:t>
      </w:r>
      <w:r w:rsidRPr="00694998">
        <w:rPr>
          <w:rFonts w:ascii="Verdana" w:hAnsi="Verdana"/>
        </w:rPr>
        <w:t xml:space="preserve"> — Governance of the Agreement</w:t>
      </w:r>
    </w:p>
    <w:p w:rsidR="000D1D1D" w:rsidRPr="00AA3356" w:rsidRDefault="000D1D1D" w:rsidP="000D1D1D">
      <w:pPr>
        <w:pStyle w:val="Heading2"/>
        <w:spacing w:line="260" w:lineRule="exact"/>
        <w:rPr>
          <w:rFonts w:ascii="Verdana" w:hAnsi="Verdana"/>
          <w:szCs w:val="20"/>
        </w:rPr>
      </w:pPr>
      <w:r w:rsidRPr="00AA3356">
        <w:rPr>
          <w:rFonts w:ascii="Verdana" w:hAnsi="Verdana"/>
          <w:szCs w:val="20"/>
        </w:rPr>
        <w:t>Disputes under the Agreement</w:t>
      </w:r>
    </w:p>
    <w:p w:rsidR="000D1D1D" w:rsidRPr="00AA3356" w:rsidRDefault="000D1D1D" w:rsidP="000D1D1D">
      <w:pPr>
        <w:pStyle w:val="Normalnumbered"/>
        <w:numPr>
          <w:ilvl w:val="0"/>
          <w:numId w:val="1"/>
        </w:numPr>
        <w:tabs>
          <w:tab w:val="num" w:pos="851"/>
        </w:tabs>
        <w:spacing w:before="240" w:after="0"/>
        <w:jc w:val="left"/>
        <w:rPr>
          <w:rFonts w:ascii="Verdana" w:hAnsi="Verdana"/>
          <w:color w:val="auto"/>
          <w:sz w:val="20"/>
        </w:rPr>
      </w:pPr>
      <w:r w:rsidRPr="00AA3356">
        <w:rPr>
          <w:rFonts w:ascii="Verdana" w:hAnsi="Verdana"/>
          <w:color w:val="auto"/>
          <w:sz w:val="20"/>
        </w:rPr>
        <w:t>Any Party may give notice in writing to the other Party of a dispute under the Agreement.</w:t>
      </w:r>
    </w:p>
    <w:p w:rsidR="000D1D1D" w:rsidRPr="00AA3356" w:rsidRDefault="000D1D1D" w:rsidP="000D1D1D">
      <w:pPr>
        <w:pStyle w:val="Normalnumbered"/>
        <w:numPr>
          <w:ilvl w:val="0"/>
          <w:numId w:val="1"/>
        </w:numPr>
        <w:tabs>
          <w:tab w:val="num" w:pos="851"/>
        </w:tabs>
        <w:spacing w:before="240" w:after="0"/>
        <w:jc w:val="left"/>
        <w:rPr>
          <w:rFonts w:ascii="Verdana" w:hAnsi="Verdana"/>
          <w:color w:val="auto"/>
          <w:sz w:val="20"/>
        </w:rPr>
      </w:pPr>
      <w:r w:rsidRPr="00AA3356">
        <w:rPr>
          <w:rFonts w:ascii="Verdana" w:hAnsi="Verdana"/>
          <w:color w:val="auto"/>
          <w:sz w:val="20"/>
        </w:rPr>
        <w:t>The Parties will attempt to resolve any dispute at officer-level in the first instance.</w:t>
      </w:r>
    </w:p>
    <w:p w:rsidR="000D1D1D" w:rsidRPr="00AA3356" w:rsidRDefault="000D1D1D" w:rsidP="000D1D1D">
      <w:pPr>
        <w:pStyle w:val="Normalnumbered"/>
        <w:numPr>
          <w:ilvl w:val="0"/>
          <w:numId w:val="1"/>
        </w:numPr>
        <w:tabs>
          <w:tab w:val="num" w:pos="851"/>
        </w:tabs>
        <w:spacing w:before="240" w:after="0"/>
        <w:jc w:val="left"/>
        <w:rPr>
          <w:rFonts w:ascii="Verdana" w:hAnsi="Verdana"/>
          <w:color w:val="auto"/>
          <w:sz w:val="20"/>
        </w:rPr>
      </w:pPr>
      <w:r w:rsidRPr="00AA3356">
        <w:rPr>
          <w:rFonts w:ascii="Verdana" w:hAnsi="Verdana"/>
          <w:color w:val="auto"/>
          <w:sz w:val="20"/>
        </w:rPr>
        <w:t xml:space="preserve">If the issue cannot be resolved at officer-level, it may be escalated to the relevant executive officers </w:t>
      </w:r>
      <w:r>
        <w:rPr>
          <w:rFonts w:ascii="Verdana" w:hAnsi="Verdana"/>
          <w:color w:val="auto"/>
          <w:sz w:val="20"/>
        </w:rPr>
        <w:t xml:space="preserve">and </w:t>
      </w:r>
      <w:r w:rsidRPr="00AA3356">
        <w:rPr>
          <w:rFonts w:ascii="Verdana" w:hAnsi="Verdana"/>
          <w:color w:val="auto"/>
          <w:sz w:val="20"/>
        </w:rPr>
        <w:t>Ministers</w:t>
      </w:r>
      <w:r>
        <w:rPr>
          <w:rFonts w:ascii="Verdana" w:hAnsi="Verdana"/>
          <w:color w:val="auto"/>
          <w:sz w:val="20"/>
        </w:rPr>
        <w:t>.</w:t>
      </w:r>
    </w:p>
    <w:p w:rsidR="000D1D1D" w:rsidRPr="00AA3356" w:rsidRDefault="000D1D1D" w:rsidP="000D1D1D">
      <w:pPr>
        <w:pStyle w:val="Heading2"/>
        <w:spacing w:line="260" w:lineRule="exact"/>
        <w:rPr>
          <w:rFonts w:ascii="Verdana" w:hAnsi="Verdana"/>
          <w:szCs w:val="20"/>
        </w:rPr>
      </w:pPr>
      <w:r w:rsidRPr="00AA3356">
        <w:rPr>
          <w:rFonts w:ascii="Verdana" w:hAnsi="Verdana"/>
          <w:szCs w:val="20"/>
        </w:rPr>
        <w:t>Variation of the Agreement</w:t>
      </w:r>
    </w:p>
    <w:p w:rsidR="000D1D1D" w:rsidRPr="00AA3356" w:rsidRDefault="000D1D1D" w:rsidP="000D1D1D">
      <w:pPr>
        <w:pStyle w:val="Normalnumbered"/>
        <w:numPr>
          <w:ilvl w:val="0"/>
          <w:numId w:val="1"/>
        </w:numPr>
        <w:tabs>
          <w:tab w:val="num" w:pos="851"/>
        </w:tabs>
        <w:spacing w:before="240" w:after="0"/>
        <w:jc w:val="left"/>
        <w:rPr>
          <w:rFonts w:ascii="Verdana" w:hAnsi="Verdana"/>
          <w:color w:val="auto"/>
          <w:sz w:val="20"/>
        </w:rPr>
      </w:pPr>
      <w:r w:rsidRPr="00AA3356">
        <w:rPr>
          <w:rFonts w:ascii="Verdana" w:hAnsi="Verdana"/>
          <w:color w:val="auto"/>
          <w:sz w:val="20"/>
        </w:rPr>
        <w:t xml:space="preserve">The Agreement may be amended at any time by agreement in writing by </w:t>
      </w:r>
      <w:r>
        <w:rPr>
          <w:rFonts w:ascii="Verdana" w:hAnsi="Verdana"/>
          <w:color w:val="auto"/>
          <w:sz w:val="20"/>
        </w:rPr>
        <w:t xml:space="preserve">the appropriate State and Territory Minister and </w:t>
      </w:r>
      <w:r w:rsidRPr="00AA3356">
        <w:rPr>
          <w:rFonts w:ascii="Verdana" w:hAnsi="Verdana"/>
          <w:color w:val="auto"/>
          <w:sz w:val="20"/>
        </w:rPr>
        <w:t>the Commonwealth Minister for Health.</w:t>
      </w:r>
    </w:p>
    <w:p w:rsidR="000D1D1D" w:rsidRPr="00AA3356" w:rsidRDefault="000D1D1D" w:rsidP="000D1D1D">
      <w:pPr>
        <w:pStyle w:val="Heading2"/>
        <w:spacing w:line="260" w:lineRule="exact"/>
        <w:rPr>
          <w:rFonts w:ascii="Verdana" w:hAnsi="Verdana"/>
          <w:szCs w:val="20"/>
        </w:rPr>
      </w:pPr>
      <w:r w:rsidRPr="00AA3356">
        <w:rPr>
          <w:rFonts w:ascii="Verdana" w:hAnsi="Verdana"/>
          <w:szCs w:val="20"/>
        </w:rPr>
        <w:t>Variation to Schedules to the Agreement</w:t>
      </w:r>
    </w:p>
    <w:p w:rsidR="000D1D1D" w:rsidRPr="00AA3356" w:rsidRDefault="000D1D1D" w:rsidP="000D1D1D">
      <w:pPr>
        <w:pStyle w:val="Normalnumbered"/>
        <w:numPr>
          <w:ilvl w:val="0"/>
          <w:numId w:val="1"/>
        </w:numPr>
        <w:tabs>
          <w:tab w:val="num" w:pos="851"/>
        </w:tabs>
        <w:spacing w:before="240" w:after="0"/>
        <w:jc w:val="left"/>
        <w:rPr>
          <w:rFonts w:ascii="Verdana" w:hAnsi="Verdana"/>
          <w:color w:val="auto"/>
          <w:sz w:val="20"/>
        </w:rPr>
      </w:pPr>
      <w:r w:rsidRPr="00AA3356">
        <w:rPr>
          <w:rFonts w:ascii="Verdana" w:hAnsi="Verdana"/>
          <w:color w:val="auto"/>
          <w:sz w:val="20"/>
        </w:rPr>
        <w:t>The Parties agree that any amendments to the schedules can be made at any time by agreement in writing between the</w:t>
      </w:r>
      <w:r>
        <w:rPr>
          <w:rFonts w:ascii="Verdana" w:hAnsi="Verdana"/>
          <w:color w:val="auto"/>
          <w:sz w:val="20"/>
        </w:rPr>
        <w:t xml:space="preserve"> appropriate</w:t>
      </w:r>
      <w:r w:rsidRPr="00AA3356">
        <w:rPr>
          <w:rFonts w:ascii="Verdana" w:hAnsi="Verdana"/>
          <w:color w:val="auto"/>
          <w:sz w:val="20"/>
        </w:rPr>
        <w:t xml:space="preserve"> </w:t>
      </w:r>
      <w:r>
        <w:rPr>
          <w:rFonts w:ascii="Verdana" w:hAnsi="Verdana"/>
          <w:color w:val="auto"/>
          <w:sz w:val="20"/>
        </w:rPr>
        <w:t xml:space="preserve">State and Territory Minister </w:t>
      </w:r>
      <w:r w:rsidRPr="00AA3356">
        <w:rPr>
          <w:rFonts w:ascii="Verdana" w:hAnsi="Verdana"/>
          <w:color w:val="auto"/>
          <w:sz w:val="20"/>
        </w:rPr>
        <w:t>and the Commonwealth Minister for Health.</w:t>
      </w:r>
    </w:p>
    <w:p w:rsidR="000D1D1D" w:rsidRPr="00AA3356" w:rsidRDefault="000D1D1D" w:rsidP="000D1D1D">
      <w:pPr>
        <w:pStyle w:val="Heading2"/>
        <w:spacing w:line="260" w:lineRule="exact"/>
        <w:rPr>
          <w:rFonts w:ascii="Verdana" w:hAnsi="Verdana"/>
          <w:szCs w:val="20"/>
        </w:rPr>
      </w:pPr>
      <w:r w:rsidRPr="00AA3356">
        <w:rPr>
          <w:rFonts w:ascii="Verdana" w:hAnsi="Verdana"/>
          <w:szCs w:val="20"/>
        </w:rPr>
        <w:t>Enforceability of the Agreement</w:t>
      </w:r>
    </w:p>
    <w:p w:rsidR="000D1D1D" w:rsidRPr="00AA3356" w:rsidRDefault="000D1D1D" w:rsidP="000D1D1D">
      <w:pPr>
        <w:pStyle w:val="Normalnumbered"/>
        <w:numPr>
          <w:ilvl w:val="0"/>
          <w:numId w:val="1"/>
        </w:numPr>
        <w:tabs>
          <w:tab w:val="num" w:pos="851"/>
        </w:tabs>
        <w:spacing w:before="240" w:after="0"/>
        <w:jc w:val="left"/>
        <w:rPr>
          <w:rFonts w:ascii="Verdana" w:hAnsi="Verdana"/>
          <w:color w:val="auto"/>
          <w:sz w:val="20"/>
        </w:rPr>
      </w:pPr>
      <w:r w:rsidRPr="00AA3356">
        <w:rPr>
          <w:rFonts w:ascii="Verdana" w:hAnsi="Verdana"/>
          <w:color w:val="auto"/>
          <w:sz w:val="20"/>
        </w:rPr>
        <w:t>The Parties do not intend any of the provisions of the Agreement to be legally enforceable. However, this does not lessen the Parties’ commitment to the Agreement.</w:t>
      </w:r>
    </w:p>
    <w:p w:rsidR="000D1D1D" w:rsidRPr="00AA3356" w:rsidRDefault="000D1D1D" w:rsidP="000D1D1D">
      <w:pPr>
        <w:pStyle w:val="Heading2"/>
        <w:spacing w:line="260" w:lineRule="exact"/>
        <w:rPr>
          <w:rFonts w:ascii="Verdana" w:hAnsi="Verdana"/>
          <w:szCs w:val="20"/>
        </w:rPr>
      </w:pPr>
      <w:r w:rsidRPr="00AA3356">
        <w:rPr>
          <w:rFonts w:ascii="Verdana" w:hAnsi="Verdana"/>
          <w:szCs w:val="20"/>
        </w:rPr>
        <w:t>Termination of the Agreement</w:t>
      </w:r>
    </w:p>
    <w:p w:rsidR="000D1D1D" w:rsidRPr="00AA3356" w:rsidRDefault="000D1D1D" w:rsidP="000D1D1D">
      <w:pPr>
        <w:pStyle w:val="Normalnumbered"/>
        <w:numPr>
          <w:ilvl w:val="0"/>
          <w:numId w:val="1"/>
        </w:numPr>
        <w:tabs>
          <w:tab w:val="num" w:pos="851"/>
        </w:tabs>
        <w:spacing w:before="240" w:after="0"/>
        <w:jc w:val="left"/>
        <w:rPr>
          <w:rFonts w:ascii="Verdana" w:hAnsi="Verdana"/>
          <w:color w:val="auto"/>
          <w:sz w:val="20"/>
        </w:rPr>
      </w:pPr>
      <w:r w:rsidRPr="00AA3356">
        <w:rPr>
          <w:rFonts w:ascii="Verdana" w:hAnsi="Verdana"/>
          <w:color w:val="auto"/>
          <w:sz w:val="20"/>
        </w:rPr>
        <w:t xml:space="preserve">Either of the Parties may withdraw from the Agreement by giving six months’ </w:t>
      </w:r>
      <w:r>
        <w:rPr>
          <w:rFonts w:ascii="Verdana" w:hAnsi="Verdana"/>
          <w:color w:val="auto"/>
          <w:sz w:val="20"/>
        </w:rPr>
        <w:t xml:space="preserve">written </w:t>
      </w:r>
      <w:r w:rsidRPr="00AA3356">
        <w:rPr>
          <w:rFonts w:ascii="Verdana" w:hAnsi="Verdana"/>
          <w:color w:val="auto"/>
          <w:sz w:val="20"/>
        </w:rPr>
        <w:t>notice</w:t>
      </w:r>
      <w:r>
        <w:rPr>
          <w:rFonts w:ascii="Verdana" w:hAnsi="Verdana"/>
          <w:color w:val="auto"/>
          <w:sz w:val="20"/>
        </w:rPr>
        <w:t xml:space="preserve"> </w:t>
      </w:r>
      <w:r w:rsidRPr="00AA3356">
        <w:rPr>
          <w:rFonts w:ascii="Verdana" w:hAnsi="Verdana"/>
          <w:color w:val="auto"/>
          <w:sz w:val="20"/>
        </w:rPr>
        <w:t xml:space="preserve">to the </w:t>
      </w:r>
      <w:r>
        <w:rPr>
          <w:rFonts w:ascii="Verdana" w:hAnsi="Verdana"/>
          <w:color w:val="auto"/>
          <w:sz w:val="20"/>
        </w:rPr>
        <w:t>other Party.</w:t>
      </w:r>
    </w:p>
    <w:p w:rsidR="000D1D1D" w:rsidRPr="00AA3356" w:rsidRDefault="000D1D1D" w:rsidP="000D1D1D">
      <w:pPr>
        <w:pStyle w:val="Normalnumbered"/>
        <w:numPr>
          <w:ilvl w:val="0"/>
          <w:numId w:val="1"/>
        </w:numPr>
        <w:tabs>
          <w:tab w:val="num" w:pos="851"/>
        </w:tabs>
        <w:spacing w:before="240" w:after="0"/>
        <w:jc w:val="left"/>
        <w:rPr>
          <w:rFonts w:ascii="Verdana" w:hAnsi="Verdana"/>
          <w:color w:val="auto"/>
          <w:sz w:val="20"/>
        </w:rPr>
      </w:pPr>
      <w:r w:rsidRPr="00AA3356">
        <w:rPr>
          <w:rFonts w:ascii="Verdana" w:hAnsi="Verdana"/>
          <w:color w:val="auto"/>
          <w:sz w:val="20"/>
        </w:rPr>
        <w:t>Following notification of a Party’s intention to withdraw from the Agreement, the terms of the withdrawal, including the date on which the Party will cease to be a Party,</w:t>
      </w:r>
      <w:r>
        <w:rPr>
          <w:rFonts w:ascii="Verdana" w:hAnsi="Verdana"/>
          <w:color w:val="auto"/>
          <w:sz w:val="20"/>
        </w:rPr>
        <w:t xml:space="preserve"> </w:t>
      </w:r>
      <w:r w:rsidRPr="00AA3356">
        <w:rPr>
          <w:rFonts w:ascii="Verdana" w:hAnsi="Verdana"/>
          <w:color w:val="auto"/>
          <w:sz w:val="20"/>
        </w:rPr>
        <w:t xml:space="preserve">and any legislative changes and other arrangements that may be necessary as a consequence of the withdrawal, will be negotiated in good faith and agreed between the Parties, on a basis which aims to ensure continuity of support for </w:t>
      </w:r>
      <w:r>
        <w:rPr>
          <w:rFonts w:ascii="Verdana" w:hAnsi="Verdana"/>
          <w:color w:val="auto"/>
          <w:sz w:val="20"/>
        </w:rPr>
        <w:t>people in receipt of supports funded through the Agreement.</w:t>
      </w:r>
    </w:p>
    <w:p w:rsidR="000D1D1D" w:rsidRPr="00AA3356" w:rsidRDefault="000D1D1D" w:rsidP="000D1D1D">
      <w:pPr>
        <w:pStyle w:val="Heading2"/>
        <w:spacing w:line="260" w:lineRule="exact"/>
        <w:rPr>
          <w:rFonts w:ascii="Verdana" w:hAnsi="Verdana"/>
          <w:szCs w:val="20"/>
        </w:rPr>
      </w:pPr>
      <w:r w:rsidRPr="00AA3356">
        <w:rPr>
          <w:rFonts w:ascii="Verdana" w:hAnsi="Verdana"/>
          <w:szCs w:val="20"/>
        </w:rPr>
        <w:t>Definitions</w:t>
      </w:r>
    </w:p>
    <w:p w:rsidR="000D1D1D" w:rsidRPr="00AA3356" w:rsidRDefault="000D1D1D" w:rsidP="000D1D1D">
      <w:pPr>
        <w:pStyle w:val="Normalnumbered"/>
        <w:numPr>
          <w:ilvl w:val="0"/>
          <w:numId w:val="1"/>
        </w:numPr>
        <w:tabs>
          <w:tab w:val="num" w:pos="851"/>
        </w:tabs>
        <w:spacing w:before="240" w:after="0"/>
        <w:jc w:val="left"/>
        <w:rPr>
          <w:rFonts w:ascii="Verdana" w:hAnsi="Verdana"/>
          <w:color w:val="auto"/>
          <w:sz w:val="20"/>
        </w:rPr>
      </w:pPr>
      <w:r w:rsidRPr="00AA3356">
        <w:rPr>
          <w:rFonts w:ascii="Verdana" w:hAnsi="Verdana"/>
          <w:color w:val="auto"/>
          <w:sz w:val="20"/>
        </w:rPr>
        <w:t>The following definitions are applicable throughout the Agreement and all Schedules to the Agreement.</w:t>
      </w:r>
      <w:r w:rsidRPr="00AA3356">
        <w:rPr>
          <w:rFonts w:ascii="Verdana" w:hAnsi="Verdana"/>
          <w:color w:val="auto"/>
          <w:sz w:val="20"/>
        </w:rPr>
        <w:br/>
      </w:r>
    </w:p>
    <w:tbl>
      <w:tblPr>
        <w:tblStyle w:val="TableGrid"/>
        <w:tblW w:w="0" w:type="auto"/>
        <w:tblInd w:w="108" w:type="dxa"/>
        <w:tblLook w:val="04A0" w:firstRow="1" w:lastRow="0" w:firstColumn="1" w:lastColumn="0" w:noHBand="0" w:noVBand="1"/>
        <w:tblDescription w:val="2 column table listing types of support"/>
      </w:tblPr>
      <w:tblGrid>
        <w:gridCol w:w="2749"/>
        <w:gridCol w:w="5665"/>
      </w:tblGrid>
      <w:tr w:rsidR="000D1D1D" w:rsidRPr="00AA3356" w:rsidTr="001101C5">
        <w:trPr>
          <w:trHeight w:val="1485"/>
          <w:tblHeader/>
        </w:trPr>
        <w:tc>
          <w:tcPr>
            <w:tcW w:w="2835" w:type="dxa"/>
            <w:tcBorders>
              <w:right w:val="single" w:sz="4" w:space="0" w:color="auto"/>
            </w:tcBorders>
          </w:tcPr>
          <w:p w:rsidR="000D1D1D" w:rsidRPr="00AA3356" w:rsidRDefault="000D1D1D" w:rsidP="00D438E6">
            <w:pPr>
              <w:spacing w:line="260" w:lineRule="exact"/>
            </w:pPr>
            <w:r w:rsidRPr="00AA3356">
              <w:lastRenderedPageBreak/>
              <w:t>Psychosocial support funding</w:t>
            </w:r>
          </w:p>
        </w:tc>
        <w:tc>
          <w:tcPr>
            <w:tcW w:w="6096" w:type="dxa"/>
            <w:tcBorders>
              <w:top w:val="single" w:sz="4" w:space="0" w:color="auto"/>
              <w:left w:val="single" w:sz="4" w:space="0" w:color="auto"/>
              <w:bottom w:val="single" w:sz="4" w:space="0" w:color="auto"/>
              <w:right w:val="single" w:sz="4" w:space="0" w:color="auto"/>
            </w:tcBorders>
          </w:tcPr>
          <w:p w:rsidR="000D1D1D" w:rsidRPr="00381842" w:rsidRDefault="000D1D1D" w:rsidP="00D438E6">
            <w:r w:rsidRPr="0030570D">
              <w:t xml:space="preserve">Supports and services that are purchased to work in partnership with individuals who are not more appropriately funded through the NDIS and are significantly affected by severe mental illness, which has an impact on their associated psychosocial functional capacity. These services, in partnership with families and </w:t>
            </w:r>
            <w:proofErr w:type="spellStart"/>
            <w:r w:rsidRPr="0030570D">
              <w:t>carers</w:t>
            </w:r>
            <w:proofErr w:type="spellEnd"/>
            <w:r w:rsidRPr="0030570D">
              <w:t xml:space="preserve"> (as appropriate), provide a range of non-clinical community based support to these individuals to achieve their recovery goals.</w:t>
            </w:r>
          </w:p>
        </w:tc>
      </w:tr>
      <w:tr w:rsidR="000D1D1D" w:rsidRPr="00AA3356" w:rsidTr="00D438E6">
        <w:tc>
          <w:tcPr>
            <w:tcW w:w="2835" w:type="dxa"/>
          </w:tcPr>
          <w:p w:rsidR="000D1D1D" w:rsidRPr="00AA3356" w:rsidRDefault="000D1D1D" w:rsidP="00D438E6">
            <w:pPr>
              <w:spacing w:line="260" w:lineRule="exact"/>
            </w:pPr>
            <w:r w:rsidRPr="00AA3356">
              <w:t>Care coordination</w:t>
            </w:r>
          </w:p>
        </w:tc>
        <w:tc>
          <w:tcPr>
            <w:tcW w:w="6096" w:type="dxa"/>
            <w:tcBorders>
              <w:top w:val="single" w:sz="4" w:space="0" w:color="auto"/>
            </w:tcBorders>
          </w:tcPr>
          <w:p w:rsidR="000D1D1D" w:rsidRPr="00AA3356" w:rsidRDefault="000D1D1D" w:rsidP="00D438E6">
            <w:pPr>
              <w:spacing w:line="260" w:lineRule="exact"/>
            </w:pPr>
            <w:r w:rsidRPr="00AA3356">
              <w:rPr>
                <w:rFonts w:cs="Verdana"/>
                <w:color w:val="000000"/>
              </w:rPr>
              <w:t xml:space="preserve">Connection of a person’s care activities to enable the appropriate delivery of psychosocial support services (e.g. through communication and transfer of relevant information to ensure safe care transitions; processes to support team-based approaches, such as care plans, case conferences, assignment of a care coordinator role; </w:t>
            </w:r>
            <w:r>
              <w:rPr>
                <w:rFonts w:cs="Verdana"/>
                <w:color w:val="000000"/>
              </w:rPr>
              <w:t xml:space="preserve">and </w:t>
            </w:r>
            <w:r w:rsidRPr="00AA3356">
              <w:rPr>
                <w:rFonts w:cs="Verdana"/>
                <w:color w:val="000000"/>
              </w:rPr>
              <w:t xml:space="preserve">facilitated access to </w:t>
            </w:r>
            <w:r>
              <w:rPr>
                <w:rFonts w:cs="Verdana"/>
                <w:color w:val="000000"/>
              </w:rPr>
              <w:t xml:space="preserve">other health and social support </w:t>
            </w:r>
            <w:r w:rsidRPr="00AA3356">
              <w:rPr>
                <w:rFonts w:cs="Verdana"/>
                <w:color w:val="000000"/>
              </w:rPr>
              <w:t>services)</w:t>
            </w:r>
            <w:r>
              <w:rPr>
                <w:rFonts w:cs="Verdana"/>
                <w:color w:val="000000"/>
              </w:rPr>
              <w:t>.</w:t>
            </w:r>
          </w:p>
        </w:tc>
      </w:tr>
      <w:tr w:rsidR="000D1D1D" w:rsidRPr="00AA3356" w:rsidTr="00D438E6">
        <w:tc>
          <w:tcPr>
            <w:tcW w:w="2835" w:type="dxa"/>
          </w:tcPr>
          <w:p w:rsidR="000D1D1D" w:rsidRPr="00AA3356" w:rsidRDefault="000D1D1D" w:rsidP="00D438E6">
            <w:pPr>
              <w:spacing w:line="260" w:lineRule="exact"/>
            </w:pPr>
            <w:r w:rsidRPr="00AA3356">
              <w:t>Local Hospital Networks (LHNs)</w:t>
            </w:r>
          </w:p>
        </w:tc>
        <w:tc>
          <w:tcPr>
            <w:tcW w:w="6096" w:type="dxa"/>
          </w:tcPr>
          <w:p w:rsidR="000D1D1D" w:rsidRPr="00AA3356" w:rsidRDefault="000D1D1D" w:rsidP="00D438E6">
            <w:pPr>
              <w:spacing w:line="260" w:lineRule="exact"/>
              <w:ind w:left="99"/>
            </w:pPr>
            <w:r w:rsidRPr="00AA3356">
              <w:rPr>
                <w:rFonts w:cs="Arial"/>
                <w:lang w:val="en"/>
              </w:rPr>
              <w:t xml:space="preserve">A LHN is an </w:t>
            </w:r>
            <w:proofErr w:type="spellStart"/>
            <w:r w:rsidRPr="00AA3356">
              <w:rPr>
                <w:rFonts w:cs="Arial"/>
                <w:lang w:val="en"/>
              </w:rPr>
              <w:t>organisation</w:t>
            </w:r>
            <w:proofErr w:type="spellEnd"/>
            <w:r w:rsidRPr="00AA3356">
              <w:rPr>
                <w:rFonts w:cs="Arial"/>
                <w:lang w:val="en"/>
              </w:rPr>
              <w:t xml:space="preserve"> that provides public hospital services</w:t>
            </w:r>
            <w:r>
              <w:rPr>
                <w:rFonts w:cs="Arial"/>
                <w:lang w:val="en"/>
              </w:rPr>
              <w:t>.</w:t>
            </w:r>
            <w:r w:rsidRPr="00AA3356">
              <w:rPr>
                <w:rFonts w:cs="Arial"/>
                <w:lang w:val="en"/>
              </w:rPr>
              <w:t xml:space="preserve"> A local hospital network can contain one or more hospitals and is usually defined as a business group, geographical area or community. Every Australian public hospital is part of a local hospital network.</w:t>
            </w:r>
          </w:p>
        </w:tc>
      </w:tr>
      <w:tr w:rsidR="000D1D1D" w:rsidRPr="00AA3356" w:rsidTr="00D438E6">
        <w:tc>
          <w:tcPr>
            <w:tcW w:w="2835" w:type="dxa"/>
          </w:tcPr>
          <w:p w:rsidR="000D1D1D" w:rsidRPr="00AA3356" w:rsidRDefault="000D1D1D" w:rsidP="00D438E6">
            <w:pPr>
              <w:spacing w:line="260" w:lineRule="exact"/>
            </w:pPr>
            <w:r w:rsidRPr="00AA3356">
              <w:t>Primary Health Networks (PHNs)</w:t>
            </w:r>
          </w:p>
        </w:tc>
        <w:tc>
          <w:tcPr>
            <w:tcW w:w="6096" w:type="dxa"/>
          </w:tcPr>
          <w:p w:rsidR="000D1D1D" w:rsidRPr="00AA3356" w:rsidRDefault="000D1D1D" w:rsidP="00D438E6">
            <w:pPr>
              <w:spacing w:line="260" w:lineRule="exact"/>
              <w:ind w:left="99"/>
            </w:pPr>
            <w:r w:rsidRPr="00AA3356">
              <w:rPr>
                <w:rFonts w:cs="Helvetica"/>
              </w:rPr>
              <w:t xml:space="preserve">PHNs are independent </w:t>
            </w:r>
            <w:proofErr w:type="spellStart"/>
            <w:r w:rsidRPr="00AA3356">
              <w:rPr>
                <w:rFonts w:cs="Helvetica"/>
              </w:rPr>
              <w:t>organisations</w:t>
            </w:r>
            <w:proofErr w:type="spellEnd"/>
            <w:r w:rsidRPr="00AA3356">
              <w:rPr>
                <w:rFonts w:cs="Helvetica"/>
              </w:rPr>
              <w:t xml:space="preserve"> with regions closely aligned with those of LHNs. </w:t>
            </w:r>
            <w:r w:rsidRPr="00AA3356">
              <w:rPr>
                <w:rFonts w:cs="Arial"/>
                <w:lang w:val="en"/>
              </w:rPr>
              <w:t>They have skills-based boards, which are informed by clinical councils and community advisory committees. Their key objectives are to increase the efficiency and effectiveness of health services for people (particularly</w:t>
            </w:r>
            <w:r w:rsidRPr="00AA3356">
              <w:rPr>
                <w:rFonts w:cs="Helvetica"/>
              </w:rPr>
              <w:t xml:space="preserve"> those at risk of poor health outcomes) and improve coordination of care to ensure </w:t>
            </w:r>
            <w:r>
              <w:rPr>
                <w:rFonts w:cs="Helvetica"/>
              </w:rPr>
              <w:t>individual</w:t>
            </w:r>
            <w:r w:rsidRPr="00AA3356">
              <w:rPr>
                <w:rFonts w:cs="Helvetica"/>
              </w:rPr>
              <w:t>s receive the right care, in the right place, at the right time.</w:t>
            </w:r>
            <w:r w:rsidRPr="00AA3356">
              <w:rPr>
                <w:rFonts w:eastAsia="Times New Roman" w:cs="Helvetica"/>
                <w:color w:val="333333"/>
              </w:rPr>
              <w:t xml:space="preserve"> </w:t>
            </w:r>
          </w:p>
        </w:tc>
      </w:tr>
      <w:tr w:rsidR="000D1D1D" w:rsidRPr="00AA3356" w:rsidTr="00D438E6">
        <w:tc>
          <w:tcPr>
            <w:tcW w:w="2835" w:type="dxa"/>
          </w:tcPr>
          <w:p w:rsidR="000D1D1D" w:rsidRPr="00AA3356" w:rsidRDefault="000D1D1D" w:rsidP="00D438E6">
            <w:pPr>
              <w:spacing w:line="260" w:lineRule="exact"/>
            </w:pPr>
            <w:r w:rsidRPr="00AA3356">
              <w:t>Commissioning</w:t>
            </w:r>
          </w:p>
        </w:tc>
        <w:tc>
          <w:tcPr>
            <w:tcW w:w="6096" w:type="dxa"/>
          </w:tcPr>
          <w:p w:rsidR="000D1D1D" w:rsidRPr="00AA3356" w:rsidRDefault="000D1D1D" w:rsidP="00D438E6">
            <w:pPr>
              <w:spacing w:line="260" w:lineRule="exact"/>
            </w:pPr>
            <w:r w:rsidRPr="00AA3356">
              <w:t xml:space="preserve">A strategic approach to procurement that is informed by PHN/LHN baseline needs assessment </w:t>
            </w:r>
            <w:r>
              <w:t xml:space="preserve">and other relevant data </w:t>
            </w:r>
            <w:r w:rsidRPr="00AA3356">
              <w:t>and aims towards a more holistic approach</w:t>
            </w:r>
            <w:r>
              <w:t>,</w:t>
            </w:r>
            <w:r w:rsidRPr="00AA3356">
              <w:t xml:space="preserve"> in which the planning and contracting of health care services are appropriate and relevant to the needs of their communities. </w:t>
            </w:r>
          </w:p>
        </w:tc>
      </w:tr>
      <w:tr w:rsidR="000D1D1D" w:rsidRPr="00AA3356" w:rsidTr="00D438E6">
        <w:tc>
          <w:tcPr>
            <w:tcW w:w="2835" w:type="dxa"/>
          </w:tcPr>
          <w:p w:rsidR="000D1D1D" w:rsidRPr="00AA3356" w:rsidRDefault="000D1D1D" w:rsidP="00D438E6">
            <w:pPr>
              <w:spacing w:line="260" w:lineRule="exact"/>
            </w:pPr>
            <w:r w:rsidRPr="00AA3356">
              <w:t xml:space="preserve">Joint/coordinated or collaborative commissioning </w:t>
            </w:r>
          </w:p>
        </w:tc>
        <w:tc>
          <w:tcPr>
            <w:tcW w:w="6096" w:type="dxa"/>
          </w:tcPr>
          <w:p w:rsidR="000D1D1D" w:rsidRPr="00AA3356" w:rsidRDefault="000D1D1D" w:rsidP="00D438E6">
            <w:pPr>
              <w:spacing w:line="260" w:lineRule="exact"/>
              <w:rPr>
                <w:rFonts w:cs="Helvetica"/>
              </w:rPr>
            </w:pPr>
            <w:r w:rsidRPr="00AA3356">
              <w:t xml:space="preserve">Encompasses a variety of ways of working together, as locally appropriate, to make the best use of pooled or aligned </w:t>
            </w:r>
            <w:r>
              <w:t xml:space="preserve">funding </w:t>
            </w:r>
            <w:r w:rsidRPr="00AA3356">
              <w:t xml:space="preserve"> to achieve better outcomes for people with a psychosocial impairment. </w:t>
            </w:r>
          </w:p>
        </w:tc>
      </w:tr>
    </w:tbl>
    <w:p w:rsidR="00280050" w:rsidRDefault="00280050"/>
    <w:sectPr w:rsidR="0028005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135F8"/>
    <w:multiLevelType w:val="hybridMultilevel"/>
    <w:tmpl w:val="40903E30"/>
    <w:lvl w:ilvl="0" w:tplc="7BA273A0">
      <w:start w:val="1"/>
      <w:numFmt w:val="lowerLetter"/>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0FA5471"/>
    <w:multiLevelType w:val="hybridMultilevel"/>
    <w:tmpl w:val="FD04373A"/>
    <w:lvl w:ilvl="0" w:tplc="1FC4EFDA">
      <w:start w:val="1"/>
      <w:numFmt w:val="lowerLetter"/>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4C70299"/>
    <w:multiLevelType w:val="hybridMultilevel"/>
    <w:tmpl w:val="D23CEBB4"/>
    <w:lvl w:ilvl="0" w:tplc="B6A698EE">
      <w:start w:val="1"/>
      <w:numFmt w:val="lowerLetter"/>
      <w:lvlText w:val="%1."/>
      <w:lvlJc w:val="left"/>
      <w:pPr>
        <w:ind w:left="927" w:hanging="360"/>
      </w:pPr>
      <w:rPr>
        <w:rFonts w:cs="Times New Roman"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DBE2CA3"/>
    <w:multiLevelType w:val="hybridMultilevel"/>
    <w:tmpl w:val="716A4D6C"/>
    <w:lvl w:ilvl="0" w:tplc="BFC220B2">
      <w:start w:val="1"/>
      <w:numFmt w:val="lowerLetter"/>
      <w:lvlText w:val="%1."/>
      <w:lvlJc w:val="left"/>
      <w:pPr>
        <w:ind w:left="927" w:hanging="360"/>
      </w:pPr>
      <w:rPr>
        <w:rFonts w:cs="Times New Roman" w:hint="default"/>
        <w:i w:val="0"/>
        <w:color w:val="auto"/>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nsid w:val="6F9048F3"/>
    <w:multiLevelType w:val="hybridMultilevel"/>
    <w:tmpl w:val="716A4D6C"/>
    <w:lvl w:ilvl="0" w:tplc="BFC220B2">
      <w:start w:val="1"/>
      <w:numFmt w:val="lowerLetter"/>
      <w:lvlText w:val="%1."/>
      <w:lvlJc w:val="left"/>
      <w:pPr>
        <w:ind w:left="927" w:hanging="360"/>
      </w:pPr>
      <w:rPr>
        <w:rFonts w:cs="Times New Roman" w:hint="default"/>
        <w:i w:val="0"/>
        <w:color w:val="auto"/>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
    <w:nsid w:val="78854AAC"/>
    <w:multiLevelType w:val="hybridMultilevel"/>
    <w:tmpl w:val="699E5184"/>
    <w:lvl w:ilvl="0" w:tplc="453A3E4E">
      <w:start w:val="1"/>
      <w:numFmt w:val="decimal"/>
      <w:lvlText w:val="%1."/>
      <w:lvlJc w:val="left"/>
      <w:pPr>
        <w:tabs>
          <w:tab w:val="num" w:pos="567"/>
        </w:tabs>
        <w:ind w:left="567" w:hanging="567"/>
      </w:pPr>
      <w:rPr>
        <w:rFonts w:ascii="Verdana" w:hAnsi="Verdana" w:cs="Calibri" w:hint="default"/>
        <w:b w:val="0"/>
        <w:i w:val="0"/>
        <w:strike w:val="0"/>
        <w:sz w:val="20"/>
        <w:szCs w:val="24"/>
      </w:rPr>
    </w:lvl>
    <w:lvl w:ilvl="1" w:tplc="0C090017">
      <w:start w:val="1"/>
      <w:numFmt w:val="lowerLetter"/>
      <w:lvlText w:val="%2)"/>
      <w:lvlJc w:val="left"/>
      <w:pPr>
        <w:tabs>
          <w:tab w:val="num" w:pos="928"/>
        </w:tabs>
        <w:ind w:left="928" w:hanging="360"/>
      </w:pPr>
      <w:rPr>
        <w:rFonts w:hint="default"/>
        <w:b w:val="0"/>
        <w:i w:val="0"/>
        <w:strike w:val="0"/>
        <w:color w:val="auto"/>
        <w:sz w:val="20"/>
        <w:szCs w:val="24"/>
      </w:rPr>
    </w:lvl>
    <w:lvl w:ilvl="2" w:tplc="0C09001B">
      <w:start w:val="1"/>
      <w:numFmt w:val="lowerRoman"/>
      <w:lvlText w:val="%3."/>
      <w:lvlJc w:val="right"/>
      <w:pPr>
        <w:tabs>
          <w:tab w:val="num" w:pos="1597"/>
        </w:tabs>
        <w:ind w:left="1597" w:hanging="180"/>
      </w:pPr>
    </w:lvl>
    <w:lvl w:ilvl="3" w:tplc="71A8C832">
      <w:start w:val="1"/>
      <w:numFmt w:val="decimal"/>
      <w:lvlText w:val="%4."/>
      <w:lvlJc w:val="left"/>
      <w:pPr>
        <w:tabs>
          <w:tab w:val="num" w:pos="2312"/>
        </w:tabs>
        <w:ind w:left="2312" w:hanging="360"/>
      </w:pPr>
      <w:rPr>
        <w:rFonts w:cs="Times New Roman"/>
      </w:rPr>
    </w:lvl>
    <w:lvl w:ilvl="4" w:tplc="D868CC20">
      <w:start w:val="1"/>
      <w:numFmt w:val="lowerLetter"/>
      <w:lvlText w:val="%5."/>
      <w:lvlJc w:val="left"/>
      <w:pPr>
        <w:tabs>
          <w:tab w:val="num" w:pos="3032"/>
        </w:tabs>
        <w:ind w:left="3032" w:hanging="360"/>
      </w:pPr>
      <w:rPr>
        <w:rFonts w:cs="Times New Roman"/>
      </w:rPr>
    </w:lvl>
    <w:lvl w:ilvl="5" w:tplc="69181354" w:tentative="1">
      <w:start w:val="1"/>
      <w:numFmt w:val="lowerRoman"/>
      <w:lvlText w:val="%6."/>
      <w:lvlJc w:val="right"/>
      <w:pPr>
        <w:tabs>
          <w:tab w:val="num" w:pos="3752"/>
        </w:tabs>
        <w:ind w:left="3752" w:hanging="180"/>
      </w:pPr>
      <w:rPr>
        <w:rFonts w:cs="Times New Roman"/>
      </w:rPr>
    </w:lvl>
    <w:lvl w:ilvl="6" w:tplc="C50CD902" w:tentative="1">
      <w:start w:val="1"/>
      <w:numFmt w:val="decimal"/>
      <w:lvlText w:val="%7."/>
      <w:lvlJc w:val="left"/>
      <w:pPr>
        <w:tabs>
          <w:tab w:val="num" w:pos="4472"/>
        </w:tabs>
        <w:ind w:left="4472" w:hanging="360"/>
      </w:pPr>
      <w:rPr>
        <w:rFonts w:cs="Times New Roman"/>
      </w:rPr>
    </w:lvl>
    <w:lvl w:ilvl="7" w:tplc="AC6C431C" w:tentative="1">
      <w:start w:val="1"/>
      <w:numFmt w:val="lowerLetter"/>
      <w:lvlText w:val="%8."/>
      <w:lvlJc w:val="left"/>
      <w:pPr>
        <w:tabs>
          <w:tab w:val="num" w:pos="5192"/>
        </w:tabs>
        <w:ind w:left="5192" w:hanging="360"/>
      </w:pPr>
      <w:rPr>
        <w:rFonts w:cs="Times New Roman"/>
      </w:rPr>
    </w:lvl>
    <w:lvl w:ilvl="8" w:tplc="FF6EBBB8" w:tentative="1">
      <w:start w:val="1"/>
      <w:numFmt w:val="lowerRoman"/>
      <w:lvlText w:val="%9."/>
      <w:lvlJc w:val="right"/>
      <w:pPr>
        <w:tabs>
          <w:tab w:val="num" w:pos="5912"/>
        </w:tabs>
        <w:ind w:left="5912" w:hanging="180"/>
      </w:pPr>
      <w:rPr>
        <w:rFonts w:cs="Times New Roman"/>
      </w:rPr>
    </w:lvl>
  </w:abstractNum>
  <w:abstractNum w:abstractNumId="6">
    <w:nsid w:val="7CF81AE9"/>
    <w:multiLevelType w:val="hybridMultilevel"/>
    <w:tmpl w:val="7A5ED2CC"/>
    <w:lvl w:ilvl="0" w:tplc="D868CC20">
      <w:start w:val="1"/>
      <w:numFmt w:val="lowerLetter"/>
      <w:lvlText w:val="%1."/>
      <w:lvlJc w:val="left"/>
      <w:pPr>
        <w:ind w:left="927" w:hanging="360"/>
      </w:pPr>
      <w:rPr>
        <w:rFonts w:cs="Times New Roman"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D1D"/>
    <w:rsid w:val="00084224"/>
    <w:rsid w:val="000D1D1D"/>
    <w:rsid w:val="001101C5"/>
    <w:rsid w:val="00280050"/>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D1D"/>
    <w:pPr>
      <w:spacing w:before="240" w:after="0" w:line="240" w:lineRule="auto"/>
    </w:pPr>
    <w:rPr>
      <w:rFonts w:ascii="Verdana" w:eastAsia="SimSun" w:hAnsi="Verdana"/>
      <w:sz w:val="20"/>
      <w:lang w:eastAsia="en-AU"/>
    </w:rPr>
  </w:style>
  <w:style w:type="paragraph" w:styleId="Heading1">
    <w:name w:val="heading 1"/>
    <w:basedOn w:val="Normal"/>
    <w:next w:val="Normal"/>
    <w:link w:val="Heading1Char"/>
    <w:qFormat/>
    <w:rsid w:val="000D1D1D"/>
    <w:pPr>
      <w:keepNext/>
      <w:spacing w:after="60"/>
      <w:outlineLvl w:val="0"/>
    </w:pPr>
    <w:rPr>
      <w:rFonts w:ascii="Arial" w:hAnsi="Arial" w:cs="Arial"/>
      <w:b/>
      <w:bCs/>
      <w:kern w:val="28"/>
      <w:sz w:val="28"/>
      <w:szCs w:val="32"/>
    </w:rPr>
  </w:style>
  <w:style w:type="paragraph" w:styleId="Heading2">
    <w:name w:val="heading 2"/>
    <w:basedOn w:val="Normal"/>
    <w:next w:val="Normal"/>
    <w:link w:val="Heading2Char"/>
    <w:qFormat/>
    <w:rsid w:val="000D1D1D"/>
    <w:pPr>
      <w:keepNext/>
      <w:spacing w:after="60"/>
      <w:outlineLvl w:val="1"/>
    </w:pPr>
    <w:rPr>
      <w:rFonts w:ascii="Arial" w:hAnsi="Arial" w:cs="Arial"/>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1D1D"/>
    <w:rPr>
      <w:rFonts w:ascii="Arial" w:eastAsia="SimSun" w:hAnsi="Arial" w:cs="Arial"/>
      <w:b/>
      <w:bCs/>
      <w:kern w:val="28"/>
      <w:sz w:val="28"/>
      <w:szCs w:val="32"/>
      <w:lang w:eastAsia="en-AU"/>
    </w:rPr>
  </w:style>
  <w:style w:type="character" w:customStyle="1" w:styleId="Heading2Char">
    <w:name w:val="Heading 2 Char"/>
    <w:basedOn w:val="DefaultParagraphFont"/>
    <w:link w:val="Heading2"/>
    <w:rsid w:val="000D1D1D"/>
    <w:rPr>
      <w:rFonts w:ascii="Arial" w:eastAsia="SimSun" w:hAnsi="Arial" w:cs="Arial"/>
      <w:b/>
      <w:bCs/>
      <w:i/>
      <w:iCs/>
      <w:sz w:val="20"/>
      <w:szCs w:val="28"/>
      <w:lang w:eastAsia="en-AU"/>
    </w:rPr>
  </w:style>
  <w:style w:type="paragraph" w:styleId="NoSpacing">
    <w:name w:val="No Spacing"/>
    <w:link w:val="NoSpacingChar"/>
    <w:uiPriority w:val="1"/>
    <w:qFormat/>
    <w:rsid w:val="000D1D1D"/>
    <w:pPr>
      <w:spacing w:after="0" w:line="240" w:lineRule="auto"/>
    </w:pPr>
    <w:rPr>
      <w:rFonts w:eastAsia="Times New Roman"/>
    </w:rPr>
  </w:style>
  <w:style w:type="paragraph" w:styleId="ListParagraph">
    <w:name w:val="List Paragraph"/>
    <w:aliases w:val="List Paragraph1,List Paragraph11,Recommendation,Body text,Bullet Point,Bullet point,Bulletr List Paragraph,Content descriptions,FooterText,L,List Bullet 1,List Paragraph2,List Paragraph21,Listeafsnit1,NFP GP Bulleted List,リスト段落"/>
    <w:basedOn w:val="Normal"/>
    <w:link w:val="ListParagraphChar"/>
    <w:uiPriority w:val="34"/>
    <w:qFormat/>
    <w:rsid w:val="000D1D1D"/>
    <w:pPr>
      <w:ind w:left="720"/>
      <w:contextualSpacing/>
    </w:pPr>
  </w:style>
  <w:style w:type="table" w:styleId="TableGrid">
    <w:name w:val="Table Grid"/>
    <w:basedOn w:val="TableNormal"/>
    <w:rsid w:val="000D1D1D"/>
    <w:pPr>
      <w:spacing w:after="0" w:line="240" w:lineRule="auto"/>
    </w:pPr>
    <w:rPr>
      <w:rFonts w:eastAsia="SimSu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0D1D1D"/>
    <w:rPr>
      <w:rFonts w:eastAsia="Times New Roman"/>
    </w:rPr>
  </w:style>
  <w:style w:type="character" w:customStyle="1" w:styleId="ListParagraphChar">
    <w:name w:val="List Paragraph Char"/>
    <w:aliases w:val="List Paragraph1 Char,List Paragraph11 Char,Recommendation Char,Body text Char,Bullet Point Char,Bullet point Char,Bulletr List Paragraph Char,Content descriptions Char,FooterText Char,L Char,List Bullet 1 Char,List Paragraph2 Char"/>
    <w:link w:val="ListParagraph"/>
    <w:uiPriority w:val="34"/>
    <w:locked/>
    <w:rsid w:val="000D1D1D"/>
    <w:rPr>
      <w:rFonts w:ascii="Verdana" w:eastAsia="SimSun" w:hAnsi="Verdana"/>
      <w:sz w:val="20"/>
      <w:lang w:eastAsia="en-AU"/>
    </w:rPr>
  </w:style>
  <w:style w:type="paragraph" w:customStyle="1" w:styleId="Normalnumbered">
    <w:name w:val="Normal numbered"/>
    <w:basedOn w:val="Normal"/>
    <w:link w:val="NormalnumberedChar"/>
    <w:qFormat/>
    <w:rsid w:val="000D1D1D"/>
    <w:pPr>
      <w:tabs>
        <w:tab w:val="num" w:pos="851"/>
      </w:tabs>
      <w:spacing w:before="0" w:after="240" w:line="260" w:lineRule="exact"/>
      <w:ind w:left="851" w:hanging="567"/>
      <w:jc w:val="both"/>
    </w:pPr>
    <w:rPr>
      <w:rFonts w:ascii="Corbel" w:eastAsia="Times New Roman" w:hAnsi="Corbel"/>
      <w:color w:val="000000"/>
      <w:sz w:val="23"/>
      <w:szCs w:val="20"/>
    </w:rPr>
  </w:style>
  <w:style w:type="character" w:customStyle="1" w:styleId="NormalnumberedChar">
    <w:name w:val="Normal numbered Char"/>
    <w:link w:val="Normalnumbered"/>
    <w:locked/>
    <w:rsid w:val="000D1D1D"/>
    <w:rPr>
      <w:rFonts w:ascii="Corbel" w:eastAsia="Times New Roman" w:hAnsi="Corbel"/>
      <w:color w:val="000000"/>
      <w:sz w:val="23"/>
      <w:szCs w:val="20"/>
      <w:lang w:eastAsia="en-AU"/>
    </w:rPr>
  </w:style>
  <w:style w:type="paragraph" w:styleId="BodyText">
    <w:name w:val="Body Text"/>
    <w:basedOn w:val="Normal"/>
    <w:link w:val="BodyTextChar"/>
    <w:rsid w:val="000D1D1D"/>
    <w:pPr>
      <w:spacing w:before="100" w:after="100"/>
    </w:pPr>
    <w:rPr>
      <w:rFonts w:ascii="Times New Roman" w:eastAsia="Times New Roman" w:hAnsi="Times New Roman"/>
      <w:sz w:val="24"/>
      <w:szCs w:val="20"/>
      <w:lang w:eastAsia="en-US"/>
    </w:rPr>
  </w:style>
  <w:style w:type="character" w:customStyle="1" w:styleId="BodyTextChar">
    <w:name w:val="Body Text Char"/>
    <w:basedOn w:val="DefaultParagraphFont"/>
    <w:link w:val="BodyText"/>
    <w:rsid w:val="000D1D1D"/>
    <w:rPr>
      <w:rFonts w:eastAsia="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D1D"/>
    <w:pPr>
      <w:spacing w:before="240" w:after="0" w:line="240" w:lineRule="auto"/>
    </w:pPr>
    <w:rPr>
      <w:rFonts w:ascii="Verdana" w:eastAsia="SimSun" w:hAnsi="Verdana"/>
      <w:sz w:val="20"/>
      <w:lang w:eastAsia="en-AU"/>
    </w:rPr>
  </w:style>
  <w:style w:type="paragraph" w:styleId="Heading1">
    <w:name w:val="heading 1"/>
    <w:basedOn w:val="Normal"/>
    <w:next w:val="Normal"/>
    <w:link w:val="Heading1Char"/>
    <w:qFormat/>
    <w:rsid w:val="000D1D1D"/>
    <w:pPr>
      <w:keepNext/>
      <w:spacing w:after="60"/>
      <w:outlineLvl w:val="0"/>
    </w:pPr>
    <w:rPr>
      <w:rFonts w:ascii="Arial" w:hAnsi="Arial" w:cs="Arial"/>
      <w:b/>
      <w:bCs/>
      <w:kern w:val="28"/>
      <w:sz w:val="28"/>
      <w:szCs w:val="32"/>
    </w:rPr>
  </w:style>
  <w:style w:type="paragraph" w:styleId="Heading2">
    <w:name w:val="heading 2"/>
    <w:basedOn w:val="Normal"/>
    <w:next w:val="Normal"/>
    <w:link w:val="Heading2Char"/>
    <w:qFormat/>
    <w:rsid w:val="000D1D1D"/>
    <w:pPr>
      <w:keepNext/>
      <w:spacing w:after="60"/>
      <w:outlineLvl w:val="1"/>
    </w:pPr>
    <w:rPr>
      <w:rFonts w:ascii="Arial" w:hAnsi="Arial" w:cs="Arial"/>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1D1D"/>
    <w:rPr>
      <w:rFonts w:ascii="Arial" w:eastAsia="SimSun" w:hAnsi="Arial" w:cs="Arial"/>
      <w:b/>
      <w:bCs/>
      <w:kern w:val="28"/>
      <w:sz w:val="28"/>
      <w:szCs w:val="32"/>
      <w:lang w:eastAsia="en-AU"/>
    </w:rPr>
  </w:style>
  <w:style w:type="character" w:customStyle="1" w:styleId="Heading2Char">
    <w:name w:val="Heading 2 Char"/>
    <w:basedOn w:val="DefaultParagraphFont"/>
    <w:link w:val="Heading2"/>
    <w:rsid w:val="000D1D1D"/>
    <w:rPr>
      <w:rFonts w:ascii="Arial" w:eastAsia="SimSun" w:hAnsi="Arial" w:cs="Arial"/>
      <w:b/>
      <w:bCs/>
      <w:i/>
      <w:iCs/>
      <w:sz w:val="20"/>
      <w:szCs w:val="28"/>
      <w:lang w:eastAsia="en-AU"/>
    </w:rPr>
  </w:style>
  <w:style w:type="paragraph" w:styleId="NoSpacing">
    <w:name w:val="No Spacing"/>
    <w:link w:val="NoSpacingChar"/>
    <w:uiPriority w:val="1"/>
    <w:qFormat/>
    <w:rsid w:val="000D1D1D"/>
    <w:pPr>
      <w:spacing w:after="0" w:line="240" w:lineRule="auto"/>
    </w:pPr>
    <w:rPr>
      <w:rFonts w:eastAsia="Times New Roman"/>
    </w:rPr>
  </w:style>
  <w:style w:type="paragraph" w:styleId="ListParagraph">
    <w:name w:val="List Paragraph"/>
    <w:aliases w:val="List Paragraph1,List Paragraph11,Recommendation,Body text,Bullet Point,Bullet point,Bulletr List Paragraph,Content descriptions,FooterText,L,List Bullet 1,List Paragraph2,List Paragraph21,Listeafsnit1,NFP GP Bulleted List,リスト段落"/>
    <w:basedOn w:val="Normal"/>
    <w:link w:val="ListParagraphChar"/>
    <w:uiPriority w:val="34"/>
    <w:qFormat/>
    <w:rsid w:val="000D1D1D"/>
    <w:pPr>
      <w:ind w:left="720"/>
      <w:contextualSpacing/>
    </w:pPr>
  </w:style>
  <w:style w:type="table" w:styleId="TableGrid">
    <w:name w:val="Table Grid"/>
    <w:basedOn w:val="TableNormal"/>
    <w:rsid w:val="000D1D1D"/>
    <w:pPr>
      <w:spacing w:after="0" w:line="240" w:lineRule="auto"/>
    </w:pPr>
    <w:rPr>
      <w:rFonts w:eastAsia="SimSu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0D1D1D"/>
    <w:rPr>
      <w:rFonts w:eastAsia="Times New Roman"/>
    </w:rPr>
  </w:style>
  <w:style w:type="character" w:customStyle="1" w:styleId="ListParagraphChar">
    <w:name w:val="List Paragraph Char"/>
    <w:aliases w:val="List Paragraph1 Char,List Paragraph11 Char,Recommendation Char,Body text Char,Bullet Point Char,Bullet point Char,Bulletr List Paragraph Char,Content descriptions Char,FooterText Char,L Char,List Bullet 1 Char,List Paragraph2 Char"/>
    <w:link w:val="ListParagraph"/>
    <w:uiPriority w:val="34"/>
    <w:locked/>
    <w:rsid w:val="000D1D1D"/>
    <w:rPr>
      <w:rFonts w:ascii="Verdana" w:eastAsia="SimSun" w:hAnsi="Verdana"/>
      <w:sz w:val="20"/>
      <w:lang w:eastAsia="en-AU"/>
    </w:rPr>
  </w:style>
  <w:style w:type="paragraph" w:customStyle="1" w:styleId="Normalnumbered">
    <w:name w:val="Normal numbered"/>
    <w:basedOn w:val="Normal"/>
    <w:link w:val="NormalnumberedChar"/>
    <w:qFormat/>
    <w:rsid w:val="000D1D1D"/>
    <w:pPr>
      <w:tabs>
        <w:tab w:val="num" w:pos="851"/>
      </w:tabs>
      <w:spacing w:before="0" w:after="240" w:line="260" w:lineRule="exact"/>
      <w:ind w:left="851" w:hanging="567"/>
      <w:jc w:val="both"/>
    </w:pPr>
    <w:rPr>
      <w:rFonts w:ascii="Corbel" w:eastAsia="Times New Roman" w:hAnsi="Corbel"/>
      <w:color w:val="000000"/>
      <w:sz w:val="23"/>
      <w:szCs w:val="20"/>
    </w:rPr>
  </w:style>
  <w:style w:type="character" w:customStyle="1" w:styleId="NormalnumberedChar">
    <w:name w:val="Normal numbered Char"/>
    <w:link w:val="Normalnumbered"/>
    <w:locked/>
    <w:rsid w:val="000D1D1D"/>
    <w:rPr>
      <w:rFonts w:ascii="Corbel" w:eastAsia="Times New Roman" w:hAnsi="Corbel"/>
      <w:color w:val="000000"/>
      <w:sz w:val="23"/>
      <w:szCs w:val="20"/>
      <w:lang w:eastAsia="en-AU"/>
    </w:rPr>
  </w:style>
  <w:style w:type="paragraph" w:styleId="BodyText">
    <w:name w:val="Body Text"/>
    <w:basedOn w:val="Normal"/>
    <w:link w:val="BodyTextChar"/>
    <w:rsid w:val="000D1D1D"/>
    <w:pPr>
      <w:spacing w:before="100" w:after="100"/>
    </w:pPr>
    <w:rPr>
      <w:rFonts w:ascii="Times New Roman" w:eastAsia="Times New Roman" w:hAnsi="Times New Roman"/>
      <w:sz w:val="24"/>
      <w:szCs w:val="20"/>
      <w:lang w:eastAsia="en-US"/>
    </w:rPr>
  </w:style>
  <w:style w:type="character" w:customStyle="1" w:styleId="BodyTextChar">
    <w:name w:val="Body Text Char"/>
    <w:basedOn w:val="DefaultParagraphFont"/>
    <w:link w:val="BodyText"/>
    <w:rsid w:val="000D1D1D"/>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1867</Words>
  <Characters>10643</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Huard John</dc:creator>
  <cp:lastModifiedBy>Huard John</cp:lastModifiedBy>
  <cp:revision>2</cp:revision>
  <dcterms:created xsi:type="dcterms:W3CDTF">2018-10-25T23:06:00Z</dcterms:created>
  <dcterms:modified xsi:type="dcterms:W3CDTF">2018-10-25T23:06:00Z</dcterms:modified>
</cp:coreProperties>
</file>