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2A" w:rsidRPr="00700D2A" w:rsidRDefault="00700D2A" w:rsidP="00700D2A">
      <w:pPr>
        <w:pStyle w:val="Title"/>
      </w:pPr>
      <w:bookmarkStart w:id="0" w:name="_Toc16072926"/>
      <w:bookmarkStart w:id="1" w:name="_Toc17354735"/>
      <w:bookmarkStart w:id="2" w:name="_GoBack"/>
      <w:r w:rsidRPr="00700D2A">
        <w:t>Serious Incident Response Scheme for Commonwealth funded residential aged care</w:t>
      </w:r>
    </w:p>
    <w:p w:rsidR="00700D2A" w:rsidRPr="00700D2A" w:rsidRDefault="00700D2A" w:rsidP="00700D2A">
      <w:pPr>
        <w:pStyle w:val="Title"/>
      </w:pPr>
      <w:r w:rsidRPr="00700D2A">
        <w:t>Model for Implementation</w:t>
      </w:r>
    </w:p>
    <w:bookmarkEnd w:id="2"/>
    <w:p w:rsidR="00700D2A" w:rsidRPr="00DC0A8C" w:rsidRDefault="00700D2A" w:rsidP="00700D2A">
      <w:r w:rsidRPr="00DC0A8C">
        <w:t>September 2020</w:t>
      </w:r>
    </w:p>
    <w:p w:rsidR="0033256E" w:rsidRPr="00491313" w:rsidRDefault="005347D4" w:rsidP="00C75F10">
      <w:pPr>
        <w:pStyle w:val="Normal1stPara"/>
      </w:pPr>
      <w:r w:rsidRPr="00491313" w:rsidDel="005347D4">
        <w:t xml:space="preserve"> </w:t>
      </w:r>
      <w:r w:rsidR="0033256E" w:rsidRPr="00491313">
        <w:br w:type="page"/>
      </w:r>
      <w:bookmarkStart w:id="3" w:name="_Toc518909303"/>
      <w:bookmarkEnd w:id="0"/>
      <w:bookmarkEnd w:id="1"/>
    </w:p>
    <w:bookmarkEnd w:id="3" w:displacedByCustomXml="next"/>
    <w:bookmarkStart w:id="4" w:name="_Toc54950015" w:displacedByCustomXml="next"/>
    <w:sdt>
      <w:sdtPr>
        <w:rPr>
          <w:rFonts w:eastAsia="Times New Roman" w:cs="Times New Roman"/>
          <w:b/>
          <w:color w:val="2E6F76"/>
          <w:sz w:val="28"/>
          <w:szCs w:val="24"/>
          <w:lang w:val="en-AU" w:eastAsia="en-US"/>
        </w:rPr>
        <w:id w:val="650635747"/>
        <w:docPartObj>
          <w:docPartGallery w:val="Table of Contents"/>
          <w:docPartUnique/>
        </w:docPartObj>
      </w:sdtPr>
      <w:sdtEndPr>
        <w:rPr>
          <w:b w:val="0"/>
          <w:noProof/>
          <w:color w:val="auto"/>
          <w:sz w:val="21"/>
        </w:rPr>
      </w:sdtEndPr>
      <w:sdtContent>
        <w:p w:rsidR="000F22FC" w:rsidRPr="00491313" w:rsidRDefault="000F22FC" w:rsidP="00E14853">
          <w:pPr>
            <w:pStyle w:val="Heading1"/>
            <w:tabs>
              <w:tab w:val="center" w:pos="5102"/>
            </w:tabs>
          </w:pPr>
          <w:r w:rsidRPr="00491313">
            <w:t>Contents</w:t>
          </w:r>
          <w:bookmarkEnd w:id="4"/>
        </w:p>
        <w:p w:rsidR="009E4BEE" w:rsidRDefault="009E4BEE" w:rsidP="009E4BEE">
          <w:pPr>
            <w:pStyle w:val="TOC1"/>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54950015" w:history="1">
            <w:r w:rsidRPr="00DE7BD4">
              <w:rPr>
                <w:rStyle w:val="Hyperlink"/>
                <w:noProof/>
              </w:rPr>
              <w:t>Contents</w:t>
            </w:r>
            <w:r>
              <w:rPr>
                <w:noProof/>
                <w:webHidden/>
              </w:rPr>
              <w:tab/>
            </w:r>
            <w:r>
              <w:rPr>
                <w:noProof/>
                <w:webHidden/>
              </w:rPr>
              <w:fldChar w:fldCharType="begin"/>
            </w:r>
            <w:r>
              <w:rPr>
                <w:noProof/>
                <w:webHidden/>
              </w:rPr>
              <w:instrText xml:space="preserve"> PAGEREF _Toc54950015 \h </w:instrText>
            </w:r>
            <w:r>
              <w:rPr>
                <w:noProof/>
                <w:webHidden/>
              </w:rPr>
            </w:r>
            <w:r>
              <w:rPr>
                <w:noProof/>
                <w:webHidden/>
              </w:rPr>
              <w:fldChar w:fldCharType="separate"/>
            </w:r>
            <w:r>
              <w:rPr>
                <w:noProof/>
                <w:webHidden/>
              </w:rPr>
              <w:t>2</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16" w:history="1">
            <w:r w:rsidRPr="00DE7BD4">
              <w:rPr>
                <w:rStyle w:val="Hyperlink"/>
                <w:noProof/>
              </w:rPr>
              <w:t>Context</w:t>
            </w:r>
            <w:r>
              <w:rPr>
                <w:noProof/>
                <w:webHidden/>
              </w:rPr>
              <w:tab/>
            </w:r>
            <w:r>
              <w:rPr>
                <w:noProof/>
                <w:webHidden/>
              </w:rPr>
              <w:fldChar w:fldCharType="begin"/>
            </w:r>
            <w:r>
              <w:rPr>
                <w:noProof/>
                <w:webHidden/>
              </w:rPr>
              <w:instrText xml:space="preserve"> PAGEREF _Toc54950016 \h </w:instrText>
            </w:r>
            <w:r>
              <w:rPr>
                <w:noProof/>
                <w:webHidden/>
              </w:rPr>
            </w:r>
            <w:r>
              <w:rPr>
                <w:noProof/>
                <w:webHidden/>
              </w:rPr>
              <w:fldChar w:fldCharType="separate"/>
            </w:r>
            <w:r>
              <w:rPr>
                <w:noProof/>
                <w:webHidden/>
              </w:rPr>
              <w:t>3</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17" w:history="1">
            <w:r w:rsidRPr="00DE7BD4">
              <w:rPr>
                <w:rStyle w:val="Hyperlink"/>
                <w:noProof/>
              </w:rPr>
              <w:t>Regulatory context</w:t>
            </w:r>
            <w:r>
              <w:rPr>
                <w:noProof/>
                <w:webHidden/>
              </w:rPr>
              <w:tab/>
            </w:r>
            <w:r>
              <w:rPr>
                <w:noProof/>
                <w:webHidden/>
              </w:rPr>
              <w:fldChar w:fldCharType="begin"/>
            </w:r>
            <w:r>
              <w:rPr>
                <w:noProof/>
                <w:webHidden/>
              </w:rPr>
              <w:instrText xml:space="preserve"> PAGEREF _Toc54950017 \h </w:instrText>
            </w:r>
            <w:r>
              <w:rPr>
                <w:noProof/>
                <w:webHidden/>
              </w:rPr>
            </w:r>
            <w:r>
              <w:rPr>
                <w:noProof/>
                <w:webHidden/>
              </w:rPr>
              <w:fldChar w:fldCharType="separate"/>
            </w:r>
            <w:r>
              <w:rPr>
                <w:noProof/>
                <w:webHidden/>
              </w:rPr>
              <w:t>3</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18" w:history="1">
            <w:r w:rsidRPr="00DE7BD4">
              <w:rPr>
                <w:rStyle w:val="Hyperlink"/>
                <w:noProof/>
              </w:rPr>
              <w:t>Serious Incident Response Scheme</w:t>
            </w:r>
            <w:r>
              <w:rPr>
                <w:noProof/>
                <w:webHidden/>
              </w:rPr>
              <w:tab/>
            </w:r>
            <w:r>
              <w:rPr>
                <w:noProof/>
                <w:webHidden/>
              </w:rPr>
              <w:fldChar w:fldCharType="begin"/>
            </w:r>
            <w:r>
              <w:rPr>
                <w:noProof/>
                <w:webHidden/>
              </w:rPr>
              <w:instrText xml:space="preserve"> PAGEREF _Toc54950018 \h </w:instrText>
            </w:r>
            <w:r>
              <w:rPr>
                <w:noProof/>
                <w:webHidden/>
              </w:rPr>
            </w:r>
            <w:r>
              <w:rPr>
                <w:noProof/>
                <w:webHidden/>
              </w:rPr>
              <w:fldChar w:fldCharType="separate"/>
            </w:r>
            <w:r>
              <w:rPr>
                <w:noProof/>
                <w:webHidden/>
              </w:rPr>
              <w:t>3</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19" w:history="1">
            <w:r w:rsidRPr="00DE7BD4">
              <w:rPr>
                <w:rStyle w:val="Hyperlink"/>
                <w:rFonts w:cs="Arial"/>
                <w:noProof/>
              </w:rPr>
              <w:t>Intent</w:t>
            </w:r>
            <w:r>
              <w:rPr>
                <w:noProof/>
                <w:webHidden/>
              </w:rPr>
              <w:tab/>
            </w:r>
            <w:r>
              <w:rPr>
                <w:noProof/>
                <w:webHidden/>
              </w:rPr>
              <w:fldChar w:fldCharType="begin"/>
            </w:r>
            <w:r>
              <w:rPr>
                <w:noProof/>
                <w:webHidden/>
              </w:rPr>
              <w:instrText xml:space="preserve"> PAGEREF _Toc54950019 \h </w:instrText>
            </w:r>
            <w:r>
              <w:rPr>
                <w:noProof/>
                <w:webHidden/>
              </w:rPr>
            </w:r>
            <w:r>
              <w:rPr>
                <w:noProof/>
                <w:webHidden/>
              </w:rPr>
              <w:fldChar w:fldCharType="separate"/>
            </w:r>
            <w:r>
              <w:rPr>
                <w:noProof/>
                <w:webHidden/>
              </w:rPr>
              <w:t>3</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0" w:history="1">
            <w:r w:rsidRPr="00DE7BD4">
              <w:rPr>
                <w:rStyle w:val="Hyperlink"/>
                <w:noProof/>
              </w:rPr>
              <w:t>Overview</w:t>
            </w:r>
            <w:r>
              <w:rPr>
                <w:noProof/>
                <w:webHidden/>
              </w:rPr>
              <w:tab/>
            </w:r>
            <w:r>
              <w:rPr>
                <w:noProof/>
                <w:webHidden/>
              </w:rPr>
              <w:fldChar w:fldCharType="begin"/>
            </w:r>
            <w:r>
              <w:rPr>
                <w:noProof/>
                <w:webHidden/>
              </w:rPr>
              <w:instrText xml:space="preserve"> PAGEREF _Toc54950020 \h </w:instrText>
            </w:r>
            <w:r>
              <w:rPr>
                <w:noProof/>
                <w:webHidden/>
              </w:rPr>
            </w:r>
            <w:r>
              <w:rPr>
                <w:noProof/>
                <w:webHidden/>
              </w:rPr>
              <w:fldChar w:fldCharType="separate"/>
            </w:r>
            <w:r>
              <w:rPr>
                <w:noProof/>
                <w:webHidden/>
              </w:rPr>
              <w:t>4</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1" w:history="1">
            <w:r w:rsidRPr="00DE7BD4">
              <w:rPr>
                <w:rStyle w:val="Hyperlink"/>
                <w:noProof/>
              </w:rPr>
              <w:t>Provider responsibilities</w:t>
            </w:r>
            <w:r>
              <w:rPr>
                <w:noProof/>
                <w:webHidden/>
              </w:rPr>
              <w:tab/>
            </w:r>
            <w:r>
              <w:rPr>
                <w:noProof/>
                <w:webHidden/>
              </w:rPr>
              <w:fldChar w:fldCharType="begin"/>
            </w:r>
            <w:r>
              <w:rPr>
                <w:noProof/>
                <w:webHidden/>
              </w:rPr>
              <w:instrText xml:space="preserve"> PAGEREF _Toc54950021 \h </w:instrText>
            </w:r>
            <w:r>
              <w:rPr>
                <w:noProof/>
                <w:webHidden/>
              </w:rPr>
            </w:r>
            <w:r>
              <w:rPr>
                <w:noProof/>
                <w:webHidden/>
              </w:rPr>
              <w:fldChar w:fldCharType="separate"/>
            </w:r>
            <w:r>
              <w:rPr>
                <w:noProof/>
                <w:webHidden/>
              </w:rPr>
              <w:t>5</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2" w:history="1">
            <w:r w:rsidRPr="00DE7BD4">
              <w:rPr>
                <w:rStyle w:val="Hyperlink"/>
                <w:noProof/>
              </w:rPr>
              <w:t>The role of the Aged Care Quality and Safety Commission</w:t>
            </w:r>
            <w:r>
              <w:rPr>
                <w:noProof/>
                <w:webHidden/>
              </w:rPr>
              <w:tab/>
            </w:r>
            <w:r>
              <w:rPr>
                <w:noProof/>
                <w:webHidden/>
              </w:rPr>
              <w:fldChar w:fldCharType="begin"/>
            </w:r>
            <w:r>
              <w:rPr>
                <w:noProof/>
                <w:webHidden/>
              </w:rPr>
              <w:instrText xml:space="preserve"> PAGEREF _Toc54950022 \h </w:instrText>
            </w:r>
            <w:r>
              <w:rPr>
                <w:noProof/>
                <w:webHidden/>
              </w:rPr>
            </w:r>
            <w:r>
              <w:rPr>
                <w:noProof/>
                <w:webHidden/>
              </w:rPr>
              <w:fldChar w:fldCharType="separate"/>
            </w:r>
            <w:r>
              <w:rPr>
                <w:noProof/>
                <w:webHidden/>
              </w:rPr>
              <w:t>5</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23" w:history="1">
            <w:r w:rsidRPr="00DE7BD4">
              <w:rPr>
                <w:rStyle w:val="Hyperlink"/>
                <w:noProof/>
              </w:rPr>
              <w:t>Definition of a ‘serious incident’ for mandatory reporting</w:t>
            </w:r>
            <w:r>
              <w:rPr>
                <w:noProof/>
                <w:webHidden/>
              </w:rPr>
              <w:tab/>
            </w:r>
            <w:r>
              <w:rPr>
                <w:noProof/>
                <w:webHidden/>
              </w:rPr>
              <w:fldChar w:fldCharType="begin"/>
            </w:r>
            <w:r>
              <w:rPr>
                <w:noProof/>
                <w:webHidden/>
              </w:rPr>
              <w:instrText xml:space="preserve"> PAGEREF _Toc54950023 \h </w:instrText>
            </w:r>
            <w:r>
              <w:rPr>
                <w:noProof/>
                <w:webHidden/>
              </w:rPr>
            </w:r>
            <w:r>
              <w:rPr>
                <w:noProof/>
                <w:webHidden/>
              </w:rPr>
              <w:fldChar w:fldCharType="separate"/>
            </w:r>
            <w:r>
              <w:rPr>
                <w:noProof/>
                <w:webHidden/>
              </w:rPr>
              <w:t>6</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4" w:history="1">
            <w:r w:rsidRPr="00DE7BD4">
              <w:rPr>
                <w:rStyle w:val="Hyperlink"/>
                <w:noProof/>
              </w:rPr>
              <w:t>Unreasonable use of force</w:t>
            </w:r>
            <w:r>
              <w:rPr>
                <w:noProof/>
                <w:webHidden/>
              </w:rPr>
              <w:tab/>
            </w:r>
            <w:r>
              <w:rPr>
                <w:noProof/>
                <w:webHidden/>
              </w:rPr>
              <w:fldChar w:fldCharType="begin"/>
            </w:r>
            <w:r>
              <w:rPr>
                <w:noProof/>
                <w:webHidden/>
              </w:rPr>
              <w:instrText xml:space="preserve"> PAGEREF _Toc54950024 \h </w:instrText>
            </w:r>
            <w:r>
              <w:rPr>
                <w:noProof/>
                <w:webHidden/>
              </w:rPr>
            </w:r>
            <w:r>
              <w:rPr>
                <w:noProof/>
                <w:webHidden/>
              </w:rPr>
              <w:fldChar w:fldCharType="separate"/>
            </w:r>
            <w:r>
              <w:rPr>
                <w:noProof/>
                <w:webHidden/>
              </w:rPr>
              <w:t>7</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5" w:history="1">
            <w:r w:rsidRPr="00DE7BD4">
              <w:rPr>
                <w:rStyle w:val="Hyperlink"/>
                <w:noProof/>
              </w:rPr>
              <w:t>Unlawful or inappropriate sexual contact</w:t>
            </w:r>
            <w:r>
              <w:rPr>
                <w:noProof/>
                <w:webHidden/>
              </w:rPr>
              <w:tab/>
            </w:r>
            <w:r>
              <w:rPr>
                <w:noProof/>
                <w:webHidden/>
              </w:rPr>
              <w:fldChar w:fldCharType="begin"/>
            </w:r>
            <w:r>
              <w:rPr>
                <w:noProof/>
                <w:webHidden/>
              </w:rPr>
              <w:instrText xml:space="preserve"> PAGEREF _Toc54950025 \h </w:instrText>
            </w:r>
            <w:r>
              <w:rPr>
                <w:noProof/>
                <w:webHidden/>
              </w:rPr>
            </w:r>
            <w:r>
              <w:rPr>
                <w:noProof/>
                <w:webHidden/>
              </w:rPr>
              <w:fldChar w:fldCharType="separate"/>
            </w:r>
            <w:r>
              <w:rPr>
                <w:noProof/>
                <w:webHidden/>
              </w:rPr>
              <w:t>7</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6" w:history="1">
            <w:r w:rsidRPr="00DE7BD4">
              <w:rPr>
                <w:rStyle w:val="Hyperlink"/>
                <w:noProof/>
              </w:rPr>
              <w:t>Psychological or emotional abuse</w:t>
            </w:r>
            <w:r>
              <w:rPr>
                <w:noProof/>
                <w:webHidden/>
              </w:rPr>
              <w:tab/>
            </w:r>
            <w:r>
              <w:rPr>
                <w:noProof/>
                <w:webHidden/>
              </w:rPr>
              <w:fldChar w:fldCharType="begin"/>
            </w:r>
            <w:r>
              <w:rPr>
                <w:noProof/>
                <w:webHidden/>
              </w:rPr>
              <w:instrText xml:space="preserve"> PAGEREF _Toc54950026 \h </w:instrText>
            </w:r>
            <w:r>
              <w:rPr>
                <w:noProof/>
                <w:webHidden/>
              </w:rPr>
            </w:r>
            <w:r>
              <w:rPr>
                <w:noProof/>
                <w:webHidden/>
              </w:rPr>
              <w:fldChar w:fldCharType="separate"/>
            </w:r>
            <w:r>
              <w:rPr>
                <w:noProof/>
                <w:webHidden/>
              </w:rPr>
              <w:t>8</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7" w:history="1">
            <w:r w:rsidRPr="00DE7BD4">
              <w:rPr>
                <w:rStyle w:val="Hyperlink"/>
                <w:noProof/>
              </w:rPr>
              <w:t>Unexpected death</w:t>
            </w:r>
            <w:r>
              <w:rPr>
                <w:noProof/>
                <w:webHidden/>
              </w:rPr>
              <w:tab/>
            </w:r>
            <w:r>
              <w:rPr>
                <w:noProof/>
                <w:webHidden/>
              </w:rPr>
              <w:fldChar w:fldCharType="begin"/>
            </w:r>
            <w:r>
              <w:rPr>
                <w:noProof/>
                <w:webHidden/>
              </w:rPr>
              <w:instrText xml:space="preserve"> PAGEREF _Toc54950027 \h </w:instrText>
            </w:r>
            <w:r>
              <w:rPr>
                <w:noProof/>
                <w:webHidden/>
              </w:rPr>
            </w:r>
            <w:r>
              <w:rPr>
                <w:noProof/>
                <w:webHidden/>
              </w:rPr>
              <w:fldChar w:fldCharType="separate"/>
            </w:r>
            <w:r>
              <w:rPr>
                <w:noProof/>
                <w:webHidden/>
              </w:rPr>
              <w:t>9</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8" w:history="1">
            <w:r w:rsidRPr="00DE7BD4">
              <w:rPr>
                <w:rStyle w:val="Hyperlink"/>
                <w:noProof/>
              </w:rPr>
              <w:t>Stealing or financial coercion by a staff member</w:t>
            </w:r>
            <w:r>
              <w:rPr>
                <w:noProof/>
                <w:webHidden/>
              </w:rPr>
              <w:tab/>
            </w:r>
            <w:r>
              <w:rPr>
                <w:noProof/>
                <w:webHidden/>
              </w:rPr>
              <w:fldChar w:fldCharType="begin"/>
            </w:r>
            <w:r>
              <w:rPr>
                <w:noProof/>
                <w:webHidden/>
              </w:rPr>
              <w:instrText xml:space="preserve"> PAGEREF _Toc54950028 \h </w:instrText>
            </w:r>
            <w:r>
              <w:rPr>
                <w:noProof/>
                <w:webHidden/>
              </w:rPr>
            </w:r>
            <w:r>
              <w:rPr>
                <w:noProof/>
                <w:webHidden/>
              </w:rPr>
              <w:fldChar w:fldCharType="separate"/>
            </w:r>
            <w:r>
              <w:rPr>
                <w:noProof/>
                <w:webHidden/>
              </w:rPr>
              <w:t>10</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29" w:history="1">
            <w:r w:rsidRPr="00DE7BD4">
              <w:rPr>
                <w:rStyle w:val="Hyperlink"/>
                <w:noProof/>
              </w:rPr>
              <w:t>Neglect</w:t>
            </w:r>
            <w:r>
              <w:rPr>
                <w:noProof/>
                <w:webHidden/>
              </w:rPr>
              <w:tab/>
            </w:r>
            <w:r>
              <w:rPr>
                <w:noProof/>
                <w:webHidden/>
              </w:rPr>
              <w:fldChar w:fldCharType="begin"/>
            </w:r>
            <w:r>
              <w:rPr>
                <w:noProof/>
                <w:webHidden/>
              </w:rPr>
              <w:instrText xml:space="preserve"> PAGEREF _Toc54950029 \h </w:instrText>
            </w:r>
            <w:r>
              <w:rPr>
                <w:noProof/>
                <w:webHidden/>
              </w:rPr>
            </w:r>
            <w:r>
              <w:rPr>
                <w:noProof/>
                <w:webHidden/>
              </w:rPr>
              <w:fldChar w:fldCharType="separate"/>
            </w:r>
            <w:r>
              <w:rPr>
                <w:noProof/>
                <w:webHidden/>
              </w:rPr>
              <w:t>10</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0" w:history="1">
            <w:r w:rsidRPr="00DE7BD4">
              <w:rPr>
                <w:rStyle w:val="Hyperlink"/>
                <w:noProof/>
              </w:rPr>
              <w:t>Inappropriate physical or chemical restraint</w:t>
            </w:r>
            <w:r>
              <w:rPr>
                <w:noProof/>
                <w:webHidden/>
              </w:rPr>
              <w:tab/>
            </w:r>
            <w:r>
              <w:rPr>
                <w:noProof/>
                <w:webHidden/>
              </w:rPr>
              <w:fldChar w:fldCharType="begin"/>
            </w:r>
            <w:r>
              <w:rPr>
                <w:noProof/>
                <w:webHidden/>
              </w:rPr>
              <w:instrText xml:space="preserve"> PAGEREF _Toc54950030 \h </w:instrText>
            </w:r>
            <w:r>
              <w:rPr>
                <w:noProof/>
                <w:webHidden/>
              </w:rPr>
            </w:r>
            <w:r>
              <w:rPr>
                <w:noProof/>
                <w:webHidden/>
              </w:rPr>
              <w:fldChar w:fldCharType="separate"/>
            </w:r>
            <w:r>
              <w:rPr>
                <w:noProof/>
                <w:webHidden/>
              </w:rPr>
              <w:t>11</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1" w:history="1">
            <w:r w:rsidRPr="00DE7BD4">
              <w:rPr>
                <w:rStyle w:val="Hyperlink"/>
                <w:noProof/>
              </w:rPr>
              <w:t>Unexplained absence from care</w:t>
            </w:r>
            <w:r>
              <w:rPr>
                <w:noProof/>
                <w:webHidden/>
              </w:rPr>
              <w:tab/>
            </w:r>
            <w:r>
              <w:rPr>
                <w:noProof/>
                <w:webHidden/>
              </w:rPr>
              <w:fldChar w:fldCharType="begin"/>
            </w:r>
            <w:r>
              <w:rPr>
                <w:noProof/>
                <w:webHidden/>
              </w:rPr>
              <w:instrText xml:space="preserve"> PAGEREF _Toc54950031 \h </w:instrText>
            </w:r>
            <w:r>
              <w:rPr>
                <w:noProof/>
                <w:webHidden/>
              </w:rPr>
            </w:r>
            <w:r>
              <w:rPr>
                <w:noProof/>
                <w:webHidden/>
              </w:rPr>
              <w:fldChar w:fldCharType="separate"/>
            </w:r>
            <w:r>
              <w:rPr>
                <w:noProof/>
                <w:webHidden/>
              </w:rPr>
              <w:t>11</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2" w:history="1">
            <w:r w:rsidRPr="00DE7BD4">
              <w:rPr>
                <w:rStyle w:val="Hyperlink"/>
                <w:noProof/>
              </w:rPr>
              <w:t>What won’t be considered a serious incident?</w:t>
            </w:r>
            <w:r>
              <w:rPr>
                <w:noProof/>
                <w:webHidden/>
              </w:rPr>
              <w:tab/>
            </w:r>
            <w:r>
              <w:rPr>
                <w:noProof/>
                <w:webHidden/>
              </w:rPr>
              <w:fldChar w:fldCharType="begin"/>
            </w:r>
            <w:r>
              <w:rPr>
                <w:noProof/>
                <w:webHidden/>
              </w:rPr>
              <w:instrText xml:space="preserve"> PAGEREF _Toc54950032 \h </w:instrText>
            </w:r>
            <w:r>
              <w:rPr>
                <w:noProof/>
                <w:webHidden/>
              </w:rPr>
            </w:r>
            <w:r>
              <w:rPr>
                <w:noProof/>
                <w:webHidden/>
              </w:rPr>
              <w:fldChar w:fldCharType="separate"/>
            </w:r>
            <w:r>
              <w:rPr>
                <w:noProof/>
                <w:webHidden/>
              </w:rPr>
              <w:t>12</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33" w:history="1">
            <w:r w:rsidRPr="00DE7BD4">
              <w:rPr>
                <w:rStyle w:val="Hyperlink"/>
                <w:noProof/>
              </w:rPr>
              <w:t>Reporting</w:t>
            </w:r>
            <w:r>
              <w:rPr>
                <w:noProof/>
                <w:webHidden/>
              </w:rPr>
              <w:tab/>
            </w:r>
            <w:r>
              <w:rPr>
                <w:noProof/>
                <w:webHidden/>
              </w:rPr>
              <w:fldChar w:fldCharType="begin"/>
            </w:r>
            <w:r>
              <w:rPr>
                <w:noProof/>
                <w:webHidden/>
              </w:rPr>
              <w:instrText xml:space="preserve"> PAGEREF _Toc54950033 \h </w:instrText>
            </w:r>
            <w:r>
              <w:rPr>
                <w:noProof/>
                <w:webHidden/>
              </w:rPr>
            </w:r>
            <w:r>
              <w:rPr>
                <w:noProof/>
                <w:webHidden/>
              </w:rPr>
              <w:fldChar w:fldCharType="separate"/>
            </w:r>
            <w:r>
              <w:rPr>
                <w:noProof/>
                <w:webHidden/>
              </w:rPr>
              <w:t>12</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4" w:history="1">
            <w:r w:rsidRPr="00DE7BD4">
              <w:rPr>
                <w:rStyle w:val="Hyperlink"/>
                <w:noProof/>
              </w:rPr>
              <w:t>Who must/will be able to report</w:t>
            </w:r>
            <w:r>
              <w:rPr>
                <w:noProof/>
                <w:webHidden/>
              </w:rPr>
              <w:tab/>
            </w:r>
            <w:r>
              <w:rPr>
                <w:noProof/>
                <w:webHidden/>
              </w:rPr>
              <w:fldChar w:fldCharType="begin"/>
            </w:r>
            <w:r>
              <w:rPr>
                <w:noProof/>
                <w:webHidden/>
              </w:rPr>
              <w:instrText xml:space="preserve"> PAGEREF _Toc54950034 \h </w:instrText>
            </w:r>
            <w:r>
              <w:rPr>
                <w:noProof/>
                <w:webHidden/>
              </w:rPr>
            </w:r>
            <w:r>
              <w:rPr>
                <w:noProof/>
                <w:webHidden/>
              </w:rPr>
              <w:fldChar w:fldCharType="separate"/>
            </w:r>
            <w:r>
              <w:rPr>
                <w:noProof/>
                <w:webHidden/>
              </w:rPr>
              <w:t>12</w:t>
            </w:r>
            <w:r>
              <w:rPr>
                <w:noProof/>
                <w:webHidden/>
              </w:rPr>
              <w:fldChar w:fldCharType="end"/>
            </w:r>
          </w:hyperlink>
        </w:p>
        <w:p w:rsidR="009E4BEE" w:rsidRDefault="009E4BEE">
          <w:pPr>
            <w:pStyle w:val="TOC3"/>
            <w:rPr>
              <w:rFonts w:asciiTheme="minorHAnsi" w:eastAsiaTheme="minorEastAsia" w:hAnsiTheme="minorHAnsi" w:cstheme="minorBidi"/>
              <w:noProof/>
              <w:sz w:val="22"/>
              <w:szCs w:val="22"/>
              <w:lang w:eastAsia="en-AU"/>
            </w:rPr>
          </w:pPr>
          <w:hyperlink w:anchor="_Toc54950035" w:history="1">
            <w:r w:rsidRPr="00DE7BD4">
              <w:rPr>
                <w:rStyle w:val="Hyperlink"/>
                <w:noProof/>
              </w:rPr>
              <w:t>What protections will be available for those providing information or reports?</w:t>
            </w:r>
            <w:r>
              <w:rPr>
                <w:noProof/>
                <w:webHidden/>
              </w:rPr>
              <w:tab/>
            </w:r>
            <w:r>
              <w:rPr>
                <w:noProof/>
                <w:webHidden/>
              </w:rPr>
              <w:fldChar w:fldCharType="begin"/>
            </w:r>
            <w:r>
              <w:rPr>
                <w:noProof/>
                <w:webHidden/>
              </w:rPr>
              <w:instrText xml:space="preserve"> PAGEREF _Toc54950035 \h </w:instrText>
            </w:r>
            <w:r>
              <w:rPr>
                <w:noProof/>
                <w:webHidden/>
              </w:rPr>
            </w:r>
            <w:r>
              <w:rPr>
                <w:noProof/>
                <w:webHidden/>
              </w:rPr>
              <w:fldChar w:fldCharType="separate"/>
            </w:r>
            <w:r>
              <w:rPr>
                <w:noProof/>
                <w:webHidden/>
              </w:rPr>
              <w:t>13</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6" w:history="1">
            <w:r w:rsidRPr="00DE7BD4">
              <w:rPr>
                <w:rStyle w:val="Hyperlink"/>
                <w:noProof/>
              </w:rPr>
              <w:t>Distinguishing critical incidents and other serious incidents</w:t>
            </w:r>
            <w:r>
              <w:rPr>
                <w:noProof/>
                <w:webHidden/>
              </w:rPr>
              <w:tab/>
            </w:r>
            <w:r>
              <w:rPr>
                <w:noProof/>
                <w:webHidden/>
              </w:rPr>
              <w:fldChar w:fldCharType="begin"/>
            </w:r>
            <w:r>
              <w:rPr>
                <w:noProof/>
                <w:webHidden/>
              </w:rPr>
              <w:instrText xml:space="preserve"> PAGEREF _Toc54950036 \h </w:instrText>
            </w:r>
            <w:r>
              <w:rPr>
                <w:noProof/>
                <w:webHidden/>
              </w:rPr>
            </w:r>
            <w:r>
              <w:rPr>
                <w:noProof/>
                <w:webHidden/>
              </w:rPr>
              <w:fldChar w:fldCharType="separate"/>
            </w:r>
            <w:r>
              <w:rPr>
                <w:noProof/>
                <w:webHidden/>
              </w:rPr>
              <w:t>13</w:t>
            </w:r>
            <w:r>
              <w:rPr>
                <w:noProof/>
                <w:webHidden/>
              </w:rPr>
              <w:fldChar w:fldCharType="end"/>
            </w:r>
          </w:hyperlink>
        </w:p>
        <w:p w:rsidR="009E4BEE" w:rsidRDefault="009E4BEE">
          <w:pPr>
            <w:pStyle w:val="TOC2"/>
            <w:rPr>
              <w:rFonts w:asciiTheme="minorHAnsi" w:eastAsiaTheme="minorEastAsia" w:hAnsiTheme="minorHAnsi" w:cstheme="minorBidi"/>
              <w:noProof/>
              <w:sz w:val="22"/>
              <w:szCs w:val="22"/>
              <w:lang w:eastAsia="en-AU"/>
            </w:rPr>
          </w:pPr>
          <w:hyperlink w:anchor="_Toc54950037" w:history="1">
            <w:r w:rsidRPr="00DE7BD4">
              <w:rPr>
                <w:rStyle w:val="Hyperlink"/>
                <w:noProof/>
              </w:rPr>
              <w:t>Timeframes and information to be provided for reporting</w:t>
            </w:r>
            <w:r>
              <w:rPr>
                <w:noProof/>
                <w:webHidden/>
              </w:rPr>
              <w:tab/>
            </w:r>
            <w:r>
              <w:rPr>
                <w:noProof/>
                <w:webHidden/>
              </w:rPr>
              <w:fldChar w:fldCharType="begin"/>
            </w:r>
            <w:r>
              <w:rPr>
                <w:noProof/>
                <w:webHidden/>
              </w:rPr>
              <w:instrText xml:space="preserve"> PAGEREF _Toc54950037 \h </w:instrText>
            </w:r>
            <w:r>
              <w:rPr>
                <w:noProof/>
                <w:webHidden/>
              </w:rPr>
            </w:r>
            <w:r>
              <w:rPr>
                <w:noProof/>
                <w:webHidden/>
              </w:rPr>
              <w:fldChar w:fldCharType="separate"/>
            </w:r>
            <w:r>
              <w:rPr>
                <w:noProof/>
                <w:webHidden/>
              </w:rPr>
              <w:t>13</w:t>
            </w:r>
            <w:r>
              <w:rPr>
                <w:noProof/>
                <w:webHidden/>
              </w:rPr>
              <w:fldChar w:fldCharType="end"/>
            </w:r>
          </w:hyperlink>
        </w:p>
        <w:p w:rsidR="009E4BEE" w:rsidRDefault="009E4BEE">
          <w:pPr>
            <w:pStyle w:val="TOC3"/>
            <w:rPr>
              <w:rFonts w:asciiTheme="minorHAnsi" w:eastAsiaTheme="minorEastAsia" w:hAnsiTheme="minorHAnsi" w:cstheme="minorBidi"/>
              <w:noProof/>
              <w:sz w:val="22"/>
              <w:szCs w:val="22"/>
              <w:lang w:eastAsia="en-AU"/>
            </w:rPr>
          </w:pPr>
          <w:hyperlink w:anchor="_Toc54950038" w:history="1">
            <w:r w:rsidRPr="00DE7BD4">
              <w:rPr>
                <w:rStyle w:val="Hyperlink"/>
                <w:noProof/>
              </w:rPr>
              <w:t>Implementation Timeframe</w:t>
            </w:r>
            <w:r>
              <w:rPr>
                <w:noProof/>
                <w:webHidden/>
              </w:rPr>
              <w:tab/>
            </w:r>
            <w:r>
              <w:rPr>
                <w:noProof/>
                <w:webHidden/>
              </w:rPr>
              <w:fldChar w:fldCharType="begin"/>
            </w:r>
            <w:r>
              <w:rPr>
                <w:noProof/>
                <w:webHidden/>
              </w:rPr>
              <w:instrText xml:space="preserve"> PAGEREF _Toc54950038 \h </w:instrText>
            </w:r>
            <w:r>
              <w:rPr>
                <w:noProof/>
                <w:webHidden/>
              </w:rPr>
            </w:r>
            <w:r>
              <w:rPr>
                <w:noProof/>
                <w:webHidden/>
              </w:rPr>
              <w:fldChar w:fldCharType="separate"/>
            </w:r>
            <w:r>
              <w:rPr>
                <w:noProof/>
                <w:webHidden/>
              </w:rPr>
              <w:t>13</w:t>
            </w:r>
            <w:r>
              <w:rPr>
                <w:noProof/>
                <w:webHidden/>
              </w:rPr>
              <w:fldChar w:fldCharType="end"/>
            </w:r>
          </w:hyperlink>
        </w:p>
        <w:p w:rsidR="009E4BEE" w:rsidRDefault="009E4BEE">
          <w:pPr>
            <w:pStyle w:val="TOC3"/>
            <w:rPr>
              <w:rFonts w:asciiTheme="minorHAnsi" w:eastAsiaTheme="minorEastAsia" w:hAnsiTheme="minorHAnsi" w:cstheme="minorBidi"/>
              <w:noProof/>
              <w:sz w:val="22"/>
              <w:szCs w:val="22"/>
              <w:lang w:eastAsia="en-AU"/>
            </w:rPr>
          </w:pPr>
          <w:hyperlink w:anchor="_Toc54950039" w:history="1">
            <w:r w:rsidRPr="00DE7BD4">
              <w:rPr>
                <w:rStyle w:val="Hyperlink"/>
                <w:noProof/>
              </w:rPr>
              <w:t>Unexplained Absence</w:t>
            </w:r>
            <w:r>
              <w:rPr>
                <w:noProof/>
                <w:webHidden/>
              </w:rPr>
              <w:tab/>
            </w:r>
            <w:r>
              <w:rPr>
                <w:noProof/>
                <w:webHidden/>
              </w:rPr>
              <w:fldChar w:fldCharType="begin"/>
            </w:r>
            <w:r>
              <w:rPr>
                <w:noProof/>
                <w:webHidden/>
              </w:rPr>
              <w:instrText xml:space="preserve"> PAGEREF _Toc54950039 \h </w:instrText>
            </w:r>
            <w:r>
              <w:rPr>
                <w:noProof/>
                <w:webHidden/>
              </w:rPr>
            </w:r>
            <w:r>
              <w:rPr>
                <w:noProof/>
                <w:webHidden/>
              </w:rPr>
              <w:fldChar w:fldCharType="separate"/>
            </w:r>
            <w:r>
              <w:rPr>
                <w:noProof/>
                <w:webHidden/>
              </w:rPr>
              <w:t>13</w:t>
            </w:r>
            <w:r>
              <w:rPr>
                <w:noProof/>
                <w:webHidden/>
              </w:rPr>
              <w:fldChar w:fldCharType="end"/>
            </w:r>
          </w:hyperlink>
        </w:p>
        <w:p w:rsidR="009E4BEE" w:rsidRDefault="009E4BEE">
          <w:pPr>
            <w:pStyle w:val="TOC3"/>
            <w:rPr>
              <w:rFonts w:asciiTheme="minorHAnsi" w:eastAsiaTheme="minorEastAsia" w:hAnsiTheme="minorHAnsi" w:cstheme="minorBidi"/>
              <w:noProof/>
              <w:sz w:val="22"/>
              <w:szCs w:val="22"/>
              <w:lang w:eastAsia="en-AU"/>
            </w:rPr>
          </w:pPr>
          <w:hyperlink w:anchor="_Toc54950040" w:history="1">
            <w:r w:rsidRPr="00DE7BD4">
              <w:rPr>
                <w:rStyle w:val="Hyperlink"/>
                <w:noProof/>
              </w:rPr>
              <w:t>Critical incidents</w:t>
            </w:r>
            <w:r>
              <w:rPr>
                <w:noProof/>
                <w:webHidden/>
              </w:rPr>
              <w:tab/>
            </w:r>
            <w:r>
              <w:rPr>
                <w:noProof/>
                <w:webHidden/>
              </w:rPr>
              <w:fldChar w:fldCharType="begin"/>
            </w:r>
            <w:r>
              <w:rPr>
                <w:noProof/>
                <w:webHidden/>
              </w:rPr>
              <w:instrText xml:space="preserve"> PAGEREF _Toc54950040 \h </w:instrText>
            </w:r>
            <w:r>
              <w:rPr>
                <w:noProof/>
                <w:webHidden/>
              </w:rPr>
            </w:r>
            <w:r>
              <w:rPr>
                <w:noProof/>
                <w:webHidden/>
              </w:rPr>
              <w:fldChar w:fldCharType="separate"/>
            </w:r>
            <w:r>
              <w:rPr>
                <w:noProof/>
                <w:webHidden/>
              </w:rPr>
              <w:t>14</w:t>
            </w:r>
            <w:r>
              <w:rPr>
                <w:noProof/>
                <w:webHidden/>
              </w:rPr>
              <w:fldChar w:fldCharType="end"/>
            </w:r>
          </w:hyperlink>
        </w:p>
        <w:p w:rsidR="009E4BEE" w:rsidRDefault="009E4BEE">
          <w:pPr>
            <w:pStyle w:val="TOC3"/>
            <w:rPr>
              <w:rFonts w:asciiTheme="minorHAnsi" w:eastAsiaTheme="minorEastAsia" w:hAnsiTheme="minorHAnsi" w:cstheme="minorBidi"/>
              <w:noProof/>
              <w:sz w:val="22"/>
              <w:szCs w:val="22"/>
              <w:lang w:eastAsia="en-AU"/>
            </w:rPr>
          </w:pPr>
          <w:hyperlink w:anchor="_Toc54950041" w:history="1">
            <w:r w:rsidRPr="00DE7BD4">
              <w:rPr>
                <w:rStyle w:val="Hyperlink"/>
                <w:noProof/>
              </w:rPr>
              <w:t>All other serious incidents</w:t>
            </w:r>
            <w:r>
              <w:rPr>
                <w:noProof/>
                <w:webHidden/>
              </w:rPr>
              <w:tab/>
            </w:r>
            <w:r>
              <w:rPr>
                <w:noProof/>
                <w:webHidden/>
              </w:rPr>
              <w:fldChar w:fldCharType="begin"/>
            </w:r>
            <w:r>
              <w:rPr>
                <w:noProof/>
                <w:webHidden/>
              </w:rPr>
              <w:instrText xml:space="preserve"> PAGEREF _Toc54950041 \h </w:instrText>
            </w:r>
            <w:r>
              <w:rPr>
                <w:noProof/>
                <w:webHidden/>
              </w:rPr>
            </w:r>
            <w:r>
              <w:rPr>
                <w:noProof/>
                <w:webHidden/>
              </w:rPr>
              <w:fldChar w:fldCharType="separate"/>
            </w:r>
            <w:r>
              <w:rPr>
                <w:noProof/>
                <w:webHidden/>
              </w:rPr>
              <w:t>14</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42" w:history="1">
            <w:r w:rsidRPr="00DE7BD4">
              <w:rPr>
                <w:rStyle w:val="Hyperlink"/>
                <w:noProof/>
              </w:rPr>
              <w:t>Record keeping requirements</w:t>
            </w:r>
            <w:r>
              <w:rPr>
                <w:noProof/>
                <w:webHidden/>
              </w:rPr>
              <w:tab/>
            </w:r>
            <w:r>
              <w:rPr>
                <w:noProof/>
                <w:webHidden/>
              </w:rPr>
              <w:fldChar w:fldCharType="begin"/>
            </w:r>
            <w:r>
              <w:rPr>
                <w:noProof/>
                <w:webHidden/>
              </w:rPr>
              <w:instrText xml:space="preserve"> PAGEREF _Toc54950042 \h </w:instrText>
            </w:r>
            <w:r>
              <w:rPr>
                <w:noProof/>
                <w:webHidden/>
              </w:rPr>
            </w:r>
            <w:r>
              <w:rPr>
                <w:noProof/>
                <w:webHidden/>
              </w:rPr>
              <w:fldChar w:fldCharType="separate"/>
            </w:r>
            <w:r>
              <w:rPr>
                <w:noProof/>
                <w:webHidden/>
              </w:rPr>
              <w:t>14</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43" w:history="1">
            <w:r w:rsidRPr="00DE7BD4">
              <w:rPr>
                <w:rStyle w:val="Hyperlink"/>
                <w:noProof/>
              </w:rPr>
              <w:t>Functions and powers for a SIRS</w:t>
            </w:r>
            <w:r>
              <w:rPr>
                <w:noProof/>
                <w:webHidden/>
              </w:rPr>
              <w:tab/>
            </w:r>
            <w:r>
              <w:rPr>
                <w:noProof/>
                <w:webHidden/>
              </w:rPr>
              <w:fldChar w:fldCharType="begin"/>
            </w:r>
            <w:r>
              <w:rPr>
                <w:noProof/>
                <w:webHidden/>
              </w:rPr>
              <w:instrText xml:space="preserve"> PAGEREF _Toc54950043 \h </w:instrText>
            </w:r>
            <w:r>
              <w:rPr>
                <w:noProof/>
                <w:webHidden/>
              </w:rPr>
            </w:r>
            <w:r>
              <w:rPr>
                <w:noProof/>
                <w:webHidden/>
              </w:rPr>
              <w:fldChar w:fldCharType="separate"/>
            </w:r>
            <w:r>
              <w:rPr>
                <w:noProof/>
                <w:webHidden/>
              </w:rPr>
              <w:t>15</w:t>
            </w:r>
            <w:r>
              <w:rPr>
                <w:noProof/>
                <w:webHidden/>
              </w:rPr>
              <w:fldChar w:fldCharType="end"/>
            </w:r>
          </w:hyperlink>
        </w:p>
        <w:p w:rsidR="009E4BEE" w:rsidRDefault="009E4BEE" w:rsidP="009E4BEE">
          <w:pPr>
            <w:pStyle w:val="TOC1"/>
            <w:rPr>
              <w:rFonts w:asciiTheme="minorHAnsi" w:eastAsiaTheme="minorEastAsia" w:hAnsiTheme="minorHAnsi" w:cstheme="minorBidi"/>
              <w:noProof/>
              <w:color w:val="auto"/>
              <w:sz w:val="22"/>
              <w:szCs w:val="22"/>
              <w:lang w:eastAsia="en-AU"/>
            </w:rPr>
          </w:pPr>
          <w:hyperlink w:anchor="_Toc54950044" w:history="1">
            <w:r w:rsidRPr="00DE7BD4">
              <w:rPr>
                <w:rStyle w:val="Hyperlink"/>
                <w:noProof/>
              </w:rPr>
              <w:t>Public reporting by the Commission on SIRS</w:t>
            </w:r>
            <w:r>
              <w:rPr>
                <w:noProof/>
                <w:webHidden/>
              </w:rPr>
              <w:tab/>
            </w:r>
            <w:r>
              <w:rPr>
                <w:noProof/>
                <w:webHidden/>
              </w:rPr>
              <w:fldChar w:fldCharType="begin"/>
            </w:r>
            <w:r>
              <w:rPr>
                <w:noProof/>
                <w:webHidden/>
              </w:rPr>
              <w:instrText xml:space="preserve"> PAGEREF _Toc54950044 \h </w:instrText>
            </w:r>
            <w:r>
              <w:rPr>
                <w:noProof/>
                <w:webHidden/>
              </w:rPr>
            </w:r>
            <w:r>
              <w:rPr>
                <w:noProof/>
                <w:webHidden/>
              </w:rPr>
              <w:fldChar w:fldCharType="separate"/>
            </w:r>
            <w:r>
              <w:rPr>
                <w:noProof/>
                <w:webHidden/>
              </w:rPr>
              <w:t>16</w:t>
            </w:r>
            <w:r>
              <w:rPr>
                <w:noProof/>
                <w:webHidden/>
              </w:rPr>
              <w:fldChar w:fldCharType="end"/>
            </w:r>
          </w:hyperlink>
        </w:p>
        <w:p w:rsidR="00E03FFF" w:rsidRPr="00491313" w:rsidRDefault="009E4BEE" w:rsidP="009E4BEE">
          <w:r>
            <w:fldChar w:fldCharType="end"/>
          </w:r>
        </w:p>
      </w:sdtContent>
    </w:sdt>
    <w:p w:rsidR="00B94814" w:rsidRPr="00491313" w:rsidRDefault="00B94814" w:rsidP="005B6721">
      <w:pPr>
        <w:pStyle w:val="Heading1"/>
      </w:pPr>
      <w:bookmarkStart w:id="5" w:name="_Toc16072930"/>
      <w:bookmarkStart w:id="6" w:name="_Toc17354739"/>
      <w:bookmarkStart w:id="7" w:name="_Toc21590599"/>
      <w:bookmarkStart w:id="8" w:name="_Toc54950016"/>
      <w:r w:rsidRPr="00491313">
        <w:t>Context</w:t>
      </w:r>
      <w:bookmarkEnd w:id="8"/>
    </w:p>
    <w:p w:rsidR="00B94814" w:rsidRPr="00F4525C" w:rsidRDefault="00B94814" w:rsidP="00B94814">
      <w:pPr>
        <w:rPr>
          <w:szCs w:val="22"/>
        </w:rPr>
      </w:pPr>
      <w:r w:rsidRPr="00491313">
        <w:rPr>
          <w:szCs w:val="22"/>
        </w:rPr>
        <w:t>Australians have a right to live free from abuse and neglect as a matter of human rights</w:t>
      </w:r>
      <w:r w:rsidR="0009004E" w:rsidRPr="00491313">
        <w:rPr>
          <w:szCs w:val="22"/>
        </w:rPr>
        <w:t xml:space="preserve"> and</w:t>
      </w:r>
      <w:r w:rsidRPr="00491313">
        <w:rPr>
          <w:szCs w:val="22"/>
        </w:rPr>
        <w:t xml:space="preserve"> current law</w:t>
      </w:r>
      <w:r w:rsidR="0009004E" w:rsidRPr="00491313">
        <w:rPr>
          <w:szCs w:val="22"/>
        </w:rPr>
        <w:t>. This is also</w:t>
      </w:r>
      <w:r w:rsidRPr="00491313">
        <w:rPr>
          <w:szCs w:val="22"/>
        </w:rPr>
        <w:t xml:space="preserve"> a reasonable community expectation. </w:t>
      </w:r>
      <w:r w:rsidR="0009004E" w:rsidRPr="00491313">
        <w:rPr>
          <w:szCs w:val="22"/>
        </w:rPr>
        <w:t>In addition</w:t>
      </w:r>
      <w:r w:rsidR="00807BDB" w:rsidRPr="00491313">
        <w:rPr>
          <w:szCs w:val="22"/>
        </w:rPr>
        <w:t>,</w:t>
      </w:r>
      <w:r w:rsidR="0009004E" w:rsidRPr="00491313">
        <w:rPr>
          <w:szCs w:val="22"/>
        </w:rPr>
        <w:t xml:space="preserve"> </w:t>
      </w:r>
      <w:r w:rsidR="00EB15DE">
        <w:rPr>
          <w:szCs w:val="22"/>
        </w:rPr>
        <w:t>o</w:t>
      </w:r>
      <w:r w:rsidR="00ED7BB7">
        <w:rPr>
          <w:szCs w:val="22"/>
        </w:rPr>
        <w:t xml:space="preserve">lder </w:t>
      </w:r>
      <w:r w:rsidRPr="00491313">
        <w:rPr>
          <w:szCs w:val="22"/>
        </w:rPr>
        <w:t xml:space="preserve">Australians have specific rights and </w:t>
      </w:r>
      <w:r w:rsidRPr="00F4525C">
        <w:rPr>
          <w:szCs w:val="22"/>
        </w:rPr>
        <w:t>expectations when receiving Commonwealth funded aged care services.</w:t>
      </w:r>
    </w:p>
    <w:p w:rsidR="00E97A16" w:rsidRPr="00F4525C" w:rsidRDefault="00E97A16" w:rsidP="00E97A16">
      <w:pPr>
        <w:rPr>
          <w:szCs w:val="22"/>
        </w:rPr>
      </w:pPr>
      <w:r w:rsidRPr="00F4525C">
        <w:t xml:space="preserve">More broadly, </w:t>
      </w:r>
      <w:r w:rsidRPr="00F4525C">
        <w:rPr>
          <w:szCs w:val="22"/>
        </w:rPr>
        <w:t xml:space="preserve">Aged care policy is seeking to create an end to end aged care system with consumers at the centre of its design. While the current Serious Incident Response Scheme (SIRS) is being implemented for residential aged care the Department of Health </w:t>
      </w:r>
      <w:r w:rsidR="007A303D" w:rsidRPr="00F4525C">
        <w:rPr>
          <w:szCs w:val="22"/>
        </w:rPr>
        <w:t>(</w:t>
      </w:r>
      <w:r w:rsidR="001B0B2A" w:rsidRPr="00F4525C">
        <w:rPr>
          <w:szCs w:val="22"/>
        </w:rPr>
        <w:t>D</w:t>
      </w:r>
      <w:r w:rsidR="007A303D" w:rsidRPr="00F4525C">
        <w:rPr>
          <w:szCs w:val="22"/>
        </w:rPr>
        <w:t xml:space="preserve">epartment) </w:t>
      </w:r>
      <w:r w:rsidRPr="00F4525C">
        <w:rPr>
          <w:szCs w:val="22"/>
        </w:rPr>
        <w:t xml:space="preserve">is simultaneously undertaking </w:t>
      </w:r>
      <w:r w:rsidRPr="00F4525C">
        <w:t>a prevalence and feasibility study in 2020-21 to inform future Government decisions on the potential introduction of a SIRS for home and community aged care.</w:t>
      </w:r>
    </w:p>
    <w:p w:rsidR="0033256E" w:rsidRPr="00491313" w:rsidRDefault="0033256E" w:rsidP="005B6721">
      <w:pPr>
        <w:pStyle w:val="Heading1"/>
      </w:pPr>
      <w:bookmarkStart w:id="9" w:name="_Toc54950017"/>
      <w:r w:rsidRPr="00491313">
        <w:lastRenderedPageBreak/>
        <w:t>Regulatory conte</w:t>
      </w:r>
      <w:bookmarkEnd w:id="5"/>
      <w:bookmarkEnd w:id="6"/>
      <w:bookmarkEnd w:id="7"/>
      <w:r w:rsidR="00E97A16">
        <w:t>xt</w:t>
      </w:r>
      <w:bookmarkEnd w:id="9"/>
    </w:p>
    <w:p w:rsidR="0033256E" w:rsidRPr="00491313" w:rsidRDefault="0033256E" w:rsidP="00C44E3F">
      <w:pPr>
        <w:rPr>
          <w:szCs w:val="22"/>
        </w:rPr>
      </w:pPr>
      <w:r w:rsidRPr="00491313">
        <w:rPr>
          <w:szCs w:val="22"/>
        </w:rPr>
        <w:t xml:space="preserve">Approved providers operate in the context of the aged care legislative framework, </w:t>
      </w:r>
      <w:r w:rsidR="0009004E" w:rsidRPr="00491313">
        <w:rPr>
          <w:szCs w:val="22"/>
        </w:rPr>
        <w:t xml:space="preserve">relevant elements </w:t>
      </w:r>
      <w:r w:rsidRPr="00491313">
        <w:rPr>
          <w:szCs w:val="22"/>
        </w:rPr>
        <w:t>of which are specifically</w:t>
      </w:r>
      <w:r w:rsidR="009301DA" w:rsidRPr="00491313">
        <w:rPr>
          <w:szCs w:val="22"/>
        </w:rPr>
        <w:t xml:space="preserve"> outlined below. </w:t>
      </w:r>
      <w:r w:rsidR="00E97A16">
        <w:rPr>
          <w:szCs w:val="22"/>
        </w:rPr>
        <w:t xml:space="preserve">Aged </w:t>
      </w:r>
      <w:r w:rsidR="0077020B">
        <w:rPr>
          <w:szCs w:val="22"/>
        </w:rPr>
        <w:t>care p</w:t>
      </w:r>
      <w:r w:rsidR="0077020B" w:rsidRPr="00491313">
        <w:rPr>
          <w:szCs w:val="22"/>
        </w:rPr>
        <w:t xml:space="preserve">roviders </w:t>
      </w:r>
      <w:r w:rsidR="009301DA" w:rsidRPr="00491313">
        <w:rPr>
          <w:szCs w:val="22"/>
        </w:rPr>
        <w:t>and consumers</w:t>
      </w:r>
      <w:r w:rsidRPr="00491313">
        <w:rPr>
          <w:szCs w:val="22"/>
        </w:rPr>
        <w:t xml:space="preserve"> are also subject to the broader range of Commonwe</w:t>
      </w:r>
      <w:r w:rsidR="00B07532" w:rsidRPr="00491313">
        <w:rPr>
          <w:szCs w:val="22"/>
        </w:rPr>
        <w:t>alth, state and territory laws.</w:t>
      </w:r>
      <w:r w:rsidR="005154EC" w:rsidRPr="00491313">
        <w:rPr>
          <w:szCs w:val="22"/>
        </w:rPr>
        <w:t xml:space="preserve"> </w:t>
      </w:r>
      <w:r w:rsidR="0009004E" w:rsidRPr="00491313">
        <w:rPr>
          <w:szCs w:val="22"/>
        </w:rPr>
        <w:t xml:space="preserve">The </w:t>
      </w:r>
      <w:r w:rsidR="00E97A16">
        <w:rPr>
          <w:szCs w:val="22"/>
        </w:rPr>
        <w:t>SIRS</w:t>
      </w:r>
      <w:r w:rsidR="00C73BB5" w:rsidRPr="00491313">
        <w:rPr>
          <w:szCs w:val="22"/>
        </w:rPr>
        <w:t xml:space="preserve"> for residential aged care will be administered within that context</w:t>
      </w:r>
      <w:r w:rsidR="005154EC" w:rsidRPr="00491313">
        <w:rPr>
          <w:szCs w:val="22"/>
        </w:rPr>
        <w:t>.</w:t>
      </w:r>
    </w:p>
    <w:p w:rsidR="0033256E" w:rsidRPr="00491313" w:rsidRDefault="0033256E" w:rsidP="00C44E3F">
      <w:pPr>
        <w:rPr>
          <w:szCs w:val="22"/>
        </w:rPr>
      </w:pPr>
      <w:r w:rsidRPr="00491313">
        <w:rPr>
          <w:szCs w:val="22"/>
        </w:rPr>
        <w:t xml:space="preserve">Under the </w:t>
      </w:r>
      <w:hyperlink r:id="rId11" w:history="1">
        <w:r w:rsidR="009301DA" w:rsidRPr="00491313">
          <w:rPr>
            <w:rStyle w:val="Hyperlink"/>
            <w:szCs w:val="22"/>
          </w:rPr>
          <w:t>Charter of Aged Care R</w:t>
        </w:r>
        <w:r w:rsidRPr="00491313">
          <w:rPr>
            <w:rStyle w:val="Hyperlink"/>
            <w:szCs w:val="22"/>
          </w:rPr>
          <w:t>ights</w:t>
        </w:r>
      </w:hyperlink>
      <w:r w:rsidRPr="00491313">
        <w:rPr>
          <w:szCs w:val="22"/>
        </w:rPr>
        <w:t xml:space="preserve"> </w:t>
      </w:r>
      <w:r w:rsidR="005154EC" w:rsidRPr="00491313">
        <w:rPr>
          <w:szCs w:val="22"/>
        </w:rPr>
        <w:t xml:space="preserve">(the Charter) </w:t>
      </w:r>
      <w:r w:rsidRPr="00491313">
        <w:rPr>
          <w:szCs w:val="22"/>
        </w:rPr>
        <w:t>consumers h</w:t>
      </w:r>
      <w:r w:rsidR="009301DA" w:rsidRPr="00491313">
        <w:rPr>
          <w:szCs w:val="22"/>
        </w:rPr>
        <w:t>ave the right to “live without</w:t>
      </w:r>
      <w:r w:rsidRPr="00491313">
        <w:rPr>
          <w:szCs w:val="22"/>
        </w:rPr>
        <w:t xml:space="preserve"> abuse and neglect”.</w:t>
      </w:r>
      <w:r w:rsidRPr="00491313">
        <w:rPr>
          <w:szCs w:val="22"/>
          <w:vertAlign w:val="superscript"/>
        </w:rPr>
        <w:footnoteReference w:id="2"/>
      </w:r>
      <w:r w:rsidRPr="00491313">
        <w:rPr>
          <w:szCs w:val="22"/>
        </w:rPr>
        <w:t xml:space="preserve"> Aged care providers are required to uphold these rights and ensure their consumers understand their rights under the Charter.</w:t>
      </w:r>
    </w:p>
    <w:p w:rsidR="0033256E" w:rsidRPr="00491313" w:rsidRDefault="0033256E" w:rsidP="00C44E3F">
      <w:pPr>
        <w:rPr>
          <w:szCs w:val="22"/>
        </w:rPr>
      </w:pPr>
      <w:r w:rsidRPr="00491313">
        <w:rPr>
          <w:szCs w:val="22"/>
        </w:rPr>
        <w:t xml:space="preserve">The </w:t>
      </w:r>
      <w:hyperlink r:id="rId12" w:history="1">
        <w:r w:rsidRPr="00491313">
          <w:rPr>
            <w:rStyle w:val="Hyperlink"/>
            <w:szCs w:val="22"/>
          </w:rPr>
          <w:t>Aged Care Quality Standards</w:t>
        </w:r>
      </w:hyperlink>
      <w:r w:rsidRPr="00491313">
        <w:rPr>
          <w:szCs w:val="22"/>
        </w:rPr>
        <w:t xml:space="preserve"> </w:t>
      </w:r>
      <w:r w:rsidR="005154EC" w:rsidRPr="00491313">
        <w:rPr>
          <w:szCs w:val="22"/>
        </w:rPr>
        <w:t xml:space="preserve">(the Standards) </w:t>
      </w:r>
      <w:r w:rsidRPr="00491313">
        <w:rPr>
          <w:szCs w:val="22"/>
        </w:rPr>
        <w:t>require aged care providers to have effective risk management systems and practices to identify and respond to abuse and neglect of consumers</w:t>
      </w:r>
      <w:r w:rsidR="00921BC6" w:rsidRPr="00491313">
        <w:rPr>
          <w:szCs w:val="22"/>
        </w:rPr>
        <w:t>.</w:t>
      </w:r>
      <w:r w:rsidRPr="00491313">
        <w:rPr>
          <w:szCs w:val="22"/>
          <w:vertAlign w:val="superscript"/>
        </w:rPr>
        <w:footnoteReference w:id="3"/>
      </w:r>
      <w:r w:rsidRPr="00491313">
        <w:rPr>
          <w:szCs w:val="22"/>
        </w:rPr>
        <w:t xml:space="preserve"> Providers are also expected to adopt an open disclosure process when things go wrong.</w:t>
      </w:r>
      <w:r w:rsidRPr="00491313">
        <w:rPr>
          <w:szCs w:val="22"/>
          <w:vertAlign w:val="superscript"/>
        </w:rPr>
        <w:footnoteReference w:id="4"/>
      </w:r>
    </w:p>
    <w:p w:rsidR="0033256E" w:rsidRDefault="0033256E" w:rsidP="00C44E3F">
      <w:pPr>
        <w:rPr>
          <w:szCs w:val="22"/>
        </w:rPr>
      </w:pPr>
      <w:r w:rsidRPr="00491313">
        <w:rPr>
          <w:szCs w:val="22"/>
        </w:rPr>
        <w:t xml:space="preserve">The </w:t>
      </w:r>
      <w:hyperlink r:id="rId13" w:history="1">
        <w:r w:rsidRPr="00491313">
          <w:rPr>
            <w:rStyle w:val="Hyperlink"/>
            <w:szCs w:val="22"/>
          </w:rPr>
          <w:t>Aged Care Quality and Safety Commission</w:t>
        </w:r>
      </w:hyperlink>
      <w:r w:rsidRPr="00491313">
        <w:rPr>
          <w:szCs w:val="22"/>
        </w:rPr>
        <w:t xml:space="preserve"> (the Commission) a</w:t>
      </w:r>
      <w:r w:rsidR="009301DA" w:rsidRPr="00491313">
        <w:rPr>
          <w:szCs w:val="22"/>
        </w:rPr>
        <w:t>ccredits and monitors providers</w:t>
      </w:r>
      <w:r w:rsidR="009E1186" w:rsidRPr="00491313">
        <w:rPr>
          <w:szCs w:val="22"/>
        </w:rPr>
        <w:t>’</w:t>
      </w:r>
      <w:r w:rsidR="009301DA" w:rsidRPr="00491313">
        <w:rPr>
          <w:szCs w:val="22"/>
        </w:rPr>
        <w:t xml:space="preserve"> performance</w:t>
      </w:r>
      <w:r w:rsidRPr="00491313">
        <w:rPr>
          <w:szCs w:val="22"/>
        </w:rPr>
        <w:t xml:space="preserve"> against the Standards, and helps consumers resolve complaints about a provider’s responsibilities </w:t>
      </w:r>
      <w:r w:rsidRPr="00491313">
        <w:rPr>
          <w:szCs w:val="22"/>
        </w:rPr>
        <w:lastRenderedPageBreak/>
        <w:t>or actions, including those in the Charter. This is part of the Commission’s function to ‘protect and enhance the safety, health, well</w:t>
      </w:r>
      <w:r w:rsidR="00B07532" w:rsidRPr="00491313">
        <w:rPr>
          <w:rFonts w:ascii="Cambria Math" w:hAnsi="Cambria Math" w:cs="Cambria Math"/>
          <w:szCs w:val="22"/>
        </w:rPr>
        <w:t>-</w:t>
      </w:r>
      <w:r w:rsidRPr="00491313">
        <w:rPr>
          <w:szCs w:val="22"/>
        </w:rPr>
        <w:t>being and quality of life of aged care consumers’.</w:t>
      </w:r>
      <w:r w:rsidRPr="00491313">
        <w:rPr>
          <w:szCs w:val="22"/>
          <w:vertAlign w:val="superscript"/>
        </w:rPr>
        <w:footnoteReference w:id="5"/>
      </w:r>
    </w:p>
    <w:p w:rsidR="0033256E" w:rsidRPr="00491313" w:rsidRDefault="0033256E" w:rsidP="00C44E3F">
      <w:pPr>
        <w:pStyle w:val="Heading1"/>
        <w:spacing w:after="240"/>
      </w:pPr>
      <w:bookmarkStart w:id="10" w:name="_Toc17354744"/>
      <w:bookmarkStart w:id="11" w:name="_Toc21590601"/>
      <w:bookmarkStart w:id="12" w:name="_Toc54950018"/>
      <w:r w:rsidRPr="00491313">
        <w:t>Serious Incident Response Scheme</w:t>
      </w:r>
      <w:bookmarkEnd w:id="10"/>
      <w:bookmarkEnd w:id="11"/>
      <w:bookmarkEnd w:id="12"/>
    </w:p>
    <w:p w:rsidR="00537640" w:rsidRPr="00491313" w:rsidRDefault="00537640" w:rsidP="002460D1">
      <w:bookmarkStart w:id="13" w:name="_Toc21590602"/>
      <w:r w:rsidRPr="00491313">
        <w:t xml:space="preserve">This paper </w:t>
      </w:r>
      <w:r w:rsidR="002147F9" w:rsidRPr="00491313">
        <w:t>sets out</w:t>
      </w:r>
      <w:r w:rsidRPr="00491313">
        <w:t xml:space="preserve"> the structure</w:t>
      </w:r>
      <w:r w:rsidR="002147F9" w:rsidRPr="00491313">
        <w:t xml:space="preserve"> and</w:t>
      </w:r>
      <w:r w:rsidRPr="00491313">
        <w:t xml:space="preserve"> operation</w:t>
      </w:r>
      <w:r w:rsidR="002147F9" w:rsidRPr="00491313">
        <w:t xml:space="preserve"> of the SIRS</w:t>
      </w:r>
      <w:r w:rsidR="00771A63">
        <w:t xml:space="preserve"> for residential aged care</w:t>
      </w:r>
      <w:r w:rsidR="009E4BEE">
        <w:t>.</w:t>
      </w:r>
    </w:p>
    <w:p w:rsidR="008063BB" w:rsidRDefault="008063BB" w:rsidP="002460D1">
      <w:r w:rsidRPr="00491313">
        <w:t xml:space="preserve">The final design of </w:t>
      </w:r>
      <w:r w:rsidR="0009004E" w:rsidRPr="00491313">
        <w:t>the</w:t>
      </w:r>
      <w:r w:rsidRPr="00491313">
        <w:t xml:space="preserve"> SIRS </w:t>
      </w:r>
      <w:r w:rsidR="000C0867" w:rsidRPr="00491313">
        <w:t>is</w:t>
      </w:r>
      <w:r w:rsidRPr="00491313">
        <w:t xml:space="preserve"> subject to any legal issues identified </w:t>
      </w:r>
      <w:r w:rsidR="00CF1851" w:rsidRPr="00491313">
        <w:t>as part of</w:t>
      </w:r>
      <w:r w:rsidRPr="00491313">
        <w:t xml:space="preserve"> the legislative drafting process</w:t>
      </w:r>
      <w:r w:rsidR="00537640" w:rsidRPr="00491313">
        <w:t>.</w:t>
      </w:r>
      <w:r w:rsidR="00D177B6" w:rsidRPr="00491313">
        <w:t xml:space="preserve"> Some matters will be captured in primary legislation, with others in associated rules (subordinate legislation).</w:t>
      </w:r>
    </w:p>
    <w:p w:rsidR="009353C4" w:rsidRPr="00491313" w:rsidRDefault="009353C4" w:rsidP="009353C4">
      <w:pPr>
        <w:pStyle w:val="Heading2"/>
        <w:rPr>
          <w:rFonts w:cs="Arial"/>
          <w:szCs w:val="21"/>
        </w:rPr>
      </w:pPr>
      <w:bookmarkStart w:id="14" w:name="_Toc54950019"/>
      <w:r w:rsidRPr="00491313">
        <w:rPr>
          <w:rFonts w:cs="Arial"/>
          <w:szCs w:val="21"/>
        </w:rPr>
        <w:t>Intent</w:t>
      </w:r>
      <w:bookmarkEnd w:id="13"/>
      <w:bookmarkEnd w:id="14"/>
    </w:p>
    <w:p w:rsidR="003C52F1" w:rsidRPr="00491313" w:rsidRDefault="003C52F1" w:rsidP="003C52F1">
      <w:pPr>
        <w:rPr>
          <w:rFonts w:cs="Arial"/>
          <w:szCs w:val="21"/>
        </w:rPr>
      </w:pPr>
      <w:r w:rsidRPr="00491313">
        <w:rPr>
          <w:rFonts w:cs="Arial"/>
          <w:szCs w:val="21"/>
        </w:rPr>
        <w:t>The intent of the SIRS is to reduce the risk of harm arising from abuse and neglect of older Australians in residential aged care, including flexible care that is delivered in a residential aged care setting, by:</w:t>
      </w:r>
    </w:p>
    <w:p w:rsidR="003C52F1" w:rsidRPr="00491313" w:rsidRDefault="003C52F1" w:rsidP="003C52F1">
      <w:pPr>
        <w:pStyle w:val="Bullets1"/>
        <w:ind w:left="426"/>
        <w:rPr>
          <w:szCs w:val="21"/>
        </w:rPr>
      </w:pPr>
      <w:r w:rsidRPr="00491313">
        <w:t>driving learning and improvement at a system and service level to reduce the number of preventable serious incidents in the future;</w:t>
      </w:r>
    </w:p>
    <w:p w:rsidR="003C52F1" w:rsidRPr="00491313" w:rsidRDefault="003C52F1" w:rsidP="003C52F1">
      <w:pPr>
        <w:pStyle w:val="Bullets1"/>
        <w:ind w:left="426"/>
        <w:rPr>
          <w:szCs w:val="21"/>
        </w:rPr>
      </w:pPr>
      <w:r w:rsidRPr="00491313">
        <w:t>building provider capacity to better identify risks of potential harm and respond to incidents if and when they occur; and</w:t>
      </w:r>
    </w:p>
    <w:p w:rsidR="003C52F1" w:rsidRPr="00491313" w:rsidRDefault="003C52F1" w:rsidP="00764E15">
      <w:pPr>
        <w:pStyle w:val="Bullets1"/>
        <w:ind w:left="426"/>
      </w:pPr>
      <w:r w:rsidRPr="00491313">
        <w:lastRenderedPageBreak/>
        <w:t>hold</w:t>
      </w:r>
      <w:r w:rsidR="005E5EE9" w:rsidRPr="00491313">
        <w:t>ing</w:t>
      </w:r>
      <w:r w:rsidRPr="00491313">
        <w:t xml:space="preserve"> providers to account to provide appropriate support to consumers </w:t>
      </w:r>
      <w:r w:rsidR="005E5EE9" w:rsidRPr="00491313">
        <w:t>in the event of an</w:t>
      </w:r>
      <w:r w:rsidRPr="00491313">
        <w:t xml:space="preserve"> incident.</w:t>
      </w:r>
    </w:p>
    <w:p w:rsidR="003D0019" w:rsidRPr="00491313" w:rsidRDefault="003D0019" w:rsidP="003D0019">
      <w:pPr>
        <w:pStyle w:val="Bullets1"/>
        <w:numPr>
          <w:ilvl w:val="0"/>
          <w:numId w:val="0"/>
        </w:numPr>
        <w:rPr>
          <w:rFonts w:eastAsiaTheme="minorHAnsi"/>
        </w:rPr>
      </w:pPr>
      <w:r w:rsidRPr="00491313">
        <w:rPr>
          <w:rFonts w:eastAsiaTheme="minorHAnsi"/>
        </w:rPr>
        <w:t>The SIRS will</w:t>
      </w:r>
      <w:r w:rsidR="00771A63">
        <w:rPr>
          <w:rFonts w:eastAsiaTheme="minorHAnsi"/>
        </w:rPr>
        <w:t xml:space="preserve"> establish</w:t>
      </w:r>
      <w:r w:rsidRPr="00491313">
        <w:rPr>
          <w:rFonts w:eastAsiaTheme="minorHAnsi"/>
        </w:rPr>
        <w:t>:</w:t>
      </w:r>
    </w:p>
    <w:p w:rsidR="003C52F1" w:rsidRPr="00491313" w:rsidRDefault="00771A63" w:rsidP="00680836">
      <w:pPr>
        <w:pStyle w:val="Bullets1"/>
        <w:ind w:left="426"/>
      </w:pPr>
      <w:r>
        <w:t xml:space="preserve">obligations on approved providers </w:t>
      </w:r>
      <w:r w:rsidRPr="00FB5E35">
        <w:t>to manage all incidents, focusing on the safety and well-being of the impacted consumer/s and to use incident data to drive quality improvement</w:t>
      </w:r>
      <w:r w:rsidR="00680836" w:rsidRPr="00491313">
        <w:t>.</w:t>
      </w:r>
    </w:p>
    <w:p w:rsidR="00680836" w:rsidRPr="00491313" w:rsidRDefault="00680836" w:rsidP="00680836">
      <w:pPr>
        <w:pStyle w:val="Bullets1"/>
        <w:ind w:left="426"/>
      </w:pPr>
      <w:r w:rsidRPr="00491313">
        <w:t>mandatory reporting of alleged, suspected or actual serious incidents.</w:t>
      </w:r>
    </w:p>
    <w:p w:rsidR="007E3805" w:rsidRPr="003529A4" w:rsidRDefault="007E3805" w:rsidP="00680836">
      <w:pPr>
        <w:rPr>
          <w:rFonts w:cs="Arial"/>
          <w:szCs w:val="21"/>
        </w:rPr>
      </w:pPr>
      <w:r w:rsidRPr="003529A4">
        <w:rPr>
          <w:rFonts w:cs="Arial"/>
          <w:szCs w:val="21"/>
        </w:rPr>
        <w:t xml:space="preserve">The SIRS will promote an aged care system that empowers consumers, develops safer systems of care, </w:t>
      </w:r>
      <w:r w:rsidR="00253CDF">
        <w:t>instils</w:t>
      </w:r>
      <w:r w:rsidRPr="003529A4">
        <w:rPr>
          <w:rFonts w:cs="Arial"/>
          <w:szCs w:val="21"/>
        </w:rPr>
        <w:t xml:space="preserve"> a culture of safety and quality, and learns from mistakes. A system operating in this way will give the community in general, and older Australians in particular, confidence that the aged care they access will continuously improve</w:t>
      </w:r>
      <w:r w:rsidR="00C36078" w:rsidRPr="00C36078">
        <w:rPr>
          <w:rFonts w:cs="Arial"/>
          <w:szCs w:val="21"/>
        </w:rPr>
        <w:t xml:space="preserve"> prevention, management and resolution of incidents and improve</w:t>
      </w:r>
      <w:r w:rsidRPr="003529A4">
        <w:rPr>
          <w:rFonts w:cs="Arial"/>
          <w:szCs w:val="21"/>
        </w:rPr>
        <w:t xml:space="preserve"> outcomes for </w:t>
      </w:r>
      <w:r w:rsidRPr="00F4525C">
        <w:rPr>
          <w:rFonts w:cs="Arial"/>
          <w:szCs w:val="21"/>
        </w:rPr>
        <w:t>consumers.</w:t>
      </w:r>
      <w:r w:rsidR="00E97A16" w:rsidRPr="00F4525C">
        <w:rPr>
          <w:rFonts w:cs="Arial"/>
          <w:szCs w:val="21"/>
        </w:rPr>
        <w:t xml:space="preserve"> Consumers will expect continuity o</w:t>
      </w:r>
      <w:r w:rsidR="00E578E4" w:rsidRPr="00F4525C">
        <w:rPr>
          <w:rFonts w:cs="Arial"/>
          <w:szCs w:val="21"/>
        </w:rPr>
        <w:t>f care and safeguards across an end to end</w:t>
      </w:r>
      <w:r w:rsidR="00E97A16" w:rsidRPr="00F4525C">
        <w:rPr>
          <w:rFonts w:cs="Arial"/>
          <w:szCs w:val="21"/>
        </w:rPr>
        <w:t xml:space="preserve"> aged care system, which is why work </w:t>
      </w:r>
      <w:r w:rsidR="00E578E4" w:rsidRPr="00F4525C">
        <w:rPr>
          <w:rFonts w:cs="Arial"/>
          <w:szCs w:val="21"/>
        </w:rPr>
        <w:t>being progressed in parallel to</w:t>
      </w:r>
      <w:r w:rsidR="00E97A16" w:rsidRPr="00F4525C">
        <w:rPr>
          <w:rFonts w:cs="Arial"/>
          <w:szCs w:val="21"/>
        </w:rPr>
        <w:t xml:space="preserve"> establish the feasibility of a SIRS in home </w:t>
      </w:r>
      <w:r w:rsidR="00843D4E">
        <w:rPr>
          <w:rFonts w:cs="Arial"/>
          <w:szCs w:val="21"/>
        </w:rPr>
        <w:t xml:space="preserve">and community </w:t>
      </w:r>
      <w:r w:rsidR="00E97A16" w:rsidRPr="00F4525C">
        <w:rPr>
          <w:rFonts w:cs="Arial"/>
          <w:szCs w:val="21"/>
        </w:rPr>
        <w:t>care settings.</w:t>
      </w:r>
    </w:p>
    <w:p w:rsidR="00680836" w:rsidRPr="00491313" w:rsidRDefault="009F4C0D" w:rsidP="00680836">
      <w:pPr>
        <w:rPr>
          <w:rFonts w:cs="Arial"/>
          <w:szCs w:val="21"/>
        </w:rPr>
      </w:pPr>
      <w:r>
        <w:rPr>
          <w:rFonts w:cs="Arial"/>
          <w:szCs w:val="21"/>
        </w:rPr>
        <w:t>The focus of SIRS is</w:t>
      </w:r>
      <w:r w:rsidR="00680836" w:rsidRPr="00491313">
        <w:rPr>
          <w:rFonts w:cs="Arial"/>
          <w:szCs w:val="21"/>
        </w:rPr>
        <w:t xml:space="preserve"> on a provider’s response to an incident – the supports they put in place for the impacted aged care consumer</w:t>
      </w:r>
      <w:r w:rsidR="007E3805">
        <w:rPr>
          <w:rFonts w:cs="Arial"/>
          <w:szCs w:val="21"/>
        </w:rPr>
        <w:t xml:space="preserve"> consistent with expectations for open disclosure</w:t>
      </w:r>
      <w:r w:rsidR="00C36078">
        <w:rPr>
          <w:rFonts w:cs="Arial"/>
          <w:szCs w:val="21"/>
        </w:rPr>
        <w:t xml:space="preserve"> when harm has occurred</w:t>
      </w:r>
      <w:r w:rsidR="00680836" w:rsidRPr="00491313">
        <w:rPr>
          <w:rFonts w:cs="Arial"/>
          <w:szCs w:val="21"/>
        </w:rPr>
        <w:t xml:space="preserve">; the actions they take to </w:t>
      </w:r>
      <w:r w:rsidR="007E3805">
        <w:rPr>
          <w:rFonts w:cs="Arial"/>
          <w:szCs w:val="21"/>
        </w:rPr>
        <w:t xml:space="preserve">continuously improve and </w:t>
      </w:r>
      <w:r w:rsidR="00680836" w:rsidRPr="00491313">
        <w:rPr>
          <w:rFonts w:cs="Arial"/>
          <w:szCs w:val="21"/>
        </w:rPr>
        <w:t xml:space="preserve">reduce the likelihood of incidents reoccurring; and the way in which they use information about incidents to </w:t>
      </w:r>
      <w:r w:rsidR="007E3805">
        <w:rPr>
          <w:rFonts w:cs="Arial"/>
          <w:szCs w:val="21"/>
        </w:rPr>
        <w:t xml:space="preserve">inform organisation wide management of these risks, feedback and </w:t>
      </w:r>
      <w:r w:rsidR="00680836" w:rsidRPr="00491313">
        <w:rPr>
          <w:rFonts w:cs="Arial"/>
          <w:szCs w:val="21"/>
        </w:rPr>
        <w:t>educat</w:t>
      </w:r>
      <w:r w:rsidR="007E3805">
        <w:rPr>
          <w:rFonts w:cs="Arial"/>
          <w:szCs w:val="21"/>
        </w:rPr>
        <w:t xml:space="preserve">ion to </w:t>
      </w:r>
      <w:r w:rsidR="00680836" w:rsidRPr="00491313">
        <w:rPr>
          <w:rFonts w:cs="Arial"/>
          <w:szCs w:val="21"/>
        </w:rPr>
        <w:t xml:space="preserve">staff and to improve the service’s capability to prevent, manage and resolve incidents. </w:t>
      </w:r>
    </w:p>
    <w:p w:rsidR="001A5542" w:rsidRPr="00491313" w:rsidRDefault="001A5542" w:rsidP="003C52F1">
      <w:pPr>
        <w:rPr>
          <w:rFonts w:cs="Arial"/>
          <w:szCs w:val="21"/>
        </w:rPr>
      </w:pPr>
      <w:r w:rsidRPr="00491313">
        <w:rPr>
          <w:szCs w:val="22"/>
        </w:rPr>
        <w:t xml:space="preserve">Mandatory reporting is not intended to </w:t>
      </w:r>
      <w:r w:rsidR="007E3805">
        <w:rPr>
          <w:szCs w:val="22"/>
        </w:rPr>
        <w:t>address</w:t>
      </w:r>
      <w:r w:rsidRPr="00491313">
        <w:rPr>
          <w:szCs w:val="22"/>
        </w:rPr>
        <w:t xml:space="preserve"> every incident in residential aged care. Reporting of serious incidents is intended to focus on incidents that pose the highest risks to consumers.</w:t>
      </w:r>
      <w:r w:rsidRPr="00491313">
        <w:rPr>
          <w:rFonts w:cs="Arial"/>
          <w:szCs w:val="21"/>
        </w:rPr>
        <w:t xml:space="preserve"> </w:t>
      </w:r>
    </w:p>
    <w:p w:rsidR="00FE6264" w:rsidRPr="00491313" w:rsidRDefault="00FE6264" w:rsidP="003C52F1">
      <w:pPr>
        <w:rPr>
          <w:szCs w:val="22"/>
        </w:rPr>
      </w:pPr>
      <w:r w:rsidRPr="00491313">
        <w:rPr>
          <w:rFonts w:cs="Arial"/>
          <w:szCs w:val="21"/>
        </w:rPr>
        <w:lastRenderedPageBreak/>
        <w:t>The SIRS complements and supports other regulatory settings including the</w:t>
      </w:r>
      <w:r w:rsidR="00C16439" w:rsidRPr="00491313">
        <w:rPr>
          <w:rFonts w:cs="Arial"/>
          <w:szCs w:val="21"/>
        </w:rPr>
        <w:t xml:space="preserve"> </w:t>
      </w:r>
      <w:r w:rsidR="00C36078">
        <w:rPr>
          <w:rFonts w:cs="Arial"/>
          <w:szCs w:val="21"/>
        </w:rPr>
        <w:t xml:space="preserve">integrated expectations of the </w:t>
      </w:r>
      <w:r w:rsidR="00C16439" w:rsidRPr="00491313">
        <w:rPr>
          <w:rFonts w:cs="Arial"/>
          <w:szCs w:val="21"/>
        </w:rPr>
        <w:t>Quality</w:t>
      </w:r>
      <w:r w:rsidRPr="00491313">
        <w:rPr>
          <w:rFonts w:cs="Arial"/>
          <w:szCs w:val="21"/>
        </w:rPr>
        <w:t xml:space="preserve"> Standards, the Charter</w:t>
      </w:r>
      <w:r w:rsidR="00C16439" w:rsidRPr="00491313">
        <w:rPr>
          <w:rFonts w:cs="Arial"/>
          <w:szCs w:val="21"/>
        </w:rPr>
        <w:t xml:space="preserve"> of Aged Care Rights</w:t>
      </w:r>
      <w:r w:rsidRPr="00491313">
        <w:rPr>
          <w:rFonts w:cs="Arial"/>
          <w:szCs w:val="21"/>
        </w:rPr>
        <w:t xml:space="preserve"> and open disclosure</w:t>
      </w:r>
      <w:r w:rsidR="00C36078">
        <w:rPr>
          <w:rFonts w:cs="Arial"/>
          <w:szCs w:val="21"/>
        </w:rPr>
        <w:t xml:space="preserve"> requirements</w:t>
      </w:r>
      <w:r w:rsidRPr="00491313">
        <w:rPr>
          <w:rFonts w:cs="Arial"/>
          <w:szCs w:val="21"/>
        </w:rPr>
        <w:t xml:space="preserve">. Together these </w:t>
      </w:r>
      <w:r w:rsidR="003C52F1" w:rsidRPr="00491313">
        <w:rPr>
          <w:rFonts w:cs="Arial"/>
          <w:szCs w:val="21"/>
        </w:rPr>
        <w:t xml:space="preserve">settings </w:t>
      </w:r>
      <w:r w:rsidRPr="00491313">
        <w:rPr>
          <w:rFonts w:cs="Arial"/>
          <w:szCs w:val="21"/>
        </w:rPr>
        <w:t xml:space="preserve">will support providers to engage in risk management and continuous improvement activities to deliver safe, quality care to residential aged care consumers. </w:t>
      </w:r>
    </w:p>
    <w:p w:rsidR="000B49EA" w:rsidRPr="00491313" w:rsidRDefault="00834A56" w:rsidP="00834A56">
      <w:pPr>
        <w:rPr>
          <w:rFonts w:cs="Arial"/>
          <w:szCs w:val="21"/>
        </w:rPr>
      </w:pPr>
      <w:r w:rsidRPr="00491313">
        <w:rPr>
          <w:rFonts w:cs="Arial"/>
          <w:szCs w:val="21"/>
        </w:rPr>
        <w:t xml:space="preserve">The SIRS will provide </w:t>
      </w:r>
      <w:r w:rsidR="00C36078">
        <w:rPr>
          <w:rFonts w:cs="Arial"/>
          <w:szCs w:val="21"/>
        </w:rPr>
        <w:t xml:space="preserve">high volume regulatory </w:t>
      </w:r>
      <w:r w:rsidRPr="00491313">
        <w:rPr>
          <w:rFonts w:cs="Arial"/>
          <w:szCs w:val="21"/>
        </w:rPr>
        <w:t>intelligence to</w:t>
      </w:r>
      <w:r w:rsidR="00C36078">
        <w:rPr>
          <w:rFonts w:cs="Arial"/>
          <w:szCs w:val="21"/>
        </w:rPr>
        <w:t xml:space="preserve"> enable the Commission to more effectively detect, analyse and respond to high impact and high prevalence risks to consumers. This will support a comprehensive regulatory response using the full range of regulatory tools to respond to provider level and sector wide risks. This means better evidence to </w:t>
      </w:r>
      <w:r w:rsidRPr="00491313">
        <w:rPr>
          <w:rFonts w:cs="Arial"/>
          <w:szCs w:val="21"/>
        </w:rPr>
        <w:t xml:space="preserve">inform risk profiling of aged care providers, which in turn </w:t>
      </w:r>
      <w:r w:rsidR="005E34D2" w:rsidRPr="00491313">
        <w:rPr>
          <w:rFonts w:cs="Arial"/>
          <w:szCs w:val="21"/>
        </w:rPr>
        <w:t>will be</w:t>
      </w:r>
      <w:r w:rsidRPr="00491313">
        <w:rPr>
          <w:rFonts w:cs="Arial"/>
          <w:szCs w:val="21"/>
        </w:rPr>
        <w:t xml:space="preserve"> used by the Commission to target its regulatory </w:t>
      </w:r>
      <w:r w:rsidR="00C36078">
        <w:rPr>
          <w:rFonts w:cs="Arial"/>
          <w:szCs w:val="21"/>
        </w:rPr>
        <w:t>program at sector-wide and provider levels</w:t>
      </w:r>
      <w:r w:rsidR="00ED7BB7">
        <w:rPr>
          <w:rFonts w:cs="Arial"/>
          <w:szCs w:val="21"/>
        </w:rPr>
        <w:t xml:space="preserve">, </w:t>
      </w:r>
      <w:r w:rsidR="00C36078">
        <w:rPr>
          <w:rFonts w:cs="Arial"/>
          <w:szCs w:val="21"/>
        </w:rPr>
        <w:t xml:space="preserve">as well as </w:t>
      </w:r>
      <w:r w:rsidRPr="00491313">
        <w:rPr>
          <w:rFonts w:cs="Arial"/>
          <w:szCs w:val="21"/>
        </w:rPr>
        <w:t>education</w:t>
      </w:r>
      <w:r w:rsidR="001F6558" w:rsidRPr="00491313">
        <w:rPr>
          <w:rFonts w:cs="Arial"/>
          <w:szCs w:val="21"/>
        </w:rPr>
        <w:t>, campaigns and regulatory approaches</w:t>
      </w:r>
      <w:r w:rsidRPr="00491313">
        <w:rPr>
          <w:rFonts w:cs="Arial"/>
          <w:szCs w:val="21"/>
        </w:rPr>
        <w:t xml:space="preserve"> on particular issues; and thereby support capacity building of the </w:t>
      </w:r>
      <w:r w:rsidRPr="00F4525C">
        <w:rPr>
          <w:rFonts w:cs="Arial"/>
          <w:szCs w:val="21"/>
        </w:rPr>
        <w:t>sector.</w:t>
      </w:r>
      <w:r w:rsidR="000B49EA" w:rsidRPr="00F4525C">
        <w:rPr>
          <w:rFonts w:cs="Arial"/>
          <w:szCs w:val="21"/>
        </w:rPr>
        <w:t xml:space="preserve"> </w:t>
      </w:r>
      <w:r w:rsidR="009F4C0D" w:rsidRPr="00F4525C">
        <w:rPr>
          <w:rFonts w:cs="Arial"/>
          <w:szCs w:val="21"/>
        </w:rPr>
        <w:t xml:space="preserve">Similarly, a home and community SIRS may also provide valuable regulatory intelligence to better target community based regulation. </w:t>
      </w:r>
    </w:p>
    <w:p w:rsidR="00834A56" w:rsidRPr="00491313" w:rsidRDefault="00C36078" w:rsidP="00834A56">
      <w:pPr>
        <w:rPr>
          <w:rFonts w:cs="Arial"/>
          <w:szCs w:val="21"/>
        </w:rPr>
      </w:pPr>
      <w:r>
        <w:rPr>
          <w:rFonts w:cs="Arial"/>
          <w:szCs w:val="21"/>
        </w:rPr>
        <w:t>Feedback</w:t>
      </w:r>
      <w:r w:rsidR="007F6584">
        <w:rPr>
          <w:rFonts w:cs="Arial"/>
          <w:szCs w:val="21"/>
        </w:rPr>
        <w:t xml:space="preserve"> and information</w:t>
      </w:r>
      <w:r>
        <w:rPr>
          <w:rFonts w:cs="Arial"/>
          <w:szCs w:val="21"/>
        </w:rPr>
        <w:t xml:space="preserve"> to t</w:t>
      </w:r>
      <w:r w:rsidR="000B49EA" w:rsidRPr="00491313">
        <w:rPr>
          <w:rFonts w:cs="Arial"/>
          <w:szCs w:val="21"/>
        </w:rPr>
        <w:t xml:space="preserve">he Department </w:t>
      </w:r>
      <w:r w:rsidR="007F6584">
        <w:rPr>
          <w:rFonts w:cs="Arial"/>
          <w:szCs w:val="21"/>
        </w:rPr>
        <w:t>from the</w:t>
      </w:r>
      <w:r>
        <w:rPr>
          <w:rFonts w:cs="Arial"/>
          <w:szCs w:val="21"/>
        </w:rPr>
        <w:t xml:space="preserve"> SIRS </w:t>
      </w:r>
      <w:r w:rsidR="000B49EA" w:rsidRPr="00491313">
        <w:rPr>
          <w:rFonts w:cs="Arial"/>
          <w:szCs w:val="21"/>
        </w:rPr>
        <w:t xml:space="preserve">will </w:t>
      </w:r>
      <w:r>
        <w:rPr>
          <w:rFonts w:cs="Arial"/>
          <w:szCs w:val="21"/>
        </w:rPr>
        <w:t xml:space="preserve">support </w:t>
      </w:r>
      <w:r w:rsidR="007F6584">
        <w:rPr>
          <w:rFonts w:cs="Arial"/>
          <w:szCs w:val="21"/>
        </w:rPr>
        <w:t xml:space="preserve">future </w:t>
      </w:r>
      <w:r>
        <w:rPr>
          <w:rFonts w:cs="Arial"/>
          <w:szCs w:val="21"/>
        </w:rPr>
        <w:t xml:space="preserve">policy and funding considerations as well as </w:t>
      </w:r>
      <w:r w:rsidR="001F6558" w:rsidRPr="00491313">
        <w:rPr>
          <w:rFonts w:cs="Arial"/>
          <w:szCs w:val="21"/>
        </w:rPr>
        <w:t>research,</w:t>
      </w:r>
      <w:r w:rsidR="000B49EA" w:rsidRPr="00491313">
        <w:rPr>
          <w:rFonts w:cs="Arial"/>
          <w:szCs w:val="21"/>
        </w:rPr>
        <w:t xml:space="preserve"> </w:t>
      </w:r>
      <w:r>
        <w:rPr>
          <w:rFonts w:cs="Arial"/>
          <w:szCs w:val="21"/>
        </w:rPr>
        <w:t xml:space="preserve">and </w:t>
      </w:r>
      <w:r w:rsidR="00DF2776" w:rsidRPr="00491313">
        <w:rPr>
          <w:rFonts w:cs="Arial"/>
          <w:szCs w:val="21"/>
        </w:rPr>
        <w:t>future</w:t>
      </w:r>
      <w:r w:rsidR="000B49EA" w:rsidRPr="00491313">
        <w:rPr>
          <w:rFonts w:cs="Arial"/>
          <w:szCs w:val="21"/>
        </w:rPr>
        <w:t xml:space="preserve"> policy </w:t>
      </w:r>
      <w:r w:rsidR="001F6558" w:rsidRPr="00491313">
        <w:rPr>
          <w:rFonts w:cs="Arial"/>
          <w:szCs w:val="21"/>
        </w:rPr>
        <w:t>or</w:t>
      </w:r>
      <w:r w:rsidR="000B49EA" w:rsidRPr="00491313">
        <w:rPr>
          <w:rFonts w:cs="Arial"/>
          <w:szCs w:val="21"/>
        </w:rPr>
        <w:t xml:space="preserve"> regulatory options for Government consideration.</w:t>
      </w:r>
    </w:p>
    <w:p w:rsidR="0033256E" w:rsidRPr="00491313" w:rsidRDefault="0033256E" w:rsidP="00C44E3F">
      <w:pPr>
        <w:pStyle w:val="Heading2"/>
        <w:rPr>
          <w:szCs w:val="22"/>
        </w:rPr>
      </w:pPr>
      <w:bookmarkStart w:id="15" w:name="_Toc17354745"/>
      <w:bookmarkStart w:id="16" w:name="_Toc21590603"/>
      <w:bookmarkStart w:id="17" w:name="_Toc54950020"/>
      <w:r w:rsidRPr="00491313">
        <w:rPr>
          <w:szCs w:val="22"/>
        </w:rPr>
        <w:t>Overview</w:t>
      </w:r>
      <w:bookmarkEnd w:id="15"/>
      <w:bookmarkEnd w:id="16"/>
      <w:bookmarkEnd w:id="17"/>
    </w:p>
    <w:p w:rsidR="00253301" w:rsidRPr="00491313" w:rsidRDefault="001A5542" w:rsidP="00C44E3F">
      <w:pPr>
        <w:rPr>
          <w:szCs w:val="22"/>
        </w:rPr>
      </w:pPr>
      <w:r w:rsidRPr="00491313">
        <w:rPr>
          <w:szCs w:val="22"/>
        </w:rPr>
        <w:t>Establishing a</w:t>
      </w:r>
      <w:r w:rsidR="0033256E" w:rsidRPr="00491313">
        <w:rPr>
          <w:szCs w:val="22"/>
        </w:rPr>
        <w:t xml:space="preserve"> defined national </w:t>
      </w:r>
      <w:r w:rsidRPr="00491313">
        <w:rPr>
          <w:szCs w:val="22"/>
        </w:rPr>
        <w:t>framework for incident management and reporting of serious incidents</w:t>
      </w:r>
      <w:r w:rsidR="000B49EA" w:rsidRPr="00491313">
        <w:rPr>
          <w:szCs w:val="22"/>
        </w:rPr>
        <w:t>,</w:t>
      </w:r>
      <w:r w:rsidR="0033256E" w:rsidRPr="00491313">
        <w:rPr>
          <w:szCs w:val="22"/>
        </w:rPr>
        <w:t xml:space="preserve"> provides assurance to the Australian community that providers are being held to account to</w:t>
      </w:r>
      <w:r w:rsidR="00253301" w:rsidRPr="00491313">
        <w:rPr>
          <w:szCs w:val="22"/>
        </w:rPr>
        <w:t>:</w:t>
      </w:r>
    </w:p>
    <w:p w:rsidR="00253301" w:rsidRPr="00491313" w:rsidRDefault="003529A4" w:rsidP="00253301">
      <w:pPr>
        <w:pStyle w:val="Bullets1"/>
        <w:ind w:left="426"/>
      </w:pPr>
      <w:r>
        <w:t>provide</w:t>
      </w:r>
      <w:r w:rsidR="0033256E" w:rsidRPr="00491313">
        <w:t xml:space="preserve"> safe</w:t>
      </w:r>
      <w:r w:rsidR="00ED7BB7">
        <w:t>,</w:t>
      </w:r>
      <w:r w:rsidR="0033256E" w:rsidRPr="00491313">
        <w:t xml:space="preserve"> </w:t>
      </w:r>
      <w:r w:rsidR="00C36078">
        <w:t xml:space="preserve">quality care and services </w:t>
      </w:r>
      <w:r w:rsidR="0033256E" w:rsidRPr="00491313">
        <w:t>for aged care consumers</w:t>
      </w:r>
      <w:r w:rsidR="00253301" w:rsidRPr="00491313">
        <w:t>;</w:t>
      </w:r>
    </w:p>
    <w:p w:rsidR="0033256E" w:rsidRPr="00491313" w:rsidRDefault="00253301" w:rsidP="00253301">
      <w:pPr>
        <w:pStyle w:val="Bullets1"/>
        <w:ind w:left="426"/>
      </w:pPr>
      <w:r w:rsidRPr="00491313">
        <w:t xml:space="preserve">support consumers </w:t>
      </w:r>
      <w:r w:rsidR="00D24218" w:rsidRPr="00491313">
        <w:t xml:space="preserve">and families </w:t>
      </w:r>
      <w:r w:rsidRPr="00491313">
        <w:t>appropriately should an incident occur; and</w:t>
      </w:r>
    </w:p>
    <w:p w:rsidR="00253301" w:rsidRPr="00491313" w:rsidRDefault="00253301" w:rsidP="00253301">
      <w:pPr>
        <w:pStyle w:val="Bullets1"/>
        <w:ind w:left="426"/>
      </w:pPr>
      <w:r w:rsidRPr="00491313">
        <w:lastRenderedPageBreak/>
        <w:t>take action to prevent incidents from reoccurring.</w:t>
      </w:r>
    </w:p>
    <w:p w:rsidR="0033256E" w:rsidRPr="00491313" w:rsidRDefault="0033256E" w:rsidP="00C44E3F">
      <w:pPr>
        <w:pStyle w:val="Heading2"/>
        <w:rPr>
          <w:szCs w:val="22"/>
        </w:rPr>
      </w:pPr>
      <w:bookmarkStart w:id="18" w:name="_Toc17354747"/>
      <w:bookmarkStart w:id="19" w:name="_Toc21590605"/>
      <w:bookmarkStart w:id="20" w:name="_Toc54950021"/>
      <w:r w:rsidRPr="00491313">
        <w:rPr>
          <w:szCs w:val="22"/>
        </w:rPr>
        <w:t>Provider responsibilities</w:t>
      </w:r>
      <w:bookmarkEnd w:id="20"/>
      <w:r w:rsidRPr="00491313">
        <w:rPr>
          <w:szCs w:val="22"/>
        </w:rPr>
        <w:t xml:space="preserve"> </w:t>
      </w:r>
      <w:bookmarkEnd w:id="18"/>
      <w:bookmarkEnd w:id="19"/>
    </w:p>
    <w:p w:rsidR="0033256E" w:rsidRPr="00491313" w:rsidRDefault="009F4C0D" w:rsidP="00A01BB2">
      <w:r>
        <w:rPr>
          <w:szCs w:val="22"/>
        </w:rPr>
        <w:t>Approved P</w:t>
      </w:r>
      <w:r w:rsidR="0033256E" w:rsidRPr="003529A4">
        <w:rPr>
          <w:szCs w:val="22"/>
        </w:rPr>
        <w:t xml:space="preserve">roviders have a responsibility to comply with the requirements of the Standards. </w:t>
      </w:r>
      <w:r w:rsidR="00A404F8" w:rsidRPr="003529A4">
        <w:rPr>
          <w:szCs w:val="22"/>
        </w:rPr>
        <w:t xml:space="preserve">The SIRS will </w:t>
      </w:r>
      <w:r w:rsidR="00EA05E1" w:rsidRPr="003529A4">
        <w:rPr>
          <w:szCs w:val="22"/>
        </w:rPr>
        <w:t>place</w:t>
      </w:r>
      <w:r w:rsidR="00326642" w:rsidRPr="003529A4">
        <w:rPr>
          <w:szCs w:val="22"/>
        </w:rPr>
        <w:t xml:space="preserve"> additional </w:t>
      </w:r>
      <w:r w:rsidR="00A404F8" w:rsidRPr="003529A4">
        <w:rPr>
          <w:szCs w:val="22"/>
        </w:rPr>
        <w:t xml:space="preserve">obligations </w:t>
      </w:r>
      <w:r w:rsidR="003529A4" w:rsidRPr="003529A4">
        <w:rPr>
          <w:szCs w:val="22"/>
        </w:rPr>
        <w:t xml:space="preserve">and </w:t>
      </w:r>
      <w:r w:rsidR="00652999" w:rsidRPr="003529A4">
        <w:rPr>
          <w:szCs w:val="22"/>
        </w:rPr>
        <w:t xml:space="preserve">specify </w:t>
      </w:r>
      <w:r w:rsidR="00C36078" w:rsidRPr="003529A4">
        <w:rPr>
          <w:szCs w:val="22"/>
        </w:rPr>
        <w:t xml:space="preserve">expectations </w:t>
      </w:r>
      <w:r w:rsidR="00166CDC" w:rsidRPr="003529A4">
        <w:rPr>
          <w:szCs w:val="22"/>
        </w:rPr>
        <w:t>for</w:t>
      </w:r>
      <w:r>
        <w:rPr>
          <w:szCs w:val="22"/>
        </w:rPr>
        <w:t xml:space="preserve"> Approved P</w:t>
      </w:r>
      <w:r w:rsidR="00A404F8" w:rsidRPr="003529A4">
        <w:rPr>
          <w:szCs w:val="22"/>
        </w:rPr>
        <w:t xml:space="preserve">roviders to </w:t>
      </w:r>
      <w:r w:rsidR="00652999" w:rsidRPr="003529A4">
        <w:rPr>
          <w:szCs w:val="22"/>
        </w:rPr>
        <w:t xml:space="preserve">have organisation wide systems to </w:t>
      </w:r>
      <w:r w:rsidR="00A404F8" w:rsidRPr="003529A4">
        <w:rPr>
          <w:szCs w:val="22"/>
        </w:rPr>
        <w:t xml:space="preserve">identify, </w:t>
      </w:r>
      <w:r w:rsidR="008F2195" w:rsidRPr="003529A4">
        <w:rPr>
          <w:szCs w:val="22"/>
        </w:rPr>
        <w:t xml:space="preserve">record, </w:t>
      </w:r>
      <w:r w:rsidR="00A404F8" w:rsidRPr="003529A4">
        <w:rPr>
          <w:szCs w:val="22"/>
        </w:rPr>
        <w:t>manage and resolve incidents</w:t>
      </w:r>
      <w:r w:rsidR="00D72549" w:rsidRPr="003529A4">
        <w:rPr>
          <w:szCs w:val="22"/>
        </w:rPr>
        <w:t xml:space="preserve"> and report serious incidents</w:t>
      </w:r>
      <w:r w:rsidR="00A404F8" w:rsidRPr="003529A4">
        <w:rPr>
          <w:szCs w:val="22"/>
        </w:rPr>
        <w:t>.</w:t>
      </w:r>
    </w:p>
    <w:p w:rsidR="00834A56" w:rsidRPr="009F4C0D" w:rsidRDefault="00652999" w:rsidP="00834A56">
      <w:pPr>
        <w:rPr>
          <w:rFonts w:cs="Arial"/>
          <w:szCs w:val="21"/>
        </w:rPr>
      </w:pPr>
      <w:r w:rsidRPr="009F4C0D">
        <w:rPr>
          <w:rFonts w:cs="Arial"/>
          <w:szCs w:val="21"/>
        </w:rPr>
        <w:t xml:space="preserve">Incident management is part of a provider’s management of risks systemically in the organisation, through monitoring outcomes for consumers, seeking feedback and in response, improving their management systems, culture and practices to ensure and sustain improvements and share organisational learning. Incident management is integral </w:t>
      </w:r>
      <w:r w:rsidR="00834A56" w:rsidRPr="009F4C0D">
        <w:rPr>
          <w:rFonts w:cs="Arial"/>
          <w:szCs w:val="21"/>
        </w:rPr>
        <w:t>to continuous improvement, risk management and the delivery of safe and quality care.</w:t>
      </w:r>
    </w:p>
    <w:p w:rsidR="0015239B" w:rsidRPr="009F4C0D" w:rsidRDefault="0015239B" w:rsidP="00834A56">
      <w:pPr>
        <w:rPr>
          <w:rFonts w:cs="Arial"/>
          <w:szCs w:val="21"/>
        </w:rPr>
      </w:pPr>
      <w:r w:rsidRPr="009F4C0D">
        <w:rPr>
          <w:rFonts w:cs="Arial"/>
          <w:szCs w:val="21"/>
        </w:rPr>
        <w:t xml:space="preserve">The measure is complementary to existing accreditation requirements for services to undertake </w:t>
      </w:r>
      <w:r w:rsidR="00FF500B">
        <w:rPr>
          <w:rFonts w:cs="Arial"/>
          <w:szCs w:val="21"/>
        </w:rPr>
        <w:t>self-</w:t>
      </w:r>
      <w:r w:rsidR="00153346" w:rsidRPr="009F4C0D">
        <w:rPr>
          <w:rFonts w:cs="Arial"/>
          <w:szCs w:val="21"/>
        </w:rPr>
        <w:t xml:space="preserve">assessments against the Aged Care Quality Standards and </w:t>
      </w:r>
      <w:r w:rsidRPr="009F4C0D">
        <w:rPr>
          <w:rFonts w:cs="Arial"/>
          <w:szCs w:val="21"/>
        </w:rPr>
        <w:t>have plans for continuous improvement</w:t>
      </w:r>
      <w:r w:rsidR="00ED7BB7" w:rsidRPr="009F4C0D">
        <w:rPr>
          <w:rFonts w:cs="Arial"/>
          <w:szCs w:val="21"/>
        </w:rPr>
        <w:t>,</w:t>
      </w:r>
      <w:r w:rsidRPr="009F4C0D">
        <w:rPr>
          <w:rFonts w:cs="Arial"/>
          <w:szCs w:val="21"/>
        </w:rPr>
        <w:t xml:space="preserve"> including addressing areas of risk and where adverse outcomes for consumers are evident.</w:t>
      </w:r>
    </w:p>
    <w:p w:rsidR="0033256E" w:rsidRPr="009F4C0D" w:rsidRDefault="00A404F8" w:rsidP="00C44E3F">
      <w:pPr>
        <w:rPr>
          <w:szCs w:val="21"/>
        </w:rPr>
      </w:pPr>
      <w:r w:rsidRPr="009F4C0D">
        <w:rPr>
          <w:szCs w:val="21"/>
        </w:rPr>
        <w:t xml:space="preserve">Compliance with the SIRS should be dealt with through an approved provider’s governance arrangements and processes. </w:t>
      </w:r>
      <w:r w:rsidR="0015239B" w:rsidRPr="009F4C0D">
        <w:rPr>
          <w:szCs w:val="21"/>
        </w:rPr>
        <w:t xml:space="preserve">The legislative design will establish provider accountabilities for effective organisation-wide governance systems </w:t>
      </w:r>
      <w:r w:rsidR="00326642" w:rsidRPr="009F4C0D">
        <w:rPr>
          <w:szCs w:val="21"/>
        </w:rPr>
        <w:t xml:space="preserve">for </w:t>
      </w:r>
      <w:r w:rsidR="0015239B" w:rsidRPr="009F4C0D">
        <w:rPr>
          <w:szCs w:val="21"/>
        </w:rPr>
        <w:t xml:space="preserve">incident management and reporting. It will be expected that providers will </w:t>
      </w:r>
      <w:r w:rsidR="00326642" w:rsidRPr="009F4C0D">
        <w:rPr>
          <w:szCs w:val="21"/>
        </w:rPr>
        <w:t>implement and maintain</w:t>
      </w:r>
      <w:r w:rsidR="003529A4" w:rsidRPr="009F4C0D">
        <w:rPr>
          <w:szCs w:val="21"/>
        </w:rPr>
        <w:t xml:space="preserve"> </w:t>
      </w:r>
      <w:r w:rsidR="0033256E" w:rsidRPr="009F4C0D">
        <w:rPr>
          <w:szCs w:val="21"/>
        </w:rPr>
        <w:t>systems and processes to:</w:t>
      </w:r>
    </w:p>
    <w:p w:rsidR="000D4E72" w:rsidRPr="00491313" w:rsidRDefault="0033256E" w:rsidP="00380589">
      <w:pPr>
        <w:pStyle w:val="Bullets1"/>
        <w:ind w:left="426"/>
      </w:pPr>
      <w:r w:rsidRPr="00491313">
        <w:t xml:space="preserve">identify, </w:t>
      </w:r>
      <w:r w:rsidR="00992E9B" w:rsidRPr="00491313">
        <w:t>assess, record</w:t>
      </w:r>
      <w:r w:rsidR="000D4E72" w:rsidRPr="00491313">
        <w:t xml:space="preserve">, </w:t>
      </w:r>
      <w:r w:rsidR="00992E9B" w:rsidRPr="00491313">
        <w:t xml:space="preserve">manage </w:t>
      </w:r>
      <w:r w:rsidR="000D4E72" w:rsidRPr="00491313">
        <w:t>and resolve all incidents;</w:t>
      </w:r>
    </w:p>
    <w:p w:rsidR="000D4E72" w:rsidRPr="00491313" w:rsidRDefault="00992E9B" w:rsidP="00380589">
      <w:pPr>
        <w:pStyle w:val="Bullets1"/>
        <w:ind w:left="426"/>
      </w:pPr>
      <w:r w:rsidRPr="00491313">
        <w:lastRenderedPageBreak/>
        <w:t>report</w:t>
      </w:r>
      <w:r w:rsidR="0033256E" w:rsidRPr="00491313">
        <w:t xml:space="preserve"> </w:t>
      </w:r>
      <w:r w:rsidR="0000001A" w:rsidRPr="00491313">
        <w:t xml:space="preserve">alleged, suspected and actual </w:t>
      </w:r>
      <w:r w:rsidR="000D4E72" w:rsidRPr="00491313">
        <w:t xml:space="preserve">serious </w:t>
      </w:r>
      <w:r w:rsidR="0033256E" w:rsidRPr="00491313">
        <w:t>incidents</w:t>
      </w:r>
      <w:r w:rsidR="000D4E72" w:rsidRPr="00491313">
        <w:t xml:space="preserve"> to the Commission</w:t>
      </w:r>
      <w:r w:rsidR="00B30808">
        <w:t>;</w:t>
      </w:r>
      <w:r w:rsidR="00045DFA" w:rsidRPr="00491313">
        <w:t xml:space="preserve"> </w:t>
      </w:r>
    </w:p>
    <w:p w:rsidR="0033256E" w:rsidRPr="00491313" w:rsidRDefault="000D4E72" w:rsidP="00380589">
      <w:pPr>
        <w:pStyle w:val="Bullets1"/>
        <w:ind w:left="426"/>
      </w:pPr>
      <w:r w:rsidRPr="00491313">
        <w:t>report incidents</w:t>
      </w:r>
      <w:r w:rsidR="00045DFA" w:rsidRPr="00491313">
        <w:t xml:space="preserve"> to police where necessary and notify families and decision makers as required</w:t>
      </w:r>
      <w:r w:rsidR="0033256E" w:rsidRPr="00491313">
        <w:t>;</w:t>
      </w:r>
    </w:p>
    <w:p w:rsidR="0033256E" w:rsidRPr="00491313" w:rsidRDefault="0033256E" w:rsidP="00380589">
      <w:pPr>
        <w:pStyle w:val="Bullets1"/>
        <w:ind w:left="426"/>
      </w:pPr>
      <w:r w:rsidRPr="00491313">
        <w:t>plan</w:t>
      </w:r>
      <w:r w:rsidR="00A01BB2" w:rsidRPr="00491313">
        <w:t xml:space="preserve"> and provide</w:t>
      </w:r>
      <w:r w:rsidRPr="00491313">
        <w:t xml:space="preserve"> the support and assistance to consumer</w:t>
      </w:r>
      <w:r w:rsidR="00D72549" w:rsidRPr="00491313">
        <w:t>s</w:t>
      </w:r>
      <w:r w:rsidRPr="00491313">
        <w:t xml:space="preserve"> affected by an incident (including those subject to allegations) to ensure the consumer’s health, safety and well-being;</w:t>
      </w:r>
    </w:p>
    <w:p w:rsidR="0033256E" w:rsidRPr="00491313" w:rsidRDefault="0033256E" w:rsidP="00380589">
      <w:pPr>
        <w:pStyle w:val="Bullets1"/>
        <w:ind w:left="426"/>
      </w:pPr>
      <w:r w:rsidRPr="00491313">
        <w:t>engage a consumer and others affected by an incident in the management and resolution of the incident, in line with open disclosure principles;</w:t>
      </w:r>
    </w:p>
    <w:p w:rsidR="0033256E" w:rsidRPr="00491313" w:rsidRDefault="0033256E" w:rsidP="00380589">
      <w:pPr>
        <w:pStyle w:val="Bullets1"/>
        <w:ind w:left="426"/>
      </w:pPr>
      <w:r w:rsidRPr="00491313">
        <w:t>conduct an investigation</w:t>
      </w:r>
      <w:r w:rsidR="000D4E72" w:rsidRPr="00491313">
        <w:t xml:space="preserve"> or contribute to an external investigation</w:t>
      </w:r>
      <w:r w:rsidRPr="00491313">
        <w:t xml:space="preserve">; </w:t>
      </w:r>
    </w:p>
    <w:p w:rsidR="00D72549" w:rsidRPr="00491313" w:rsidRDefault="0033256E" w:rsidP="008566CA">
      <w:pPr>
        <w:pStyle w:val="Bullets1"/>
        <w:ind w:left="426"/>
      </w:pPr>
      <w:r w:rsidRPr="00491313">
        <w:t>implement and monitor corrective actions taken</w:t>
      </w:r>
      <w:r w:rsidR="00D72549" w:rsidRPr="00491313">
        <w:t>;</w:t>
      </w:r>
      <w:r w:rsidR="002460D1" w:rsidRPr="00491313">
        <w:t xml:space="preserve"> and</w:t>
      </w:r>
    </w:p>
    <w:p w:rsidR="008566CA" w:rsidRPr="00491313" w:rsidRDefault="00D72549" w:rsidP="008566CA">
      <w:pPr>
        <w:pStyle w:val="Bullets1"/>
        <w:ind w:left="426"/>
      </w:pPr>
      <w:r w:rsidRPr="00491313">
        <w:t xml:space="preserve">use incident data to drive continuous improvement and </w:t>
      </w:r>
      <w:r w:rsidR="00315F49" w:rsidRPr="00491313">
        <w:t>prevent similar incidents from reoccurring</w:t>
      </w:r>
      <w:r w:rsidR="0033256E" w:rsidRPr="00491313">
        <w:t>.</w:t>
      </w:r>
    </w:p>
    <w:p w:rsidR="0033256E" w:rsidRPr="00491313" w:rsidRDefault="0033256E" w:rsidP="00C44E3F">
      <w:pPr>
        <w:pStyle w:val="Heading2"/>
        <w:rPr>
          <w:szCs w:val="22"/>
        </w:rPr>
      </w:pPr>
      <w:bookmarkStart w:id="21" w:name="_Toc17354748"/>
      <w:bookmarkStart w:id="22" w:name="_Toc21590606"/>
      <w:bookmarkStart w:id="23" w:name="_Toc54950022"/>
      <w:r w:rsidRPr="00491313">
        <w:rPr>
          <w:szCs w:val="22"/>
        </w:rPr>
        <w:t>The role of the Aged Care Quality and Safety Commission</w:t>
      </w:r>
      <w:bookmarkEnd w:id="21"/>
      <w:bookmarkEnd w:id="22"/>
      <w:bookmarkEnd w:id="23"/>
    </w:p>
    <w:p w:rsidR="006C1DB3" w:rsidRPr="00491313" w:rsidRDefault="006C1DB3" w:rsidP="00C44E3F">
      <w:pPr>
        <w:rPr>
          <w:szCs w:val="22"/>
        </w:rPr>
      </w:pPr>
      <w:r w:rsidRPr="00491313">
        <w:rPr>
          <w:szCs w:val="22"/>
        </w:rPr>
        <w:t>The Commission is the national end-to-end regulator of aged care services, and the primary point of contact for consumers and providers in relation to quality and safety.</w:t>
      </w:r>
    </w:p>
    <w:p w:rsidR="0033256E" w:rsidRPr="00491313" w:rsidRDefault="005E5EE9" w:rsidP="00C44E3F">
      <w:pPr>
        <w:rPr>
          <w:szCs w:val="22"/>
        </w:rPr>
      </w:pPr>
      <w:r w:rsidRPr="00491313">
        <w:rPr>
          <w:szCs w:val="22"/>
        </w:rPr>
        <w:t>T</w:t>
      </w:r>
      <w:r w:rsidR="0033256E" w:rsidRPr="00491313">
        <w:rPr>
          <w:szCs w:val="22"/>
        </w:rPr>
        <w:t xml:space="preserve">he </w:t>
      </w:r>
      <w:r w:rsidR="005E34D2" w:rsidRPr="00491313">
        <w:rPr>
          <w:szCs w:val="22"/>
        </w:rPr>
        <w:t xml:space="preserve">Commission will </w:t>
      </w:r>
      <w:r w:rsidR="003529A4" w:rsidRPr="003529A4">
        <w:rPr>
          <w:szCs w:val="22"/>
        </w:rPr>
        <w:t>regulate</w:t>
      </w:r>
      <w:r w:rsidR="005E34D2" w:rsidRPr="00491313">
        <w:rPr>
          <w:szCs w:val="22"/>
        </w:rPr>
        <w:t xml:space="preserve"> the </w:t>
      </w:r>
      <w:r w:rsidR="0033256E" w:rsidRPr="00491313">
        <w:rPr>
          <w:szCs w:val="22"/>
        </w:rPr>
        <w:t xml:space="preserve">SIRS in the context of </w:t>
      </w:r>
      <w:r w:rsidR="00DA6927" w:rsidRPr="00491313">
        <w:rPr>
          <w:szCs w:val="22"/>
        </w:rPr>
        <w:t xml:space="preserve">a </w:t>
      </w:r>
      <w:r w:rsidR="005858F7" w:rsidRPr="00491313">
        <w:rPr>
          <w:szCs w:val="22"/>
        </w:rPr>
        <w:t xml:space="preserve">responsive </w:t>
      </w:r>
      <w:r w:rsidR="0033256E" w:rsidRPr="00491313">
        <w:rPr>
          <w:szCs w:val="22"/>
        </w:rPr>
        <w:t>risk-based, end-to-end quality a</w:t>
      </w:r>
      <w:r w:rsidR="00DA6927" w:rsidRPr="00491313">
        <w:rPr>
          <w:szCs w:val="22"/>
        </w:rPr>
        <w:t>nd safety regulatory framework.</w:t>
      </w:r>
      <w:r w:rsidR="00D40375" w:rsidRPr="00491313">
        <w:rPr>
          <w:szCs w:val="22"/>
        </w:rPr>
        <w:t xml:space="preserve"> </w:t>
      </w:r>
    </w:p>
    <w:p w:rsidR="0033256E" w:rsidRPr="00491313" w:rsidRDefault="0033256E" w:rsidP="00C44E3F">
      <w:pPr>
        <w:spacing w:after="120"/>
        <w:rPr>
          <w:szCs w:val="22"/>
        </w:rPr>
      </w:pPr>
      <w:r w:rsidRPr="00491313">
        <w:rPr>
          <w:szCs w:val="22"/>
        </w:rPr>
        <w:t>The Commission will:</w:t>
      </w:r>
    </w:p>
    <w:p w:rsidR="005E5EE9" w:rsidRPr="00491313" w:rsidRDefault="005E5EE9" w:rsidP="00380589">
      <w:pPr>
        <w:pStyle w:val="Bullets1"/>
        <w:ind w:left="426"/>
      </w:pPr>
      <w:r w:rsidRPr="00491313">
        <w:t>assess and respond to a provider’s compliance with incident management obligations;</w:t>
      </w:r>
    </w:p>
    <w:p w:rsidR="0033256E" w:rsidRPr="00491313" w:rsidRDefault="0033256E" w:rsidP="00380589">
      <w:pPr>
        <w:pStyle w:val="Bullets1"/>
        <w:ind w:left="426"/>
      </w:pPr>
      <w:r w:rsidRPr="00491313">
        <w:lastRenderedPageBreak/>
        <w:t xml:space="preserve">receive reports about serious incidents, apply risk-based monitoring of how providers investigate and </w:t>
      </w:r>
      <w:r w:rsidR="00053504" w:rsidRPr="00491313">
        <w:t>respond to</w:t>
      </w:r>
      <w:r w:rsidRPr="00491313">
        <w:t xml:space="preserve"> reportable incidents, including </w:t>
      </w:r>
      <w:r w:rsidR="00053504" w:rsidRPr="00491313">
        <w:t>where the Commission is not satisfied with a provider</w:t>
      </w:r>
      <w:r w:rsidR="005E5EE9" w:rsidRPr="00491313">
        <w:t>’</w:t>
      </w:r>
      <w:r w:rsidR="00053504" w:rsidRPr="00491313">
        <w:t>s response, re</w:t>
      </w:r>
      <w:r w:rsidR="00FF72C9" w:rsidRPr="00491313">
        <w:t xml:space="preserve">quiring further responses </w:t>
      </w:r>
      <w:r w:rsidR="00DA6927" w:rsidRPr="00491313">
        <w:t>to be taken;</w:t>
      </w:r>
    </w:p>
    <w:p w:rsidR="00153346" w:rsidRDefault="00FF72C9" w:rsidP="00A01BB2">
      <w:pPr>
        <w:pStyle w:val="Bullets1"/>
        <w:ind w:left="426"/>
      </w:pPr>
      <w:r w:rsidRPr="00491313">
        <w:t xml:space="preserve">take a </w:t>
      </w:r>
      <w:r w:rsidR="0033256E" w:rsidRPr="00491313">
        <w:t>proportionate</w:t>
      </w:r>
      <w:r w:rsidRPr="00491313">
        <w:t xml:space="preserve"> and</w:t>
      </w:r>
      <w:r w:rsidR="0033256E" w:rsidRPr="00491313">
        <w:t xml:space="preserve"> risk-based approach to</w:t>
      </w:r>
      <w:r w:rsidRPr="00491313">
        <w:t xml:space="preserve"> responding to</w:t>
      </w:r>
      <w:r w:rsidR="003529A4">
        <w:t xml:space="preserve"> </w:t>
      </w:r>
      <w:r w:rsidR="00153346">
        <w:t>incidents using the full range of regulatory treatments available</w:t>
      </w:r>
      <w:r w:rsidRPr="00491313">
        <w:t xml:space="preserve">; </w:t>
      </w:r>
    </w:p>
    <w:p w:rsidR="00153346" w:rsidRDefault="00153346" w:rsidP="00A01BB2">
      <w:pPr>
        <w:pStyle w:val="Bullets1"/>
        <w:ind w:left="426"/>
      </w:pPr>
      <w:r>
        <w:t>make use of the high volume of intelligence to support risk profiling and identification of emerging trends in the sector</w:t>
      </w:r>
      <w:r w:rsidR="00FF500B">
        <w:t>;</w:t>
      </w:r>
    </w:p>
    <w:p w:rsidR="00153346" w:rsidRDefault="00153346" w:rsidP="00A01BB2">
      <w:pPr>
        <w:pStyle w:val="Bullets1"/>
        <w:ind w:left="426"/>
      </w:pPr>
      <w:r>
        <w:t>provide feedback to the sector to support understanding of adverse events, support continuous improvement by providers in the quality and safety of care</w:t>
      </w:r>
      <w:r w:rsidR="00FF500B">
        <w:t>;</w:t>
      </w:r>
    </w:p>
    <w:p w:rsidR="00FF72C9" w:rsidRPr="00491313" w:rsidRDefault="00153346" w:rsidP="00A01BB2">
      <w:pPr>
        <w:pStyle w:val="Bullets1"/>
        <w:ind w:left="426"/>
      </w:pPr>
      <w:r>
        <w:t>enhance transparency of quality and safety performance by throu</w:t>
      </w:r>
      <w:r w:rsidR="00FF500B">
        <w:t>gh sector performance reporting; and</w:t>
      </w:r>
    </w:p>
    <w:p w:rsidR="009F4C0D" w:rsidRPr="00700D2A" w:rsidRDefault="00FF72C9" w:rsidP="00700D2A">
      <w:pPr>
        <w:pStyle w:val="Bullets1"/>
        <w:ind w:left="426"/>
      </w:pPr>
      <w:r w:rsidRPr="00491313">
        <w:t>identify improvements to the operation of the SIRS to support the objectives of the Commission</w:t>
      </w:r>
      <w:r w:rsidR="0033256E" w:rsidRPr="00491313">
        <w:t>.</w:t>
      </w:r>
    </w:p>
    <w:p w:rsidR="0033256E" w:rsidRPr="00491313" w:rsidRDefault="0033256E" w:rsidP="009F4C0D">
      <w:pPr>
        <w:spacing w:before="0" w:after="0" w:line="240" w:lineRule="auto"/>
        <w:rPr>
          <w:szCs w:val="22"/>
        </w:rPr>
      </w:pPr>
      <w:r w:rsidRPr="00491313">
        <w:rPr>
          <w:szCs w:val="22"/>
        </w:rPr>
        <w:t xml:space="preserve">The </w:t>
      </w:r>
      <w:r w:rsidR="00742751" w:rsidRPr="00491313">
        <w:rPr>
          <w:szCs w:val="22"/>
        </w:rPr>
        <w:t>SIRS</w:t>
      </w:r>
      <w:r w:rsidRPr="00491313">
        <w:rPr>
          <w:szCs w:val="22"/>
        </w:rPr>
        <w:t xml:space="preserve"> will </w:t>
      </w:r>
      <w:r w:rsidR="00EB1FE1">
        <w:rPr>
          <w:szCs w:val="22"/>
        </w:rPr>
        <w:t xml:space="preserve">support an integrated regulatory approach to better protect consumers and will </w:t>
      </w:r>
      <w:r w:rsidRPr="00491313">
        <w:rPr>
          <w:szCs w:val="22"/>
        </w:rPr>
        <w:t>be compl</w:t>
      </w:r>
      <w:r w:rsidR="00A30CD5" w:rsidRPr="00491313">
        <w:rPr>
          <w:szCs w:val="22"/>
        </w:rPr>
        <w:t>e</w:t>
      </w:r>
      <w:r w:rsidRPr="00491313">
        <w:rPr>
          <w:szCs w:val="22"/>
        </w:rPr>
        <w:t>mentary to and supported by the Commission’s current functions namely:</w:t>
      </w:r>
    </w:p>
    <w:p w:rsidR="0033256E" w:rsidRPr="00491313" w:rsidRDefault="00DA6927" w:rsidP="00380589">
      <w:pPr>
        <w:pStyle w:val="Bullets1"/>
        <w:ind w:left="426" w:hanging="425"/>
        <w:rPr>
          <w:b/>
        </w:rPr>
      </w:pPr>
      <w:r w:rsidRPr="00491313">
        <w:rPr>
          <w:b/>
        </w:rPr>
        <w:t>Education</w:t>
      </w:r>
    </w:p>
    <w:p w:rsidR="00EB1FE1" w:rsidRPr="00491313" w:rsidRDefault="0033256E" w:rsidP="00380589">
      <w:pPr>
        <w:ind w:left="426"/>
      </w:pPr>
      <w:r w:rsidRPr="00491313">
        <w:t>Such as information, resources and education about matters relating to serious incidents, best practice risk management systems and how providers should</w:t>
      </w:r>
      <w:r w:rsidR="00FF72C9" w:rsidRPr="00491313">
        <w:t xml:space="preserve"> prevent,</w:t>
      </w:r>
      <w:r w:rsidRPr="00491313">
        <w:t xml:space="preserve"> identify, manage and resolve incidents.</w:t>
      </w:r>
      <w:r w:rsidR="003529A4">
        <w:t xml:space="preserve"> </w:t>
      </w:r>
      <w:r w:rsidR="00EB1FE1">
        <w:t>Use trend analysis to share information and resources about risk and promote providers’ understanding of areas for improvement.</w:t>
      </w:r>
    </w:p>
    <w:p w:rsidR="0033256E" w:rsidRPr="00491313" w:rsidRDefault="00DA6927" w:rsidP="00380589">
      <w:pPr>
        <w:pStyle w:val="Bullets1"/>
        <w:ind w:left="426" w:hanging="425"/>
        <w:rPr>
          <w:b/>
        </w:rPr>
      </w:pPr>
      <w:r w:rsidRPr="00491313">
        <w:rPr>
          <w:b/>
        </w:rPr>
        <w:lastRenderedPageBreak/>
        <w:t>Regulatory functions</w:t>
      </w:r>
    </w:p>
    <w:p w:rsidR="0033256E" w:rsidRPr="00491313" w:rsidRDefault="00153346" w:rsidP="00380589">
      <w:pPr>
        <w:ind w:left="426"/>
      </w:pPr>
      <w:r>
        <w:t xml:space="preserve">Enhance regulatory intelligence on the performance of providers to support targeting of regulatory activities. </w:t>
      </w:r>
      <w:r w:rsidR="0033256E" w:rsidRPr="00491313">
        <w:t xml:space="preserve">Assess and monitor </w:t>
      </w:r>
      <w:r w:rsidR="00DA6927" w:rsidRPr="00491313">
        <w:t>providers</w:t>
      </w:r>
      <w:r w:rsidR="003157FA" w:rsidRPr="00491313">
        <w:t>’</w:t>
      </w:r>
      <w:r w:rsidR="00DA6927" w:rsidRPr="00491313">
        <w:t xml:space="preserve"> performance with </w:t>
      </w:r>
      <w:r w:rsidR="0033256E" w:rsidRPr="00491313">
        <w:t xml:space="preserve">relevant requirements </w:t>
      </w:r>
      <w:r w:rsidR="00B30808">
        <w:t xml:space="preserve">under aged care law and </w:t>
      </w:r>
      <w:r w:rsidR="00DA6927" w:rsidRPr="00491313">
        <w:t xml:space="preserve">the </w:t>
      </w:r>
      <w:r w:rsidR="0033256E" w:rsidRPr="00491313">
        <w:t>Standards such as risk management, open disclosure, clinical governance and the providers’ systems and practices in place t</w:t>
      </w:r>
      <w:r w:rsidR="00DA6927" w:rsidRPr="00491313">
        <w:t xml:space="preserve">o prevent </w:t>
      </w:r>
      <w:r w:rsidR="00FF72C9" w:rsidRPr="00491313">
        <w:t xml:space="preserve">and respond to </w:t>
      </w:r>
      <w:r w:rsidR="00DA6927" w:rsidRPr="00491313">
        <w:t>reportable incidents.</w:t>
      </w:r>
    </w:p>
    <w:p w:rsidR="0033256E" w:rsidRPr="00491313" w:rsidRDefault="0033256E" w:rsidP="00380589">
      <w:pPr>
        <w:pStyle w:val="Bullets1"/>
        <w:ind w:left="426" w:hanging="425"/>
        <w:rPr>
          <w:b/>
        </w:rPr>
      </w:pPr>
      <w:r w:rsidRPr="00491313">
        <w:rPr>
          <w:b/>
        </w:rPr>
        <w:t xml:space="preserve">Compliance </w:t>
      </w:r>
    </w:p>
    <w:p w:rsidR="0033256E" w:rsidRPr="00491313" w:rsidRDefault="0033256E" w:rsidP="00380589">
      <w:pPr>
        <w:ind w:left="426"/>
      </w:pPr>
      <w:r w:rsidRPr="00491313">
        <w:t>Apply a range of regulatory responses based on risk to consumers and the adequacy of the provider’s own response to an incident.</w:t>
      </w:r>
    </w:p>
    <w:p w:rsidR="0033256E" w:rsidRPr="00491313" w:rsidRDefault="0033256E" w:rsidP="00380589">
      <w:pPr>
        <w:pStyle w:val="Bullets1"/>
        <w:ind w:left="426"/>
        <w:rPr>
          <w:b/>
        </w:rPr>
      </w:pPr>
      <w:r w:rsidRPr="00491313">
        <w:rPr>
          <w:b/>
        </w:rPr>
        <w:t>Publication of performance information</w:t>
      </w:r>
    </w:p>
    <w:p w:rsidR="0033256E" w:rsidRPr="00491313" w:rsidRDefault="0033256E" w:rsidP="00380589">
      <w:pPr>
        <w:ind w:left="426"/>
      </w:pPr>
      <w:r w:rsidRPr="00491313">
        <w:t>Publish sector trends and key risks to support systematic quality improvement and learning and capacity building in the sector and transparency of performance.</w:t>
      </w:r>
    </w:p>
    <w:p w:rsidR="0033256E" w:rsidRPr="00491313" w:rsidRDefault="00DA6927" w:rsidP="00380589">
      <w:pPr>
        <w:pStyle w:val="Bullets1"/>
        <w:ind w:left="426" w:hanging="425"/>
        <w:rPr>
          <w:b/>
        </w:rPr>
      </w:pPr>
      <w:r w:rsidRPr="00491313">
        <w:rPr>
          <w:b/>
        </w:rPr>
        <w:t>Complaints</w:t>
      </w:r>
    </w:p>
    <w:p w:rsidR="0033256E" w:rsidRPr="00491313" w:rsidRDefault="0033256E" w:rsidP="00380589">
      <w:pPr>
        <w:ind w:left="426"/>
      </w:pPr>
      <w:r w:rsidRPr="00491313">
        <w:t xml:space="preserve">Any person may make a </w:t>
      </w:r>
      <w:r w:rsidR="00A30CD5" w:rsidRPr="00491313">
        <w:t>complaint</w:t>
      </w:r>
      <w:r w:rsidRPr="00491313">
        <w:t xml:space="preserve"> to the Commission that goes to matters that may</w:t>
      </w:r>
      <w:r w:rsidR="00A30CD5" w:rsidRPr="00491313">
        <w:t xml:space="preserve"> </w:t>
      </w:r>
      <w:r w:rsidRPr="00491313">
        <w:t>be considered serious incidents. The Commission will take appropriate action to follow up provider responsibilities using its range of regulatory responses.</w:t>
      </w:r>
    </w:p>
    <w:p w:rsidR="005D5CD5" w:rsidRPr="00491313" w:rsidRDefault="005D5CD5" w:rsidP="005D5CD5">
      <w:pPr>
        <w:pStyle w:val="Heading1"/>
      </w:pPr>
      <w:bookmarkStart w:id="24" w:name="_Toc21590607"/>
      <w:bookmarkStart w:id="25" w:name="_Toc54950023"/>
      <w:r w:rsidRPr="00491313">
        <w:lastRenderedPageBreak/>
        <w:t>Definition of a ‘serious incident’</w:t>
      </w:r>
      <w:bookmarkEnd w:id="24"/>
      <w:r w:rsidR="003E7B22" w:rsidRPr="00491313">
        <w:t xml:space="preserve"> for mandatory reporting</w:t>
      </w:r>
      <w:bookmarkEnd w:id="25"/>
    </w:p>
    <w:p w:rsidR="00A117AE" w:rsidRPr="00491313" w:rsidRDefault="009C5F61" w:rsidP="00A117AE">
      <w:pPr>
        <w:rPr>
          <w:szCs w:val="22"/>
        </w:rPr>
      </w:pPr>
      <w:bookmarkStart w:id="26" w:name="_Toc518909318"/>
      <w:r w:rsidRPr="00491313">
        <w:rPr>
          <w:szCs w:val="22"/>
        </w:rPr>
        <w:t xml:space="preserve">The SIRS </w:t>
      </w:r>
      <w:r w:rsidR="00742751" w:rsidRPr="00491313">
        <w:rPr>
          <w:szCs w:val="22"/>
        </w:rPr>
        <w:t xml:space="preserve">will </w:t>
      </w:r>
      <w:r w:rsidRPr="00491313">
        <w:rPr>
          <w:szCs w:val="22"/>
        </w:rPr>
        <w:t xml:space="preserve">incorporate a number of existing definitions and protections operative in relation to the current provisions. </w:t>
      </w:r>
      <w:r w:rsidR="002F2E5A" w:rsidRPr="00491313">
        <w:rPr>
          <w:szCs w:val="22"/>
        </w:rPr>
        <w:t>T</w:t>
      </w:r>
      <w:r w:rsidR="00C13111" w:rsidRPr="00491313">
        <w:rPr>
          <w:szCs w:val="22"/>
        </w:rPr>
        <w:t xml:space="preserve">he </w:t>
      </w:r>
      <w:r w:rsidR="002F2E5A" w:rsidRPr="00491313">
        <w:t xml:space="preserve">definition </w:t>
      </w:r>
      <w:r w:rsidR="00C56212" w:rsidRPr="00491313">
        <w:rPr>
          <w:szCs w:val="22"/>
        </w:rPr>
        <w:t xml:space="preserve">of a staff member </w:t>
      </w:r>
      <w:r w:rsidR="002F2E5A" w:rsidRPr="00491313">
        <w:t xml:space="preserve">in </w:t>
      </w:r>
      <w:r w:rsidR="00C56212" w:rsidRPr="00491313">
        <w:t xml:space="preserve">the </w:t>
      </w:r>
      <w:hyperlink r:id="rId14" w:history="1">
        <w:r w:rsidR="005E34D2" w:rsidRPr="00491313">
          <w:rPr>
            <w:rStyle w:val="Hyperlink"/>
            <w:szCs w:val="22"/>
          </w:rPr>
          <w:t>Aged Care</w:t>
        </w:r>
        <w:r w:rsidR="00C13111" w:rsidRPr="00491313">
          <w:rPr>
            <w:rStyle w:val="Hyperlink"/>
            <w:szCs w:val="22"/>
          </w:rPr>
          <w:t xml:space="preserve"> Act</w:t>
        </w:r>
        <w:r w:rsidR="005E34D2" w:rsidRPr="00491313">
          <w:rPr>
            <w:rStyle w:val="Hyperlink"/>
            <w:szCs w:val="22"/>
          </w:rPr>
          <w:t xml:space="preserve"> 1997</w:t>
        </w:r>
      </w:hyperlink>
      <w:r w:rsidR="00C13111" w:rsidRPr="00491313">
        <w:rPr>
          <w:szCs w:val="22"/>
        </w:rPr>
        <w:t xml:space="preserve"> will be used for the SIRS.</w:t>
      </w:r>
    </w:p>
    <w:p w:rsidR="00A117AE" w:rsidRPr="00491313" w:rsidRDefault="00A117AE" w:rsidP="00A117AE">
      <w:pPr>
        <w:rPr>
          <w:szCs w:val="22"/>
        </w:rPr>
      </w:pPr>
      <w:r w:rsidRPr="00491313">
        <w:rPr>
          <w:szCs w:val="22"/>
        </w:rPr>
        <w:t>A serious incident is an alleged, suspected or actual occurrence o</w:t>
      </w:r>
      <w:r w:rsidR="005F06E5" w:rsidRPr="00491313">
        <w:rPr>
          <w:szCs w:val="22"/>
        </w:rPr>
        <w:t xml:space="preserve">f the following categories of incident, where the </w:t>
      </w:r>
      <w:r w:rsidR="00CE7216" w:rsidRPr="00491313">
        <w:rPr>
          <w:szCs w:val="22"/>
        </w:rPr>
        <w:t xml:space="preserve">person affected by </w:t>
      </w:r>
      <w:r w:rsidR="00B30808">
        <w:rPr>
          <w:szCs w:val="22"/>
        </w:rPr>
        <w:t>the</w:t>
      </w:r>
      <w:r w:rsidR="00CE7216" w:rsidRPr="00491313">
        <w:rPr>
          <w:szCs w:val="22"/>
        </w:rPr>
        <w:t xml:space="preserve"> incident</w:t>
      </w:r>
      <w:r w:rsidR="005F06E5" w:rsidRPr="00491313">
        <w:rPr>
          <w:szCs w:val="22"/>
        </w:rPr>
        <w:t xml:space="preserve"> is a </w:t>
      </w:r>
      <w:r w:rsidR="005047FA" w:rsidRPr="00491313">
        <w:rPr>
          <w:szCs w:val="22"/>
        </w:rPr>
        <w:t xml:space="preserve">consumer in </w:t>
      </w:r>
      <w:r w:rsidR="005F06E5" w:rsidRPr="00491313">
        <w:rPr>
          <w:szCs w:val="22"/>
        </w:rPr>
        <w:t>residential aged care.</w:t>
      </w:r>
      <w:r w:rsidR="003E7B22" w:rsidRPr="00491313">
        <w:rPr>
          <w:szCs w:val="22"/>
        </w:rPr>
        <w:t xml:space="preserve"> These incidents must be reported to the Commission.</w:t>
      </w:r>
    </w:p>
    <w:p w:rsidR="003C0FA4" w:rsidRPr="00491313" w:rsidRDefault="0066310D" w:rsidP="00A117AE">
      <w:pPr>
        <w:rPr>
          <w:szCs w:val="22"/>
        </w:rPr>
      </w:pPr>
      <w:r w:rsidRPr="00491313">
        <w:rPr>
          <w:szCs w:val="22"/>
        </w:rPr>
        <w:t>I</w:t>
      </w:r>
      <w:r w:rsidR="003C0FA4" w:rsidRPr="00491313">
        <w:rPr>
          <w:szCs w:val="22"/>
        </w:rPr>
        <w:t xml:space="preserve">ncidents where an aged care consumer is the </w:t>
      </w:r>
      <w:r w:rsidR="00380073" w:rsidRPr="00491313">
        <w:rPr>
          <w:szCs w:val="22"/>
        </w:rPr>
        <w:t>person who commits an incident</w:t>
      </w:r>
      <w:r w:rsidR="003C0FA4" w:rsidRPr="00491313">
        <w:rPr>
          <w:szCs w:val="22"/>
        </w:rPr>
        <w:t xml:space="preserve"> and the </w:t>
      </w:r>
      <w:r w:rsidR="00CE7216" w:rsidRPr="00491313">
        <w:rPr>
          <w:szCs w:val="22"/>
        </w:rPr>
        <w:t>person affected by an incident</w:t>
      </w:r>
      <w:r w:rsidR="003C0FA4" w:rsidRPr="00491313">
        <w:rPr>
          <w:szCs w:val="22"/>
        </w:rPr>
        <w:t xml:space="preserve"> is a staff member or visitor are not included in the</w:t>
      </w:r>
      <w:r w:rsidR="003E7B22" w:rsidRPr="00491313">
        <w:rPr>
          <w:szCs w:val="22"/>
        </w:rPr>
        <w:t xml:space="preserve"> serious incident</w:t>
      </w:r>
      <w:r w:rsidR="003C0FA4" w:rsidRPr="00491313">
        <w:rPr>
          <w:szCs w:val="22"/>
        </w:rPr>
        <w:t xml:space="preserve"> definition </w:t>
      </w:r>
      <w:r w:rsidR="003E7B22" w:rsidRPr="00491313">
        <w:rPr>
          <w:szCs w:val="22"/>
        </w:rPr>
        <w:t>for mandatory reporting</w:t>
      </w:r>
      <w:r w:rsidRPr="00491313">
        <w:rPr>
          <w:szCs w:val="22"/>
        </w:rPr>
        <w:t xml:space="preserve">. These </w:t>
      </w:r>
      <w:r w:rsidR="003C0FA4" w:rsidRPr="00491313">
        <w:rPr>
          <w:szCs w:val="22"/>
        </w:rPr>
        <w:t xml:space="preserve">incidents </w:t>
      </w:r>
      <w:r w:rsidRPr="00491313">
        <w:rPr>
          <w:szCs w:val="22"/>
        </w:rPr>
        <w:t xml:space="preserve">will be addressed (identified, recorded, managed and resolved) in line with </w:t>
      </w:r>
      <w:r w:rsidR="00FC5F69" w:rsidRPr="00491313">
        <w:rPr>
          <w:szCs w:val="22"/>
        </w:rPr>
        <w:t>a provider’s</w:t>
      </w:r>
      <w:r w:rsidRPr="00491313">
        <w:rPr>
          <w:szCs w:val="22"/>
        </w:rPr>
        <w:t xml:space="preserve"> incident management </w:t>
      </w:r>
      <w:r w:rsidR="00FC5F69" w:rsidRPr="00491313">
        <w:rPr>
          <w:szCs w:val="22"/>
        </w:rPr>
        <w:t>arrangements</w:t>
      </w:r>
      <w:r w:rsidR="003C0FA4" w:rsidRPr="00491313">
        <w:rPr>
          <w:szCs w:val="22"/>
        </w:rPr>
        <w:t>.</w:t>
      </w:r>
    </w:p>
    <w:p w:rsidR="00326642" w:rsidRPr="00491313" w:rsidRDefault="00326642" w:rsidP="00A117AE">
      <w:pPr>
        <w:rPr>
          <w:szCs w:val="22"/>
        </w:rPr>
      </w:pPr>
      <w:r w:rsidRPr="00491313">
        <w:t>The definitions will be</w:t>
      </w:r>
      <w:r w:rsidR="000B70A8">
        <w:t xml:space="preserve"> subject</w:t>
      </w:r>
      <w:r w:rsidRPr="00491313">
        <w:t xml:space="preserve"> to any legal issues identified as part of the legislative drafting process. </w:t>
      </w:r>
      <w:r w:rsidRPr="00F313A0">
        <w:t>Some matters may be captured in primary legislation, with others in associated rules (subordinate legislation).</w:t>
      </w:r>
    </w:p>
    <w:p w:rsidR="0033256E" w:rsidRPr="00573840" w:rsidRDefault="00FF72C9" w:rsidP="00700D2A">
      <w:pPr>
        <w:pStyle w:val="Heading2"/>
      </w:pPr>
      <w:bookmarkStart w:id="27" w:name="_Toc21590611"/>
      <w:bookmarkStart w:id="28" w:name="_Toc54950024"/>
      <w:r w:rsidRPr="00573840">
        <w:t>U</w:t>
      </w:r>
      <w:r w:rsidR="005D5CD5" w:rsidRPr="00573840">
        <w:t>nreasonable use of force</w:t>
      </w:r>
      <w:bookmarkEnd w:id="27"/>
      <w:bookmarkEnd w:id="28"/>
    </w:p>
    <w:p w:rsidR="00550DEC" w:rsidRPr="00491313" w:rsidRDefault="00FF72C9" w:rsidP="00550DEC">
      <w:pPr>
        <w:spacing w:before="240"/>
        <w:rPr>
          <w:szCs w:val="22"/>
        </w:rPr>
      </w:pPr>
      <w:r w:rsidRPr="00491313">
        <w:rPr>
          <w:szCs w:val="22"/>
        </w:rPr>
        <w:t>The definition of</w:t>
      </w:r>
      <w:r w:rsidR="00550DEC" w:rsidRPr="00491313">
        <w:rPr>
          <w:szCs w:val="22"/>
        </w:rPr>
        <w:t xml:space="preserve"> unreasonable use of force will be:</w:t>
      </w:r>
    </w:p>
    <w:p w:rsidR="008566CA" w:rsidRPr="00491313" w:rsidRDefault="00C6337C" w:rsidP="008566CA">
      <w:pPr>
        <w:pStyle w:val="Quote"/>
        <w:ind w:right="992"/>
      </w:pPr>
      <w:r w:rsidRPr="00491313">
        <w:rPr>
          <w:bCs/>
        </w:rPr>
        <w:t>U</w:t>
      </w:r>
      <w:r w:rsidR="0033256E" w:rsidRPr="00491313">
        <w:rPr>
          <w:bCs/>
        </w:rPr>
        <w:t>nreasonable use of force</w:t>
      </w:r>
      <w:r w:rsidR="0033256E" w:rsidRPr="00491313">
        <w:rPr>
          <w:b/>
          <w:bCs/>
        </w:rPr>
        <w:t xml:space="preserve"> </w:t>
      </w:r>
      <w:r w:rsidR="0033256E" w:rsidRPr="00491313">
        <w:t xml:space="preserve">on a </w:t>
      </w:r>
      <w:r w:rsidR="00A01BB2" w:rsidRPr="00491313">
        <w:t>consumer</w:t>
      </w:r>
      <w:r w:rsidR="0033256E" w:rsidRPr="00491313">
        <w:t xml:space="preserve">, ranging from deliberate and violent physical attacks on </w:t>
      </w:r>
      <w:r w:rsidR="00A01BB2" w:rsidRPr="00491313">
        <w:t>consumer</w:t>
      </w:r>
      <w:r w:rsidR="0033256E" w:rsidRPr="00491313">
        <w:t>s</w:t>
      </w:r>
      <w:r w:rsidR="00A0213D" w:rsidRPr="00491313">
        <w:t>,</w:t>
      </w:r>
      <w:r w:rsidR="0033256E" w:rsidRPr="00491313">
        <w:t xml:space="preserve"> to the use of unwarranted physical force</w:t>
      </w:r>
      <w:r w:rsidR="008566CA" w:rsidRPr="00491313">
        <w:t>.</w:t>
      </w:r>
    </w:p>
    <w:p w:rsidR="00F21DDF" w:rsidRPr="00491313" w:rsidRDefault="000738A2" w:rsidP="00F21DDF">
      <w:pPr>
        <w:rPr>
          <w:szCs w:val="22"/>
        </w:rPr>
      </w:pPr>
      <w:r w:rsidRPr="00491313">
        <w:rPr>
          <w:szCs w:val="22"/>
        </w:rPr>
        <w:t xml:space="preserve">The current definition of unreasonable use of force will be used for </w:t>
      </w:r>
      <w:r w:rsidR="0066310D" w:rsidRPr="00491313">
        <w:rPr>
          <w:szCs w:val="22"/>
        </w:rPr>
        <w:t>the</w:t>
      </w:r>
      <w:r w:rsidRPr="00491313">
        <w:rPr>
          <w:szCs w:val="22"/>
        </w:rPr>
        <w:t xml:space="preserve"> SIRS and this will be expanded to remove the current reporting exemption for consumers with an assessed cognitive impairment.</w:t>
      </w:r>
    </w:p>
    <w:p w:rsidR="00AD160D" w:rsidRPr="00491313" w:rsidRDefault="00AD160D" w:rsidP="00AD160D">
      <w:pPr>
        <w:rPr>
          <w:szCs w:val="22"/>
        </w:rPr>
      </w:pPr>
      <w:r w:rsidRPr="00491313">
        <w:rPr>
          <w:szCs w:val="22"/>
        </w:rPr>
        <w:t>This category of serious incidents does not include touching an aged care consumer to attract their attention, to guide them, or to comfort them if they are distressed.</w:t>
      </w:r>
    </w:p>
    <w:tbl>
      <w:tblPr>
        <w:tblStyle w:val="TableGrid"/>
        <w:tblW w:w="0" w:type="auto"/>
        <w:tblLook w:val="04A0" w:firstRow="1" w:lastRow="0" w:firstColumn="1" w:lastColumn="0" w:noHBand="0" w:noVBand="1"/>
        <w:tblCaption w:val="Unreasonable use of force"/>
        <w:tblDescription w:val="The header row has column titles of the person who commits an incident, the person affected by an incident and examples"/>
      </w:tblPr>
      <w:tblGrid>
        <w:gridCol w:w="2268"/>
        <w:gridCol w:w="1842"/>
        <w:gridCol w:w="4249"/>
      </w:tblGrid>
      <w:tr w:rsidR="000738A2" w:rsidRPr="00491313" w:rsidTr="00D50259">
        <w:trPr>
          <w:tblHeader/>
        </w:trPr>
        <w:tc>
          <w:tcPr>
            <w:tcW w:w="2268" w:type="dxa"/>
            <w:shd w:val="clear" w:color="auto" w:fill="3F4A75"/>
          </w:tcPr>
          <w:p w:rsidR="000738A2" w:rsidRPr="00491313" w:rsidRDefault="00CE7216" w:rsidP="000738A2">
            <w:pPr>
              <w:spacing w:before="0" w:after="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who commits an incident</w:t>
            </w:r>
          </w:p>
        </w:tc>
        <w:tc>
          <w:tcPr>
            <w:tcW w:w="1842" w:type="dxa"/>
            <w:shd w:val="clear" w:color="auto" w:fill="3F4A75"/>
          </w:tcPr>
          <w:p w:rsidR="000738A2" w:rsidRPr="00491313" w:rsidRDefault="00CE7216" w:rsidP="000738A2">
            <w:pPr>
              <w:spacing w:before="0" w:after="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4249" w:type="dxa"/>
            <w:shd w:val="clear" w:color="auto" w:fill="3F4A75"/>
          </w:tcPr>
          <w:p w:rsidR="000738A2" w:rsidRPr="00491313" w:rsidRDefault="000738A2" w:rsidP="000738A2">
            <w:pPr>
              <w:spacing w:before="0" w:after="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0738A2" w:rsidRPr="00491313" w:rsidTr="008C42B5">
        <w:tc>
          <w:tcPr>
            <w:tcW w:w="2268" w:type="dxa"/>
          </w:tcPr>
          <w:p w:rsidR="000738A2" w:rsidRPr="00491313" w:rsidRDefault="000738A2" w:rsidP="000738A2">
            <w:pPr>
              <w:spacing w:before="0" w:after="0"/>
              <w:rPr>
                <w:rFonts w:cs="Arial"/>
                <w:szCs w:val="21"/>
              </w:rPr>
            </w:pPr>
            <w:r w:rsidRPr="00491313">
              <w:rPr>
                <w:rFonts w:cs="Arial"/>
                <w:szCs w:val="21"/>
              </w:rPr>
              <w:t>Staff member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4249" w:type="dxa"/>
          </w:tcPr>
          <w:p w:rsidR="000738A2" w:rsidRPr="00491313" w:rsidRDefault="000738A2" w:rsidP="000738A2">
            <w:pPr>
              <w:spacing w:before="0" w:after="0"/>
              <w:rPr>
                <w:rFonts w:cs="Arial"/>
                <w:szCs w:val="21"/>
              </w:rPr>
            </w:pPr>
            <w:r w:rsidRPr="00491313">
              <w:rPr>
                <w:rFonts w:cs="Arial"/>
                <w:szCs w:val="21"/>
              </w:rPr>
              <w:t>Hitting</w:t>
            </w:r>
          </w:p>
          <w:p w:rsidR="000738A2" w:rsidRPr="00491313" w:rsidRDefault="000738A2" w:rsidP="000738A2">
            <w:pPr>
              <w:spacing w:before="0" w:after="0"/>
              <w:rPr>
                <w:rFonts w:cs="Arial"/>
                <w:szCs w:val="21"/>
              </w:rPr>
            </w:pPr>
            <w:r w:rsidRPr="00491313">
              <w:rPr>
                <w:rFonts w:cs="Arial"/>
                <w:szCs w:val="21"/>
              </w:rPr>
              <w:t>Pushing</w:t>
            </w:r>
          </w:p>
          <w:p w:rsidR="000738A2" w:rsidRPr="00491313" w:rsidRDefault="000738A2" w:rsidP="000738A2">
            <w:pPr>
              <w:spacing w:before="0" w:after="0"/>
              <w:rPr>
                <w:rFonts w:cs="Arial"/>
                <w:szCs w:val="21"/>
              </w:rPr>
            </w:pPr>
            <w:r w:rsidRPr="00491313">
              <w:rPr>
                <w:rFonts w:cs="Arial"/>
                <w:szCs w:val="21"/>
              </w:rPr>
              <w:t>Shoving</w:t>
            </w:r>
          </w:p>
          <w:p w:rsidR="000738A2" w:rsidRPr="00491313" w:rsidRDefault="000738A2" w:rsidP="000738A2">
            <w:pPr>
              <w:spacing w:before="0" w:after="0"/>
              <w:rPr>
                <w:rFonts w:cs="Arial"/>
                <w:szCs w:val="21"/>
              </w:rPr>
            </w:pPr>
            <w:r w:rsidRPr="00491313">
              <w:rPr>
                <w:rFonts w:cs="Arial"/>
                <w:szCs w:val="21"/>
              </w:rPr>
              <w:t>Rough handling</w:t>
            </w:r>
          </w:p>
        </w:tc>
      </w:tr>
      <w:tr w:rsidR="000738A2" w:rsidRPr="00491313" w:rsidTr="008C42B5">
        <w:tc>
          <w:tcPr>
            <w:tcW w:w="2268" w:type="dxa"/>
          </w:tcPr>
          <w:p w:rsidR="000738A2" w:rsidRPr="00491313" w:rsidRDefault="000738A2" w:rsidP="000738A2">
            <w:pPr>
              <w:spacing w:before="0" w:after="0"/>
              <w:rPr>
                <w:rFonts w:cs="Arial"/>
                <w:szCs w:val="21"/>
              </w:rPr>
            </w:pPr>
            <w:r w:rsidRPr="00491313">
              <w:rPr>
                <w:rFonts w:cs="Arial"/>
                <w:szCs w:val="21"/>
              </w:rPr>
              <w:t>Family member/visitor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4249" w:type="dxa"/>
          </w:tcPr>
          <w:p w:rsidR="000738A2" w:rsidRPr="00491313" w:rsidRDefault="000738A2" w:rsidP="000738A2">
            <w:pPr>
              <w:spacing w:before="0" w:after="0"/>
              <w:rPr>
                <w:rFonts w:cs="Arial"/>
                <w:szCs w:val="21"/>
              </w:rPr>
            </w:pPr>
            <w:r w:rsidRPr="00491313">
              <w:rPr>
                <w:rFonts w:cs="Arial"/>
                <w:szCs w:val="21"/>
              </w:rPr>
              <w:t>Hitting</w:t>
            </w:r>
          </w:p>
          <w:p w:rsidR="000738A2" w:rsidRPr="00491313" w:rsidRDefault="000738A2" w:rsidP="000738A2">
            <w:pPr>
              <w:spacing w:before="0" w:after="0"/>
              <w:rPr>
                <w:rFonts w:cs="Arial"/>
                <w:szCs w:val="21"/>
              </w:rPr>
            </w:pPr>
            <w:r w:rsidRPr="00491313">
              <w:rPr>
                <w:rFonts w:cs="Arial"/>
                <w:szCs w:val="21"/>
              </w:rPr>
              <w:t>Pushing</w:t>
            </w:r>
          </w:p>
          <w:p w:rsidR="000738A2" w:rsidRPr="00491313" w:rsidRDefault="000738A2" w:rsidP="000738A2">
            <w:pPr>
              <w:spacing w:before="0" w:after="0"/>
              <w:rPr>
                <w:rFonts w:cs="Arial"/>
                <w:szCs w:val="21"/>
              </w:rPr>
            </w:pPr>
            <w:r w:rsidRPr="00491313">
              <w:rPr>
                <w:rFonts w:cs="Arial"/>
                <w:szCs w:val="21"/>
              </w:rPr>
              <w:t>Shoving</w:t>
            </w:r>
          </w:p>
        </w:tc>
      </w:tr>
      <w:tr w:rsidR="000738A2" w:rsidRPr="00491313" w:rsidTr="008C42B5">
        <w:tc>
          <w:tcPr>
            <w:tcW w:w="2268" w:type="dxa"/>
          </w:tcPr>
          <w:p w:rsidR="000738A2" w:rsidRPr="00491313" w:rsidRDefault="000738A2" w:rsidP="000738A2">
            <w:pPr>
              <w:spacing w:before="0" w:after="0"/>
              <w:rPr>
                <w:rFonts w:cs="Arial"/>
                <w:szCs w:val="21"/>
              </w:rPr>
            </w:pPr>
            <w:r w:rsidRPr="00491313">
              <w:rPr>
                <w:rFonts w:cs="Arial"/>
                <w:szCs w:val="21"/>
              </w:rPr>
              <w:t>Consumer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4249" w:type="dxa"/>
          </w:tcPr>
          <w:p w:rsidR="000738A2" w:rsidRPr="00491313" w:rsidRDefault="000738A2" w:rsidP="000738A2">
            <w:pPr>
              <w:spacing w:before="0" w:after="0"/>
              <w:rPr>
                <w:rFonts w:cs="Arial"/>
                <w:szCs w:val="21"/>
              </w:rPr>
            </w:pPr>
            <w:r w:rsidRPr="00491313">
              <w:rPr>
                <w:rFonts w:cs="Arial"/>
                <w:szCs w:val="21"/>
              </w:rPr>
              <w:t>Hitting</w:t>
            </w:r>
          </w:p>
          <w:p w:rsidR="00FF72C9" w:rsidRPr="00491313" w:rsidRDefault="00FF72C9" w:rsidP="000738A2">
            <w:pPr>
              <w:spacing w:before="0" w:after="0"/>
              <w:rPr>
                <w:rFonts w:cs="Arial"/>
                <w:szCs w:val="21"/>
              </w:rPr>
            </w:pPr>
            <w:r w:rsidRPr="00491313">
              <w:rPr>
                <w:rFonts w:cs="Arial"/>
                <w:szCs w:val="21"/>
              </w:rPr>
              <w:t>Punching</w:t>
            </w:r>
          </w:p>
          <w:p w:rsidR="000738A2" w:rsidRPr="00491313" w:rsidRDefault="000738A2" w:rsidP="000738A2">
            <w:pPr>
              <w:spacing w:before="0" w:after="0"/>
              <w:rPr>
                <w:rFonts w:cs="Arial"/>
                <w:szCs w:val="21"/>
              </w:rPr>
            </w:pPr>
            <w:r w:rsidRPr="00491313">
              <w:rPr>
                <w:rFonts w:cs="Arial"/>
                <w:szCs w:val="21"/>
              </w:rPr>
              <w:t>Pushing</w:t>
            </w:r>
          </w:p>
          <w:p w:rsidR="000738A2" w:rsidRPr="00491313" w:rsidRDefault="000738A2" w:rsidP="000738A2">
            <w:pPr>
              <w:spacing w:before="0" w:after="0"/>
              <w:rPr>
                <w:rFonts w:cs="Arial"/>
                <w:szCs w:val="21"/>
              </w:rPr>
            </w:pPr>
            <w:r w:rsidRPr="00491313">
              <w:rPr>
                <w:rFonts w:cs="Arial"/>
                <w:szCs w:val="21"/>
              </w:rPr>
              <w:t xml:space="preserve">Shoving </w:t>
            </w:r>
          </w:p>
          <w:p w:rsidR="000738A2" w:rsidRPr="00491313" w:rsidRDefault="000738A2" w:rsidP="000738A2">
            <w:pPr>
              <w:spacing w:before="0" w:after="0"/>
              <w:rPr>
                <w:rFonts w:cs="Arial"/>
                <w:szCs w:val="21"/>
              </w:rPr>
            </w:pPr>
            <w:r w:rsidRPr="00491313">
              <w:rPr>
                <w:rFonts w:cs="Arial"/>
                <w:szCs w:val="21"/>
              </w:rPr>
              <w:t>Throwing objects</w:t>
            </w:r>
          </w:p>
          <w:p w:rsidR="00065D69" w:rsidRPr="00491313" w:rsidRDefault="00065D69" w:rsidP="000738A2">
            <w:pPr>
              <w:spacing w:before="0" w:after="0"/>
              <w:rPr>
                <w:rFonts w:cs="Arial"/>
                <w:szCs w:val="21"/>
              </w:rPr>
            </w:pPr>
            <w:r w:rsidRPr="00491313">
              <w:rPr>
                <w:rFonts w:cs="Arial"/>
                <w:szCs w:val="21"/>
              </w:rPr>
              <w:t>Kicking</w:t>
            </w:r>
          </w:p>
          <w:p w:rsidR="00065D69" w:rsidRPr="00491313" w:rsidRDefault="00065D69" w:rsidP="000738A2">
            <w:pPr>
              <w:spacing w:before="0" w:after="0"/>
              <w:rPr>
                <w:rFonts w:cs="Arial"/>
                <w:szCs w:val="21"/>
              </w:rPr>
            </w:pPr>
            <w:r w:rsidRPr="00491313">
              <w:rPr>
                <w:rFonts w:cs="Arial"/>
                <w:szCs w:val="21"/>
              </w:rPr>
              <w:t>Biting</w:t>
            </w:r>
          </w:p>
        </w:tc>
      </w:tr>
    </w:tbl>
    <w:p w:rsidR="00E03FFF" w:rsidRPr="00491313" w:rsidRDefault="00E03FFF" w:rsidP="00700D2A">
      <w:pPr>
        <w:pStyle w:val="Heading2"/>
        <w:rPr>
          <w:szCs w:val="22"/>
        </w:rPr>
      </w:pPr>
      <w:bookmarkStart w:id="29" w:name="_Toc21590612"/>
      <w:bookmarkStart w:id="30" w:name="_Toc54950025"/>
      <w:r w:rsidRPr="00491313">
        <w:t>Unlawful</w:t>
      </w:r>
      <w:r w:rsidR="00064E9C" w:rsidRPr="00491313">
        <w:t xml:space="preserve"> or inappropriate </w:t>
      </w:r>
      <w:r w:rsidRPr="00491313">
        <w:t xml:space="preserve">sexual </w:t>
      </w:r>
      <w:bookmarkEnd w:id="29"/>
      <w:r w:rsidR="001255F0" w:rsidRPr="00491313">
        <w:t>contact</w:t>
      </w:r>
      <w:bookmarkEnd w:id="30"/>
      <w:r w:rsidR="00064E9C" w:rsidRPr="00491313">
        <w:t xml:space="preserve"> </w:t>
      </w:r>
    </w:p>
    <w:p w:rsidR="009C589D" w:rsidRPr="00491313" w:rsidRDefault="00550DEC" w:rsidP="00C44E3F">
      <w:pPr>
        <w:spacing w:before="240"/>
        <w:rPr>
          <w:szCs w:val="22"/>
        </w:rPr>
      </w:pPr>
      <w:r w:rsidRPr="00491313">
        <w:rPr>
          <w:szCs w:val="22"/>
        </w:rPr>
        <w:t xml:space="preserve">The definition of unlawful or inappropriate sexual </w:t>
      </w:r>
      <w:r w:rsidR="001255F0" w:rsidRPr="00491313">
        <w:rPr>
          <w:szCs w:val="22"/>
        </w:rPr>
        <w:t>contact</w:t>
      </w:r>
      <w:r w:rsidRPr="00491313">
        <w:rPr>
          <w:szCs w:val="22"/>
        </w:rPr>
        <w:t xml:space="preserve"> will be:</w:t>
      </w:r>
    </w:p>
    <w:p w:rsidR="00B76148" w:rsidRPr="00491313" w:rsidRDefault="009847C5" w:rsidP="009C589D">
      <w:pPr>
        <w:pStyle w:val="Quote"/>
        <w:ind w:right="992"/>
        <w:rPr>
          <w:szCs w:val="22"/>
        </w:rPr>
      </w:pPr>
      <w:r w:rsidRPr="00491313">
        <w:rPr>
          <w:iCs w:val="0"/>
        </w:rPr>
        <w:t>Unlawful sexual contact, or sexual misconduct committed against, with, to, or in the presence of a consumer</w:t>
      </w:r>
      <w:r w:rsidR="009C589D" w:rsidRPr="00491313">
        <w:rPr>
          <w:szCs w:val="22"/>
        </w:rPr>
        <w:t>.</w:t>
      </w:r>
    </w:p>
    <w:p w:rsidR="001F50A1" w:rsidRPr="00491313" w:rsidRDefault="00550DEC" w:rsidP="008D1B6B">
      <w:pPr>
        <w:spacing w:before="240"/>
        <w:rPr>
          <w:szCs w:val="22"/>
        </w:rPr>
      </w:pPr>
      <w:r w:rsidRPr="00491313">
        <w:rPr>
          <w:szCs w:val="22"/>
        </w:rPr>
        <w:t xml:space="preserve">This extends the current </w:t>
      </w:r>
      <w:r w:rsidR="001255F0" w:rsidRPr="00491313">
        <w:rPr>
          <w:szCs w:val="22"/>
        </w:rPr>
        <w:t xml:space="preserve">compulsory reporting </w:t>
      </w:r>
      <w:r w:rsidRPr="00491313">
        <w:rPr>
          <w:szCs w:val="22"/>
        </w:rPr>
        <w:t>definition of unlawful sexual contact to include sexual misconduct</w:t>
      </w:r>
      <w:r w:rsidR="00C16439" w:rsidRPr="00491313">
        <w:rPr>
          <w:szCs w:val="22"/>
        </w:rPr>
        <w:t xml:space="preserve"> and removes the current exemption for consumers with an assessed cognitive impairment</w:t>
      </w:r>
      <w:r w:rsidR="001F50A1" w:rsidRPr="00491313">
        <w:rPr>
          <w:szCs w:val="22"/>
        </w:rPr>
        <w:t>.</w:t>
      </w:r>
    </w:p>
    <w:p w:rsidR="001255F0" w:rsidRPr="00491313" w:rsidRDefault="001255F0" w:rsidP="001255F0">
      <w:pPr>
        <w:spacing w:before="240"/>
        <w:rPr>
          <w:szCs w:val="22"/>
        </w:rPr>
      </w:pPr>
      <w:r w:rsidRPr="00491313">
        <w:rPr>
          <w:szCs w:val="22"/>
        </w:rPr>
        <w:t>It is important to note that consumers of aged care services have the right to sexual freedom and to give and receive affection. In the Charter</w:t>
      </w:r>
      <w:r w:rsidR="00242D31">
        <w:rPr>
          <w:szCs w:val="22"/>
        </w:rPr>
        <w:t xml:space="preserve"> of Aged Care Rights</w:t>
      </w:r>
      <w:r w:rsidRPr="00491313">
        <w:rPr>
          <w:szCs w:val="22"/>
        </w:rPr>
        <w:t>, consumers have the right to:</w:t>
      </w:r>
    </w:p>
    <w:p w:rsidR="001255F0" w:rsidRPr="00491313" w:rsidRDefault="001255F0" w:rsidP="001255F0">
      <w:pPr>
        <w:pStyle w:val="Quote"/>
        <w:ind w:right="992"/>
      </w:pPr>
      <w:r w:rsidRPr="00491313">
        <w:t>“have control over and make choice about my care and personal and social life, including where the choices involve personal risk”</w:t>
      </w:r>
    </w:p>
    <w:p w:rsidR="001255F0" w:rsidRPr="00491313" w:rsidRDefault="001255F0" w:rsidP="008D1B6B">
      <w:pPr>
        <w:spacing w:before="240"/>
        <w:rPr>
          <w:szCs w:val="22"/>
        </w:rPr>
      </w:pPr>
      <w:r w:rsidRPr="00491313">
        <w:rPr>
          <w:szCs w:val="22"/>
        </w:rPr>
        <w:t xml:space="preserve">This category of serious incidents </w:t>
      </w:r>
      <w:r w:rsidR="00BA670C" w:rsidRPr="00491313">
        <w:rPr>
          <w:szCs w:val="22"/>
        </w:rPr>
        <w:t>does not include</w:t>
      </w:r>
      <w:r w:rsidRPr="00491313">
        <w:rPr>
          <w:szCs w:val="22"/>
        </w:rPr>
        <w:t xml:space="preserve"> consenting sexual relations between aged care consumers</w:t>
      </w:r>
      <w:r w:rsidR="00D24218" w:rsidRPr="00491313">
        <w:rPr>
          <w:szCs w:val="22"/>
        </w:rPr>
        <w:t xml:space="preserve">, or between an aged care consumer and a partner that is not a resident at the </w:t>
      </w:r>
      <w:r w:rsidR="00DB1EF7" w:rsidRPr="00491313">
        <w:rPr>
          <w:szCs w:val="22"/>
        </w:rPr>
        <w:t>service</w:t>
      </w:r>
      <w:r w:rsidR="00D24218" w:rsidRPr="00491313">
        <w:rPr>
          <w:szCs w:val="22"/>
        </w:rPr>
        <w:t xml:space="preserve"> (</w:t>
      </w:r>
      <w:r w:rsidR="00BA670C" w:rsidRPr="00491313">
        <w:rPr>
          <w:szCs w:val="22"/>
        </w:rPr>
        <w:t xml:space="preserve">e.g. that may visit </w:t>
      </w:r>
      <w:r w:rsidR="00DB1EF7" w:rsidRPr="00491313">
        <w:rPr>
          <w:szCs w:val="22"/>
        </w:rPr>
        <w:t xml:space="preserve">or volunteer at </w:t>
      </w:r>
      <w:r w:rsidR="00BA670C" w:rsidRPr="00491313">
        <w:rPr>
          <w:szCs w:val="22"/>
        </w:rPr>
        <w:t>the service).</w:t>
      </w:r>
    </w:p>
    <w:tbl>
      <w:tblPr>
        <w:tblStyle w:val="TableGrid"/>
        <w:tblW w:w="0" w:type="auto"/>
        <w:tblLook w:val="04A0" w:firstRow="1" w:lastRow="0" w:firstColumn="1" w:lastColumn="0" w:noHBand="0" w:noVBand="1"/>
        <w:tblCaption w:val="Unlawful or inappropriate sexual contact"/>
        <w:tblDescription w:val="This table provides examples of inclidents for this definition committed by a staff member, family member, visitor or consumer"/>
      </w:tblPr>
      <w:tblGrid>
        <w:gridCol w:w="2268"/>
        <w:gridCol w:w="1842"/>
        <w:gridCol w:w="5448"/>
      </w:tblGrid>
      <w:tr w:rsidR="000738A2" w:rsidRPr="00491313" w:rsidTr="00D50259">
        <w:trPr>
          <w:tblHeader/>
        </w:trPr>
        <w:tc>
          <w:tcPr>
            <w:tcW w:w="2268" w:type="dxa"/>
            <w:shd w:val="clear" w:color="auto" w:fill="3F4A75"/>
          </w:tcPr>
          <w:p w:rsidR="000738A2" w:rsidRPr="00491313" w:rsidRDefault="00700D2A" w:rsidP="000738A2">
            <w:pPr>
              <w:spacing w:before="0" w:after="0" w:line="360" w:lineRule="auto"/>
              <w:rPr>
                <w:rFonts w:eastAsia="MS Gothic" w:cs="Arial"/>
                <w:color w:val="FFFFFF" w:themeColor="background1"/>
                <w:sz w:val="22"/>
                <w:szCs w:val="22"/>
                <w:lang w:val="en-US"/>
              </w:rPr>
            </w:pPr>
            <w:r>
              <w:rPr>
                <w:rFonts w:eastAsia="MS Gothic" w:cs="Arial"/>
                <w:color w:val="FFFFFF" w:themeColor="background1"/>
                <w:sz w:val="22"/>
                <w:szCs w:val="22"/>
                <w:lang w:val="en-US"/>
              </w:rPr>
              <w:t xml:space="preserve">Person who commits </w:t>
            </w:r>
            <w:r w:rsidR="00CE7216" w:rsidRPr="00491313">
              <w:rPr>
                <w:rFonts w:eastAsia="MS Gothic" w:cs="Arial"/>
                <w:color w:val="FFFFFF" w:themeColor="background1"/>
                <w:sz w:val="22"/>
                <w:szCs w:val="22"/>
                <w:lang w:val="en-US"/>
              </w:rPr>
              <w:t>an incident</w:t>
            </w:r>
          </w:p>
        </w:tc>
        <w:tc>
          <w:tcPr>
            <w:tcW w:w="1842" w:type="dxa"/>
            <w:shd w:val="clear" w:color="auto" w:fill="3F4A75"/>
          </w:tcPr>
          <w:p w:rsidR="000738A2" w:rsidRPr="00491313" w:rsidRDefault="00CE7216" w:rsidP="000738A2">
            <w:pPr>
              <w:spacing w:before="0" w:after="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0738A2" w:rsidRPr="00491313" w:rsidRDefault="000738A2" w:rsidP="000738A2">
            <w:pPr>
              <w:spacing w:before="0" w:after="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0738A2" w:rsidRPr="00491313" w:rsidTr="00F21DDF">
        <w:tc>
          <w:tcPr>
            <w:tcW w:w="2268" w:type="dxa"/>
          </w:tcPr>
          <w:p w:rsidR="000738A2" w:rsidRPr="00491313" w:rsidRDefault="000738A2" w:rsidP="000738A2">
            <w:pPr>
              <w:spacing w:before="0" w:after="0"/>
              <w:rPr>
                <w:rFonts w:cs="Arial"/>
                <w:szCs w:val="21"/>
              </w:rPr>
            </w:pPr>
            <w:r w:rsidRPr="00491313">
              <w:rPr>
                <w:rFonts w:cs="Arial"/>
                <w:szCs w:val="21"/>
              </w:rPr>
              <w:t>Staff member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5448" w:type="dxa"/>
          </w:tcPr>
          <w:p w:rsidR="00740A03" w:rsidRPr="00491313" w:rsidRDefault="00D24218" w:rsidP="000738A2">
            <w:pPr>
              <w:spacing w:before="0" w:after="0"/>
              <w:rPr>
                <w:rFonts w:cs="Arial"/>
                <w:szCs w:val="21"/>
              </w:rPr>
            </w:pPr>
            <w:r w:rsidRPr="00491313">
              <w:rPr>
                <w:rFonts w:cs="Arial"/>
                <w:szCs w:val="21"/>
              </w:rPr>
              <w:t>S</w:t>
            </w:r>
            <w:r w:rsidR="00740A03" w:rsidRPr="00491313">
              <w:rPr>
                <w:rFonts w:cs="Arial"/>
                <w:szCs w:val="21"/>
              </w:rPr>
              <w:t>howing own genitals</w:t>
            </w:r>
            <w:r w:rsidR="001F50A1" w:rsidRPr="00491313">
              <w:rPr>
                <w:rFonts w:cs="Arial"/>
                <w:szCs w:val="21"/>
              </w:rPr>
              <w:t xml:space="preserve"> to a consumer</w:t>
            </w:r>
          </w:p>
          <w:p w:rsidR="00740A03" w:rsidRPr="00491313" w:rsidRDefault="00740A03" w:rsidP="000738A2">
            <w:pPr>
              <w:spacing w:before="0" w:after="0"/>
              <w:rPr>
                <w:rFonts w:cs="Arial"/>
                <w:szCs w:val="21"/>
              </w:rPr>
            </w:pPr>
            <w:r w:rsidRPr="00491313">
              <w:rPr>
                <w:rFonts w:cs="Arial"/>
                <w:szCs w:val="21"/>
              </w:rPr>
              <w:t xml:space="preserve">Masturbating in front of a </w:t>
            </w:r>
            <w:r w:rsidR="001F50A1" w:rsidRPr="00491313">
              <w:rPr>
                <w:rFonts w:cs="Arial"/>
                <w:szCs w:val="21"/>
              </w:rPr>
              <w:t>consumer</w:t>
            </w:r>
          </w:p>
          <w:p w:rsidR="00D24218" w:rsidRPr="00491313" w:rsidRDefault="00D24218" w:rsidP="000738A2">
            <w:pPr>
              <w:spacing w:before="0" w:after="0"/>
              <w:rPr>
                <w:rFonts w:cs="Arial"/>
                <w:szCs w:val="21"/>
              </w:rPr>
            </w:pPr>
            <w:r w:rsidRPr="00491313">
              <w:rPr>
                <w:rFonts w:cs="Arial"/>
                <w:szCs w:val="21"/>
              </w:rPr>
              <w:t>Masturbating a consumer</w:t>
            </w:r>
          </w:p>
          <w:p w:rsidR="000738A2" w:rsidRPr="00491313" w:rsidRDefault="000738A2" w:rsidP="000738A2">
            <w:pPr>
              <w:spacing w:before="0" w:after="0"/>
              <w:rPr>
                <w:rFonts w:cs="Arial"/>
                <w:szCs w:val="21"/>
              </w:rPr>
            </w:pPr>
            <w:r w:rsidRPr="00491313">
              <w:rPr>
                <w:rFonts w:cs="Arial"/>
                <w:szCs w:val="21"/>
              </w:rPr>
              <w:t>Sexual innuendo</w:t>
            </w:r>
            <w:r w:rsidR="00BA670C" w:rsidRPr="00491313">
              <w:rPr>
                <w:rFonts w:cs="Arial"/>
                <w:szCs w:val="21"/>
              </w:rPr>
              <w:t>s</w:t>
            </w:r>
          </w:p>
          <w:p w:rsidR="000738A2" w:rsidRDefault="000738A2" w:rsidP="000738A2">
            <w:pPr>
              <w:spacing w:before="0" w:after="0"/>
              <w:rPr>
                <w:rFonts w:cs="Arial"/>
                <w:szCs w:val="21"/>
              </w:rPr>
            </w:pPr>
            <w:r w:rsidRPr="00491313">
              <w:rPr>
                <w:rFonts w:cs="Arial"/>
                <w:szCs w:val="21"/>
              </w:rPr>
              <w:t>Sexually explicit language</w:t>
            </w:r>
          </w:p>
          <w:p w:rsidR="005E58D3" w:rsidRPr="00491313" w:rsidRDefault="005E58D3" w:rsidP="000738A2">
            <w:pPr>
              <w:spacing w:before="0" w:after="0"/>
              <w:rPr>
                <w:rFonts w:cs="Arial"/>
                <w:szCs w:val="21"/>
              </w:rPr>
            </w:pPr>
            <w:r>
              <w:t>Showing pornography to a consumer</w:t>
            </w:r>
          </w:p>
          <w:p w:rsidR="00DB1EF7" w:rsidRPr="00491313" w:rsidRDefault="00DB1EF7" w:rsidP="000738A2">
            <w:pPr>
              <w:spacing w:before="0" w:after="0"/>
              <w:rPr>
                <w:rFonts w:cs="Arial"/>
                <w:szCs w:val="21"/>
              </w:rPr>
            </w:pPr>
            <w:r w:rsidRPr="00491313">
              <w:rPr>
                <w:rFonts w:cs="Arial"/>
                <w:szCs w:val="21"/>
              </w:rPr>
              <w:t>Grooming</w:t>
            </w:r>
          </w:p>
          <w:p w:rsidR="00D24218" w:rsidRPr="00491313" w:rsidRDefault="00D24218" w:rsidP="000738A2">
            <w:pPr>
              <w:spacing w:before="0" w:after="0"/>
              <w:rPr>
                <w:rFonts w:cs="Arial"/>
                <w:szCs w:val="21"/>
              </w:rPr>
            </w:pPr>
            <w:r w:rsidRPr="00491313">
              <w:rPr>
                <w:rFonts w:cs="Arial"/>
                <w:szCs w:val="21"/>
              </w:rPr>
              <w:t>Stalking or making sexual threats</w:t>
            </w:r>
          </w:p>
          <w:p w:rsidR="00D24218" w:rsidRPr="00491313" w:rsidRDefault="00D24218" w:rsidP="00D24218">
            <w:pPr>
              <w:spacing w:before="0" w:after="0"/>
              <w:rPr>
                <w:rFonts w:cs="Arial"/>
                <w:szCs w:val="21"/>
              </w:rPr>
            </w:pPr>
            <w:r w:rsidRPr="00491313">
              <w:rPr>
                <w:rFonts w:cs="Arial"/>
                <w:szCs w:val="21"/>
              </w:rPr>
              <w:t>Touching consumer’s genitals (or other private areas) without a care need</w:t>
            </w:r>
          </w:p>
          <w:p w:rsidR="00D24218" w:rsidRPr="00491313" w:rsidRDefault="00D24218" w:rsidP="000738A2">
            <w:pPr>
              <w:spacing w:before="0" w:after="0"/>
              <w:rPr>
                <w:rFonts w:cs="Arial"/>
                <w:szCs w:val="21"/>
              </w:rPr>
            </w:pPr>
            <w:r w:rsidRPr="00491313">
              <w:rPr>
                <w:rFonts w:cs="Arial"/>
                <w:szCs w:val="21"/>
              </w:rPr>
              <w:t>Sexually penetrating a consumer with another part of their body or an object</w:t>
            </w:r>
          </w:p>
        </w:tc>
      </w:tr>
      <w:tr w:rsidR="000738A2" w:rsidRPr="00491313" w:rsidTr="00F21DDF">
        <w:tc>
          <w:tcPr>
            <w:tcW w:w="2268" w:type="dxa"/>
          </w:tcPr>
          <w:p w:rsidR="000738A2" w:rsidRPr="00491313" w:rsidRDefault="000738A2" w:rsidP="000738A2">
            <w:pPr>
              <w:spacing w:before="0" w:after="0"/>
              <w:rPr>
                <w:rFonts w:cs="Arial"/>
                <w:szCs w:val="21"/>
              </w:rPr>
            </w:pPr>
            <w:r w:rsidRPr="00491313">
              <w:rPr>
                <w:rFonts w:cs="Arial"/>
                <w:szCs w:val="21"/>
              </w:rPr>
              <w:t>Family member/visitor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5448" w:type="dxa"/>
          </w:tcPr>
          <w:p w:rsidR="00417D97" w:rsidRDefault="00417D97" w:rsidP="00417D97">
            <w:pPr>
              <w:spacing w:before="0" w:after="0"/>
              <w:rPr>
                <w:rFonts w:cs="Arial"/>
                <w:szCs w:val="21"/>
              </w:rPr>
            </w:pPr>
            <w:r>
              <w:rPr>
                <w:rFonts w:cs="Arial"/>
                <w:szCs w:val="21"/>
              </w:rPr>
              <w:t>Sexual threats or stalking</w:t>
            </w:r>
          </w:p>
          <w:p w:rsidR="00417D97" w:rsidRPr="00491313" w:rsidRDefault="00417D97" w:rsidP="00417D97">
            <w:pPr>
              <w:spacing w:before="0" w:after="0"/>
              <w:rPr>
                <w:rFonts w:cs="Arial"/>
                <w:szCs w:val="21"/>
              </w:rPr>
            </w:pPr>
            <w:r w:rsidRPr="00491313">
              <w:rPr>
                <w:rFonts w:cs="Arial"/>
                <w:szCs w:val="21"/>
              </w:rPr>
              <w:t>Activities without sexual consent:</w:t>
            </w:r>
          </w:p>
          <w:p w:rsidR="00D24218" w:rsidRPr="00417D97" w:rsidRDefault="00D24218" w:rsidP="007F6584">
            <w:pPr>
              <w:pStyle w:val="ListParagraph"/>
              <w:numPr>
                <w:ilvl w:val="0"/>
                <w:numId w:val="51"/>
              </w:numPr>
              <w:spacing w:before="0" w:after="0"/>
              <w:rPr>
                <w:rFonts w:cs="Arial"/>
                <w:szCs w:val="21"/>
              </w:rPr>
            </w:pPr>
            <w:r w:rsidRPr="00417D97">
              <w:rPr>
                <w:rFonts w:cs="Arial"/>
                <w:szCs w:val="21"/>
              </w:rPr>
              <w:t>Showing own genitals to a consumer</w:t>
            </w:r>
          </w:p>
          <w:p w:rsidR="00A55DDA" w:rsidRPr="00417D97" w:rsidRDefault="00A55DDA" w:rsidP="007F6584">
            <w:pPr>
              <w:pStyle w:val="ListParagraph"/>
              <w:numPr>
                <w:ilvl w:val="0"/>
                <w:numId w:val="51"/>
              </w:numPr>
              <w:spacing w:before="0" w:after="0"/>
              <w:rPr>
                <w:rFonts w:cs="Arial"/>
                <w:szCs w:val="21"/>
              </w:rPr>
            </w:pPr>
            <w:r w:rsidRPr="00417D97">
              <w:rPr>
                <w:rFonts w:cs="Arial"/>
                <w:szCs w:val="21"/>
              </w:rPr>
              <w:t>Masturbating in front of a consumer</w:t>
            </w:r>
            <w:r w:rsidR="00EF7592" w:rsidRPr="00417D97">
              <w:rPr>
                <w:rFonts w:cs="Arial"/>
                <w:szCs w:val="21"/>
              </w:rPr>
              <w:t xml:space="preserve"> </w:t>
            </w:r>
          </w:p>
          <w:p w:rsidR="00D24721" w:rsidRPr="00417D97" w:rsidRDefault="00D24218" w:rsidP="007F6584">
            <w:pPr>
              <w:pStyle w:val="ListParagraph"/>
              <w:numPr>
                <w:ilvl w:val="0"/>
                <w:numId w:val="51"/>
              </w:numPr>
              <w:spacing w:before="0" w:after="0"/>
              <w:rPr>
                <w:rFonts w:cs="Arial"/>
                <w:szCs w:val="21"/>
              </w:rPr>
            </w:pPr>
            <w:r w:rsidRPr="00417D97">
              <w:rPr>
                <w:rFonts w:cs="Arial"/>
                <w:szCs w:val="21"/>
              </w:rPr>
              <w:t>Masturbating a consumer</w:t>
            </w:r>
          </w:p>
          <w:p w:rsidR="000738A2" w:rsidRPr="00417D97" w:rsidRDefault="000738A2" w:rsidP="007F6584">
            <w:pPr>
              <w:pStyle w:val="ListParagraph"/>
              <w:numPr>
                <w:ilvl w:val="0"/>
                <w:numId w:val="51"/>
              </w:numPr>
              <w:spacing w:before="0" w:after="0"/>
            </w:pPr>
            <w:r w:rsidRPr="00417D97">
              <w:rPr>
                <w:rFonts w:cs="Arial"/>
                <w:szCs w:val="21"/>
              </w:rPr>
              <w:t>Sexual innuendo</w:t>
            </w:r>
            <w:r w:rsidR="00BA670C" w:rsidRPr="00417D97">
              <w:rPr>
                <w:rFonts w:cs="Arial"/>
                <w:szCs w:val="21"/>
              </w:rPr>
              <w:t>s</w:t>
            </w:r>
          </w:p>
          <w:p w:rsidR="000738A2" w:rsidRPr="00253CDF" w:rsidRDefault="000738A2" w:rsidP="007F6584">
            <w:pPr>
              <w:pStyle w:val="ListParagraph"/>
              <w:numPr>
                <w:ilvl w:val="0"/>
                <w:numId w:val="51"/>
              </w:numPr>
              <w:spacing w:before="0" w:after="0"/>
              <w:rPr>
                <w:rFonts w:cs="Arial"/>
                <w:szCs w:val="21"/>
              </w:rPr>
            </w:pPr>
            <w:r w:rsidRPr="00253CDF">
              <w:rPr>
                <w:rFonts w:cs="Arial"/>
                <w:szCs w:val="21"/>
              </w:rPr>
              <w:t xml:space="preserve">Sexually explicit language </w:t>
            </w:r>
          </w:p>
          <w:p w:rsidR="00D24218" w:rsidRPr="00A0608F" w:rsidRDefault="00D24218" w:rsidP="007F6584">
            <w:pPr>
              <w:pStyle w:val="ListParagraph"/>
              <w:numPr>
                <w:ilvl w:val="0"/>
                <w:numId w:val="51"/>
              </w:numPr>
              <w:spacing w:before="0" w:after="0"/>
              <w:rPr>
                <w:rFonts w:cs="Arial"/>
                <w:szCs w:val="21"/>
              </w:rPr>
            </w:pPr>
            <w:r w:rsidRPr="00A0608F">
              <w:rPr>
                <w:rFonts w:cs="Arial"/>
                <w:szCs w:val="21"/>
              </w:rPr>
              <w:t>Exposing a consumer to pornography or using a consumer in pornography</w:t>
            </w:r>
          </w:p>
          <w:p w:rsidR="00D24218" w:rsidRDefault="00D24218" w:rsidP="007F6584">
            <w:pPr>
              <w:pStyle w:val="ListParagraph"/>
              <w:numPr>
                <w:ilvl w:val="0"/>
                <w:numId w:val="52"/>
              </w:numPr>
              <w:spacing w:before="0" w:after="0"/>
              <w:rPr>
                <w:rFonts w:cs="Arial"/>
                <w:szCs w:val="21"/>
              </w:rPr>
            </w:pPr>
            <w:r w:rsidRPr="00417D97">
              <w:rPr>
                <w:rFonts w:cs="Arial"/>
                <w:szCs w:val="21"/>
              </w:rPr>
              <w:t>Sexually penetrating a consumer with another part of their body or an object</w:t>
            </w:r>
          </w:p>
          <w:p w:rsidR="00417D97" w:rsidRPr="00417D97" w:rsidRDefault="00417D97" w:rsidP="007F6584">
            <w:pPr>
              <w:pStyle w:val="ListParagraph"/>
              <w:numPr>
                <w:ilvl w:val="0"/>
                <w:numId w:val="52"/>
              </w:numPr>
              <w:spacing w:before="0" w:after="0"/>
              <w:rPr>
                <w:rFonts w:cs="Arial"/>
                <w:szCs w:val="21"/>
              </w:rPr>
            </w:pPr>
            <w:r w:rsidRPr="00417D97">
              <w:rPr>
                <w:rFonts w:cs="Arial"/>
                <w:szCs w:val="21"/>
              </w:rPr>
              <w:t>Touching consumer’s genitals (or other private areas) without a care need</w:t>
            </w:r>
          </w:p>
        </w:tc>
      </w:tr>
      <w:tr w:rsidR="000738A2" w:rsidRPr="00491313" w:rsidTr="00F21DDF">
        <w:tc>
          <w:tcPr>
            <w:tcW w:w="2268" w:type="dxa"/>
          </w:tcPr>
          <w:p w:rsidR="000738A2" w:rsidRPr="00491313" w:rsidRDefault="000738A2" w:rsidP="000738A2">
            <w:pPr>
              <w:spacing w:before="0" w:after="0"/>
              <w:rPr>
                <w:rFonts w:cs="Arial"/>
                <w:szCs w:val="21"/>
              </w:rPr>
            </w:pPr>
            <w:r w:rsidRPr="00491313">
              <w:rPr>
                <w:rFonts w:cs="Arial"/>
                <w:szCs w:val="21"/>
              </w:rPr>
              <w:t>Consumer</w:t>
            </w:r>
          </w:p>
        </w:tc>
        <w:tc>
          <w:tcPr>
            <w:tcW w:w="1842" w:type="dxa"/>
          </w:tcPr>
          <w:p w:rsidR="000738A2" w:rsidRPr="00491313" w:rsidRDefault="000738A2" w:rsidP="000738A2">
            <w:pPr>
              <w:spacing w:before="0" w:after="0"/>
              <w:rPr>
                <w:rFonts w:cs="Arial"/>
                <w:szCs w:val="21"/>
              </w:rPr>
            </w:pPr>
            <w:r w:rsidRPr="00491313">
              <w:rPr>
                <w:rFonts w:cs="Arial"/>
                <w:szCs w:val="21"/>
              </w:rPr>
              <w:t>Consumer</w:t>
            </w:r>
          </w:p>
        </w:tc>
        <w:tc>
          <w:tcPr>
            <w:tcW w:w="5448" w:type="dxa"/>
          </w:tcPr>
          <w:p w:rsidR="000738A2" w:rsidRPr="00491313" w:rsidRDefault="00BA670C" w:rsidP="000738A2">
            <w:pPr>
              <w:spacing w:before="0" w:after="0"/>
              <w:rPr>
                <w:rFonts w:cs="Arial"/>
                <w:szCs w:val="21"/>
              </w:rPr>
            </w:pPr>
            <w:r w:rsidRPr="00491313">
              <w:rPr>
                <w:rFonts w:cs="Arial"/>
                <w:szCs w:val="21"/>
              </w:rPr>
              <w:t>Sexual threats or stalking</w:t>
            </w:r>
          </w:p>
          <w:p w:rsidR="00BA670C" w:rsidRPr="00491313" w:rsidRDefault="00BA670C" w:rsidP="000738A2">
            <w:pPr>
              <w:spacing w:before="0" w:after="0"/>
              <w:rPr>
                <w:rFonts w:cs="Arial"/>
                <w:szCs w:val="21"/>
              </w:rPr>
            </w:pPr>
            <w:r w:rsidRPr="00491313">
              <w:rPr>
                <w:rFonts w:cs="Arial"/>
                <w:szCs w:val="21"/>
              </w:rPr>
              <w:t>Activities without sexual consent:</w:t>
            </w:r>
          </w:p>
          <w:p w:rsidR="00BA670C" w:rsidRPr="00491313" w:rsidRDefault="00BA670C" w:rsidP="00BA670C">
            <w:pPr>
              <w:pStyle w:val="ListParagraph"/>
              <w:numPr>
                <w:ilvl w:val="0"/>
                <w:numId w:val="43"/>
              </w:numPr>
              <w:spacing w:before="0" w:after="0"/>
              <w:rPr>
                <w:rFonts w:cs="Arial"/>
                <w:szCs w:val="21"/>
              </w:rPr>
            </w:pPr>
            <w:r w:rsidRPr="00491313">
              <w:rPr>
                <w:rFonts w:cs="Arial"/>
                <w:szCs w:val="21"/>
              </w:rPr>
              <w:t>Showing own genitals to a consumer</w:t>
            </w:r>
          </w:p>
          <w:p w:rsidR="00BA670C" w:rsidRPr="00491313" w:rsidRDefault="00BA670C" w:rsidP="00BA670C">
            <w:pPr>
              <w:pStyle w:val="ListParagraph"/>
              <w:numPr>
                <w:ilvl w:val="0"/>
                <w:numId w:val="43"/>
              </w:numPr>
              <w:spacing w:before="0" w:after="0"/>
              <w:rPr>
                <w:rFonts w:cs="Arial"/>
                <w:szCs w:val="21"/>
              </w:rPr>
            </w:pPr>
            <w:r w:rsidRPr="00491313">
              <w:rPr>
                <w:rFonts w:cs="Arial"/>
                <w:szCs w:val="21"/>
              </w:rPr>
              <w:t xml:space="preserve">Masturbating in front of a consumer </w:t>
            </w:r>
          </w:p>
          <w:p w:rsidR="001255F0" w:rsidRPr="00491313" w:rsidRDefault="001255F0" w:rsidP="00BA670C">
            <w:pPr>
              <w:pStyle w:val="ListParagraph"/>
              <w:numPr>
                <w:ilvl w:val="0"/>
                <w:numId w:val="43"/>
              </w:numPr>
              <w:spacing w:before="0" w:after="0"/>
            </w:pPr>
            <w:r w:rsidRPr="00491313">
              <w:rPr>
                <w:rFonts w:cs="Arial"/>
                <w:szCs w:val="21"/>
              </w:rPr>
              <w:t>Sexual innuendo</w:t>
            </w:r>
            <w:r w:rsidR="00BA670C" w:rsidRPr="00491313">
              <w:rPr>
                <w:rFonts w:cs="Arial"/>
                <w:szCs w:val="21"/>
              </w:rPr>
              <w:t>s</w:t>
            </w:r>
            <w:r w:rsidRPr="00491313">
              <w:rPr>
                <w:rFonts w:cs="Arial"/>
                <w:szCs w:val="21"/>
              </w:rPr>
              <w:t xml:space="preserve"> </w:t>
            </w:r>
          </w:p>
          <w:p w:rsidR="001255F0" w:rsidRPr="00491313" w:rsidRDefault="001255F0" w:rsidP="00BA670C">
            <w:pPr>
              <w:pStyle w:val="ListParagraph"/>
              <w:numPr>
                <w:ilvl w:val="0"/>
                <w:numId w:val="43"/>
              </w:numPr>
              <w:spacing w:before="0" w:after="0"/>
              <w:rPr>
                <w:rFonts w:cs="Arial"/>
                <w:szCs w:val="21"/>
              </w:rPr>
            </w:pPr>
            <w:r w:rsidRPr="00491313">
              <w:rPr>
                <w:rFonts w:cs="Arial"/>
                <w:szCs w:val="21"/>
              </w:rPr>
              <w:t>Sexually explicit language</w:t>
            </w:r>
          </w:p>
          <w:p w:rsidR="00BA670C" w:rsidRPr="00491313" w:rsidRDefault="00BA670C" w:rsidP="00BA670C">
            <w:pPr>
              <w:pStyle w:val="ListParagraph"/>
              <w:numPr>
                <w:ilvl w:val="0"/>
                <w:numId w:val="43"/>
              </w:numPr>
              <w:spacing w:before="0" w:after="0"/>
              <w:rPr>
                <w:rFonts w:cs="Arial"/>
                <w:szCs w:val="21"/>
              </w:rPr>
            </w:pPr>
            <w:r w:rsidRPr="00491313">
              <w:rPr>
                <w:rFonts w:cs="Arial"/>
                <w:szCs w:val="21"/>
              </w:rPr>
              <w:t>Exposing a consumer to pornography</w:t>
            </w:r>
          </w:p>
          <w:p w:rsidR="00BA670C" w:rsidRPr="00491313" w:rsidRDefault="00BA670C" w:rsidP="00BA670C">
            <w:pPr>
              <w:pStyle w:val="ListParagraph"/>
              <w:numPr>
                <w:ilvl w:val="0"/>
                <w:numId w:val="43"/>
              </w:numPr>
              <w:spacing w:before="0" w:after="0"/>
              <w:rPr>
                <w:rFonts w:cs="Arial"/>
                <w:szCs w:val="21"/>
              </w:rPr>
            </w:pPr>
            <w:r w:rsidRPr="00491313">
              <w:rPr>
                <w:rFonts w:cs="Arial"/>
                <w:szCs w:val="21"/>
              </w:rPr>
              <w:t>Sexually penetrating a consumer with another part of their body or an object</w:t>
            </w:r>
          </w:p>
        </w:tc>
      </w:tr>
    </w:tbl>
    <w:p w:rsidR="00556B9B" w:rsidRPr="00491313" w:rsidRDefault="00B76148" w:rsidP="00700D2A">
      <w:pPr>
        <w:pStyle w:val="Heading2"/>
      </w:pPr>
      <w:bookmarkStart w:id="31" w:name="_Toc21590613"/>
      <w:bookmarkStart w:id="32" w:name="_Toc54950026"/>
      <w:r w:rsidRPr="00491313">
        <w:t>Psychological or emotional abuse</w:t>
      </w:r>
      <w:bookmarkEnd w:id="32"/>
      <w:r w:rsidR="00556B9B" w:rsidRPr="00491313">
        <w:t xml:space="preserve"> </w:t>
      </w:r>
      <w:bookmarkEnd w:id="31"/>
    </w:p>
    <w:p w:rsidR="00DD790A" w:rsidRPr="00491313" w:rsidRDefault="004F6692" w:rsidP="00DD790A">
      <w:pPr>
        <w:rPr>
          <w:szCs w:val="22"/>
        </w:rPr>
      </w:pPr>
      <w:r w:rsidRPr="00491313">
        <w:rPr>
          <w:szCs w:val="22"/>
        </w:rPr>
        <w:t>T</w:t>
      </w:r>
      <w:r w:rsidR="00DD790A" w:rsidRPr="00491313">
        <w:rPr>
          <w:szCs w:val="22"/>
        </w:rPr>
        <w:t xml:space="preserve">he following definition </w:t>
      </w:r>
      <w:r w:rsidR="00560359" w:rsidRPr="00491313">
        <w:rPr>
          <w:szCs w:val="22"/>
        </w:rPr>
        <w:t>will be</w:t>
      </w:r>
      <w:r w:rsidR="00DD790A" w:rsidRPr="00491313">
        <w:rPr>
          <w:szCs w:val="22"/>
        </w:rPr>
        <w:t xml:space="preserve"> used for the SIRS:</w:t>
      </w:r>
    </w:p>
    <w:p w:rsidR="00556B9B" w:rsidRPr="00491313" w:rsidRDefault="008D1B6B" w:rsidP="003F1653">
      <w:pPr>
        <w:ind w:left="720" w:right="992"/>
        <w:rPr>
          <w:i/>
        </w:rPr>
      </w:pPr>
      <w:r w:rsidRPr="00491313">
        <w:rPr>
          <w:i/>
        </w:rPr>
        <w:t>V</w:t>
      </w:r>
      <w:r w:rsidR="003F1653" w:rsidRPr="00491313">
        <w:rPr>
          <w:i/>
        </w:rPr>
        <w:t xml:space="preserve">erbal or </w:t>
      </w:r>
      <w:r w:rsidR="00D52F5A" w:rsidRPr="00491313">
        <w:rPr>
          <w:i/>
        </w:rPr>
        <w:t>non-verbal</w:t>
      </w:r>
      <w:r w:rsidR="003F1653" w:rsidRPr="00491313">
        <w:rPr>
          <w:i/>
        </w:rPr>
        <w:t xml:space="preserve"> acts that cause significant emotional or psychological anguish, pain or distress including verbal taunts, threats of maltreatment, harassment, humiliation or intimidation, or a failure to interact with a person or acknowledge the </w:t>
      </w:r>
      <w:r w:rsidR="00D52F5A" w:rsidRPr="00491313">
        <w:rPr>
          <w:i/>
        </w:rPr>
        <w:t>person’s</w:t>
      </w:r>
      <w:r w:rsidRPr="00491313">
        <w:rPr>
          <w:i/>
        </w:rPr>
        <w:t xml:space="preserve"> p</w:t>
      </w:r>
      <w:r w:rsidR="008248F4" w:rsidRPr="00491313">
        <w:rPr>
          <w:i/>
        </w:rPr>
        <w:t>resence.</w:t>
      </w:r>
    </w:p>
    <w:p w:rsidR="00A274D9" w:rsidRPr="00491313" w:rsidRDefault="00FF72C9" w:rsidP="00556B9B">
      <w:pPr>
        <w:spacing w:before="240"/>
        <w:rPr>
          <w:szCs w:val="22"/>
        </w:rPr>
      </w:pPr>
      <w:r w:rsidRPr="00491313">
        <w:t>In addition to single event incidents such as a staff member yelling at an aged care consumer, t</w:t>
      </w:r>
      <w:r w:rsidR="00AC112D" w:rsidRPr="00491313">
        <w:t xml:space="preserve">his category includes </w:t>
      </w:r>
      <w:r w:rsidR="00C837D0" w:rsidRPr="00491313">
        <w:t>incident</w:t>
      </w:r>
      <w:r w:rsidRPr="00491313">
        <w:t>s</w:t>
      </w:r>
      <w:r w:rsidR="00C837D0" w:rsidRPr="00491313">
        <w:t xml:space="preserve"> tha</w:t>
      </w:r>
      <w:r w:rsidR="00AC112D" w:rsidRPr="00491313">
        <w:t xml:space="preserve">t </w:t>
      </w:r>
      <w:r w:rsidRPr="00491313">
        <w:t>are</w:t>
      </w:r>
      <w:r w:rsidR="00AC112D" w:rsidRPr="00491313">
        <w:t xml:space="preserve"> part of a pattern of abuse. </w:t>
      </w:r>
      <w:r w:rsidR="00556B9B" w:rsidRPr="00491313">
        <w:rPr>
          <w:szCs w:val="22"/>
        </w:rPr>
        <w:t>While the behaviour may not cause significant harm or suffering to the individual in each instance, the repetitive nature of the behaviour (over time) has a cumulative effect which intensifies the level of harm to the individual or in some circumstances individuals.</w:t>
      </w:r>
      <w:r w:rsidR="00AC112D" w:rsidRPr="00491313">
        <w:rPr>
          <w:szCs w:val="22"/>
        </w:rPr>
        <w:t xml:space="preserve"> </w:t>
      </w:r>
    </w:p>
    <w:p w:rsidR="00556B9B" w:rsidRPr="00491313" w:rsidRDefault="00AC112D" w:rsidP="00556B9B">
      <w:pPr>
        <w:spacing w:before="240"/>
        <w:rPr>
          <w:szCs w:val="22"/>
        </w:rPr>
      </w:pPr>
      <w:r w:rsidRPr="00491313">
        <w:rPr>
          <w:szCs w:val="22"/>
        </w:rPr>
        <w:t xml:space="preserve">Approved providers’ incident management systems must be able to record incidents in a way that allows for repeated minor instances of these types of behaviour to be identified easily </w:t>
      </w:r>
      <w:r w:rsidR="0009004E" w:rsidRPr="00491313">
        <w:rPr>
          <w:szCs w:val="22"/>
        </w:rPr>
        <w:t>s</w:t>
      </w:r>
      <w:r w:rsidRPr="00491313">
        <w:rPr>
          <w:szCs w:val="22"/>
        </w:rPr>
        <w:t>o that any pattern of abuse can be identified and reported as a single reportable incident.</w:t>
      </w:r>
    </w:p>
    <w:p w:rsidR="004F6692" w:rsidRPr="00491313" w:rsidRDefault="004F6692" w:rsidP="008D1B6B">
      <w:pPr>
        <w:spacing w:before="240"/>
      </w:pPr>
      <w:r w:rsidRPr="00491313">
        <w:t>This definition is based on the N</w:t>
      </w:r>
      <w:r w:rsidR="00417D97">
        <w:t>ational Disability Insurance Scheme (N</w:t>
      </w:r>
      <w:r w:rsidRPr="00491313">
        <w:t>DIS</w:t>
      </w:r>
      <w:r w:rsidR="00417D97">
        <w:t>)</w:t>
      </w:r>
      <w:r w:rsidRPr="00491313">
        <w:t xml:space="preserve"> definition.</w:t>
      </w:r>
    </w:p>
    <w:tbl>
      <w:tblPr>
        <w:tblStyle w:val="TableGrid"/>
        <w:tblW w:w="0" w:type="auto"/>
        <w:tblLook w:val="04A0" w:firstRow="1" w:lastRow="0" w:firstColumn="1" w:lastColumn="0" w:noHBand="0" w:noVBand="1"/>
        <w:tblCaption w:val="Psychological or emotional abuse"/>
        <w:tblDescription w:val="This table provides examples of inclidents for this definition committed by a staff member, family member, visitor or consumer"/>
      </w:tblPr>
      <w:tblGrid>
        <w:gridCol w:w="2268"/>
        <w:gridCol w:w="1842"/>
        <w:gridCol w:w="5448"/>
      </w:tblGrid>
      <w:tr w:rsidR="00891578" w:rsidRPr="00491313" w:rsidTr="00D50259">
        <w:trPr>
          <w:tblHeader/>
        </w:trPr>
        <w:tc>
          <w:tcPr>
            <w:tcW w:w="2268" w:type="dxa"/>
            <w:shd w:val="clear" w:color="auto" w:fill="3F4A75"/>
          </w:tcPr>
          <w:p w:rsidR="00891578"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who commits an incident</w:t>
            </w:r>
          </w:p>
        </w:tc>
        <w:tc>
          <w:tcPr>
            <w:tcW w:w="1842" w:type="dxa"/>
            <w:shd w:val="clear" w:color="auto" w:fill="3F4A75"/>
          </w:tcPr>
          <w:p w:rsidR="00891578"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891578" w:rsidRPr="00491313" w:rsidRDefault="00891578"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891578" w:rsidRPr="00491313" w:rsidTr="00EF7592">
        <w:tc>
          <w:tcPr>
            <w:tcW w:w="2268" w:type="dxa"/>
          </w:tcPr>
          <w:p w:rsidR="00891578" w:rsidRPr="00491313" w:rsidRDefault="00891578" w:rsidP="00891578">
            <w:pPr>
              <w:spacing w:before="0" w:after="0"/>
              <w:rPr>
                <w:rFonts w:cs="Arial"/>
                <w:szCs w:val="21"/>
              </w:rPr>
            </w:pPr>
            <w:r w:rsidRPr="00491313">
              <w:rPr>
                <w:rFonts w:cs="Arial"/>
                <w:szCs w:val="21"/>
              </w:rPr>
              <w:t>Staff member</w:t>
            </w:r>
          </w:p>
        </w:tc>
        <w:tc>
          <w:tcPr>
            <w:tcW w:w="1842" w:type="dxa"/>
          </w:tcPr>
          <w:p w:rsidR="00891578" w:rsidRPr="00491313" w:rsidRDefault="00891578" w:rsidP="00891578">
            <w:pPr>
              <w:spacing w:before="0" w:after="0"/>
              <w:rPr>
                <w:rFonts w:cs="Arial"/>
                <w:szCs w:val="21"/>
              </w:rPr>
            </w:pPr>
            <w:r w:rsidRPr="00491313">
              <w:rPr>
                <w:rFonts w:cs="Arial"/>
                <w:szCs w:val="21"/>
              </w:rPr>
              <w:t>Consumer</w:t>
            </w:r>
          </w:p>
        </w:tc>
        <w:tc>
          <w:tcPr>
            <w:tcW w:w="5448" w:type="dxa"/>
          </w:tcPr>
          <w:p w:rsidR="00891578" w:rsidRPr="00491313" w:rsidRDefault="00891578" w:rsidP="00692CAC">
            <w:pPr>
              <w:spacing w:before="0" w:after="0"/>
              <w:rPr>
                <w:rFonts w:cs="Arial"/>
                <w:szCs w:val="21"/>
              </w:rPr>
            </w:pPr>
            <w:r w:rsidRPr="00491313">
              <w:rPr>
                <w:rFonts w:cs="Arial"/>
                <w:szCs w:val="21"/>
              </w:rPr>
              <w:t>Yelling</w:t>
            </w:r>
          </w:p>
          <w:p w:rsidR="00891578" w:rsidRPr="00491313" w:rsidRDefault="00891578" w:rsidP="00692CAC">
            <w:pPr>
              <w:spacing w:before="0" w:after="0"/>
              <w:rPr>
                <w:rFonts w:cs="Arial"/>
                <w:szCs w:val="21"/>
              </w:rPr>
            </w:pPr>
            <w:r w:rsidRPr="00491313">
              <w:rPr>
                <w:rFonts w:cs="Arial"/>
                <w:szCs w:val="21"/>
              </w:rPr>
              <w:t>Name calling</w:t>
            </w:r>
          </w:p>
          <w:p w:rsidR="00891578" w:rsidRPr="00491313" w:rsidRDefault="00891578" w:rsidP="00692CAC">
            <w:pPr>
              <w:spacing w:before="0" w:after="0"/>
              <w:rPr>
                <w:rFonts w:cs="Arial"/>
                <w:szCs w:val="21"/>
              </w:rPr>
            </w:pPr>
            <w:r w:rsidRPr="00491313">
              <w:rPr>
                <w:rFonts w:cs="Arial"/>
                <w:szCs w:val="21"/>
              </w:rPr>
              <w:t>Ignoring a consumer</w:t>
            </w:r>
          </w:p>
          <w:p w:rsidR="00891578" w:rsidRPr="00491313" w:rsidRDefault="00891578" w:rsidP="00692CAC">
            <w:pPr>
              <w:spacing w:before="0" w:after="0"/>
              <w:rPr>
                <w:rFonts w:cs="Arial"/>
                <w:szCs w:val="21"/>
              </w:rPr>
            </w:pPr>
            <w:r w:rsidRPr="00491313">
              <w:rPr>
                <w:rFonts w:cs="Arial"/>
                <w:szCs w:val="21"/>
              </w:rPr>
              <w:t>Feigning violence</w:t>
            </w:r>
          </w:p>
          <w:p w:rsidR="00891578" w:rsidRPr="00491313" w:rsidRDefault="00891578" w:rsidP="00692CAC">
            <w:pPr>
              <w:spacing w:before="0" w:after="0"/>
              <w:rPr>
                <w:rFonts w:cs="Arial"/>
                <w:szCs w:val="21"/>
              </w:rPr>
            </w:pPr>
            <w:r w:rsidRPr="00491313">
              <w:rPr>
                <w:rFonts w:cs="Arial"/>
                <w:szCs w:val="21"/>
              </w:rPr>
              <w:t>Threats to withhold care or services</w:t>
            </w:r>
          </w:p>
          <w:p w:rsidR="003C4B14" w:rsidRPr="00491313" w:rsidRDefault="003C4B14" w:rsidP="00692CAC">
            <w:pPr>
              <w:spacing w:before="0" w:after="0"/>
              <w:rPr>
                <w:rFonts w:cs="Arial"/>
                <w:szCs w:val="21"/>
              </w:rPr>
            </w:pPr>
            <w:r w:rsidRPr="00491313">
              <w:rPr>
                <w:rFonts w:cs="Arial"/>
                <w:szCs w:val="21"/>
              </w:rPr>
              <w:t>Threatening gestures</w:t>
            </w:r>
          </w:p>
          <w:p w:rsidR="00891578" w:rsidRPr="00491313" w:rsidRDefault="00891578" w:rsidP="00692CAC">
            <w:pPr>
              <w:spacing w:before="0" w:after="0"/>
              <w:rPr>
                <w:rFonts w:cs="Arial"/>
                <w:szCs w:val="21"/>
              </w:rPr>
            </w:pPr>
            <w:r w:rsidRPr="00491313">
              <w:rPr>
                <w:rFonts w:cs="Arial"/>
                <w:szCs w:val="21"/>
              </w:rPr>
              <w:t>Punishing a consumer by refusing access to care or services</w:t>
            </w:r>
          </w:p>
          <w:p w:rsidR="00D94674" w:rsidRPr="00491313" w:rsidRDefault="00D94674" w:rsidP="00692CAC">
            <w:pPr>
              <w:spacing w:before="0" w:after="0"/>
              <w:rPr>
                <w:rFonts w:cs="Arial"/>
                <w:szCs w:val="21"/>
              </w:rPr>
            </w:pPr>
            <w:r w:rsidRPr="00491313">
              <w:rPr>
                <w:rFonts w:cs="Arial"/>
                <w:szCs w:val="21"/>
              </w:rPr>
              <w:t>Making disparaging comments about a person’s gender, sexual orientation, sexual identity, cultural identity or religious identity</w:t>
            </w:r>
          </w:p>
          <w:p w:rsidR="00891578" w:rsidRPr="00491313" w:rsidRDefault="00B17EAC" w:rsidP="00692CAC">
            <w:pPr>
              <w:spacing w:before="0" w:after="0"/>
              <w:rPr>
                <w:rFonts w:cs="Arial"/>
                <w:szCs w:val="21"/>
              </w:rPr>
            </w:pPr>
            <w:r w:rsidRPr="00491313">
              <w:rPr>
                <w:rFonts w:cs="Arial"/>
                <w:szCs w:val="21"/>
              </w:rPr>
              <w:t>Repeatedly flicking,</w:t>
            </w:r>
            <w:r w:rsidR="00891578" w:rsidRPr="00491313">
              <w:rPr>
                <w:rFonts w:cs="Arial"/>
                <w:szCs w:val="21"/>
              </w:rPr>
              <w:t xml:space="preserve"> tapping</w:t>
            </w:r>
            <w:r w:rsidRPr="00491313">
              <w:rPr>
                <w:rFonts w:cs="Arial"/>
                <w:szCs w:val="21"/>
              </w:rPr>
              <w:t>,</w:t>
            </w:r>
            <w:r w:rsidR="00891578" w:rsidRPr="00491313">
              <w:rPr>
                <w:rFonts w:cs="Arial"/>
                <w:szCs w:val="21"/>
              </w:rPr>
              <w:t xml:space="preserve"> </w:t>
            </w:r>
            <w:r w:rsidRPr="00491313">
              <w:rPr>
                <w:rFonts w:cs="Arial"/>
                <w:szCs w:val="21"/>
              </w:rPr>
              <w:t xml:space="preserve">bumping etc </w:t>
            </w:r>
            <w:r w:rsidR="00891578" w:rsidRPr="00491313">
              <w:rPr>
                <w:rFonts w:cs="Arial"/>
                <w:szCs w:val="21"/>
              </w:rPr>
              <w:t>a resident, which of itself does not constitute physical assault, but the repetitive nature causes psychological or emotional anguish, pain or distress</w:t>
            </w:r>
          </w:p>
        </w:tc>
      </w:tr>
      <w:tr w:rsidR="00891578" w:rsidRPr="00491313" w:rsidTr="00EF7592">
        <w:tc>
          <w:tcPr>
            <w:tcW w:w="2268" w:type="dxa"/>
          </w:tcPr>
          <w:p w:rsidR="00891578" w:rsidRPr="00491313" w:rsidRDefault="00891578" w:rsidP="00891578">
            <w:pPr>
              <w:spacing w:before="0" w:after="0"/>
              <w:rPr>
                <w:rFonts w:cs="Arial"/>
                <w:szCs w:val="21"/>
              </w:rPr>
            </w:pPr>
            <w:r w:rsidRPr="00491313">
              <w:rPr>
                <w:rFonts w:cs="Arial"/>
                <w:szCs w:val="21"/>
              </w:rPr>
              <w:t>Family member/visitor</w:t>
            </w:r>
          </w:p>
        </w:tc>
        <w:tc>
          <w:tcPr>
            <w:tcW w:w="1842" w:type="dxa"/>
          </w:tcPr>
          <w:p w:rsidR="00891578" w:rsidRPr="00491313" w:rsidRDefault="00891578" w:rsidP="00891578">
            <w:pPr>
              <w:spacing w:before="0" w:after="0"/>
              <w:rPr>
                <w:rFonts w:cs="Arial"/>
                <w:szCs w:val="21"/>
              </w:rPr>
            </w:pPr>
            <w:r w:rsidRPr="00491313">
              <w:rPr>
                <w:rFonts w:cs="Arial"/>
                <w:szCs w:val="21"/>
              </w:rPr>
              <w:t>Consumer</w:t>
            </w:r>
          </w:p>
        </w:tc>
        <w:tc>
          <w:tcPr>
            <w:tcW w:w="5448" w:type="dxa"/>
          </w:tcPr>
          <w:p w:rsidR="00891578" w:rsidRPr="00491313" w:rsidRDefault="00891578" w:rsidP="00891578">
            <w:pPr>
              <w:spacing w:before="0" w:after="0"/>
              <w:rPr>
                <w:rFonts w:cs="Arial"/>
                <w:szCs w:val="21"/>
              </w:rPr>
            </w:pPr>
            <w:r w:rsidRPr="00491313">
              <w:rPr>
                <w:rFonts w:cs="Arial"/>
                <w:szCs w:val="21"/>
              </w:rPr>
              <w:t>Yelling</w:t>
            </w:r>
          </w:p>
          <w:p w:rsidR="009B05A8" w:rsidRPr="00491313" w:rsidRDefault="009B05A8" w:rsidP="009B05A8">
            <w:pPr>
              <w:spacing w:before="0" w:after="0"/>
              <w:rPr>
                <w:rFonts w:cs="Arial"/>
                <w:szCs w:val="21"/>
              </w:rPr>
            </w:pPr>
            <w:r w:rsidRPr="00491313">
              <w:rPr>
                <w:rFonts w:cs="Arial"/>
                <w:szCs w:val="21"/>
              </w:rPr>
              <w:t>Feigning violence</w:t>
            </w:r>
          </w:p>
          <w:p w:rsidR="00D94674" w:rsidRPr="00491313" w:rsidRDefault="00D94674" w:rsidP="00D94674">
            <w:pPr>
              <w:spacing w:before="0" w:after="0"/>
              <w:rPr>
                <w:rFonts w:cs="Arial"/>
                <w:szCs w:val="21"/>
              </w:rPr>
            </w:pPr>
            <w:r w:rsidRPr="00491313">
              <w:rPr>
                <w:rFonts w:cs="Arial"/>
                <w:szCs w:val="21"/>
              </w:rPr>
              <w:t>Name calling</w:t>
            </w:r>
          </w:p>
          <w:p w:rsidR="00286F54" w:rsidRDefault="00286F54" w:rsidP="00286F54">
            <w:pPr>
              <w:spacing w:before="0" w:after="0"/>
              <w:rPr>
                <w:rFonts w:cs="Arial"/>
                <w:szCs w:val="21"/>
              </w:rPr>
            </w:pPr>
            <w:r w:rsidRPr="00491313">
              <w:rPr>
                <w:rFonts w:cs="Arial"/>
                <w:szCs w:val="21"/>
              </w:rPr>
              <w:t xml:space="preserve">Threatening gestures </w:t>
            </w:r>
          </w:p>
          <w:p w:rsidR="00D94674" w:rsidRPr="00491313" w:rsidRDefault="00D94674" w:rsidP="00286F54">
            <w:pPr>
              <w:spacing w:before="0" w:after="0"/>
              <w:rPr>
                <w:rFonts w:cs="Arial"/>
                <w:szCs w:val="21"/>
              </w:rPr>
            </w:pPr>
            <w:r w:rsidRPr="00491313">
              <w:rPr>
                <w:rFonts w:cs="Arial"/>
                <w:szCs w:val="21"/>
              </w:rPr>
              <w:t>Making disparaging comments about a person’s gender, sexual orientation, sexual identity, cultural identity or religious identity</w:t>
            </w:r>
          </w:p>
          <w:p w:rsidR="00891578" w:rsidRPr="00491313" w:rsidRDefault="00B17EAC" w:rsidP="00B17EAC">
            <w:pPr>
              <w:spacing w:before="0" w:after="0"/>
              <w:rPr>
                <w:rFonts w:cs="Arial"/>
                <w:szCs w:val="21"/>
              </w:rPr>
            </w:pPr>
            <w:r w:rsidRPr="00491313">
              <w:rPr>
                <w:rFonts w:cs="Arial"/>
                <w:szCs w:val="21"/>
              </w:rPr>
              <w:t xml:space="preserve">Repeatedly flicking, </w:t>
            </w:r>
            <w:r w:rsidR="00891578" w:rsidRPr="00491313">
              <w:rPr>
                <w:rFonts w:cs="Arial"/>
                <w:szCs w:val="21"/>
              </w:rPr>
              <w:t>tapping</w:t>
            </w:r>
            <w:r w:rsidRPr="00491313">
              <w:rPr>
                <w:rFonts w:cs="Arial"/>
                <w:szCs w:val="21"/>
              </w:rPr>
              <w:t>, bumping etc</w:t>
            </w:r>
            <w:r w:rsidR="00891578" w:rsidRPr="00491313">
              <w:rPr>
                <w:rFonts w:cs="Arial"/>
                <w:szCs w:val="21"/>
              </w:rPr>
              <w:t xml:space="preserve"> a resident, which of itself does not constitute physical assault, but the repetitive nature causes psychological or emotional abuse</w:t>
            </w:r>
          </w:p>
        </w:tc>
      </w:tr>
      <w:tr w:rsidR="00891578" w:rsidRPr="00491313" w:rsidTr="00EF7592">
        <w:tc>
          <w:tcPr>
            <w:tcW w:w="2268" w:type="dxa"/>
          </w:tcPr>
          <w:p w:rsidR="00891578" w:rsidRPr="00491313" w:rsidRDefault="00891578" w:rsidP="00891578">
            <w:pPr>
              <w:spacing w:before="0" w:after="0"/>
              <w:rPr>
                <w:rFonts w:cs="Arial"/>
                <w:szCs w:val="21"/>
              </w:rPr>
            </w:pPr>
            <w:r w:rsidRPr="00491313">
              <w:rPr>
                <w:rFonts w:cs="Arial"/>
                <w:szCs w:val="21"/>
              </w:rPr>
              <w:t>Consumer</w:t>
            </w:r>
          </w:p>
        </w:tc>
        <w:tc>
          <w:tcPr>
            <w:tcW w:w="1842" w:type="dxa"/>
          </w:tcPr>
          <w:p w:rsidR="00891578" w:rsidRPr="00491313" w:rsidRDefault="00891578" w:rsidP="00891578">
            <w:pPr>
              <w:spacing w:before="0" w:after="0"/>
              <w:rPr>
                <w:rFonts w:cs="Arial"/>
                <w:szCs w:val="21"/>
              </w:rPr>
            </w:pPr>
            <w:r w:rsidRPr="00491313">
              <w:rPr>
                <w:rFonts w:cs="Arial"/>
                <w:szCs w:val="21"/>
              </w:rPr>
              <w:t>Consumer</w:t>
            </w:r>
          </w:p>
        </w:tc>
        <w:tc>
          <w:tcPr>
            <w:tcW w:w="5448" w:type="dxa"/>
          </w:tcPr>
          <w:p w:rsidR="00891578" w:rsidRPr="00491313" w:rsidRDefault="00891578" w:rsidP="00891578">
            <w:pPr>
              <w:spacing w:before="0" w:after="0"/>
              <w:rPr>
                <w:rFonts w:cs="Arial"/>
                <w:szCs w:val="21"/>
              </w:rPr>
            </w:pPr>
            <w:r w:rsidRPr="00491313">
              <w:rPr>
                <w:rFonts w:cs="Arial"/>
                <w:szCs w:val="21"/>
              </w:rPr>
              <w:t>Yelling</w:t>
            </w:r>
          </w:p>
          <w:p w:rsidR="00891578" w:rsidRPr="00491313" w:rsidRDefault="00891578" w:rsidP="00891578">
            <w:pPr>
              <w:spacing w:before="0" w:after="0"/>
              <w:rPr>
                <w:rFonts w:cs="Arial"/>
                <w:szCs w:val="21"/>
              </w:rPr>
            </w:pPr>
            <w:r w:rsidRPr="00491313">
              <w:rPr>
                <w:rFonts w:cs="Arial"/>
                <w:szCs w:val="21"/>
              </w:rPr>
              <w:t>Feigning violence</w:t>
            </w:r>
          </w:p>
          <w:p w:rsidR="00D94674" w:rsidRPr="00491313" w:rsidRDefault="00D94674" w:rsidP="00D94674">
            <w:pPr>
              <w:spacing w:before="0" w:after="0"/>
              <w:rPr>
                <w:rFonts w:cs="Arial"/>
                <w:szCs w:val="21"/>
              </w:rPr>
            </w:pPr>
            <w:r w:rsidRPr="00491313">
              <w:rPr>
                <w:rFonts w:cs="Arial"/>
                <w:szCs w:val="21"/>
              </w:rPr>
              <w:t>Name calling</w:t>
            </w:r>
          </w:p>
          <w:p w:rsidR="00286F54" w:rsidRDefault="00286F54" w:rsidP="00286F54">
            <w:pPr>
              <w:spacing w:before="0" w:after="0"/>
              <w:rPr>
                <w:rFonts w:cs="Arial"/>
                <w:szCs w:val="21"/>
              </w:rPr>
            </w:pPr>
            <w:r w:rsidRPr="00491313">
              <w:rPr>
                <w:rFonts w:cs="Arial"/>
                <w:szCs w:val="21"/>
              </w:rPr>
              <w:t xml:space="preserve">Threatening gestures </w:t>
            </w:r>
          </w:p>
          <w:p w:rsidR="00D94674" w:rsidRPr="00491313" w:rsidRDefault="00D94674" w:rsidP="00286F54">
            <w:pPr>
              <w:spacing w:before="0" w:after="0"/>
              <w:rPr>
                <w:rFonts w:cs="Arial"/>
                <w:szCs w:val="21"/>
              </w:rPr>
            </w:pPr>
            <w:r w:rsidRPr="00491313">
              <w:rPr>
                <w:rFonts w:cs="Arial"/>
                <w:szCs w:val="21"/>
              </w:rPr>
              <w:t>Making disparaging comments about a person’s gender, sexual orientation, sexual identity, cultural identity or religious identity</w:t>
            </w:r>
          </w:p>
          <w:p w:rsidR="00891578" w:rsidRPr="00491313" w:rsidRDefault="00B17EAC" w:rsidP="00B17EAC">
            <w:pPr>
              <w:spacing w:before="0" w:after="0"/>
              <w:rPr>
                <w:rFonts w:cs="Arial"/>
                <w:szCs w:val="21"/>
              </w:rPr>
            </w:pPr>
            <w:r w:rsidRPr="00491313">
              <w:rPr>
                <w:rFonts w:cs="Arial"/>
                <w:szCs w:val="21"/>
              </w:rPr>
              <w:t xml:space="preserve">Repeatedly flicking, </w:t>
            </w:r>
            <w:r w:rsidR="00891578" w:rsidRPr="00491313">
              <w:rPr>
                <w:rFonts w:cs="Arial"/>
                <w:szCs w:val="21"/>
              </w:rPr>
              <w:t>tapping</w:t>
            </w:r>
            <w:r w:rsidR="009B05A8" w:rsidRPr="00491313">
              <w:rPr>
                <w:rFonts w:cs="Arial"/>
                <w:szCs w:val="21"/>
              </w:rPr>
              <w:t>,</w:t>
            </w:r>
            <w:r w:rsidR="00891578" w:rsidRPr="00491313">
              <w:rPr>
                <w:rFonts w:cs="Arial"/>
                <w:szCs w:val="21"/>
              </w:rPr>
              <w:t xml:space="preserve"> </w:t>
            </w:r>
            <w:r w:rsidRPr="00491313">
              <w:rPr>
                <w:rFonts w:cs="Arial"/>
                <w:szCs w:val="21"/>
              </w:rPr>
              <w:t xml:space="preserve">bumping etc </w:t>
            </w:r>
            <w:r w:rsidR="00891578" w:rsidRPr="00491313">
              <w:rPr>
                <w:rFonts w:cs="Arial"/>
                <w:szCs w:val="21"/>
              </w:rPr>
              <w:t>a resident, which of itself does not constitute physical assault, but the repetitive nature causes psychological or emotional anguish, pain or distress.</w:t>
            </w:r>
          </w:p>
        </w:tc>
      </w:tr>
    </w:tbl>
    <w:p w:rsidR="008A140F" w:rsidRPr="00491313" w:rsidRDefault="008A140F" w:rsidP="00700D2A">
      <w:pPr>
        <w:pStyle w:val="Heading2"/>
      </w:pPr>
      <w:bookmarkStart w:id="33" w:name="_Toc17354763"/>
      <w:bookmarkStart w:id="34" w:name="_Toc21590614"/>
      <w:bookmarkStart w:id="35" w:name="_Toc54950027"/>
      <w:r w:rsidRPr="00491313">
        <w:t xml:space="preserve">Unexpected </w:t>
      </w:r>
      <w:bookmarkEnd w:id="33"/>
      <w:r w:rsidRPr="00491313">
        <w:t>death</w:t>
      </w:r>
      <w:bookmarkEnd w:id="34"/>
      <w:bookmarkEnd w:id="35"/>
    </w:p>
    <w:p w:rsidR="008A140F" w:rsidRPr="00491313" w:rsidRDefault="00560359" w:rsidP="008A140F">
      <w:pPr>
        <w:rPr>
          <w:szCs w:val="22"/>
        </w:rPr>
      </w:pPr>
      <w:r w:rsidRPr="00491313">
        <w:rPr>
          <w:szCs w:val="22"/>
        </w:rPr>
        <w:t>T</w:t>
      </w:r>
      <w:r w:rsidR="00362339" w:rsidRPr="00491313">
        <w:rPr>
          <w:szCs w:val="22"/>
        </w:rPr>
        <w:t xml:space="preserve">he definition of unexpected death for </w:t>
      </w:r>
      <w:r w:rsidR="00134EE0" w:rsidRPr="00491313">
        <w:rPr>
          <w:szCs w:val="22"/>
        </w:rPr>
        <w:t xml:space="preserve">the </w:t>
      </w:r>
      <w:r w:rsidR="00362339" w:rsidRPr="00491313">
        <w:rPr>
          <w:szCs w:val="22"/>
        </w:rPr>
        <w:t xml:space="preserve">SIRS </w:t>
      </w:r>
      <w:r w:rsidRPr="00491313">
        <w:rPr>
          <w:szCs w:val="22"/>
        </w:rPr>
        <w:t xml:space="preserve">will </w:t>
      </w:r>
      <w:r w:rsidR="00362339" w:rsidRPr="00491313">
        <w:rPr>
          <w:szCs w:val="22"/>
        </w:rPr>
        <w:t>be:</w:t>
      </w:r>
      <w:r w:rsidR="008A140F" w:rsidRPr="00491313">
        <w:rPr>
          <w:szCs w:val="22"/>
        </w:rPr>
        <w:t xml:space="preserve"> </w:t>
      </w:r>
    </w:p>
    <w:p w:rsidR="008A140F" w:rsidRPr="00491313" w:rsidRDefault="0000001A" w:rsidP="008A140F">
      <w:pPr>
        <w:ind w:left="567" w:right="992"/>
        <w:rPr>
          <w:i/>
        </w:rPr>
      </w:pPr>
      <w:r w:rsidRPr="00491313">
        <w:rPr>
          <w:i/>
        </w:rPr>
        <w:t xml:space="preserve">Death that is unexpected, where </w:t>
      </w:r>
      <w:r w:rsidR="00362339" w:rsidRPr="00491313">
        <w:rPr>
          <w:i/>
        </w:rPr>
        <w:t>steps may not have been taken to prevent</w:t>
      </w:r>
      <w:r w:rsidR="00AC112D" w:rsidRPr="00491313">
        <w:rPr>
          <w:i/>
        </w:rPr>
        <w:t xml:space="preserve"> the death</w:t>
      </w:r>
      <w:r w:rsidR="00362339" w:rsidRPr="00491313">
        <w:rPr>
          <w:i/>
        </w:rPr>
        <w:t xml:space="preserve">, or </w:t>
      </w:r>
      <w:r w:rsidRPr="00491313">
        <w:rPr>
          <w:i/>
        </w:rPr>
        <w:t xml:space="preserve">the death </w:t>
      </w:r>
      <w:r w:rsidR="00362339" w:rsidRPr="00491313">
        <w:rPr>
          <w:i/>
        </w:rPr>
        <w:t>result</w:t>
      </w:r>
      <w:r w:rsidRPr="00491313">
        <w:rPr>
          <w:i/>
        </w:rPr>
        <w:t>s</w:t>
      </w:r>
      <w:r w:rsidR="00362339" w:rsidRPr="00491313">
        <w:rPr>
          <w:i/>
        </w:rPr>
        <w:t xml:space="preserve"> from</w:t>
      </w:r>
      <w:r w:rsidRPr="00491313">
        <w:rPr>
          <w:i/>
        </w:rPr>
        <w:t xml:space="preserve"> an</w:t>
      </w:r>
      <w:r w:rsidR="00362339" w:rsidRPr="00491313">
        <w:rPr>
          <w:i/>
        </w:rPr>
        <w:t xml:space="preserve"> intervention.</w:t>
      </w:r>
    </w:p>
    <w:tbl>
      <w:tblPr>
        <w:tblStyle w:val="TableGrid"/>
        <w:tblW w:w="0" w:type="auto"/>
        <w:tblLook w:val="04A0" w:firstRow="1" w:lastRow="0" w:firstColumn="1" w:lastColumn="0" w:noHBand="0" w:noVBand="1"/>
        <w:tblCaption w:val="Unexpected death"/>
        <w:tblDescription w:val="This table provides examples of inclidents for this definition committed by a staff member, provider or consumer"/>
      </w:tblPr>
      <w:tblGrid>
        <w:gridCol w:w="2268"/>
        <w:gridCol w:w="1842"/>
        <w:gridCol w:w="5448"/>
      </w:tblGrid>
      <w:tr w:rsidR="00891578" w:rsidRPr="00491313" w:rsidTr="00D50259">
        <w:trPr>
          <w:tblHeader/>
        </w:trPr>
        <w:tc>
          <w:tcPr>
            <w:tcW w:w="2268" w:type="dxa"/>
            <w:shd w:val="clear" w:color="auto" w:fill="3F4A75"/>
          </w:tcPr>
          <w:p w:rsidR="00891578" w:rsidRPr="00491313" w:rsidRDefault="00CE7216" w:rsidP="00EF7592">
            <w:pPr>
              <w:spacing w:before="60" w:after="60" w:line="360" w:lineRule="auto"/>
              <w:rPr>
                <w:rFonts w:eastAsia="MS Gothic" w:cs="Arial"/>
                <w:color w:val="FFFFFF" w:themeColor="background1"/>
                <w:sz w:val="22"/>
                <w:szCs w:val="22"/>
                <w:lang w:val="en-US"/>
              </w:rPr>
            </w:pPr>
            <w:bookmarkStart w:id="36" w:name="_Toc21590615"/>
            <w:r w:rsidRPr="00491313">
              <w:rPr>
                <w:rFonts w:eastAsia="MS Gothic" w:cs="Arial"/>
                <w:color w:val="FFFFFF" w:themeColor="background1"/>
                <w:sz w:val="22"/>
                <w:szCs w:val="22"/>
                <w:lang w:val="en-US"/>
              </w:rPr>
              <w:t>Person who commits an incident</w:t>
            </w:r>
          </w:p>
        </w:tc>
        <w:tc>
          <w:tcPr>
            <w:tcW w:w="1842" w:type="dxa"/>
            <w:shd w:val="clear" w:color="auto" w:fill="3F4A75"/>
          </w:tcPr>
          <w:p w:rsidR="00891578"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891578" w:rsidRPr="00491313" w:rsidRDefault="00891578"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891578" w:rsidRPr="00491313" w:rsidTr="00EF7592">
        <w:tc>
          <w:tcPr>
            <w:tcW w:w="2268" w:type="dxa"/>
          </w:tcPr>
          <w:p w:rsidR="00891578" w:rsidRPr="00491313" w:rsidRDefault="00891578" w:rsidP="00891578">
            <w:pPr>
              <w:spacing w:before="0" w:after="0"/>
              <w:rPr>
                <w:rFonts w:cs="Arial"/>
                <w:szCs w:val="21"/>
              </w:rPr>
            </w:pPr>
            <w:r w:rsidRPr="00491313">
              <w:rPr>
                <w:rFonts w:cs="Arial"/>
                <w:szCs w:val="21"/>
              </w:rPr>
              <w:t>Staff member</w:t>
            </w:r>
          </w:p>
        </w:tc>
        <w:tc>
          <w:tcPr>
            <w:tcW w:w="1842" w:type="dxa"/>
          </w:tcPr>
          <w:p w:rsidR="00891578" w:rsidRPr="00491313" w:rsidRDefault="00891578" w:rsidP="00891578">
            <w:pPr>
              <w:spacing w:before="0" w:after="0"/>
              <w:rPr>
                <w:rFonts w:cs="Arial"/>
                <w:szCs w:val="21"/>
              </w:rPr>
            </w:pPr>
            <w:r w:rsidRPr="00491313">
              <w:rPr>
                <w:rFonts w:cs="Arial"/>
                <w:szCs w:val="21"/>
              </w:rPr>
              <w:t>Consumer</w:t>
            </w:r>
          </w:p>
        </w:tc>
        <w:tc>
          <w:tcPr>
            <w:tcW w:w="5448" w:type="dxa"/>
          </w:tcPr>
          <w:p w:rsidR="00891578" w:rsidRPr="00491313" w:rsidRDefault="00891578" w:rsidP="003C4B14">
            <w:pPr>
              <w:spacing w:before="0" w:after="0"/>
              <w:rPr>
                <w:rFonts w:cs="Arial"/>
                <w:szCs w:val="21"/>
              </w:rPr>
            </w:pPr>
            <w:r w:rsidRPr="00491313">
              <w:rPr>
                <w:rFonts w:cs="Arial"/>
                <w:szCs w:val="21"/>
              </w:rPr>
              <w:t xml:space="preserve">A </w:t>
            </w:r>
            <w:r w:rsidR="00ED710F" w:rsidRPr="00491313">
              <w:rPr>
                <w:rFonts w:cs="Arial"/>
                <w:szCs w:val="21"/>
              </w:rPr>
              <w:t xml:space="preserve">consumer </w:t>
            </w:r>
            <w:r w:rsidR="003C4B14" w:rsidRPr="00491313">
              <w:rPr>
                <w:rFonts w:cs="Arial"/>
                <w:szCs w:val="21"/>
              </w:rPr>
              <w:t xml:space="preserve">falls </w:t>
            </w:r>
            <w:r w:rsidRPr="00491313">
              <w:rPr>
                <w:rFonts w:cs="Arial"/>
                <w:szCs w:val="21"/>
              </w:rPr>
              <w:t xml:space="preserve">while being moved or shifted, with the injuries sustained resulting in the </w:t>
            </w:r>
            <w:r w:rsidR="00ED710F" w:rsidRPr="00491313">
              <w:rPr>
                <w:rFonts w:cs="Arial"/>
                <w:szCs w:val="21"/>
              </w:rPr>
              <w:t xml:space="preserve">consumer’s </w:t>
            </w:r>
            <w:r w:rsidRPr="00491313">
              <w:rPr>
                <w:rFonts w:cs="Arial"/>
                <w:szCs w:val="21"/>
              </w:rPr>
              <w:t>death</w:t>
            </w:r>
            <w:r w:rsidR="002F67E5" w:rsidRPr="00491313">
              <w:rPr>
                <w:rFonts w:cs="Arial"/>
                <w:szCs w:val="21"/>
              </w:rPr>
              <w:t>.</w:t>
            </w:r>
            <w:r w:rsidRPr="00491313">
              <w:rPr>
                <w:rFonts w:cs="Arial"/>
                <w:szCs w:val="21"/>
              </w:rPr>
              <w:t xml:space="preserve"> </w:t>
            </w:r>
          </w:p>
        </w:tc>
      </w:tr>
      <w:tr w:rsidR="00891578" w:rsidRPr="00491313" w:rsidTr="00EF7592">
        <w:tc>
          <w:tcPr>
            <w:tcW w:w="2268" w:type="dxa"/>
          </w:tcPr>
          <w:p w:rsidR="00891578" w:rsidRPr="00491313" w:rsidRDefault="00891578" w:rsidP="00891578">
            <w:pPr>
              <w:spacing w:before="0" w:after="0"/>
              <w:rPr>
                <w:rFonts w:cs="Arial"/>
                <w:szCs w:val="21"/>
              </w:rPr>
            </w:pPr>
            <w:r w:rsidRPr="00491313">
              <w:rPr>
                <w:rFonts w:cs="Arial"/>
                <w:szCs w:val="21"/>
              </w:rPr>
              <w:t>Provider</w:t>
            </w:r>
          </w:p>
        </w:tc>
        <w:tc>
          <w:tcPr>
            <w:tcW w:w="1842" w:type="dxa"/>
          </w:tcPr>
          <w:p w:rsidR="00891578" w:rsidRPr="00491313" w:rsidRDefault="00891578" w:rsidP="00891578">
            <w:pPr>
              <w:spacing w:before="0" w:after="0"/>
              <w:rPr>
                <w:rFonts w:cs="Arial"/>
                <w:szCs w:val="21"/>
              </w:rPr>
            </w:pPr>
            <w:r w:rsidRPr="00491313">
              <w:rPr>
                <w:rFonts w:cs="Arial"/>
                <w:szCs w:val="21"/>
              </w:rPr>
              <w:t>Consumer</w:t>
            </w:r>
          </w:p>
        </w:tc>
        <w:tc>
          <w:tcPr>
            <w:tcW w:w="5448" w:type="dxa"/>
          </w:tcPr>
          <w:p w:rsidR="00891578" w:rsidRPr="00491313" w:rsidRDefault="00891578" w:rsidP="0022512C">
            <w:pPr>
              <w:spacing w:before="0" w:after="0"/>
              <w:rPr>
                <w:rFonts w:cs="Arial"/>
                <w:szCs w:val="21"/>
              </w:rPr>
            </w:pPr>
            <w:r w:rsidRPr="00491313">
              <w:rPr>
                <w:rFonts w:cs="Arial"/>
                <w:szCs w:val="21"/>
              </w:rPr>
              <w:t xml:space="preserve">Untreated </w:t>
            </w:r>
            <w:r w:rsidR="003C4B14" w:rsidRPr="00491313">
              <w:rPr>
                <w:rFonts w:cs="Arial"/>
                <w:szCs w:val="21"/>
              </w:rPr>
              <w:t>pressure injury left untreated</w:t>
            </w:r>
            <w:r w:rsidRPr="00491313">
              <w:rPr>
                <w:rFonts w:cs="Arial"/>
                <w:szCs w:val="21"/>
              </w:rPr>
              <w:t xml:space="preserve"> that becomes infected, and appropriate medical assessment/treatment was </w:t>
            </w:r>
            <w:r w:rsidR="003C4B14" w:rsidRPr="00491313">
              <w:rPr>
                <w:rFonts w:cs="Arial"/>
                <w:szCs w:val="21"/>
              </w:rPr>
              <w:t xml:space="preserve">delayed or </w:t>
            </w:r>
            <w:r w:rsidRPr="00491313">
              <w:rPr>
                <w:rFonts w:cs="Arial"/>
                <w:szCs w:val="21"/>
              </w:rPr>
              <w:t xml:space="preserve">not given resulting in the </w:t>
            </w:r>
            <w:r w:rsidR="0022512C" w:rsidRPr="00491313">
              <w:rPr>
                <w:rFonts w:cs="Arial"/>
                <w:szCs w:val="21"/>
              </w:rPr>
              <w:t>consumer’s</w:t>
            </w:r>
            <w:r w:rsidRPr="00491313">
              <w:rPr>
                <w:rFonts w:cs="Arial"/>
                <w:szCs w:val="21"/>
              </w:rPr>
              <w:t xml:space="preserve"> death</w:t>
            </w:r>
            <w:r w:rsidR="00A274D9" w:rsidRPr="00491313">
              <w:rPr>
                <w:rFonts w:cs="Arial"/>
                <w:szCs w:val="21"/>
              </w:rPr>
              <w:t>.</w:t>
            </w:r>
          </w:p>
          <w:p w:rsidR="002F67E5" w:rsidRPr="00491313" w:rsidRDefault="002F67E5" w:rsidP="0022512C">
            <w:pPr>
              <w:spacing w:before="0" w:after="0"/>
              <w:rPr>
                <w:rFonts w:cs="Arial"/>
                <w:szCs w:val="21"/>
              </w:rPr>
            </w:pPr>
            <w:r w:rsidRPr="00491313">
              <w:rPr>
                <w:rFonts w:cs="Arial"/>
                <w:szCs w:val="21"/>
              </w:rPr>
              <w:t>A fall results in an unexpected death.</w:t>
            </w:r>
          </w:p>
        </w:tc>
      </w:tr>
      <w:tr w:rsidR="004F093B" w:rsidRPr="00491313" w:rsidTr="00EF7592">
        <w:tc>
          <w:tcPr>
            <w:tcW w:w="2268" w:type="dxa"/>
          </w:tcPr>
          <w:p w:rsidR="004F093B" w:rsidRPr="00491313" w:rsidRDefault="004F093B" w:rsidP="00891578">
            <w:pPr>
              <w:spacing w:before="0" w:after="0"/>
              <w:rPr>
                <w:rFonts w:cs="Arial"/>
                <w:szCs w:val="21"/>
              </w:rPr>
            </w:pPr>
            <w:r w:rsidRPr="00491313">
              <w:rPr>
                <w:rFonts w:cs="Arial"/>
                <w:szCs w:val="21"/>
              </w:rPr>
              <w:t>Consumer</w:t>
            </w:r>
          </w:p>
        </w:tc>
        <w:tc>
          <w:tcPr>
            <w:tcW w:w="1842" w:type="dxa"/>
          </w:tcPr>
          <w:p w:rsidR="004F093B" w:rsidRPr="00491313" w:rsidRDefault="004F093B" w:rsidP="00891578">
            <w:pPr>
              <w:spacing w:before="0" w:after="0"/>
              <w:rPr>
                <w:rFonts w:cs="Arial"/>
                <w:szCs w:val="21"/>
              </w:rPr>
            </w:pPr>
            <w:r w:rsidRPr="00491313">
              <w:rPr>
                <w:rFonts w:cs="Arial"/>
                <w:szCs w:val="21"/>
              </w:rPr>
              <w:t>Consumer</w:t>
            </w:r>
          </w:p>
        </w:tc>
        <w:tc>
          <w:tcPr>
            <w:tcW w:w="5448" w:type="dxa"/>
          </w:tcPr>
          <w:p w:rsidR="004F093B" w:rsidRPr="00491313" w:rsidRDefault="004F093B" w:rsidP="00993E85">
            <w:pPr>
              <w:spacing w:before="0" w:after="0"/>
              <w:rPr>
                <w:rFonts w:cs="Arial"/>
                <w:szCs w:val="21"/>
              </w:rPr>
            </w:pPr>
            <w:r w:rsidRPr="00491313">
              <w:rPr>
                <w:rFonts w:cs="Arial"/>
                <w:szCs w:val="21"/>
              </w:rPr>
              <w:t>Where the actions of a consumer result in the death of another consumer, such as</w:t>
            </w:r>
            <w:r w:rsidR="009B05A8" w:rsidRPr="00491313">
              <w:rPr>
                <w:rFonts w:cs="Arial"/>
                <w:szCs w:val="21"/>
              </w:rPr>
              <w:t xml:space="preserve"> from an assault</w:t>
            </w:r>
            <w:r w:rsidRPr="00491313">
              <w:rPr>
                <w:rFonts w:cs="Arial"/>
                <w:szCs w:val="21"/>
              </w:rPr>
              <w:t xml:space="preserve">. </w:t>
            </w:r>
          </w:p>
        </w:tc>
      </w:tr>
    </w:tbl>
    <w:p w:rsidR="008A140F" w:rsidRPr="00491313" w:rsidRDefault="008A140F" w:rsidP="00700D2A">
      <w:pPr>
        <w:pStyle w:val="Heading2"/>
      </w:pPr>
      <w:bookmarkStart w:id="37" w:name="_Toc54950028"/>
      <w:r w:rsidRPr="00491313">
        <w:t>Stealing or</w:t>
      </w:r>
      <w:r w:rsidR="003C4B14" w:rsidRPr="00491313">
        <w:t xml:space="preserve"> financial</w:t>
      </w:r>
      <w:r w:rsidRPr="00491313">
        <w:t xml:space="preserve"> coercion by a staff member</w:t>
      </w:r>
      <w:bookmarkEnd w:id="36"/>
      <w:bookmarkEnd w:id="37"/>
    </w:p>
    <w:p w:rsidR="00550DEC" w:rsidRPr="00491313" w:rsidRDefault="00550DEC" w:rsidP="00550DEC">
      <w:pPr>
        <w:rPr>
          <w:szCs w:val="22"/>
        </w:rPr>
      </w:pPr>
      <w:r w:rsidRPr="00491313">
        <w:rPr>
          <w:szCs w:val="22"/>
        </w:rPr>
        <w:t xml:space="preserve">The definition of stealing or coercion by a staff member will be: </w:t>
      </w:r>
    </w:p>
    <w:p w:rsidR="0033256E" w:rsidRPr="00491313" w:rsidRDefault="00362339" w:rsidP="00380589">
      <w:pPr>
        <w:pStyle w:val="Quote"/>
        <w:ind w:right="992"/>
      </w:pPr>
      <w:r w:rsidRPr="00491313">
        <w:t>Stealing from an aged care consumer or b</w:t>
      </w:r>
      <w:r w:rsidR="0033256E" w:rsidRPr="00491313">
        <w:t>ehaviour that is coercive, deceptive, or unreasonably controls the finances of an aged care consumer</w:t>
      </w:r>
      <w:r w:rsidR="00550DEC" w:rsidRPr="00491313">
        <w:t xml:space="preserve"> by a staff member</w:t>
      </w:r>
      <w:r w:rsidR="0033256E" w:rsidRPr="00491313">
        <w:t>.</w:t>
      </w:r>
    </w:p>
    <w:p w:rsidR="00550DEC" w:rsidRPr="00491313" w:rsidRDefault="00550DEC" w:rsidP="00550DEC">
      <w:pPr>
        <w:rPr>
          <w:szCs w:val="22"/>
        </w:rPr>
      </w:pPr>
      <w:r w:rsidRPr="00491313">
        <w:rPr>
          <w:szCs w:val="22"/>
        </w:rPr>
        <w:t xml:space="preserve">This definition has been adapted from the definition in Section 6 of the Victorian </w:t>
      </w:r>
      <w:hyperlink r:id="rId15" w:history="1">
        <w:r w:rsidRPr="00491313">
          <w:rPr>
            <w:rStyle w:val="Hyperlink"/>
            <w:szCs w:val="22"/>
          </w:rPr>
          <w:t>Family Violence Protection Act 2008</w:t>
        </w:r>
      </w:hyperlink>
      <w:r w:rsidRPr="00491313">
        <w:rPr>
          <w:szCs w:val="22"/>
        </w:rPr>
        <w:t>.</w:t>
      </w:r>
    </w:p>
    <w:tbl>
      <w:tblPr>
        <w:tblStyle w:val="TableGrid"/>
        <w:tblW w:w="0" w:type="auto"/>
        <w:tblLook w:val="04A0" w:firstRow="1" w:lastRow="0" w:firstColumn="1" w:lastColumn="0" w:noHBand="0" w:noVBand="1"/>
        <w:tblCaption w:val="Stealing or financial coercion by a staff member"/>
        <w:tblDescription w:val="The header row has column titles of the person who commits an incident, the person affected by an incident and examples"/>
      </w:tblPr>
      <w:tblGrid>
        <w:gridCol w:w="2268"/>
        <w:gridCol w:w="1842"/>
        <w:gridCol w:w="5448"/>
      </w:tblGrid>
      <w:tr w:rsidR="00995C71" w:rsidRPr="00491313" w:rsidTr="00D50259">
        <w:trPr>
          <w:tblHeader/>
        </w:trPr>
        <w:tc>
          <w:tcPr>
            <w:tcW w:w="2268" w:type="dxa"/>
            <w:shd w:val="clear" w:color="auto" w:fill="3F4A75"/>
          </w:tcPr>
          <w:p w:rsidR="00995C71"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who commits an incident</w:t>
            </w:r>
          </w:p>
        </w:tc>
        <w:tc>
          <w:tcPr>
            <w:tcW w:w="1842" w:type="dxa"/>
            <w:shd w:val="clear" w:color="auto" w:fill="3F4A75"/>
          </w:tcPr>
          <w:p w:rsidR="00995C71"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995C71" w:rsidRPr="00491313" w:rsidRDefault="00995C71"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995C71" w:rsidRPr="00491313" w:rsidTr="00D50259">
        <w:tc>
          <w:tcPr>
            <w:tcW w:w="2268" w:type="dxa"/>
          </w:tcPr>
          <w:p w:rsidR="00995C71" w:rsidRPr="00491313" w:rsidRDefault="00995C71" w:rsidP="00995C71">
            <w:pPr>
              <w:spacing w:before="0" w:after="0"/>
              <w:rPr>
                <w:rFonts w:cs="Arial"/>
                <w:szCs w:val="21"/>
              </w:rPr>
            </w:pPr>
            <w:r w:rsidRPr="00491313">
              <w:rPr>
                <w:rFonts w:cs="Arial"/>
                <w:szCs w:val="21"/>
              </w:rPr>
              <w:t>Staff member</w:t>
            </w:r>
          </w:p>
        </w:tc>
        <w:tc>
          <w:tcPr>
            <w:tcW w:w="1842" w:type="dxa"/>
          </w:tcPr>
          <w:p w:rsidR="00995C71" w:rsidRPr="00491313" w:rsidRDefault="00995C71" w:rsidP="00995C71">
            <w:pPr>
              <w:spacing w:before="0" w:after="0"/>
              <w:rPr>
                <w:rFonts w:cs="Arial"/>
                <w:szCs w:val="21"/>
              </w:rPr>
            </w:pPr>
            <w:r w:rsidRPr="00491313">
              <w:rPr>
                <w:rFonts w:cs="Arial"/>
                <w:szCs w:val="21"/>
              </w:rPr>
              <w:t>Consumer</w:t>
            </w:r>
          </w:p>
        </w:tc>
        <w:tc>
          <w:tcPr>
            <w:tcW w:w="5448" w:type="dxa"/>
          </w:tcPr>
          <w:p w:rsidR="00995C71" w:rsidRPr="00491313" w:rsidRDefault="00995C71" w:rsidP="00995C71">
            <w:pPr>
              <w:spacing w:before="0" w:after="0"/>
              <w:rPr>
                <w:rFonts w:cs="Arial"/>
                <w:szCs w:val="21"/>
              </w:rPr>
            </w:pPr>
            <w:r w:rsidRPr="00491313">
              <w:rPr>
                <w:rFonts w:cs="Arial"/>
                <w:szCs w:val="21"/>
              </w:rPr>
              <w:t>A staff member coerces a consumer to change their will in favour of the staff member.</w:t>
            </w:r>
          </w:p>
          <w:p w:rsidR="00995C71" w:rsidRPr="00491313" w:rsidRDefault="00995C71" w:rsidP="00995C71">
            <w:pPr>
              <w:spacing w:before="0" w:after="0"/>
              <w:rPr>
                <w:rFonts w:cs="Arial"/>
                <w:szCs w:val="21"/>
              </w:rPr>
            </w:pPr>
            <w:r w:rsidRPr="00491313">
              <w:rPr>
                <w:rFonts w:cs="Arial"/>
                <w:szCs w:val="21"/>
              </w:rPr>
              <w:t>A staff member steals money or valuables from a resident</w:t>
            </w:r>
            <w:r w:rsidR="00A274D9" w:rsidRPr="00491313">
              <w:rPr>
                <w:rFonts w:cs="Arial"/>
                <w:szCs w:val="21"/>
              </w:rPr>
              <w:t>.</w:t>
            </w:r>
          </w:p>
        </w:tc>
      </w:tr>
    </w:tbl>
    <w:p w:rsidR="008A140F" w:rsidRPr="00491313" w:rsidRDefault="008A140F" w:rsidP="00700D2A">
      <w:pPr>
        <w:pStyle w:val="Heading2"/>
      </w:pPr>
      <w:bookmarkStart w:id="38" w:name="_Toc21590616"/>
      <w:bookmarkStart w:id="39" w:name="_Toc54950029"/>
      <w:r w:rsidRPr="00491313">
        <w:t>Neglect</w:t>
      </w:r>
      <w:bookmarkEnd w:id="38"/>
      <w:bookmarkEnd w:id="39"/>
    </w:p>
    <w:p w:rsidR="0033256E" w:rsidRPr="00491313" w:rsidRDefault="00550DEC" w:rsidP="00C44E3F">
      <w:pPr>
        <w:rPr>
          <w:szCs w:val="22"/>
        </w:rPr>
      </w:pPr>
      <w:r w:rsidRPr="00491313">
        <w:rPr>
          <w:szCs w:val="22"/>
        </w:rPr>
        <w:t>T</w:t>
      </w:r>
      <w:r w:rsidR="0033256E" w:rsidRPr="00491313">
        <w:rPr>
          <w:szCs w:val="22"/>
        </w:rPr>
        <w:t>he following definition for the SIRS</w:t>
      </w:r>
      <w:r w:rsidR="00560359" w:rsidRPr="00491313">
        <w:rPr>
          <w:szCs w:val="22"/>
        </w:rPr>
        <w:t xml:space="preserve"> will be</w:t>
      </w:r>
      <w:r w:rsidR="0033256E" w:rsidRPr="00491313">
        <w:rPr>
          <w:szCs w:val="22"/>
        </w:rPr>
        <w:t>:</w:t>
      </w:r>
    </w:p>
    <w:p w:rsidR="0033256E" w:rsidRPr="00491313" w:rsidRDefault="0033256E" w:rsidP="00380589">
      <w:pPr>
        <w:ind w:left="567" w:right="992"/>
        <w:rPr>
          <w:i/>
        </w:rPr>
      </w:pPr>
      <w:r w:rsidRPr="00491313">
        <w:rPr>
          <w:i/>
        </w:rPr>
        <w:t>Intentional or reckless failure in the duty of care for an aged care consumer that may also be a gross breach of professional standards</w:t>
      </w:r>
      <w:r w:rsidR="00FB4322" w:rsidRPr="00491313">
        <w:rPr>
          <w:i/>
        </w:rPr>
        <w:t xml:space="preserve"> resulting in significant harm or the potential to result in death or significant harm</w:t>
      </w:r>
      <w:r w:rsidRPr="00491313">
        <w:rPr>
          <w:i/>
        </w:rPr>
        <w:t>.</w:t>
      </w:r>
    </w:p>
    <w:p w:rsidR="000B3135" w:rsidRPr="00491313" w:rsidRDefault="000B3135" w:rsidP="00C44E3F">
      <w:pPr>
        <w:rPr>
          <w:szCs w:val="22"/>
        </w:rPr>
      </w:pPr>
      <w:r w:rsidRPr="00491313">
        <w:rPr>
          <w:szCs w:val="22"/>
        </w:rPr>
        <w:t xml:space="preserve">Neglect </w:t>
      </w:r>
      <w:r w:rsidR="0022512C" w:rsidRPr="00491313">
        <w:rPr>
          <w:szCs w:val="22"/>
        </w:rPr>
        <w:t>may</w:t>
      </w:r>
      <w:r w:rsidRPr="00491313">
        <w:rPr>
          <w:szCs w:val="22"/>
        </w:rPr>
        <w:t xml:space="preserve"> be </w:t>
      </w:r>
      <w:r w:rsidR="00851980" w:rsidRPr="00491313">
        <w:rPr>
          <w:szCs w:val="22"/>
        </w:rPr>
        <w:t xml:space="preserve">as a result of </w:t>
      </w:r>
      <w:r w:rsidRPr="00491313">
        <w:rPr>
          <w:szCs w:val="22"/>
        </w:rPr>
        <w:t>systemic issue</w:t>
      </w:r>
      <w:r w:rsidR="00851980" w:rsidRPr="00491313">
        <w:rPr>
          <w:szCs w:val="22"/>
        </w:rPr>
        <w:t>s within an aged care home,</w:t>
      </w:r>
      <w:r w:rsidRPr="00491313">
        <w:rPr>
          <w:szCs w:val="22"/>
        </w:rPr>
        <w:t xml:space="preserve"> </w:t>
      </w:r>
      <w:r w:rsidR="00BB1A97" w:rsidRPr="00491313">
        <w:rPr>
          <w:szCs w:val="22"/>
        </w:rPr>
        <w:t xml:space="preserve">for example </w:t>
      </w:r>
      <w:r w:rsidR="00064E9C" w:rsidRPr="00491313">
        <w:rPr>
          <w:szCs w:val="22"/>
        </w:rPr>
        <w:t xml:space="preserve">lack of appropriate </w:t>
      </w:r>
      <w:r w:rsidR="00851980" w:rsidRPr="00491313">
        <w:rPr>
          <w:szCs w:val="22"/>
        </w:rPr>
        <w:t xml:space="preserve">policies, </w:t>
      </w:r>
      <w:r w:rsidR="00BB1A97" w:rsidRPr="00491313">
        <w:rPr>
          <w:szCs w:val="22"/>
        </w:rPr>
        <w:t>procedures and/or p</w:t>
      </w:r>
      <w:r w:rsidR="00851980" w:rsidRPr="00491313">
        <w:rPr>
          <w:szCs w:val="22"/>
        </w:rPr>
        <w:t xml:space="preserve">ractice resulting </w:t>
      </w:r>
      <w:r w:rsidR="00064E9C" w:rsidRPr="00491313">
        <w:rPr>
          <w:szCs w:val="22"/>
        </w:rPr>
        <w:t xml:space="preserve">poor quality </w:t>
      </w:r>
      <w:r w:rsidR="00851980" w:rsidRPr="00491313">
        <w:rPr>
          <w:szCs w:val="22"/>
        </w:rPr>
        <w:t xml:space="preserve">care for </w:t>
      </w:r>
      <w:r w:rsidR="00BB1A97" w:rsidRPr="00491313">
        <w:rPr>
          <w:szCs w:val="22"/>
        </w:rPr>
        <w:t>aged care consumers.</w:t>
      </w:r>
      <w:r w:rsidR="0022512C" w:rsidRPr="00491313">
        <w:rPr>
          <w:szCs w:val="22"/>
        </w:rPr>
        <w:t xml:space="preserve"> Neglect may also be the deliberate and negligent conduct of one individual</w:t>
      </w:r>
      <w:r w:rsidR="003C4B14" w:rsidRPr="00491313">
        <w:rPr>
          <w:szCs w:val="22"/>
        </w:rPr>
        <w:t xml:space="preserve"> either as a one off incident or repeated incidents</w:t>
      </w:r>
      <w:r w:rsidR="0022512C" w:rsidRPr="00491313">
        <w:rPr>
          <w:szCs w:val="22"/>
        </w:rPr>
        <w:t>.</w:t>
      </w:r>
    </w:p>
    <w:p w:rsidR="008F6BAC" w:rsidRPr="00491313" w:rsidRDefault="008F6BAC" w:rsidP="008F6BAC">
      <w:pPr>
        <w:spacing w:before="240"/>
        <w:rPr>
          <w:szCs w:val="22"/>
        </w:rPr>
      </w:pPr>
      <w:r w:rsidRPr="00491313">
        <w:rPr>
          <w:szCs w:val="22"/>
        </w:rPr>
        <w:t xml:space="preserve">Noting consumers have the right to have control over and make choices about their care. </w:t>
      </w:r>
      <w:r w:rsidR="002056FE" w:rsidRPr="00491313">
        <w:rPr>
          <w:szCs w:val="22"/>
        </w:rPr>
        <w:t xml:space="preserve">This category of serious incident is not intended to capture situations where </w:t>
      </w:r>
      <w:r w:rsidRPr="00491313">
        <w:rPr>
          <w:szCs w:val="22"/>
        </w:rPr>
        <w:t>a consumer chooses not to shower, or a consumer with diabetes refuses to eat a diabetic diet and as a result have a wo</w:t>
      </w:r>
      <w:r w:rsidR="002056FE" w:rsidRPr="00491313">
        <w:rPr>
          <w:szCs w:val="22"/>
        </w:rPr>
        <w:t>und with poor healing prognosis.</w:t>
      </w:r>
    </w:p>
    <w:p w:rsidR="00550DEC" w:rsidRPr="00491313" w:rsidRDefault="00550DEC" w:rsidP="00C44E3F">
      <w:pPr>
        <w:rPr>
          <w:szCs w:val="22"/>
        </w:rPr>
      </w:pPr>
      <w:r w:rsidRPr="00491313">
        <w:rPr>
          <w:szCs w:val="22"/>
        </w:rPr>
        <w:t>This definition has been adapted from the NSW Ombudsman’s disability reportable incidents scheme.</w:t>
      </w:r>
    </w:p>
    <w:tbl>
      <w:tblPr>
        <w:tblStyle w:val="TableGrid"/>
        <w:tblW w:w="0" w:type="auto"/>
        <w:tblLook w:val="04A0" w:firstRow="1" w:lastRow="0" w:firstColumn="1" w:lastColumn="0" w:noHBand="0" w:noVBand="1"/>
        <w:tblCaption w:val="Neglect"/>
        <w:tblDescription w:val="The header row has column titles of the person who commits an incident, the person affected by an incident and examples"/>
      </w:tblPr>
      <w:tblGrid>
        <w:gridCol w:w="2268"/>
        <w:gridCol w:w="1842"/>
        <w:gridCol w:w="5448"/>
      </w:tblGrid>
      <w:tr w:rsidR="00065D69" w:rsidRPr="00491313" w:rsidTr="00D50259">
        <w:trPr>
          <w:tblHeader/>
        </w:trPr>
        <w:tc>
          <w:tcPr>
            <w:tcW w:w="2268" w:type="dxa"/>
            <w:shd w:val="clear" w:color="auto" w:fill="3F4A75"/>
          </w:tcPr>
          <w:p w:rsidR="00065D69"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who commits an incident</w:t>
            </w:r>
          </w:p>
        </w:tc>
        <w:tc>
          <w:tcPr>
            <w:tcW w:w="1842" w:type="dxa"/>
            <w:shd w:val="clear" w:color="auto" w:fill="3F4A75"/>
          </w:tcPr>
          <w:p w:rsidR="00065D69"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065D69" w:rsidRPr="00491313" w:rsidRDefault="00065D69"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065D69" w:rsidRPr="00491313" w:rsidTr="00065D69">
        <w:trPr>
          <w:trHeight w:val="1665"/>
        </w:trPr>
        <w:tc>
          <w:tcPr>
            <w:tcW w:w="2268" w:type="dxa"/>
          </w:tcPr>
          <w:p w:rsidR="00065D69" w:rsidRPr="00491313" w:rsidRDefault="00065D69" w:rsidP="00065D69">
            <w:pPr>
              <w:spacing w:before="0" w:after="0"/>
              <w:rPr>
                <w:rFonts w:cs="Arial"/>
                <w:szCs w:val="21"/>
              </w:rPr>
            </w:pPr>
            <w:r w:rsidRPr="00491313">
              <w:rPr>
                <w:rFonts w:cs="Arial"/>
                <w:szCs w:val="21"/>
              </w:rPr>
              <w:t>Staff member</w:t>
            </w:r>
          </w:p>
        </w:tc>
        <w:tc>
          <w:tcPr>
            <w:tcW w:w="1842" w:type="dxa"/>
          </w:tcPr>
          <w:p w:rsidR="00065D69" w:rsidRPr="00491313" w:rsidRDefault="00065D69" w:rsidP="00065D69">
            <w:pPr>
              <w:spacing w:before="0" w:after="0"/>
              <w:rPr>
                <w:rFonts w:cs="Arial"/>
                <w:szCs w:val="21"/>
              </w:rPr>
            </w:pPr>
            <w:r w:rsidRPr="00491313">
              <w:rPr>
                <w:rFonts w:cs="Arial"/>
                <w:szCs w:val="21"/>
              </w:rPr>
              <w:t>Consumer</w:t>
            </w:r>
          </w:p>
        </w:tc>
        <w:tc>
          <w:tcPr>
            <w:tcW w:w="5448" w:type="dxa"/>
          </w:tcPr>
          <w:p w:rsidR="00065D69" w:rsidRPr="00491313" w:rsidRDefault="00065D69" w:rsidP="00065D69">
            <w:pPr>
              <w:spacing w:before="0" w:after="0"/>
              <w:rPr>
                <w:rFonts w:cs="Arial"/>
                <w:szCs w:val="21"/>
              </w:rPr>
            </w:pPr>
            <w:r w:rsidRPr="00491313">
              <w:rPr>
                <w:rFonts w:cs="Arial"/>
                <w:szCs w:val="21"/>
              </w:rPr>
              <w:t>Withholding personal care such as showering or oral care</w:t>
            </w:r>
          </w:p>
          <w:p w:rsidR="00065D69" w:rsidRPr="00491313" w:rsidRDefault="00065D69" w:rsidP="00065D69">
            <w:pPr>
              <w:spacing w:before="0" w:after="0"/>
              <w:rPr>
                <w:rFonts w:cs="Arial"/>
                <w:szCs w:val="21"/>
              </w:rPr>
            </w:pPr>
            <w:r w:rsidRPr="00491313">
              <w:rPr>
                <w:rFonts w:cs="Arial"/>
                <w:szCs w:val="21"/>
              </w:rPr>
              <w:t xml:space="preserve">Untreated wounds </w:t>
            </w:r>
          </w:p>
          <w:p w:rsidR="00782D6B" w:rsidRPr="00491313" w:rsidRDefault="00782D6B" w:rsidP="00782D6B">
            <w:pPr>
              <w:spacing w:before="0" w:after="0"/>
              <w:rPr>
                <w:rFonts w:cs="Arial"/>
                <w:szCs w:val="21"/>
              </w:rPr>
            </w:pPr>
            <w:r w:rsidRPr="00491313">
              <w:rPr>
                <w:rFonts w:cs="Arial"/>
                <w:szCs w:val="21"/>
              </w:rPr>
              <w:t>Maggots on/in the consumer</w:t>
            </w:r>
          </w:p>
          <w:p w:rsidR="00065D69" w:rsidRPr="00491313" w:rsidRDefault="00065D69" w:rsidP="00065D69">
            <w:pPr>
              <w:spacing w:before="0" w:after="0"/>
              <w:rPr>
                <w:rFonts w:cs="Arial"/>
                <w:szCs w:val="21"/>
              </w:rPr>
            </w:pPr>
            <w:r w:rsidRPr="00491313">
              <w:rPr>
                <w:rFonts w:cs="Arial"/>
                <w:szCs w:val="21"/>
              </w:rPr>
              <w:t>Leaving a resident outside unprotected in the sun resulting in significant burns</w:t>
            </w:r>
          </w:p>
        </w:tc>
      </w:tr>
      <w:tr w:rsidR="00065D69" w:rsidRPr="00491313" w:rsidTr="00EF7592">
        <w:tc>
          <w:tcPr>
            <w:tcW w:w="2268" w:type="dxa"/>
          </w:tcPr>
          <w:p w:rsidR="00065D69" w:rsidRPr="00491313" w:rsidRDefault="00065D69" w:rsidP="00065D69">
            <w:pPr>
              <w:spacing w:before="0" w:after="0"/>
              <w:rPr>
                <w:rFonts w:cs="Arial"/>
                <w:szCs w:val="21"/>
              </w:rPr>
            </w:pPr>
            <w:r w:rsidRPr="00491313">
              <w:rPr>
                <w:rFonts w:cs="Arial"/>
                <w:szCs w:val="21"/>
              </w:rPr>
              <w:t>Provider</w:t>
            </w:r>
          </w:p>
        </w:tc>
        <w:tc>
          <w:tcPr>
            <w:tcW w:w="1842" w:type="dxa"/>
          </w:tcPr>
          <w:p w:rsidR="00065D69" w:rsidRPr="00491313" w:rsidRDefault="00065D69" w:rsidP="00065D69">
            <w:pPr>
              <w:spacing w:before="0" w:after="0"/>
              <w:rPr>
                <w:rFonts w:cs="Arial"/>
                <w:szCs w:val="21"/>
              </w:rPr>
            </w:pPr>
            <w:r w:rsidRPr="00491313">
              <w:rPr>
                <w:rFonts w:cs="Arial"/>
                <w:szCs w:val="21"/>
              </w:rPr>
              <w:t>Consumer</w:t>
            </w:r>
          </w:p>
        </w:tc>
        <w:tc>
          <w:tcPr>
            <w:tcW w:w="5448" w:type="dxa"/>
          </w:tcPr>
          <w:p w:rsidR="00B7689B" w:rsidRPr="00491313" w:rsidRDefault="00B7689B" w:rsidP="00065D69">
            <w:pPr>
              <w:spacing w:before="0" w:after="0"/>
              <w:rPr>
                <w:rFonts w:cs="Arial"/>
                <w:szCs w:val="21"/>
              </w:rPr>
            </w:pPr>
            <w:r w:rsidRPr="00491313">
              <w:rPr>
                <w:rFonts w:cs="Arial"/>
                <w:szCs w:val="21"/>
              </w:rPr>
              <w:t>Serious injury sustained by a consumer that requires hospitalisation</w:t>
            </w:r>
          </w:p>
          <w:p w:rsidR="00065D69" w:rsidRPr="00491313" w:rsidRDefault="00065D69" w:rsidP="00065D69">
            <w:pPr>
              <w:spacing w:before="0" w:after="0"/>
              <w:rPr>
                <w:rFonts w:cs="Arial"/>
                <w:szCs w:val="21"/>
              </w:rPr>
            </w:pPr>
            <w:r w:rsidRPr="00491313">
              <w:rPr>
                <w:rFonts w:cs="Arial"/>
                <w:szCs w:val="21"/>
              </w:rPr>
              <w:t xml:space="preserve">Where a consumer’s meals are not appropriately modified to account for their difficulty of swallowing (dysphagia) as recorded in their care plan, </w:t>
            </w:r>
            <w:r w:rsidR="0022512C" w:rsidRPr="00491313">
              <w:rPr>
                <w:rFonts w:cs="Arial"/>
                <w:szCs w:val="21"/>
              </w:rPr>
              <w:t xml:space="preserve">or insufficient assistance is given to the consumer to eat their food, </w:t>
            </w:r>
            <w:r w:rsidRPr="00491313">
              <w:rPr>
                <w:rFonts w:cs="Arial"/>
                <w:szCs w:val="21"/>
              </w:rPr>
              <w:t>resulting in the consumer either not being able to eat meals or the consumer choking</w:t>
            </w:r>
            <w:r w:rsidR="0022512C" w:rsidRPr="00491313">
              <w:rPr>
                <w:rFonts w:cs="Arial"/>
                <w:szCs w:val="21"/>
              </w:rPr>
              <w:t>.</w:t>
            </w:r>
          </w:p>
        </w:tc>
      </w:tr>
    </w:tbl>
    <w:p w:rsidR="00BB1A97" w:rsidRPr="00491313" w:rsidRDefault="00BB1A97" w:rsidP="00700D2A">
      <w:pPr>
        <w:pStyle w:val="Heading2"/>
        <w:rPr>
          <w:szCs w:val="22"/>
        </w:rPr>
      </w:pPr>
      <w:bookmarkStart w:id="40" w:name="_Toc54950030"/>
      <w:r w:rsidRPr="00491313">
        <w:rPr>
          <w:szCs w:val="22"/>
        </w:rPr>
        <w:t>Inappropriate physical or chemical restraint</w:t>
      </w:r>
      <w:bookmarkEnd w:id="40"/>
    </w:p>
    <w:p w:rsidR="00BB1A97" w:rsidRPr="00491313" w:rsidRDefault="00BB1A97" w:rsidP="00BB1A97">
      <w:pPr>
        <w:rPr>
          <w:lang w:val="en-US"/>
        </w:rPr>
      </w:pPr>
      <w:r w:rsidRPr="00491313">
        <w:rPr>
          <w:lang w:val="en-US"/>
        </w:rPr>
        <w:t>The definition of inappropriate physical and chemical restraint for the SIRS is:</w:t>
      </w:r>
    </w:p>
    <w:p w:rsidR="00BB1A97" w:rsidRPr="00491313" w:rsidRDefault="00BB1A97" w:rsidP="00BB1A97">
      <w:pPr>
        <w:ind w:left="567" w:right="992"/>
        <w:rPr>
          <w:i/>
          <w:lang w:val="en-US"/>
        </w:rPr>
      </w:pPr>
      <w:r w:rsidRPr="00491313">
        <w:rPr>
          <w:i/>
          <w:lang w:val="en-US"/>
        </w:rPr>
        <w:t>The use of physical or chemical restraint that does not meet the requirements of the Quality of Care Amendment (Minimising the Use of Restraints) Principles 2019.</w:t>
      </w:r>
    </w:p>
    <w:p w:rsidR="00BB1A97" w:rsidRPr="00491313" w:rsidRDefault="00BB1A97" w:rsidP="00BB1A97">
      <w:pPr>
        <w:rPr>
          <w:lang w:val="en-US"/>
        </w:rPr>
      </w:pPr>
      <w:r w:rsidRPr="00491313">
        <w:rPr>
          <w:lang w:val="en-US"/>
        </w:rPr>
        <w:t xml:space="preserve">From 1 July 2019, the </w:t>
      </w:r>
      <w:hyperlink r:id="rId16" w:history="1">
        <w:r w:rsidRPr="00491313">
          <w:rPr>
            <w:rStyle w:val="Hyperlink"/>
            <w:lang w:val="en-US"/>
          </w:rPr>
          <w:t>Quality of Care Amendment (Minimising the Use of Restraints) Principles 2019</w:t>
        </w:r>
      </w:hyperlink>
      <w:r w:rsidRPr="00491313">
        <w:rPr>
          <w:lang w:val="en-US"/>
        </w:rPr>
        <w:t xml:space="preserve"> apply requirements on approved providers of residential care to minimi</w:t>
      </w:r>
      <w:r w:rsidR="00851980" w:rsidRPr="00491313">
        <w:rPr>
          <w:lang w:val="en-US"/>
        </w:rPr>
        <w:t>s</w:t>
      </w:r>
      <w:r w:rsidRPr="00491313">
        <w:rPr>
          <w:lang w:val="en-US"/>
        </w:rPr>
        <w:t xml:space="preserve">e the use </w:t>
      </w:r>
      <w:r w:rsidR="005047FA" w:rsidRPr="00491313">
        <w:rPr>
          <w:lang w:val="en-US"/>
        </w:rPr>
        <w:t>o</w:t>
      </w:r>
      <w:r w:rsidRPr="00491313">
        <w:rPr>
          <w:lang w:val="en-US"/>
        </w:rPr>
        <w:t>f physical and chemical restraint. Only when providers have explored alternatives to restraint, and satisfied a number of conditions, can either form of restraint be used.</w:t>
      </w:r>
    </w:p>
    <w:tbl>
      <w:tblPr>
        <w:tblStyle w:val="TableGrid"/>
        <w:tblW w:w="0" w:type="auto"/>
        <w:tblLook w:val="04A0" w:firstRow="1" w:lastRow="0" w:firstColumn="1" w:lastColumn="0" w:noHBand="0" w:noVBand="1"/>
        <w:tblCaption w:val="Inappropriate physical or chemical restraint"/>
        <w:tblDescription w:val="The header row has column titles of the person who commits an incident, the person affected by an incident and examples"/>
      </w:tblPr>
      <w:tblGrid>
        <w:gridCol w:w="2268"/>
        <w:gridCol w:w="1842"/>
        <w:gridCol w:w="5448"/>
      </w:tblGrid>
      <w:tr w:rsidR="003C75BA" w:rsidRPr="00491313" w:rsidTr="00D50259">
        <w:trPr>
          <w:cantSplit/>
          <w:tblHeader/>
        </w:trPr>
        <w:tc>
          <w:tcPr>
            <w:tcW w:w="2268" w:type="dxa"/>
            <w:shd w:val="clear" w:color="auto" w:fill="3F4A75"/>
          </w:tcPr>
          <w:p w:rsidR="003C75BA"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who commits an incident</w:t>
            </w:r>
          </w:p>
        </w:tc>
        <w:tc>
          <w:tcPr>
            <w:tcW w:w="1842" w:type="dxa"/>
            <w:shd w:val="clear" w:color="auto" w:fill="3F4A75"/>
          </w:tcPr>
          <w:p w:rsidR="003C75BA" w:rsidRPr="00491313" w:rsidRDefault="00CE7216"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Person affected by an incident</w:t>
            </w:r>
          </w:p>
        </w:tc>
        <w:tc>
          <w:tcPr>
            <w:tcW w:w="5448" w:type="dxa"/>
            <w:shd w:val="clear" w:color="auto" w:fill="3F4A75"/>
          </w:tcPr>
          <w:p w:rsidR="003C75BA" w:rsidRPr="00491313" w:rsidRDefault="003C75BA" w:rsidP="00EF7592">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Examples include</w:t>
            </w:r>
            <w:r w:rsidR="00D24218" w:rsidRPr="00491313">
              <w:rPr>
                <w:rFonts w:eastAsia="MS Gothic" w:cs="Arial"/>
                <w:color w:val="FFFFFF" w:themeColor="background1"/>
                <w:sz w:val="22"/>
                <w:szCs w:val="22"/>
                <w:lang w:val="en-US"/>
              </w:rPr>
              <w:t xml:space="preserve"> (but are not limited to)</w:t>
            </w:r>
          </w:p>
        </w:tc>
      </w:tr>
      <w:tr w:rsidR="003C75BA" w:rsidRPr="00491313" w:rsidTr="00FF500B">
        <w:trPr>
          <w:cantSplit/>
          <w:trHeight w:val="1665"/>
        </w:trPr>
        <w:tc>
          <w:tcPr>
            <w:tcW w:w="2268" w:type="dxa"/>
          </w:tcPr>
          <w:p w:rsidR="003C75BA" w:rsidRPr="00491313" w:rsidRDefault="003C75BA" w:rsidP="00EF7592">
            <w:pPr>
              <w:spacing w:before="0" w:after="0"/>
              <w:rPr>
                <w:rFonts w:cs="Arial"/>
                <w:szCs w:val="21"/>
              </w:rPr>
            </w:pPr>
            <w:r w:rsidRPr="00491313">
              <w:rPr>
                <w:rFonts w:cs="Arial"/>
                <w:szCs w:val="21"/>
              </w:rPr>
              <w:t>Provider</w:t>
            </w:r>
          </w:p>
        </w:tc>
        <w:tc>
          <w:tcPr>
            <w:tcW w:w="1842" w:type="dxa"/>
          </w:tcPr>
          <w:p w:rsidR="003C75BA" w:rsidRPr="00491313" w:rsidRDefault="003C75BA" w:rsidP="00EF7592">
            <w:pPr>
              <w:spacing w:before="0" w:after="0"/>
              <w:rPr>
                <w:rFonts w:cs="Arial"/>
                <w:szCs w:val="21"/>
              </w:rPr>
            </w:pPr>
            <w:r w:rsidRPr="00491313">
              <w:rPr>
                <w:rFonts w:cs="Arial"/>
                <w:szCs w:val="21"/>
              </w:rPr>
              <w:t>Consumer</w:t>
            </w:r>
          </w:p>
        </w:tc>
        <w:tc>
          <w:tcPr>
            <w:tcW w:w="5448" w:type="dxa"/>
          </w:tcPr>
          <w:p w:rsidR="003C75BA" w:rsidRPr="00491313" w:rsidRDefault="003C75BA" w:rsidP="00F02163">
            <w:pPr>
              <w:spacing w:before="0" w:after="0"/>
              <w:rPr>
                <w:rFonts w:cs="Arial"/>
                <w:szCs w:val="21"/>
              </w:rPr>
            </w:pPr>
            <w:r w:rsidRPr="00491313">
              <w:rPr>
                <w:rFonts w:cs="Arial"/>
                <w:szCs w:val="21"/>
              </w:rPr>
              <w:t>Where physical restraint is used on a consumer, when it is not an emergency and the provider does not seek prior informed consent</w:t>
            </w:r>
            <w:r w:rsidR="00A274D9" w:rsidRPr="00491313">
              <w:rPr>
                <w:rFonts w:cs="Arial"/>
                <w:szCs w:val="21"/>
              </w:rPr>
              <w:t>.</w:t>
            </w:r>
          </w:p>
          <w:p w:rsidR="003C75BA" w:rsidRPr="00491313" w:rsidRDefault="003C75BA" w:rsidP="00F02163">
            <w:pPr>
              <w:spacing w:before="0" w:after="0"/>
              <w:rPr>
                <w:rFonts w:cs="Arial"/>
                <w:szCs w:val="21"/>
              </w:rPr>
            </w:pPr>
            <w:r w:rsidRPr="00491313">
              <w:rPr>
                <w:rFonts w:cs="Arial"/>
                <w:szCs w:val="21"/>
              </w:rPr>
              <w:t>Where a provider uses physical restraint without consent and does not inform the consumer’s representative as soon as practicable after the restraint starts to be used</w:t>
            </w:r>
            <w:r w:rsidR="00A274D9" w:rsidRPr="00491313">
              <w:rPr>
                <w:rFonts w:cs="Arial"/>
                <w:szCs w:val="21"/>
              </w:rPr>
              <w:t>.</w:t>
            </w:r>
          </w:p>
          <w:p w:rsidR="00B7689B" w:rsidRPr="00491313" w:rsidRDefault="00045DFA" w:rsidP="00F02163">
            <w:pPr>
              <w:spacing w:before="0" w:after="0"/>
              <w:rPr>
                <w:rFonts w:cs="Arial"/>
                <w:szCs w:val="21"/>
              </w:rPr>
            </w:pPr>
            <w:r w:rsidRPr="00491313">
              <w:rPr>
                <w:rFonts w:cs="Arial"/>
                <w:szCs w:val="21"/>
              </w:rPr>
              <w:t>A provider administers a drug to a consume</w:t>
            </w:r>
            <w:r w:rsidR="00846918" w:rsidRPr="00491313">
              <w:rPr>
                <w:rFonts w:cs="Arial"/>
                <w:szCs w:val="21"/>
              </w:rPr>
              <w:t>r</w:t>
            </w:r>
            <w:r w:rsidRPr="00491313">
              <w:rPr>
                <w:rFonts w:cs="Arial"/>
                <w:szCs w:val="21"/>
              </w:rPr>
              <w:t xml:space="preserve"> for the purpose of influencing their </w:t>
            </w:r>
            <w:r w:rsidR="00F02163" w:rsidRPr="00491313">
              <w:rPr>
                <w:rFonts w:cs="Arial"/>
                <w:szCs w:val="21"/>
              </w:rPr>
              <w:t>behaviour as chemical restraint</w:t>
            </w:r>
            <w:r w:rsidRPr="00491313">
              <w:rPr>
                <w:rFonts w:cs="Arial"/>
                <w:szCs w:val="21"/>
              </w:rPr>
              <w:t xml:space="preserve">. The consumer’s representative was not informed before the drug was administered, or shortly afterwards. </w:t>
            </w:r>
          </w:p>
        </w:tc>
      </w:tr>
    </w:tbl>
    <w:p w:rsidR="002F6108" w:rsidRPr="00491313" w:rsidRDefault="002F6108" w:rsidP="00700D2A">
      <w:pPr>
        <w:pStyle w:val="Heading2"/>
        <w:rPr>
          <w:szCs w:val="22"/>
        </w:rPr>
      </w:pPr>
      <w:bookmarkStart w:id="41" w:name="_Toc54950031"/>
      <w:r w:rsidRPr="00491313">
        <w:rPr>
          <w:szCs w:val="22"/>
        </w:rPr>
        <w:t>Unexplained absence from care</w:t>
      </w:r>
      <w:bookmarkEnd w:id="41"/>
    </w:p>
    <w:p w:rsidR="002F6108" w:rsidRPr="00491313" w:rsidRDefault="0066310D" w:rsidP="002F6108">
      <w:pPr>
        <w:rPr>
          <w:lang w:val="en-US"/>
        </w:rPr>
      </w:pPr>
      <w:r w:rsidRPr="00491313">
        <w:rPr>
          <w:lang w:val="en-US"/>
        </w:rPr>
        <w:t>R</w:t>
      </w:r>
      <w:r w:rsidR="0025199E" w:rsidRPr="00491313">
        <w:rPr>
          <w:lang w:val="en-US"/>
        </w:rPr>
        <w:t xml:space="preserve">eporting of unexplained absences </w:t>
      </w:r>
      <w:r w:rsidRPr="00491313">
        <w:rPr>
          <w:lang w:val="en-US"/>
        </w:rPr>
        <w:t>will occur</w:t>
      </w:r>
      <w:r w:rsidR="002F6108" w:rsidRPr="00491313">
        <w:rPr>
          <w:lang w:val="en-US"/>
        </w:rPr>
        <w:t xml:space="preserve"> where the:</w:t>
      </w:r>
    </w:p>
    <w:p w:rsidR="002F6108" w:rsidRPr="00491313" w:rsidRDefault="002F6108" w:rsidP="002F6108">
      <w:pPr>
        <w:pStyle w:val="ListParagraph"/>
        <w:numPr>
          <w:ilvl w:val="0"/>
          <w:numId w:val="36"/>
        </w:numPr>
        <w:rPr>
          <w:lang w:val="en-US"/>
        </w:rPr>
      </w:pPr>
      <w:r w:rsidRPr="00491313">
        <w:rPr>
          <w:lang w:val="en-US"/>
        </w:rPr>
        <w:t>care recipient is absent from the service</w:t>
      </w:r>
      <w:r w:rsidR="00FF500B">
        <w:rPr>
          <w:lang w:val="en-US"/>
        </w:rPr>
        <w:t>;</w:t>
      </w:r>
      <w:r w:rsidRPr="00491313">
        <w:rPr>
          <w:lang w:val="en-US"/>
        </w:rPr>
        <w:t xml:space="preserve"> and </w:t>
      </w:r>
    </w:p>
    <w:p w:rsidR="002F6108" w:rsidRPr="00491313" w:rsidRDefault="002F6108" w:rsidP="002F6108">
      <w:pPr>
        <w:pStyle w:val="ListParagraph"/>
        <w:numPr>
          <w:ilvl w:val="0"/>
          <w:numId w:val="36"/>
        </w:numPr>
        <w:rPr>
          <w:lang w:val="en-US"/>
        </w:rPr>
      </w:pPr>
      <w:r w:rsidRPr="00491313">
        <w:rPr>
          <w:lang w:val="en-US"/>
        </w:rPr>
        <w:t>the absence is unexplained</w:t>
      </w:r>
      <w:r w:rsidR="00FF500B">
        <w:rPr>
          <w:lang w:val="en-US"/>
        </w:rPr>
        <w:t>;</w:t>
      </w:r>
      <w:r w:rsidRPr="00491313">
        <w:rPr>
          <w:lang w:val="en-US"/>
        </w:rPr>
        <w:t xml:space="preserve"> and</w:t>
      </w:r>
    </w:p>
    <w:p w:rsidR="002F6108" w:rsidRPr="00491313" w:rsidRDefault="002F6108" w:rsidP="002F6108">
      <w:pPr>
        <w:pStyle w:val="ListParagraph"/>
        <w:numPr>
          <w:ilvl w:val="0"/>
          <w:numId w:val="36"/>
        </w:numPr>
        <w:rPr>
          <w:lang w:val="en-US"/>
        </w:rPr>
      </w:pPr>
      <w:r w:rsidRPr="00491313">
        <w:rPr>
          <w:lang w:val="en-US"/>
        </w:rPr>
        <w:t>the absence has been reported to the police.</w:t>
      </w:r>
    </w:p>
    <w:p w:rsidR="0022512C" w:rsidRPr="00491313" w:rsidRDefault="0022512C" w:rsidP="0092261C">
      <w:pPr>
        <w:spacing w:before="240"/>
        <w:rPr>
          <w:szCs w:val="22"/>
        </w:rPr>
      </w:pPr>
      <w:r w:rsidRPr="00491313">
        <w:rPr>
          <w:szCs w:val="22"/>
        </w:rPr>
        <w:t xml:space="preserve">Consistent with current arrangements, </w:t>
      </w:r>
      <w:r w:rsidR="0092261C" w:rsidRPr="00491313">
        <w:rPr>
          <w:szCs w:val="22"/>
        </w:rPr>
        <w:t>t</w:t>
      </w:r>
      <w:r w:rsidRPr="00491313">
        <w:rPr>
          <w:szCs w:val="22"/>
        </w:rPr>
        <w:t xml:space="preserve">he provider must report to the Commission as soon as reasonably practicable, but not later than 24 hours after the care recipient’s absence was reported to the police. </w:t>
      </w:r>
    </w:p>
    <w:p w:rsidR="0033256E" w:rsidRPr="00491313" w:rsidRDefault="0033256E" w:rsidP="00675E64">
      <w:pPr>
        <w:pStyle w:val="Heading2"/>
      </w:pPr>
      <w:bookmarkStart w:id="42" w:name="_Toc17354765"/>
      <w:bookmarkStart w:id="43" w:name="_Toc21590618"/>
      <w:bookmarkStart w:id="44" w:name="_Toc54950032"/>
      <w:r w:rsidRPr="00491313">
        <w:t>What won’t be considered a serious incident?</w:t>
      </w:r>
      <w:bookmarkEnd w:id="42"/>
      <w:bookmarkEnd w:id="43"/>
      <w:bookmarkEnd w:id="44"/>
    </w:p>
    <w:p w:rsidR="0033256E" w:rsidRPr="00491313" w:rsidRDefault="00767987" w:rsidP="003F2797">
      <w:pPr>
        <w:spacing w:after="120"/>
        <w:rPr>
          <w:szCs w:val="22"/>
        </w:rPr>
      </w:pPr>
      <w:r w:rsidRPr="00491313">
        <w:rPr>
          <w:szCs w:val="22"/>
        </w:rPr>
        <w:t>The following matters are not considered serious incidents</w:t>
      </w:r>
      <w:r w:rsidR="0033256E" w:rsidRPr="00491313">
        <w:rPr>
          <w:szCs w:val="22"/>
        </w:rPr>
        <w:t>:</w:t>
      </w:r>
    </w:p>
    <w:p w:rsidR="0033256E" w:rsidRPr="00491313" w:rsidRDefault="0033256E" w:rsidP="00F10544">
      <w:pPr>
        <w:pStyle w:val="Bullets1"/>
        <w:ind w:left="426"/>
      </w:pPr>
      <w:r w:rsidRPr="00491313">
        <w:t>reasonable management or care of an aged care consumer taking into account any relevant code of conduct or professional standard that applied at the time.</w:t>
      </w:r>
    </w:p>
    <w:p w:rsidR="0033256E" w:rsidRPr="00491313" w:rsidRDefault="0033256E" w:rsidP="003F2797">
      <w:pPr>
        <w:spacing w:before="240" w:after="120"/>
        <w:rPr>
          <w:szCs w:val="22"/>
        </w:rPr>
      </w:pPr>
      <w:r w:rsidRPr="00491313">
        <w:rPr>
          <w:szCs w:val="22"/>
        </w:rPr>
        <w:t>Examples include:</w:t>
      </w:r>
    </w:p>
    <w:p w:rsidR="0033256E" w:rsidRPr="00491313" w:rsidRDefault="0033256E" w:rsidP="00A948AB">
      <w:pPr>
        <w:pStyle w:val="Bullets1"/>
        <w:ind w:left="426"/>
      </w:pPr>
      <w:r w:rsidRPr="00491313">
        <w:t xml:space="preserve">if a staff member raises his or her voice to attract attention or speak with an aged care consumer who has hearing difficulties; </w:t>
      </w:r>
    </w:p>
    <w:p w:rsidR="0033256E" w:rsidRPr="00491313" w:rsidRDefault="0033256E" w:rsidP="00A948AB">
      <w:pPr>
        <w:pStyle w:val="Bullets1"/>
        <w:ind w:left="426"/>
      </w:pPr>
      <w:r w:rsidRPr="00491313">
        <w:t>when there is accidental contact</w:t>
      </w:r>
      <w:r w:rsidR="0070100B" w:rsidRPr="00491313">
        <w:t xml:space="preserve"> (unless it is negligent)</w:t>
      </w:r>
      <w:r w:rsidR="0092261C" w:rsidRPr="00491313">
        <w:t xml:space="preserve">; </w:t>
      </w:r>
    </w:p>
    <w:p w:rsidR="0092261C" w:rsidRPr="00491313" w:rsidRDefault="0092261C" w:rsidP="0092261C">
      <w:pPr>
        <w:pStyle w:val="Bullets1"/>
        <w:ind w:left="426"/>
      </w:pPr>
      <w:r w:rsidRPr="00491313">
        <w:t xml:space="preserve">where a resident </w:t>
      </w:r>
      <w:r w:rsidR="00B53B51">
        <w:t>t</w:t>
      </w:r>
      <w:r w:rsidRPr="00491313">
        <w:t>aps another resident on the hand as the result of a disagreement for example over a bingo card;</w:t>
      </w:r>
    </w:p>
    <w:p w:rsidR="0092261C" w:rsidRPr="00491313" w:rsidRDefault="0092261C" w:rsidP="0092261C">
      <w:pPr>
        <w:pStyle w:val="Bullets1"/>
        <w:ind w:left="426"/>
      </w:pPr>
      <w:r w:rsidRPr="00491313">
        <w:t>a resident alleges they had a blanket put on them and it was tucked in too tightly;</w:t>
      </w:r>
    </w:p>
    <w:p w:rsidR="0092261C" w:rsidRPr="00491313" w:rsidRDefault="0092261C" w:rsidP="0092261C">
      <w:pPr>
        <w:pStyle w:val="Bullets1"/>
        <w:ind w:left="426"/>
      </w:pPr>
      <w:r w:rsidRPr="00491313">
        <w:t>a resident being grabbed to remove them from harm for example stepping onto the road into traffic.</w:t>
      </w:r>
    </w:p>
    <w:p w:rsidR="00A63C05" w:rsidRPr="00491313" w:rsidRDefault="0033256E" w:rsidP="00A63C05">
      <w:pPr>
        <w:spacing w:before="240" w:after="120"/>
      </w:pPr>
      <w:r w:rsidRPr="00491313">
        <w:rPr>
          <w:szCs w:val="22"/>
        </w:rPr>
        <w:t xml:space="preserve">The </w:t>
      </w:r>
      <w:r w:rsidR="005047FA" w:rsidRPr="00491313">
        <w:rPr>
          <w:szCs w:val="22"/>
        </w:rPr>
        <w:t xml:space="preserve">approved </w:t>
      </w:r>
      <w:r w:rsidRPr="00491313">
        <w:rPr>
          <w:szCs w:val="22"/>
        </w:rPr>
        <w:t xml:space="preserve">provider must consider all allegations of incidents, but may determine that some are not required to be reported </w:t>
      </w:r>
      <w:r w:rsidR="0055011E" w:rsidRPr="00491313">
        <w:rPr>
          <w:szCs w:val="22"/>
        </w:rPr>
        <w:t xml:space="preserve">as serious incidents </w:t>
      </w:r>
      <w:r w:rsidRPr="00491313">
        <w:rPr>
          <w:szCs w:val="22"/>
        </w:rPr>
        <w:t>following the consideration of guidance material provided by the Commiss</w:t>
      </w:r>
      <w:r w:rsidR="007F4BAB" w:rsidRPr="00491313">
        <w:rPr>
          <w:szCs w:val="22"/>
        </w:rPr>
        <w:t>ion.</w:t>
      </w:r>
      <w:r w:rsidR="00A63C05" w:rsidRPr="00491313">
        <w:t xml:space="preserve"> If an incident is deemed not to be a </w:t>
      </w:r>
      <w:r w:rsidR="004561EE" w:rsidRPr="00491313">
        <w:t xml:space="preserve">serious </w:t>
      </w:r>
      <w:r w:rsidR="00A63C05" w:rsidRPr="00491313">
        <w:t>reportable incident, the approved provider is required to refer back to their internal incident management systems.</w:t>
      </w:r>
    </w:p>
    <w:p w:rsidR="0055011E" w:rsidRPr="00491313" w:rsidRDefault="0055011E" w:rsidP="0055011E">
      <w:pPr>
        <w:rPr>
          <w:szCs w:val="22"/>
        </w:rPr>
      </w:pPr>
      <w:r w:rsidRPr="00491313">
        <w:rPr>
          <w:szCs w:val="22"/>
        </w:rPr>
        <w:t>A provider will not be required to report an allegation or suspicion of a serious incident (later allegation or suspicion) if:</w:t>
      </w:r>
    </w:p>
    <w:p w:rsidR="0055011E" w:rsidRPr="00491313" w:rsidRDefault="0055011E" w:rsidP="0055011E">
      <w:pPr>
        <w:pStyle w:val="Bullets1"/>
        <w:ind w:left="426"/>
      </w:pPr>
      <w:r w:rsidRPr="00491313">
        <w:t xml:space="preserve">the later allegation of suspicion relates to the same or substantially the same situation or event as the earlier allegation or suspicion (i.e. the same date, time, individuals involved etc.); and </w:t>
      </w:r>
    </w:p>
    <w:p w:rsidR="0055011E" w:rsidRPr="00491313" w:rsidRDefault="0055011E" w:rsidP="0055011E">
      <w:pPr>
        <w:pStyle w:val="Bullets1"/>
        <w:ind w:left="426"/>
      </w:pPr>
      <w:r w:rsidRPr="00491313">
        <w:t>the earlier allegation or suspicion was reported under the SIRS.</w:t>
      </w:r>
    </w:p>
    <w:p w:rsidR="0055011E" w:rsidRPr="00491313" w:rsidRDefault="0055011E" w:rsidP="0055011E">
      <w:pPr>
        <w:rPr>
          <w:szCs w:val="22"/>
        </w:rPr>
      </w:pPr>
      <w:r w:rsidRPr="00491313">
        <w:rPr>
          <w:szCs w:val="22"/>
        </w:rPr>
        <w:t xml:space="preserve">In a practical sense, this applies in the situation where two staff have both observed the same </w:t>
      </w:r>
      <w:r w:rsidR="000C0867" w:rsidRPr="00491313">
        <w:rPr>
          <w:szCs w:val="22"/>
        </w:rPr>
        <w:t xml:space="preserve">serious incident (e.g. </w:t>
      </w:r>
      <w:r w:rsidRPr="00491313">
        <w:rPr>
          <w:szCs w:val="22"/>
        </w:rPr>
        <w:t>physical assault</w:t>
      </w:r>
      <w:r w:rsidR="000C0867" w:rsidRPr="00491313">
        <w:rPr>
          <w:szCs w:val="22"/>
        </w:rPr>
        <w:t>)</w:t>
      </w:r>
      <w:r w:rsidRPr="00491313">
        <w:rPr>
          <w:szCs w:val="22"/>
        </w:rPr>
        <w:t xml:space="preserve"> and make separate reports to the provider. Those two reports are of the same situation or event and do not need to be reported twice under the SIRS.</w:t>
      </w:r>
    </w:p>
    <w:p w:rsidR="0055011E" w:rsidRPr="00491313" w:rsidRDefault="00C16439" w:rsidP="0055011E">
      <w:r w:rsidRPr="00491313">
        <w:rPr>
          <w:szCs w:val="22"/>
        </w:rPr>
        <w:t>Subject to agreement by the Commission on a case by case basis, a</w:t>
      </w:r>
      <w:r w:rsidR="0055011E" w:rsidRPr="00491313">
        <w:rPr>
          <w:szCs w:val="22"/>
        </w:rPr>
        <w:t xml:space="preserve"> provider will not be required to report </w:t>
      </w:r>
      <w:r w:rsidR="0055011E" w:rsidRPr="00491313">
        <w:t>where a consumer’s particular repetitive behaviour has been proven to be related to a resident’s cognitive impairment, investigated and has no basis in fact. For example, a consumer that</w:t>
      </w:r>
      <w:r w:rsidR="002D5E9E" w:rsidRPr="00491313">
        <w:t xml:space="preserve"> has a delusion and</w:t>
      </w:r>
      <w:r w:rsidR="0055011E" w:rsidRPr="00491313">
        <w:t xml:space="preserve"> reports every morning they were </w:t>
      </w:r>
      <w:r w:rsidR="00A43DDF" w:rsidRPr="00491313">
        <w:t>assaulted</w:t>
      </w:r>
      <w:r w:rsidR="00700D2A">
        <w:t xml:space="preserve"> during the previous night.</w:t>
      </w:r>
    </w:p>
    <w:p w:rsidR="00A63C05" w:rsidRPr="00491313" w:rsidRDefault="00A63C05" w:rsidP="00A63C05">
      <w:pPr>
        <w:pStyle w:val="Heading1"/>
      </w:pPr>
      <w:bookmarkStart w:id="45" w:name="_Toc21590619"/>
      <w:bookmarkStart w:id="46" w:name="_Toc17354767"/>
      <w:bookmarkStart w:id="47" w:name="_Toc54950033"/>
      <w:r w:rsidRPr="00491313">
        <w:t>Reporting</w:t>
      </w:r>
      <w:bookmarkEnd w:id="45"/>
      <w:bookmarkEnd w:id="47"/>
    </w:p>
    <w:p w:rsidR="0033256E" w:rsidRPr="00491313" w:rsidRDefault="0033256E" w:rsidP="00C44E3F">
      <w:pPr>
        <w:pStyle w:val="Heading2"/>
      </w:pPr>
      <w:bookmarkStart w:id="48" w:name="_Toc21590620"/>
      <w:bookmarkStart w:id="49" w:name="_Toc54950034"/>
      <w:r w:rsidRPr="00491313">
        <w:t>Who must/will be able to report</w:t>
      </w:r>
      <w:bookmarkEnd w:id="46"/>
      <w:bookmarkEnd w:id="48"/>
      <w:bookmarkEnd w:id="49"/>
    </w:p>
    <w:p w:rsidR="0033256E" w:rsidRPr="00491313" w:rsidRDefault="008566CA" w:rsidP="00C44E3F">
      <w:pPr>
        <w:rPr>
          <w:szCs w:val="22"/>
        </w:rPr>
      </w:pPr>
      <w:r w:rsidRPr="00491313">
        <w:rPr>
          <w:szCs w:val="22"/>
        </w:rPr>
        <w:t xml:space="preserve">SIRS will place an obligation on </w:t>
      </w:r>
      <w:r w:rsidR="004C5E20" w:rsidRPr="00491313">
        <w:rPr>
          <w:szCs w:val="22"/>
        </w:rPr>
        <w:t>Approved Prov</w:t>
      </w:r>
      <w:r w:rsidR="0033256E" w:rsidRPr="00491313">
        <w:rPr>
          <w:szCs w:val="22"/>
        </w:rPr>
        <w:t>ider</w:t>
      </w:r>
      <w:r w:rsidRPr="00491313">
        <w:rPr>
          <w:szCs w:val="22"/>
        </w:rPr>
        <w:t>s</w:t>
      </w:r>
      <w:r w:rsidR="0033256E" w:rsidRPr="00491313">
        <w:rPr>
          <w:szCs w:val="22"/>
        </w:rPr>
        <w:t xml:space="preserve"> </w:t>
      </w:r>
      <w:r w:rsidR="00965AD3" w:rsidRPr="00491313">
        <w:rPr>
          <w:szCs w:val="22"/>
        </w:rPr>
        <w:t xml:space="preserve">of residential aged care services </w:t>
      </w:r>
      <w:r w:rsidRPr="00491313">
        <w:rPr>
          <w:szCs w:val="22"/>
        </w:rPr>
        <w:t>to</w:t>
      </w:r>
      <w:r w:rsidR="004561EE" w:rsidRPr="00491313">
        <w:rPr>
          <w:szCs w:val="22"/>
        </w:rPr>
        <w:t xml:space="preserve"> record </w:t>
      </w:r>
      <w:r w:rsidR="0066310D" w:rsidRPr="00491313">
        <w:rPr>
          <w:szCs w:val="22"/>
        </w:rPr>
        <w:t xml:space="preserve">incidents; </w:t>
      </w:r>
      <w:r w:rsidRPr="00491313">
        <w:rPr>
          <w:szCs w:val="22"/>
        </w:rPr>
        <w:t>report</w:t>
      </w:r>
      <w:r w:rsidR="0033256E" w:rsidRPr="00491313">
        <w:rPr>
          <w:szCs w:val="22"/>
        </w:rPr>
        <w:t xml:space="preserve"> </w:t>
      </w:r>
      <w:r w:rsidR="00767987" w:rsidRPr="00491313">
        <w:rPr>
          <w:szCs w:val="22"/>
        </w:rPr>
        <w:t xml:space="preserve">alleged, suspected or actual </w:t>
      </w:r>
      <w:r w:rsidR="0033256E" w:rsidRPr="00491313">
        <w:rPr>
          <w:szCs w:val="22"/>
        </w:rPr>
        <w:t>serious incidents to the Commission</w:t>
      </w:r>
      <w:r w:rsidR="0066310D" w:rsidRPr="00491313">
        <w:rPr>
          <w:szCs w:val="22"/>
        </w:rPr>
        <w:t>;</w:t>
      </w:r>
      <w:r w:rsidRPr="00491313">
        <w:rPr>
          <w:szCs w:val="22"/>
        </w:rPr>
        <w:t xml:space="preserve"> and matters of a criminal nature to the police (e.g. assault)</w:t>
      </w:r>
      <w:r w:rsidR="0033256E" w:rsidRPr="00491313">
        <w:rPr>
          <w:szCs w:val="22"/>
        </w:rPr>
        <w:t xml:space="preserve">. Staff members of the residential aged care service will be responsible for alerting the </w:t>
      </w:r>
      <w:r w:rsidR="00A63C05" w:rsidRPr="00491313">
        <w:rPr>
          <w:szCs w:val="22"/>
        </w:rPr>
        <w:t xml:space="preserve">approved </w:t>
      </w:r>
      <w:r w:rsidR="0033256E" w:rsidRPr="00491313">
        <w:rPr>
          <w:szCs w:val="22"/>
        </w:rPr>
        <w:t>provider of alleged, suspected or actual serious incidents.</w:t>
      </w:r>
    </w:p>
    <w:p w:rsidR="00F2144D" w:rsidRPr="00491313" w:rsidRDefault="00F2144D" w:rsidP="00C44E3F">
      <w:pPr>
        <w:rPr>
          <w:szCs w:val="22"/>
        </w:rPr>
      </w:pPr>
      <w:r w:rsidRPr="00491313">
        <w:rPr>
          <w:szCs w:val="22"/>
        </w:rPr>
        <w:t xml:space="preserve">Approved </w:t>
      </w:r>
      <w:r w:rsidR="004C5E20" w:rsidRPr="00491313">
        <w:rPr>
          <w:szCs w:val="22"/>
        </w:rPr>
        <w:t xml:space="preserve">Providers </w:t>
      </w:r>
      <w:r w:rsidR="008566CA" w:rsidRPr="00491313">
        <w:rPr>
          <w:szCs w:val="22"/>
        </w:rPr>
        <w:t>must</w:t>
      </w:r>
      <w:r w:rsidRPr="00491313">
        <w:rPr>
          <w:szCs w:val="22"/>
        </w:rPr>
        <w:t xml:space="preserve"> have in place systems and processes to </w:t>
      </w:r>
      <w:r w:rsidR="00A63C05" w:rsidRPr="00491313">
        <w:rPr>
          <w:szCs w:val="22"/>
        </w:rPr>
        <w:t xml:space="preserve">ensure staff members of the residential aged care home alert the </w:t>
      </w:r>
      <w:r w:rsidR="004C5E20" w:rsidRPr="00491313">
        <w:rPr>
          <w:szCs w:val="22"/>
        </w:rPr>
        <w:t>Approved Pr</w:t>
      </w:r>
      <w:r w:rsidR="00A63C05" w:rsidRPr="00491313">
        <w:rPr>
          <w:szCs w:val="22"/>
        </w:rPr>
        <w:t>ovider of alleged, suspected or actual serious incidents.</w:t>
      </w:r>
    </w:p>
    <w:p w:rsidR="0033256E" w:rsidRPr="00491313" w:rsidRDefault="0033256E" w:rsidP="00C44E3F">
      <w:pPr>
        <w:rPr>
          <w:szCs w:val="22"/>
        </w:rPr>
      </w:pPr>
      <w:r w:rsidRPr="00491313">
        <w:rPr>
          <w:szCs w:val="22"/>
        </w:rPr>
        <w:t xml:space="preserve">Any person, who </w:t>
      </w:r>
      <w:r w:rsidR="005047FA" w:rsidRPr="00491313">
        <w:rPr>
          <w:szCs w:val="22"/>
        </w:rPr>
        <w:t>is</w:t>
      </w:r>
      <w:r w:rsidRPr="00491313">
        <w:rPr>
          <w:szCs w:val="22"/>
        </w:rPr>
        <w:t xml:space="preserve"> concerned that the care of any consumer is being compromised, should raise the</w:t>
      </w:r>
      <w:r w:rsidR="005047FA" w:rsidRPr="00491313">
        <w:rPr>
          <w:szCs w:val="22"/>
        </w:rPr>
        <w:t>se</w:t>
      </w:r>
      <w:r w:rsidRPr="00491313">
        <w:rPr>
          <w:szCs w:val="22"/>
        </w:rPr>
        <w:t xml:space="preserve"> concerns directly with the aged care provider in the first instance. </w:t>
      </w:r>
      <w:r w:rsidR="005047FA" w:rsidRPr="00491313">
        <w:rPr>
          <w:szCs w:val="22"/>
        </w:rPr>
        <w:t xml:space="preserve">Alternatively, concerns can be raised with </w:t>
      </w:r>
      <w:r w:rsidR="007551CD" w:rsidRPr="00491313">
        <w:rPr>
          <w:szCs w:val="22"/>
        </w:rPr>
        <w:t xml:space="preserve">the </w:t>
      </w:r>
      <w:r w:rsidRPr="00491313">
        <w:rPr>
          <w:szCs w:val="22"/>
        </w:rPr>
        <w:t>Commission</w:t>
      </w:r>
      <w:r w:rsidR="007551CD" w:rsidRPr="00491313">
        <w:rPr>
          <w:szCs w:val="22"/>
        </w:rPr>
        <w:t xml:space="preserve"> via the Commission’s existing complaints functions</w:t>
      </w:r>
      <w:r w:rsidRPr="00491313">
        <w:rPr>
          <w:szCs w:val="22"/>
        </w:rPr>
        <w:t>. The Commission provides a free service for anyone to raise a concern or make a complaint about the quality of care or services provided to people receiving Commonwealth funded aged care services. There are strict confidentiality and anonymity provisions within aged care legislation that ensures people who request confidentiality are protected from having their identity disclosed.</w:t>
      </w:r>
    </w:p>
    <w:p w:rsidR="0033256E" w:rsidRPr="00491313" w:rsidRDefault="0033256E" w:rsidP="00C44E3F">
      <w:pPr>
        <w:rPr>
          <w:szCs w:val="22"/>
        </w:rPr>
      </w:pPr>
      <w:r w:rsidRPr="00491313">
        <w:rPr>
          <w:szCs w:val="22"/>
        </w:rPr>
        <w:t xml:space="preserve">It is not expected that providers engage in technical legal analysis of whether </w:t>
      </w:r>
      <w:r w:rsidR="008566CA" w:rsidRPr="00491313">
        <w:rPr>
          <w:szCs w:val="22"/>
        </w:rPr>
        <w:t>an incident</w:t>
      </w:r>
      <w:r w:rsidRPr="00491313">
        <w:rPr>
          <w:szCs w:val="22"/>
        </w:rPr>
        <w:t xml:space="preserve"> amounts to a criminal offence. Providers should notify state and territory authorities, including police where appropriate.</w:t>
      </w:r>
    </w:p>
    <w:p w:rsidR="0033256E" w:rsidRPr="00491313" w:rsidRDefault="0033256E" w:rsidP="00C44E3F">
      <w:pPr>
        <w:pStyle w:val="Heading3"/>
      </w:pPr>
      <w:bookmarkStart w:id="50" w:name="_Toc17354768"/>
      <w:bookmarkStart w:id="51" w:name="_Toc21590621"/>
      <w:bookmarkStart w:id="52" w:name="_Toc54950035"/>
      <w:r w:rsidRPr="00491313">
        <w:t>What protections will be available for those providing information or reports?</w:t>
      </w:r>
      <w:bookmarkEnd w:id="50"/>
      <w:bookmarkEnd w:id="51"/>
      <w:bookmarkEnd w:id="52"/>
    </w:p>
    <w:p w:rsidR="0033256E" w:rsidRPr="00491313" w:rsidRDefault="0033256E" w:rsidP="00C44E3F">
      <w:pPr>
        <w:rPr>
          <w:szCs w:val="22"/>
        </w:rPr>
      </w:pPr>
      <w:r w:rsidRPr="00491313">
        <w:rPr>
          <w:szCs w:val="22"/>
        </w:rPr>
        <w:t>The whistleblowing protections in section 96-8 of the Act may need to be expanded to provide approp</w:t>
      </w:r>
      <w:r w:rsidR="007F4BAB" w:rsidRPr="00491313">
        <w:rPr>
          <w:szCs w:val="22"/>
        </w:rPr>
        <w:t>riate protections for the SIRS.</w:t>
      </w:r>
    </w:p>
    <w:p w:rsidR="00503612" w:rsidRPr="00491313" w:rsidRDefault="00503612" w:rsidP="00503612">
      <w:pPr>
        <w:pStyle w:val="Heading2"/>
        <w:spacing w:before="480"/>
      </w:pPr>
      <w:bookmarkStart w:id="53" w:name="_Toc17354770"/>
      <w:bookmarkStart w:id="54" w:name="_Toc21590622"/>
      <w:bookmarkStart w:id="55" w:name="_Toc54950036"/>
      <w:r w:rsidRPr="00491313">
        <w:t>Distinguishing critical incidents and other serious incidents</w:t>
      </w:r>
      <w:bookmarkEnd w:id="55"/>
      <w:r w:rsidRPr="00491313">
        <w:t xml:space="preserve"> </w:t>
      </w:r>
    </w:p>
    <w:p w:rsidR="00503612" w:rsidRPr="00491313" w:rsidRDefault="00D37C92" w:rsidP="00007FE4">
      <w:pPr>
        <w:rPr>
          <w:szCs w:val="22"/>
        </w:rPr>
      </w:pPr>
      <w:r w:rsidRPr="00491313">
        <w:rPr>
          <w:szCs w:val="22"/>
        </w:rPr>
        <w:t xml:space="preserve">Providers will </w:t>
      </w:r>
      <w:r w:rsidR="007B0C47">
        <w:rPr>
          <w:szCs w:val="22"/>
        </w:rPr>
        <w:t>be required to c</w:t>
      </w:r>
      <w:r w:rsidRPr="00491313">
        <w:rPr>
          <w:szCs w:val="22"/>
        </w:rPr>
        <w:t xml:space="preserve">ategorise incidents based on the impact to the </w:t>
      </w:r>
      <w:r w:rsidR="00CE7216" w:rsidRPr="00491313">
        <w:rPr>
          <w:szCs w:val="22"/>
        </w:rPr>
        <w:t>person affected by an incident</w:t>
      </w:r>
      <w:r w:rsidRPr="00491313">
        <w:rPr>
          <w:szCs w:val="22"/>
        </w:rPr>
        <w:t xml:space="preserve"> as either: critical incidents (high</w:t>
      </w:r>
      <w:r w:rsidR="00022B77" w:rsidRPr="00491313">
        <w:rPr>
          <w:szCs w:val="22"/>
        </w:rPr>
        <w:t>er</w:t>
      </w:r>
      <w:r w:rsidRPr="00491313">
        <w:rPr>
          <w:szCs w:val="22"/>
        </w:rPr>
        <w:t xml:space="preserve"> impact) or all other serious incidents (low or no impact). The following table sets out the impact categories for providers to assess </w:t>
      </w:r>
      <w:r w:rsidR="00F02163" w:rsidRPr="00491313">
        <w:rPr>
          <w:szCs w:val="22"/>
        </w:rPr>
        <w:t>impact.</w:t>
      </w:r>
    </w:p>
    <w:tbl>
      <w:tblPr>
        <w:tblStyle w:val="TableGrid"/>
        <w:tblW w:w="0" w:type="auto"/>
        <w:tblLook w:val="04A0" w:firstRow="1" w:lastRow="0" w:firstColumn="1" w:lastColumn="0" w:noHBand="0" w:noVBand="1"/>
        <w:tblCaption w:val="Distinguishing critical indicents and other serious incidents"/>
        <w:tblDescription w:val="The header row has column titles of the impact category, degree of harm and incident type"/>
      </w:tblPr>
      <w:tblGrid>
        <w:gridCol w:w="4957"/>
        <w:gridCol w:w="2268"/>
        <w:gridCol w:w="2333"/>
      </w:tblGrid>
      <w:tr w:rsidR="00F02163" w:rsidRPr="00491313" w:rsidTr="00D50259">
        <w:trPr>
          <w:tblHeader/>
        </w:trPr>
        <w:tc>
          <w:tcPr>
            <w:tcW w:w="4957" w:type="dxa"/>
            <w:shd w:val="clear" w:color="auto" w:fill="3F4A75"/>
          </w:tcPr>
          <w:p w:rsidR="00F02163" w:rsidRPr="00491313" w:rsidRDefault="00F02163" w:rsidP="00764E15">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Impact category</w:t>
            </w:r>
          </w:p>
        </w:tc>
        <w:tc>
          <w:tcPr>
            <w:tcW w:w="2268" w:type="dxa"/>
            <w:shd w:val="clear" w:color="auto" w:fill="3F4A75"/>
          </w:tcPr>
          <w:p w:rsidR="00F02163" w:rsidRPr="00491313" w:rsidRDefault="00F02163" w:rsidP="00764E15">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Degree of harm</w:t>
            </w:r>
          </w:p>
        </w:tc>
        <w:tc>
          <w:tcPr>
            <w:tcW w:w="2333" w:type="dxa"/>
            <w:shd w:val="clear" w:color="auto" w:fill="3F4A75"/>
          </w:tcPr>
          <w:p w:rsidR="00F02163" w:rsidRPr="00491313" w:rsidRDefault="00F02163" w:rsidP="00764E15">
            <w:pPr>
              <w:spacing w:before="60" w:after="60" w:line="360" w:lineRule="auto"/>
              <w:rPr>
                <w:rFonts w:eastAsia="MS Gothic" w:cs="Arial"/>
                <w:color w:val="FFFFFF" w:themeColor="background1"/>
                <w:sz w:val="22"/>
                <w:szCs w:val="22"/>
                <w:lang w:val="en-US"/>
              </w:rPr>
            </w:pPr>
            <w:r w:rsidRPr="00491313">
              <w:rPr>
                <w:rFonts w:eastAsia="MS Gothic" w:cs="Arial"/>
                <w:color w:val="FFFFFF" w:themeColor="background1"/>
                <w:sz w:val="22"/>
                <w:szCs w:val="22"/>
                <w:lang w:val="en-US"/>
              </w:rPr>
              <w:t>Incident type</w:t>
            </w:r>
          </w:p>
        </w:tc>
      </w:tr>
      <w:tr w:rsidR="00F02163" w:rsidRPr="00491313" w:rsidTr="00F02163">
        <w:tc>
          <w:tcPr>
            <w:tcW w:w="4957" w:type="dxa"/>
            <w:vAlign w:val="center"/>
          </w:tcPr>
          <w:p w:rsidR="00F02163" w:rsidRPr="00491313" w:rsidRDefault="00F02163" w:rsidP="00F02163">
            <w:pPr>
              <w:spacing w:before="0" w:after="0"/>
              <w:rPr>
                <w:rFonts w:cs="Arial"/>
                <w:szCs w:val="21"/>
              </w:rPr>
            </w:pPr>
            <w:r w:rsidRPr="00491313">
              <w:rPr>
                <w:rFonts w:cs="Arial"/>
                <w:szCs w:val="21"/>
              </w:rPr>
              <w:t>No impact</w:t>
            </w:r>
          </w:p>
        </w:tc>
        <w:tc>
          <w:tcPr>
            <w:tcW w:w="2268" w:type="dxa"/>
            <w:vAlign w:val="center"/>
          </w:tcPr>
          <w:p w:rsidR="00F02163" w:rsidRPr="00491313" w:rsidRDefault="00F02163" w:rsidP="00F02163">
            <w:pPr>
              <w:spacing w:before="0" w:after="0"/>
              <w:rPr>
                <w:rFonts w:cs="Arial"/>
                <w:szCs w:val="21"/>
              </w:rPr>
            </w:pPr>
            <w:r w:rsidRPr="00491313">
              <w:rPr>
                <w:rFonts w:cs="Arial"/>
                <w:szCs w:val="21"/>
              </w:rPr>
              <w:t>Low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Serious incident</w:t>
            </w:r>
          </w:p>
        </w:tc>
      </w:tr>
      <w:tr w:rsidR="00F02163" w:rsidRPr="00491313" w:rsidTr="00F02163">
        <w:tc>
          <w:tcPr>
            <w:tcW w:w="4957" w:type="dxa"/>
            <w:vAlign w:val="center"/>
          </w:tcPr>
          <w:p w:rsidR="00F02163" w:rsidRPr="00491313" w:rsidRDefault="00F02163" w:rsidP="00B53B51">
            <w:pPr>
              <w:spacing w:before="0" w:after="0"/>
              <w:rPr>
                <w:rFonts w:cs="Arial"/>
                <w:szCs w:val="21"/>
              </w:rPr>
            </w:pPr>
            <w:r w:rsidRPr="00491313">
              <w:rPr>
                <w:rFonts w:cs="Arial"/>
                <w:szCs w:val="21"/>
              </w:rPr>
              <w:t>Minor physical or psychological injury or discomfort which were resolved without medical or psychological interventions</w:t>
            </w:r>
          </w:p>
        </w:tc>
        <w:tc>
          <w:tcPr>
            <w:tcW w:w="2268" w:type="dxa"/>
            <w:vAlign w:val="center"/>
          </w:tcPr>
          <w:p w:rsidR="00F02163" w:rsidRPr="00491313" w:rsidRDefault="00F02163" w:rsidP="00F02163">
            <w:pPr>
              <w:spacing w:before="0" w:after="0"/>
              <w:rPr>
                <w:rFonts w:cs="Arial"/>
                <w:szCs w:val="21"/>
              </w:rPr>
            </w:pPr>
            <w:r w:rsidRPr="00491313">
              <w:rPr>
                <w:rFonts w:cs="Arial"/>
                <w:szCs w:val="21"/>
              </w:rPr>
              <w:t>Low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Serious incident</w:t>
            </w:r>
          </w:p>
        </w:tc>
      </w:tr>
      <w:tr w:rsidR="00F02163" w:rsidRPr="00491313" w:rsidTr="00F02163">
        <w:tc>
          <w:tcPr>
            <w:tcW w:w="4957" w:type="dxa"/>
          </w:tcPr>
          <w:p w:rsidR="00F02163" w:rsidRPr="00491313" w:rsidRDefault="00F02163" w:rsidP="00F02163">
            <w:pPr>
              <w:spacing w:before="0" w:after="0"/>
              <w:rPr>
                <w:rFonts w:cs="Arial"/>
                <w:szCs w:val="21"/>
              </w:rPr>
            </w:pPr>
            <w:r w:rsidRPr="00491313">
              <w:rPr>
                <w:rFonts w:cs="Arial"/>
                <w:szCs w:val="21"/>
              </w:rPr>
              <w:t>Physical or psychological injury or illness requiring onsite medical or psychological treatment</w:t>
            </w:r>
          </w:p>
        </w:tc>
        <w:tc>
          <w:tcPr>
            <w:tcW w:w="2268" w:type="dxa"/>
            <w:vAlign w:val="center"/>
          </w:tcPr>
          <w:p w:rsidR="00F02163" w:rsidRPr="00491313" w:rsidRDefault="00F02163" w:rsidP="00F02163">
            <w:pPr>
              <w:spacing w:before="0" w:after="0"/>
              <w:rPr>
                <w:rFonts w:cs="Arial"/>
                <w:szCs w:val="21"/>
              </w:rPr>
            </w:pPr>
            <w:r w:rsidRPr="00491313">
              <w:rPr>
                <w:rFonts w:cs="Arial"/>
                <w:szCs w:val="21"/>
              </w:rPr>
              <w:t>Higher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Critical incident</w:t>
            </w:r>
          </w:p>
        </w:tc>
      </w:tr>
      <w:tr w:rsidR="00F02163" w:rsidRPr="00491313" w:rsidTr="00F02163">
        <w:tc>
          <w:tcPr>
            <w:tcW w:w="4957" w:type="dxa"/>
          </w:tcPr>
          <w:p w:rsidR="00F02163" w:rsidRPr="00491313" w:rsidRDefault="00F02163" w:rsidP="00F02163">
            <w:pPr>
              <w:spacing w:before="0" w:after="0"/>
              <w:rPr>
                <w:rFonts w:cs="Arial"/>
                <w:szCs w:val="21"/>
              </w:rPr>
            </w:pPr>
            <w:r w:rsidRPr="00491313">
              <w:rPr>
                <w:rFonts w:cs="Arial"/>
                <w:szCs w:val="21"/>
              </w:rPr>
              <w:t>Physical or psychological injury or illness requiring a hospital admission (but not permanent)</w:t>
            </w:r>
          </w:p>
        </w:tc>
        <w:tc>
          <w:tcPr>
            <w:tcW w:w="2268" w:type="dxa"/>
            <w:vAlign w:val="center"/>
          </w:tcPr>
          <w:p w:rsidR="00F02163" w:rsidRPr="00491313" w:rsidRDefault="00F02163" w:rsidP="00F02163">
            <w:pPr>
              <w:spacing w:before="0" w:after="0"/>
              <w:rPr>
                <w:rFonts w:cs="Arial"/>
                <w:szCs w:val="21"/>
              </w:rPr>
            </w:pPr>
            <w:r w:rsidRPr="00491313">
              <w:rPr>
                <w:rFonts w:cs="Arial"/>
                <w:szCs w:val="21"/>
              </w:rPr>
              <w:t>Higher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Critical incident</w:t>
            </w:r>
          </w:p>
        </w:tc>
      </w:tr>
      <w:tr w:rsidR="00F02163" w:rsidRPr="00491313" w:rsidTr="00F02163">
        <w:tc>
          <w:tcPr>
            <w:tcW w:w="4957" w:type="dxa"/>
          </w:tcPr>
          <w:p w:rsidR="00F02163" w:rsidRPr="00491313" w:rsidRDefault="00F02163" w:rsidP="00F02163">
            <w:pPr>
              <w:spacing w:before="0" w:after="0"/>
              <w:rPr>
                <w:rFonts w:cs="Arial"/>
                <w:szCs w:val="21"/>
              </w:rPr>
            </w:pPr>
            <w:r w:rsidRPr="00491313">
              <w:rPr>
                <w:rFonts w:cs="Arial"/>
                <w:szCs w:val="21"/>
              </w:rPr>
              <w:t>Permanent physical or psychological impairment</w:t>
            </w:r>
          </w:p>
        </w:tc>
        <w:tc>
          <w:tcPr>
            <w:tcW w:w="2268" w:type="dxa"/>
            <w:vAlign w:val="center"/>
          </w:tcPr>
          <w:p w:rsidR="00F02163" w:rsidRPr="00491313" w:rsidRDefault="00F02163" w:rsidP="00F02163">
            <w:pPr>
              <w:spacing w:before="0" w:after="0"/>
              <w:rPr>
                <w:rFonts w:cs="Arial"/>
                <w:szCs w:val="21"/>
              </w:rPr>
            </w:pPr>
            <w:r w:rsidRPr="00491313">
              <w:rPr>
                <w:rFonts w:cs="Arial"/>
                <w:szCs w:val="21"/>
              </w:rPr>
              <w:t>Higher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Critical incident</w:t>
            </w:r>
          </w:p>
        </w:tc>
      </w:tr>
      <w:tr w:rsidR="00F02163" w:rsidRPr="00491313" w:rsidTr="00F02163">
        <w:tc>
          <w:tcPr>
            <w:tcW w:w="4957" w:type="dxa"/>
          </w:tcPr>
          <w:p w:rsidR="00F02163" w:rsidRPr="00491313" w:rsidRDefault="00F02163" w:rsidP="00F02163">
            <w:pPr>
              <w:spacing w:before="0" w:after="0"/>
              <w:rPr>
                <w:rFonts w:cs="Arial"/>
                <w:szCs w:val="21"/>
              </w:rPr>
            </w:pPr>
            <w:r w:rsidRPr="00491313">
              <w:rPr>
                <w:rFonts w:cs="Arial"/>
                <w:szCs w:val="21"/>
              </w:rPr>
              <w:t>Fatality or severe permanent physical or psychological impairment</w:t>
            </w:r>
          </w:p>
        </w:tc>
        <w:tc>
          <w:tcPr>
            <w:tcW w:w="2268" w:type="dxa"/>
            <w:vAlign w:val="center"/>
          </w:tcPr>
          <w:p w:rsidR="00F02163" w:rsidRPr="00491313" w:rsidRDefault="00F02163" w:rsidP="00F02163">
            <w:pPr>
              <w:spacing w:before="0" w:after="0"/>
              <w:rPr>
                <w:rFonts w:cs="Arial"/>
                <w:szCs w:val="21"/>
              </w:rPr>
            </w:pPr>
            <w:r w:rsidRPr="00491313">
              <w:rPr>
                <w:rFonts w:cs="Arial"/>
                <w:szCs w:val="21"/>
              </w:rPr>
              <w:t>Higher level of harm</w:t>
            </w:r>
          </w:p>
        </w:tc>
        <w:tc>
          <w:tcPr>
            <w:tcW w:w="2333" w:type="dxa"/>
            <w:vAlign w:val="center"/>
          </w:tcPr>
          <w:p w:rsidR="00F02163" w:rsidRPr="00491313" w:rsidRDefault="00F02163" w:rsidP="00F02163">
            <w:pPr>
              <w:spacing w:before="0" w:after="0"/>
              <w:rPr>
                <w:rFonts w:cs="Arial"/>
                <w:szCs w:val="21"/>
              </w:rPr>
            </w:pPr>
            <w:r w:rsidRPr="00491313">
              <w:rPr>
                <w:rFonts w:cs="Arial"/>
                <w:szCs w:val="21"/>
              </w:rPr>
              <w:t>Critical incident</w:t>
            </w:r>
          </w:p>
        </w:tc>
      </w:tr>
    </w:tbl>
    <w:p w:rsidR="00F02163" w:rsidRPr="00491313" w:rsidRDefault="00F02163" w:rsidP="00503612">
      <w:pPr>
        <w:rPr>
          <w:szCs w:val="22"/>
        </w:rPr>
      </w:pPr>
      <w:r w:rsidRPr="00491313">
        <w:rPr>
          <w:szCs w:val="22"/>
        </w:rPr>
        <w:t>This categorisation will determine reporting requirements.</w:t>
      </w:r>
    </w:p>
    <w:p w:rsidR="0033256E" w:rsidRPr="00491313" w:rsidRDefault="0033256E" w:rsidP="00C44E3F">
      <w:pPr>
        <w:pStyle w:val="Heading2"/>
        <w:spacing w:before="480"/>
      </w:pPr>
      <w:bookmarkStart w:id="56" w:name="_Toc54950037"/>
      <w:r w:rsidRPr="00491313">
        <w:t>Timeframes and information to be provided for reporting</w:t>
      </w:r>
      <w:bookmarkEnd w:id="53"/>
      <w:bookmarkEnd w:id="54"/>
      <w:bookmarkEnd w:id="56"/>
    </w:p>
    <w:p w:rsidR="00A0608F" w:rsidRDefault="00A0608F" w:rsidP="007F6584">
      <w:pPr>
        <w:pStyle w:val="Heading3"/>
      </w:pPr>
      <w:bookmarkStart w:id="57" w:name="_Toc54950038"/>
      <w:r>
        <w:t>Implementation Timeframe</w:t>
      </w:r>
      <w:bookmarkEnd w:id="57"/>
    </w:p>
    <w:p w:rsidR="00A0608F" w:rsidRDefault="007F6584" w:rsidP="00A0608F">
      <w:pPr>
        <w:spacing w:before="240"/>
      </w:pPr>
      <w:r>
        <w:t xml:space="preserve">Implementation of </w:t>
      </w:r>
      <w:r w:rsidR="00A0608F">
        <w:t xml:space="preserve">SIRS </w:t>
      </w:r>
      <w:r>
        <w:t xml:space="preserve">mandatory </w:t>
      </w:r>
      <w:r w:rsidR="00A0608F">
        <w:t>reporting will be staged</w:t>
      </w:r>
      <w:r>
        <w:t>. F</w:t>
      </w:r>
      <w:r w:rsidR="00A0608F">
        <w:t xml:space="preserve">rom </w:t>
      </w:r>
      <w:r w:rsidR="00D456D5">
        <w:t>early</w:t>
      </w:r>
      <w:r w:rsidR="00A0608F">
        <w:t xml:space="preserve"> </w:t>
      </w:r>
      <w:r w:rsidR="00A0608F" w:rsidRPr="00915279">
        <w:rPr>
          <w:color w:val="000000" w:themeColor="text1"/>
        </w:rPr>
        <w:t>2021, critical incidents</w:t>
      </w:r>
      <w:r w:rsidRPr="00915279">
        <w:rPr>
          <w:color w:val="000000" w:themeColor="text1"/>
        </w:rPr>
        <w:t xml:space="preserve"> and unexplained absences from care</w:t>
      </w:r>
      <w:r w:rsidR="00A0608F" w:rsidRPr="00915279">
        <w:rPr>
          <w:color w:val="000000" w:themeColor="text1"/>
        </w:rPr>
        <w:t xml:space="preserve"> will be reported to the Commission</w:t>
      </w:r>
      <w:r w:rsidR="00B81BE9">
        <w:rPr>
          <w:color w:val="000000" w:themeColor="text1"/>
        </w:rPr>
        <w:t xml:space="preserve">, with </w:t>
      </w:r>
      <w:r w:rsidR="00A0608F">
        <w:t xml:space="preserve">all </w:t>
      </w:r>
      <w:r>
        <w:t xml:space="preserve">other </w:t>
      </w:r>
      <w:r w:rsidR="00A0608F">
        <w:t xml:space="preserve">incidents </w:t>
      </w:r>
      <w:r w:rsidR="00B81BE9">
        <w:t>required to be rep</w:t>
      </w:r>
      <w:r w:rsidR="00A0608F">
        <w:t>ort</w:t>
      </w:r>
      <w:r>
        <w:t>ed</w:t>
      </w:r>
      <w:r w:rsidR="00A0608F">
        <w:t xml:space="preserve"> to the Commission </w:t>
      </w:r>
      <w:r w:rsidR="00B81BE9">
        <w:t xml:space="preserve">from 1 July 2022 </w:t>
      </w:r>
      <w:r w:rsidR="00700D2A">
        <w:t>(as outlined below).</w:t>
      </w:r>
    </w:p>
    <w:p w:rsidR="00A0608F" w:rsidRPr="00A0608F" w:rsidRDefault="00A0608F" w:rsidP="007F6584">
      <w:pPr>
        <w:pStyle w:val="Heading3"/>
      </w:pPr>
      <w:bookmarkStart w:id="58" w:name="_Toc54950039"/>
      <w:r>
        <w:t>Unexplained Absence</w:t>
      </w:r>
      <w:bookmarkEnd w:id="58"/>
    </w:p>
    <w:p w:rsidR="007B0C47" w:rsidRDefault="007B0C47" w:rsidP="007B0C47">
      <w:pPr>
        <w:spacing w:before="240"/>
        <w:rPr>
          <w:szCs w:val="22"/>
        </w:rPr>
      </w:pPr>
      <w:r w:rsidRPr="00491313">
        <w:rPr>
          <w:szCs w:val="22"/>
        </w:rPr>
        <w:t xml:space="preserve">Unexplained absence from care will continue to be reported consistent with current arrangements. The provider must report to the Commission as soon as reasonably practicable, but not later than </w:t>
      </w:r>
      <w:r w:rsidRPr="00491313">
        <w:rPr>
          <w:b/>
          <w:szCs w:val="22"/>
        </w:rPr>
        <w:t>24 hours</w:t>
      </w:r>
      <w:r w:rsidRPr="00491313">
        <w:rPr>
          <w:szCs w:val="22"/>
        </w:rPr>
        <w:t xml:space="preserve"> after the care recipient’s abse</w:t>
      </w:r>
      <w:r w:rsidR="00700D2A">
        <w:rPr>
          <w:szCs w:val="22"/>
        </w:rPr>
        <w:t>nce was reported to the police.</w:t>
      </w:r>
    </w:p>
    <w:p w:rsidR="00F02163" w:rsidRPr="00491313" w:rsidRDefault="00007FE4" w:rsidP="00007FE4">
      <w:pPr>
        <w:pStyle w:val="Heading3"/>
      </w:pPr>
      <w:bookmarkStart w:id="59" w:name="_Toc54950040"/>
      <w:r w:rsidRPr="00491313">
        <w:t>Critical incidents</w:t>
      </w:r>
      <w:bookmarkEnd w:id="59"/>
    </w:p>
    <w:p w:rsidR="0033256E" w:rsidRPr="00491313" w:rsidRDefault="00007FE4" w:rsidP="00C44E3F">
      <w:pPr>
        <w:rPr>
          <w:szCs w:val="22"/>
        </w:rPr>
      </w:pPr>
      <w:r w:rsidRPr="00491313">
        <w:rPr>
          <w:szCs w:val="22"/>
        </w:rPr>
        <w:t>Critical incidents will require a</w:t>
      </w:r>
      <w:r w:rsidR="0033256E" w:rsidRPr="00491313">
        <w:rPr>
          <w:szCs w:val="22"/>
        </w:rPr>
        <w:t xml:space="preserve"> two-stage reporting </w:t>
      </w:r>
      <w:r w:rsidR="008566CA" w:rsidRPr="00491313">
        <w:rPr>
          <w:szCs w:val="22"/>
        </w:rPr>
        <w:t xml:space="preserve">process, </w:t>
      </w:r>
      <w:r w:rsidR="0033256E" w:rsidRPr="00491313">
        <w:rPr>
          <w:szCs w:val="22"/>
        </w:rPr>
        <w:t>consistent with the NDIS reportable incidents scheme:</w:t>
      </w:r>
    </w:p>
    <w:p w:rsidR="0033256E" w:rsidRPr="00491313" w:rsidRDefault="0033256E" w:rsidP="00A948AB">
      <w:pPr>
        <w:pStyle w:val="Bullets1"/>
        <w:ind w:left="426" w:hanging="425"/>
        <w:rPr>
          <w:b/>
        </w:rPr>
      </w:pPr>
      <w:r w:rsidRPr="00491313">
        <w:rPr>
          <w:b/>
        </w:rPr>
        <w:t>Incident notification</w:t>
      </w:r>
      <w:r w:rsidR="00A63C05" w:rsidRPr="00491313">
        <w:rPr>
          <w:b/>
        </w:rPr>
        <w:t xml:space="preserve"> and reporting to police</w:t>
      </w:r>
      <w:r w:rsidR="003C40AA" w:rsidRPr="00491313">
        <w:rPr>
          <w:b/>
        </w:rPr>
        <w:t xml:space="preserve"> where necessary</w:t>
      </w:r>
      <w:r w:rsidRPr="00491313">
        <w:rPr>
          <w:b/>
        </w:rPr>
        <w:t xml:space="preserve"> (Part A)</w:t>
      </w:r>
    </w:p>
    <w:p w:rsidR="0033256E" w:rsidRPr="00491313" w:rsidRDefault="0033256E" w:rsidP="00A948AB">
      <w:pPr>
        <w:ind w:left="426" w:right="559"/>
      </w:pPr>
      <w:r w:rsidRPr="00491313">
        <w:t xml:space="preserve">To be provided to the Commission within </w:t>
      </w:r>
      <w:r w:rsidRPr="00491313">
        <w:rPr>
          <w:b/>
        </w:rPr>
        <w:t xml:space="preserve">24 </w:t>
      </w:r>
      <w:r w:rsidR="00A63C05" w:rsidRPr="00491313">
        <w:rPr>
          <w:b/>
        </w:rPr>
        <w:t>hours</w:t>
      </w:r>
      <w:r w:rsidRPr="00491313">
        <w:t xml:space="preserve"> of the aged care provider becoming aware of the incident</w:t>
      </w:r>
      <w:r w:rsidR="00F85F4A" w:rsidRPr="00491313">
        <w:t>.</w:t>
      </w:r>
    </w:p>
    <w:p w:rsidR="00A63C05" w:rsidRPr="00491313" w:rsidRDefault="00A63C05" w:rsidP="00A948AB">
      <w:pPr>
        <w:ind w:left="426" w:right="559"/>
      </w:pPr>
      <w:r w:rsidRPr="00491313">
        <w:t>Should an incident be of a criminal nature the aged care provider must also report this to polic</w:t>
      </w:r>
      <w:r w:rsidR="008566CA" w:rsidRPr="00491313">
        <w:t>e</w:t>
      </w:r>
      <w:r w:rsidRPr="00491313">
        <w:t xml:space="preserve"> within </w:t>
      </w:r>
      <w:r w:rsidRPr="00491313">
        <w:rPr>
          <w:b/>
        </w:rPr>
        <w:t>24 hours</w:t>
      </w:r>
      <w:r w:rsidRPr="00491313">
        <w:t xml:space="preserve"> of the provider becoming aware of the incident</w:t>
      </w:r>
    </w:p>
    <w:p w:rsidR="0033256E" w:rsidRPr="00491313" w:rsidRDefault="0033256E" w:rsidP="00A948AB">
      <w:pPr>
        <w:pStyle w:val="Bullets1"/>
        <w:ind w:left="426" w:hanging="425"/>
        <w:rPr>
          <w:b/>
        </w:rPr>
      </w:pPr>
      <w:r w:rsidRPr="00491313">
        <w:rPr>
          <w:b/>
        </w:rPr>
        <w:t>Incident status report (Part B)</w:t>
      </w:r>
    </w:p>
    <w:p w:rsidR="0033256E" w:rsidRDefault="0033256E" w:rsidP="00A948AB">
      <w:pPr>
        <w:ind w:left="426" w:right="559"/>
      </w:pPr>
      <w:r w:rsidRPr="00491313">
        <w:t xml:space="preserve">To be provided to the Commission within </w:t>
      </w:r>
      <w:r w:rsidRPr="00491313">
        <w:rPr>
          <w:b/>
        </w:rPr>
        <w:t>five business days</w:t>
      </w:r>
      <w:r w:rsidR="004C5E20">
        <w:rPr>
          <w:b/>
        </w:rPr>
        <w:t xml:space="preserve"> or by a date specified by the Commission</w:t>
      </w:r>
      <w:r w:rsidR="000D2D48" w:rsidRPr="00491313">
        <w:t xml:space="preserve"> of the date of</w:t>
      </w:r>
      <w:r w:rsidR="00A63C05" w:rsidRPr="00491313">
        <w:t xml:space="preserve"> </w:t>
      </w:r>
      <w:r w:rsidRPr="00491313">
        <w:t>incident notification</w:t>
      </w:r>
      <w:r w:rsidR="008D24AF" w:rsidRPr="00491313">
        <w:t>.</w:t>
      </w:r>
    </w:p>
    <w:p w:rsidR="004C5E20" w:rsidRPr="00491313" w:rsidRDefault="004C5E20" w:rsidP="00A948AB">
      <w:pPr>
        <w:ind w:left="426" w:right="559"/>
      </w:pPr>
      <w:r>
        <w:t>The Commission at times may decide that an incident status report is not required if all the information being provided within the 24 hour incident notification report satisfies for the Commission that the incident has been resolved appropriately.</w:t>
      </w:r>
    </w:p>
    <w:p w:rsidR="0033256E" w:rsidRPr="00491313" w:rsidRDefault="0033256E" w:rsidP="00DF6B8F">
      <w:bookmarkStart w:id="60" w:name="_Toc17354771"/>
      <w:bookmarkStart w:id="61" w:name="_Toc21590623"/>
      <w:r w:rsidRPr="00491313">
        <w:t>Information to be provided at each stage</w:t>
      </w:r>
      <w:bookmarkEnd w:id="60"/>
      <w:bookmarkEnd w:id="61"/>
      <w:r w:rsidR="009D0F18">
        <w:t xml:space="preserve"> will be set out </w:t>
      </w:r>
      <w:r w:rsidR="00C16710">
        <w:t>in a form approved by the Aged C</w:t>
      </w:r>
      <w:r w:rsidR="009D0F18">
        <w:t>are Quality and Safety Commissioner</w:t>
      </w:r>
      <w:r w:rsidR="00464967">
        <w:t>.</w:t>
      </w:r>
    </w:p>
    <w:p w:rsidR="0033256E" w:rsidRPr="00491313" w:rsidRDefault="00B53B51" w:rsidP="00C44E3F">
      <w:pPr>
        <w:pStyle w:val="Heading4"/>
        <w:spacing w:before="360"/>
        <w:rPr>
          <w:b/>
          <w:i w:val="0"/>
          <w:color w:val="auto"/>
        </w:rPr>
      </w:pPr>
      <w:bookmarkStart w:id="62" w:name="_Toc17354774"/>
      <w:r>
        <w:rPr>
          <w:b/>
          <w:i w:val="0"/>
          <w:color w:val="auto"/>
        </w:rPr>
        <w:t>F</w:t>
      </w:r>
      <w:r w:rsidR="0033256E" w:rsidRPr="00491313">
        <w:rPr>
          <w:b/>
          <w:i w:val="0"/>
          <w:color w:val="auto"/>
        </w:rPr>
        <w:t>inal report (if required)</w:t>
      </w:r>
      <w:bookmarkEnd w:id="62"/>
    </w:p>
    <w:p w:rsidR="0033256E" w:rsidRPr="00491313" w:rsidRDefault="0033256E" w:rsidP="00C44E3F">
      <w:r w:rsidRPr="00491313">
        <w:t>A final report may also be required by the Commission within 60 business days of submitting the incident report (or a different period specified by the Commission).</w:t>
      </w:r>
      <w:r w:rsidR="004C5E20">
        <w:t xml:space="preserve"> The Commission will advise a provider if this is required.</w:t>
      </w:r>
    </w:p>
    <w:p w:rsidR="0033256E" w:rsidRPr="00491313" w:rsidRDefault="004C392E" w:rsidP="00C44E3F">
      <w:r w:rsidRPr="00491313">
        <w:t>W</w:t>
      </w:r>
      <w:r w:rsidR="0033256E" w:rsidRPr="00491313">
        <w:t xml:space="preserve">here required, this final report should be submitted to the Commission in writing and include, if known, details </w:t>
      </w:r>
      <w:r w:rsidR="0033256E" w:rsidRPr="000D67FD">
        <w:t xml:space="preserve">of </w:t>
      </w:r>
      <w:r w:rsidR="009D0F18" w:rsidRPr="000D67FD">
        <w:t>matters set out by the Commissioner such as</w:t>
      </w:r>
      <w:r w:rsidR="009D0F18">
        <w:t xml:space="preserve"> reports of </w:t>
      </w:r>
      <w:r w:rsidR="0033256E" w:rsidRPr="00491313">
        <w:t>any internal or external investigation or assessment that has been undertaken in relation to the reportable conduct</w:t>
      </w:r>
      <w:r w:rsidR="00E10C29">
        <w:t xml:space="preserve"> and corrective actions taken.</w:t>
      </w:r>
    </w:p>
    <w:p w:rsidR="00007FE4" w:rsidRPr="00491313" w:rsidRDefault="00007FE4" w:rsidP="00007FE4">
      <w:pPr>
        <w:pStyle w:val="Heading3"/>
      </w:pPr>
      <w:bookmarkStart w:id="63" w:name="_Toc17354777"/>
      <w:bookmarkStart w:id="64" w:name="_Toc21590625"/>
      <w:bookmarkStart w:id="65" w:name="_Toc54950041"/>
      <w:r w:rsidRPr="00491313">
        <w:t>All other serious incidents</w:t>
      </w:r>
      <w:bookmarkEnd w:id="65"/>
    </w:p>
    <w:p w:rsidR="00CA6358" w:rsidRPr="00491313" w:rsidRDefault="00CA6358" w:rsidP="00CA6358">
      <w:r w:rsidRPr="00491313">
        <w:rPr>
          <w:szCs w:val="22"/>
        </w:rPr>
        <w:t>All other serious incidents will require</w:t>
      </w:r>
      <w:r w:rsidR="00700D2A">
        <w:rPr>
          <w:szCs w:val="22"/>
        </w:rPr>
        <w:t xml:space="preserve"> a one-stage reporting process:</w:t>
      </w:r>
    </w:p>
    <w:p w:rsidR="00CA6358" w:rsidRPr="00491313" w:rsidRDefault="00700D2A" w:rsidP="00CA6358">
      <w:pPr>
        <w:pStyle w:val="Bullets1"/>
        <w:ind w:left="426" w:hanging="425"/>
        <w:rPr>
          <w:b/>
        </w:rPr>
      </w:pPr>
      <w:r>
        <w:rPr>
          <w:b/>
        </w:rPr>
        <w:t>Incident report</w:t>
      </w:r>
    </w:p>
    <w:p w:rsidR="00CA6358" w:rsidRPr="00491313" w:rsidRDefault="00CA6358" w:rsidP="00CA6358">
      <w:pPr>
        <w:ind w:left="426" w:right="559"/>
      </w:pPr>
      <w:r w:rsidRPr="00491313">
        <w:t xml:space="preserve">To be provided to the Commission within </w:t>
      </w:r>
      <w:r w:rsidRPr="00491313">
        <w:rPr>
          <w:b/>
        </w:rPr>
        <w:t xml:space="preserve">30 days </w:t>
      </w:r>
      <w:r w:rsidRPr="00491313">
        <w:t xml:space="preserve">of the provider either suspecting or becoming aware of </w:t>
      </w:r>
      <w:r w:rsidR="00022B77" w:rsidRPr="00491313">
        <w:t>the</w:t>
      </w:r>
      <w:r w:rsidRPr="00491313">
        <w:t xml:space="preserve"> alleged or actual incident.</w:t>
      </w:r>
    </w:p>
    <w:p w:rsidR="00CA6358" w:rsidRPr="00491313" w:rsidRDefault="00CA6358" w:rsidP="00915279">
      <w:r w:rsidRPr="00491313">
        <w:t xml:space="preserve">Information to be provided </w:t>
      </w:r>
      <w:r w:rsidR="009D0F18">
        <w:t xml:space="preserve">will be set out in a form approved by the Commissioner </w:t>
      </w:r>
    </w:p>
    <w:p w:rsidR="0033256E" w:rsidRPr="00491313" w:rsidRDefault="0033256E" w:rsidP="00CA6358">
      <w:pPr>
        <w:pStyle w:val="Heading1"/>
      </w:pPr>
      <w:bookmarkStart w:id="66" w:name="_Toc54950042"/>
      <w:r w:rsidRPr="00491313">
        <w:t>Record keeping requirements</w:t>
      </w:r>
      <w:bookmarkEnd w:id="63"/>
      <w:bookmarkEnd w:id="64"/>
      <w:bookmarkEnd w:id="66"/>
    </w:p>
    <w:p w:rsidR="0033256E" w:rsidRPr="00491313" w:rsidRDefault="0033256E" w:rsidP="00C44E3F">
      <w:r w:rsidRPr="00491313">
        <w:t xml:space="preserve">There is no change proposed to the existing requirements for record keeping set out in the </w:t>
      </w:r>
      <w:hyperlink r:id="rId17" w:history="1">
        <w:r w:rsidRPr="00491313">
          <w:rPr>
            <w:rStyle w:val="Hyperlink"/>
          </w:rPr>
          <w:t>Records Principles 2014</w:t>
        </w:r>
      </w:hyperlink>
      <w:r w:rsidRPr="00491313">
        <w:t>, beyond minor changes to terminology, definitions and responsibilities.</w:t>
      </w:r>
    </w:p>
    <w:p w:rsidR="0033256E" w:rsidRPr="00491313" w:rsidRDefault="00A146F3" w:rsidP="00C44E3F">
      <w:r w:rsidRPr="00491313">
        <w:t xml:space="preserve">Approved </w:t>
      </w:r>
      <w:r w:rsidR="007970FE" w:rsidRPr="00491313">
        <w:t xml:space="preserve">Providers </w:t>
      </w:r>
      <w:r w:rsidR="0033256E" w:rsidRPr="00491313">
        <w:t xml:space="preserve">will continue to </w:t>
      </w:r>
      <w:r w:rsidR="008D24AF" w:rsidRPr="00491313">
        <w:t>be required to keep a record of each incident, including whether or not that incident was</w:t>
      </w:r>
      <w:r w:rsidR="005650AE" w:rsidRPr="00491313">
        <w:t xml:space="preserve"> a “serious incident” to be </w:t>
      </w:r>
      <w:r w:rsidR="008D24AF" w:rsidRPr="00491313">
        <w:t xml:space="preserve">reported to the Commission. </w:t>
      </w:r>
      <w:r w:rsidRPr="00491313">
        <w:t xml:space="preserve">Approved </w:t>
      </w:r>
      <w:r w:rsidR="007970FE" w:rsidRPr="00491313">
        <w:t xml:space="preserve">Providers </w:t>
      </w:r>
      <w:r w:rsidR="008D24AF" w:rsidRPr="00491313">
        <w:t xml:space="preserve">will </w:t>
      </w:r>
      <w:r w:rsidR="008E39C5" w:rsidRPr="00491313">
        <w:t xml:space="preserve">continue to </w:t>
      </w:r>
      <w:r w:rsidR="008D24AF" w:rsidRPr="00491313">
        <w:t xml:space="preserve">need to </w:t>
      </w:r>
      <w:r w:rsidR="0033256E" w:rsidRPr="00491313">
        <w:t>make records available to the Commission to enable the Commission to fulfil its assessment, monitoring</w:t>
      </w:r>
      <w:r w:rsidR="00CA6358" w:rsidRPr="00491313">
        <w:t>, compliance</w:t>
      </w:r>
      <w:r w:rsidR="0033256E" w:rsidRPr="00491313">
        <w:t xml:space="preserve"> and complaints handling functions.</w:t>
      </w:r>
    </w:p>
    <w:p w:rsidR="00921BC6" w:rsidRPr="00491313" w:rsidRDefault="00A146F3" w:rsidP="00C44E3F">
      <w:r w:rsidRPr="00491313">
        <w:t>P</w:t>
      </w:r>
      <w:r w:rsidR="0033256E" w:rsidRPr="00491313">
        <w:t xml:space="preserve">roviders will also continue to make records available to the Commission regarding exemptions and matters held to be trivial or negligible conduct after being investigated and recorded as part of workplace procedures. Behaviour between consumers which does not cause significant harm or suffering to the individual in each instance should also be recorded where, if repeated may constitute a pattern of abuse to be </w:t>
      </w:r>
      <w:r w:rsidR="00813C09" w:rsidRPr="00491313">
        <w:t xml:space="preserve">reported under </w:t>
      </w:r>
      <w:r w:rsidR="00134EE0" w:rsidRPr="00491313">
        <w:t>the</w:t>
      </w:r>
      <w:r w:rsidR="00813C09" w:rsidRPr="00491313">
        <w:t xml:space="preserve"> SIRS.</w:t>
      </w:r>
    </w:p>
    <w:p w:rsidR="0033256E" w:rsidRPr="00491313" w:rsidRDefault="00C52422" w:rsidP="004C392E">
      <w:pPr>
        <w:pStyle w:val="Heading1"/>
      </w:pPr>
      <w:bookmarkStart w:id="67" w:name="_Toc17354779"/>
      <w:bookmarkStart w:id="68" w:name="_Toc21590626"/>
      <w:bookmarkStart w:id="69" w:name="_Toc54950043"/>
      <w:r w:rsidRPr="00491313">
        <w:t xml:space="preserve">Functions </w:t>
      </w:r>
      <w:r w:rsidR="00E13F3E" w:rsidRPr="00491313">
        <w:t>and powers for a SIRS</w:t>
      </w:r>
      <w:bookmarkEnd w:id="67"/>
      <w:bookmarkEnd w:id="68"/>
      <w:bookmarkEnd w:id="69"/>
    </w:p>
    <w:p w:rsidR="002603D3" w:rsidRPr="00491313" w:rsidRDefault="00C52422" w:rsidP="00C52422">
      <w:r w:rsidRPr="00491313">
        <w:t xml:space="preserve">The Commissioner will have a number of additional </w:t>
      </w:r>
      <w:r w:rsidRPr="00701460">
        <w:t>functions</w:t>
      </w:r>
      <w:r w:rsidRPr="00491313">
        <w:t xml:space="preserve"> </w:t>
      </w:r>
      <w:r w:rsidR="001B7FEC" w:rsidRPr="00491313">
        <w:t xml:space="preserve">and powers </w:t>
      </w:r>
      <w:r w:rsidRPr="00491313">
        <w:t>de</w:t>
      </w:r>
      <w:r w:rsidR="001B7FEC" w:rsidRPr="00491313">
        <w:t>dicated to dealing with a SIRS</w:t>
      </w:r>
      <w:r w:rsidRPr="00491313">
        <w:t>,</w:t>
      </w:r>
      <w:r w:rsidR="001B7FEC" w:rsidRPr="00491313">
        <w:t xml:space="preserve"> </w:t>
      </w:r>
      <w:r w:rsidR="0033256E" w:rsidRPr="00491313">
        <w:t xml:space="preserve">within an end-to-end quality </w:t>
      </w:r>
      <w:r w:rsidR="00782BD5" w:rsidRPr="00491313">
        <w:t>and safety regulatory framework. In conjunction with the Commission’s existing education</w:t>
      </w:r>
      <w:r w:rsidR="002603D3" w:rsidRPr="00491313">
        <w:t>, compliance</w:t>
      </w:r>
      <w:r w:rsidR="00782BD5" w:rsidRPr="00491313">
        <w:t xml:space="preserve"> and complaints functions, </w:t>
      </w:r>
      <w:r w:rsidR="00664EF5">
        <w:t xml:space="preserve">the Commissioner will be given additional functions </w:t>
      </w:r>
      <w:r w:rsidR="009D0F18">
        <w:t xml:space="preserve">regulate </w:t>
      </w:r>
      <w:r w:rsidR="00664EF5">
        <w:t xml:space="preserve">the SIRS. These are </w:t>
      </w:r>
      <w:r w:rsidR="00782BD5" w:rsidRPr="00491313">
        <w:t>intended to ensure the Commission</w:t>
      </w:r>
      <w:r w:rsidR="002603D3" w:rsidRPr="00491313">
        <w:t xml:space="preserve"> is able to respond,</w:t>
      </w:r>
      <w:r w:rsidR="00782BD5" w:rsidRPr="00491313">
        <w:t xml:space="preserve"> proportionately to all</w:t>
      </w:r>
      <w:r w:rsidR="002603D3" w:rsidRPr="00491313">
        <w:t xml:space="preserve"> </w:t>
      </w:r>
      <w:r w:rsidR="00782BD5" w:rsidRPr="00491313">
        <w:t>levels of risk</w:t>
      </w:r>
      <w:r w:rsidR="002603D3" w:rsidRPr="00491313">
        <w:t xml:space="preserve">, to ensure the safety of consumers. </w:t>
      </w:r>
    </w:p>
    <w:p w:rsidR="00C52422" w:rsidRPr="00491313" w:rsidRDefault="002603D3" w:rsidP="00C52422">
      <w:r w:rsidRPr="00491313">
        <w:t>The Commissioner’s functions will</w:t>
      </w:r>
      <w:r w:rsidR="00782BD5" w:rsidRPr="00491313">
        <w:t xml:space="preserve"> </w:t>
      </w:r>
      <w:r w:rsidR="00C52422" w:rsidRPr="00491313">
        <w:t>include</w:t>
      </w:r>
      <w:r w:rsidRPr="00491313">
        <w:t xml:space="preserve"> to</w:t>
      </w:r>
      <w:r w:rsidR="00C52422" w:rsidRPr="00491313">
        <w:t xml:space="preserve">: </w:t>
      </w:r>
    </w:p>
    <w:p w:rsidR="00C52422" w:rsidRPr="00491313" w:rsidRDefault="00C52422" w:rsidP="00C52422">
      <w:pPr>
        <w:numPr>
          <w:ilvl w:val="0"/>
          <w:numId w:val="49"/>
        </w:numPr>
      </w:pPr>
      <w:r w:rsidRPr="00491313">
        <w:t>Administer the mandatory recording and reporting arrangements for serious incidents.</w:t>
      </w:r>
    </w:p>
    <w:p w:rsidR="00C52422" w:rsidRPr="00491313" w:rsidRDefault="00C52422" w:rsidP="00C52422">
      <w:pPr>
        <w:numPr>
          <w:ilvl w:val="0"/>
          <w:numId w:val="49"/>
        </w:numPr>
      </w:pPr>
      <w:r w:rsidRPr="00491313">
        <w:t xml:space="preserve">Oversee the </w:t>
      </w:r>
      <w:r w:rsidRPr="007970FE">
        <w:t>systems</w:t>
      </w:r>
      <w:r w:rsidRPr="00491313">
        <w:t xml:space="preserve"> of approved providers for recording, reporting, preventing, managing and responding to allegations or suspicion of an incident(s).</w:t>
      </w:r>
    </w:p>
    <w:p w:rsidR="00C52422" w:rsidRPr="00491313" w:rsidRDefault="00C52422" w:rsidP="00C52422">
      <w:pPr>
        <w:numPr>
          <w:ilvl w:val="0"/>
          <w:numId w:val="49"/>
        </w:numPr>
      </w:pPr>
      <w:r w:rsidRPr="007970FE">
        <w:t>Support</w:t>
      </w:r>
      <w:r w:rsidRPr="00491313">
        <w:t xml:space="preserve"> approved providers to develop and implement effective incident management systems and to build provider capability to prevent and manage incidents.</w:t>
      </w:r>
    </w:p>
    <w:p w:rsidR="001B7FEC" w:rsidRPr="00491313" w:rsidRDefault="00C52422" w:rsidP="001B7FEC">
      <w:pPr>
        <w:numPr>
          <w:ilvl w:val="0"/>
          <w:numId w:val="49"/>
        </w:numPr>
      </w:pPr>
      <w:r w:rsidRPr="00491313">
        <w:t xml:space="preserve">Collect, correlate, analyse and disseminate </w:t>
      </w:r>
      <w:r w:rsidRPr="007970FE">
        <w:t>information</w:t>
      </w:r>
      <w:r w:rsidRPr="00491313">
        <w:t xml:space="preserve"> relating to incidents, including reportable </w:t>
      </w:r>
      <w:bookmarkStart w:id="70" w:name="_Toc17354781"/>
      <w:bookmarkStart w:id="71" w:name="_Toc21590627"/>
      <w:r w:rsidR="001B7FEC" w:rsidRPr="00491313">
        <w:t>incidents, to identify trends or systemic issues.</w:t>
      </w:r>
    </w:p>
    <w:p w:rsidR="00540E77" w:rsidRPr="00491313" w:rsidRDefault="00540E77" w:rsidP="00E13F3E">
      <w:r w:rsidRPr="00491313">
        <w:t xml:space="preserve">While the Commission’s focus will include </w:t>
      </w:r>
      <w:r w:rsidR="009D0F18" w:rsidRPr="00E10C29">
        <w:t>promoting</w:t>
      </w:r>
      <w:r w:rsidR="009D0F18">
        <w:t xml:space="preserve"> </w:t>
      </w:r>
      <w:r w:rsidRPr="00491313">
        <w:t xml:space="preserve">capability of approved providers to develop effective systems to prevent and manage incidents, </w:t>
      </w:r>
      <w:r w:rsidR="00E13F3E" w:rsidRPr="00491313">
        <w:t>t</w:t>
      </w:r>
      <w:r w:rsidRPr="00491313">
        <w:t>he Commission will als</w:t>
      </w:r>
      <w:r w:rsidR="001B7FEC" w:rsidRPr="00491313">
        <w:t xml:space="preserve">o require a range of </w:t>
      </w:r>
      <w:r w:rsidRPr="00491313">
        <w:t>powers to</w:t>
      </w:r>
      <w:r w:rsidR="00E13F3E" w:rsidRPr="00491313">
        <w:t xml:space="preserve"> </w:t>
      </w:r>
      <w:r w:rsidRPr="00491313">
        <w:t>respond proportionately to all levels of risk</w:t>
      </w:r>
      <w:r w:rsidR="002178D6">
        <w:t>. This may include the following:</w:t>
      </w:r>
    </w:p>
    <w:p w:rsidR="00540E77" w:rsidRPr="00491313" w:rsidRDefault="00E13F3E" w:rsidP="00C1726C">
      <w:pPr>
        <w:numPr>
          <w:ilvl w:val="0"/>
          <w:numId w:val="49"/>
        </w:numPr>
      </w:pPr>
      <w:r w:rsidRPr="00491313">
        <w:t>To ensure the compliance of approved providers, t</w:t>
      </w:r>
      <w:r w:rsidR="00540E77" w:rsidRPr="00491313">
        <w:t>he Commission will use its existing search and entry powers</w:t>
      </w:r>
      <w:r w:rsidR="00D51156" w:rsidRPr="00491313">
        <w:t xml:space="preserve"> to assess </w:t>
      </w:r>
      <w:r w:rsidR="007970FE" w:rsidRPr="00491313">
        <w:t xml:space="preserve">Approved Providers’ </w:t>
      </w:r>
      <w:r w:rsidR="00D51156" w:rsidRPr="00491313">
        <w:t>performance and monitor compliance with their incident management obligations at their premises. A</w:t>
      </w:r>
      <w:r w:rsidR="00540E77" w:rsidRPr="00491313">
        <w:t>dditional information gathering powers</w:t>
      </w:r>
      <w:r w:rsidR="00D51156" w:rsidRPr="00491313">
        <w:t xml:space="preserve"> </w:t>
      </w:r>
      <w:r w:rsidR="002178D6">
        <w:t>may</w:t>
      </w:r>
      <w:r w:rsidR="00D51156" w:rsidRPr="00491313">
        <w:t xml:space="preserve"> also be </w:t>
      </w:r>
      <w:r w:rsidR="00664EF5">
        <w:t>established</w:t>
      </w:r>
      <w:r w:rsidR="00D51156" w:rsidRPr="00491313">
        <w:t xml:space="preserve"> so the</w:t>
      </w:r>
      <w:r w:rsidRPr="00491313">
        <w:t xml:space="preserve"> Commission </w:t>
      </w:r>
      <w:r w:rsidR="00D51156" w:rsidRPr="00491313">
        <w:t>can</w:t>
      </w:r>
      <w:r w:rsidR="00540E77" w:rsidRPr="00491313">
        <w:t xml:space="preserve"> verify reporting by </w:t>
      </w:r>
      <w:r w:rsidR="007970FE" w:rsidRPr="00491313">
        <w:t xml:space="preserve">Approved Providers </w:t>
      </w:r>
      <w:r w:rsidR="00540E77" w:rsidRPr="00491313">
        <w:t>off premises, and to investigate suspected breaches of their incident management obligations.</w:t>
      </w:r>
    </w:p>
    <w:p w:rsidR="00540E77" w:rsidRPr="00491313" w:rsidRDefault="00540E77" w:rsidP="00C1726C">
      <w:pPr>
        <w:numPr>
          <w:ilvl w:val="0"/>
          <w:numId w:val="49"/>
        </w:numPr>
      </w:pPr>
      <w:r w:rsidRPr="00491313">
        <w:t xml:space="preserve">To ensure the safety of consumers, the Commission </w:t>
      </w:r>
      <w:r w:rsidR="002178D6">
        <w:t>may</w:t>
      </w:r>
      <w:r w:rsidRPr="00491313">
        <w:t xml:space="preserve"> also be given additional</w:t>
      </w:r>
      <w:r w:rsidR="00E13F3E" w:rsidRPr="00491313">
        <w:t xml:space="preserve"> </w:t>
      </w:r>
      <w:r w:rsidRPr="00491313">
        <w:t xml:space="preserve">powers to respond proactively to reports of serious incidents to ensure the safety of consumers. </w:t>
      </w:r>
      <w:r w:rsidR="002178D6" w:rsidRPr="00491313">
        <w:t xml:space="preserve">This </w:t>
      </w:r>
      <w:r w:rsidR="002178D6">
        <w:t>would</w:t>
      </w:r>
      <w:r w:rsidR="002178D6" w:rsidRPr="00491313">
        <w:t xml:space="preserve"> include powers to direct </w:t>
      </w:r>
      <w:r w:rsidR="007970FE" w:rsidRPr="00491313">
        <w:t xml:space="preserve">Approved Providers </w:t>
      </w:r>
      <w:r w:rsidR="002178D6" w:rsidRPr="00491313">
        <w:t xml:space="preserve">in relation to their responses to a serious incident. </w:t>
      </w:r>
      <w:r w:rsidR="00D51156" w:rsidRPr="00491313">
        <w:t xml:space="preserve">These new powers </w:t>
      </w:r>
      <w:r w:rsidR="002178D6">
        <w:t>would</w:t>
      </w:r>
      <w:r w:rsidR="00D51156" w:rsidRPr="00491313">
        <w:t xml:space="preserve"> allow the </w:t>
      </w:r>
      <w:r w:rsidRPr="00491313">
        <w:t>Commissioner</w:t>
      </w:r>
      <w:r w:rsidR="00D51156" w:rsidRPr="00491313">
        <w:t xml:space="preserve"> to act before </w:t>
      </w:r>
      <w:r w:rsidRPr="00491313">
        <w:t>need</w:t>
      </w:r>
      <w:r w:rsidR="00D51156" w:rsidRPr="00491313">
        <w:t>ing</w:t>
      </w:r>
      <w:r w:rsidRPr="00491313">
        <w:t xml:space="preserve"> to be satisfied of an </w:t>
      </w:r>
      <w:r w:rsidR="007970FE" w:rsidRPr="00491313">
        <w:t>Approved Pro</w:t>
      </w:r>
      <w:r w:rsidRPr="00491313">
        <w:t>vider’s non-compliance</w:t>
      </w:r>
      <w:r w:rsidR="00D51156" w:rsidRPr="00491313">
        <w:t>.</w:t>
      </w:r>
    </w:p>
    <w:p w:rsidR="00540E77" w:rsidRPr="00491313" w:rsidRDefault="002178D6" w:rsidP="00C1726C">
      <w:pPr>
        <w:numPr>
          <w:ilvl w:val="0"/>
          <w:numId w:val="49"/>
        </w:numPr>
      </w:pPr>
      <w:r>
        <w:t>T</w:t>
      </w:r>
      <w:r w:rsidR="00540E77" w:rsidRPr="00491313">
        <w:t xml:space="preserve">he Commission </w:t>
      </w:r>
      <w:r>
        <w:t>may</w:t>
      </w:r>
      <w:r w:rsidR="00540E77" w:rsidRPr="00491313">
        <w:t xml:space="preserve"> also</w:t>
      </w:r>
      <w:r w:rsidR="00E13F3E" w:rsidRPr="00491313">
        <w:t xml:space="preserve"> have powers</w:t>
      </w:r>
      <w:r w:rsidR="00540E77" w:rsidRPr="00491313">
        <w:t xml:space="preserve"> to inquire into serious incidents and their management by </w:t>
      </w:r>
      <w:r w:rsidR="007970FE" w:rsidRPr="00491313">
        <w:t>Approved Prov</w:t>
      </w:r>
      <w:r w:rsidR="00540E77" w:rsidRPr="00491313">
        <w:t>iders whether in response to a report of a serious incident, a complaint or on the Commission’s own initiative.</w:t>
      </w:r>
      <w:r w:rsidR="00CE7216" w:rsidRPr="00491313">
        <w:t xml:space="preserve"> These inquiries </w:t>
      </w:r>
      <w:r>
        <w:t>would</w:t>
      </w:r>
      <w:r w:rsidR="00CE7216" w:rsidRPr="00491313">
        <w:t xml:space="preserve"> enable the Commission to deal with serious incidents without being limited to matters of compliance, to ensu</w:t>
      </w:r>
      <w:r w:rsidR="00700D2A">
        <w:t>re the protection of consumers.</w:t>
      </w:r>
    </w:p>
    <w:p w:rsidR="001B7FEC" w:rsidRDefault="00540E77" w:rsidP="00C1726C">
      <w:pPr>
        <w:numPr>
          <w:ilvl w:val="0"/>
          <w:numId w:val="49"/>
        </w:numPr>
      </w:pPr>
      <w:r w:rsidRPr="00491313">
        <w:t xml:space="preserve">Where a failure to meet the requirements of the SIRS is identified, the Commission will be able to </w:t>
      </w:r>
      <w:r w:rsidR="00311C22" w:rsidRPr="00491313">
        <w:t xml:space="preserve">undertake </w:t>
      </w:r>
      <w:r w:rsidRPr="00491313">
        <w:t>enforcement actions, e.g.</w:t>
      </w:r>
      <w:r w:rsidR="00E13F3E" w:rsidRPr="00491313">
        <w:t xml:space="preserve"> imposing</w:t>
      </w:r>
      <w:r w:rsidRPr="00491313">
        <w:t xml:space="preserve"> sanctions, which align with existing approaches taken to compliance in relation to other </w:t>
      </w:r>
      <w:r w:rsidR="007970FE" w:rsidRPr="00491313">
        <w:t>Approved Provi</w:t>
      </w:r>
      <w:r w:rsidRPr="00491313">
        <w:t xml:space="preserve">der responsibilities. </w:t>
      </w:r>
      <w:r w:rsidR="00D51156" w:rsidRPr="00491313">
        <w:t>T</w:t>
      </w:r>
      <w:r w:rsidRPr="00491313">
        <w:t xml:space="preserve">he Commission </w:t>
      </w:r>
      <w:r w:rsidR="002178D6">
        <w:t>may</w:t>
      </w:r>
      <w:r w:rsidRPr="00491313">
        <w:t xml:space="preserve"> </w:t>
      </w:r>
      <w:r w:rsidR="00D51156" w:rsidRPr="00491313">
        <w:t xml:space="preserve">also </w:t>
      </w:r>
      <w:r w:rsidR="002178D6">
        <w:t>be given</w:t>
      </w:r>
      <w:r w:rsidR="00326642" w:rsidRPr="00491313">
        <w:t xml:space="preserve"> powers to enforce any civil penalty provisions under the SIRS.</w:t>
      </w:r>
    </w:p>
    <w:p w:rsidR="006B5D64" w:rsidRDefault="00E10C29" w:rsidP="00E10C29">
      <w:pPr>
        <w:numPr>
          <w:ilvl w:val="0"/>
          <w:numId w:val="49"/>
        </w:numPr>
      </w:pPr>
      <w:r w:rsidRPr="00E10C29">
        <w:t>To ensure an effective system wide and sustainable response is made by a provider the Commission’s current sanctions will be expanded to include enforceable undertakings. Enforceable undertakings can go beyond what is currently available with existing sanctions with the purpose of understanding, correcting and preventing the original non-compliance and its underlying causes. In this way they can influence sector improvements other than those of the regulated providers themselves</w:t>
      </w:r>
      <w:r w:rsidR="006B5D64">
        <w:t>.</w:t>
      </w:r>
      <w:r w:rsidRPr="00E10C29">
        <w:t xml:space="preserve"> Cases can be published t</w:t>
      </w:r>
      <w:r w:rsidR="00700D2A">
        <w:t>o support system-wide learning.</w:t>
      </w:r>
    </w:p>
    <w:p w:rsidR="00E10C29" w:rsidRPr="00E10C29" w:rsidRDefault="00E10C29" w:rsidP="007F6584">
      <w:pPr>
        <w:ind w:left="360"/>
      </w:pPr>
      <w:r w:rsidRPr="00E10C29">
        <w:t xml:space="preserve">Enforceable undertakings would be an effective and complementary enforcement tool for the </w:t>
      </w:r>
      <w:r w:rsidR="000A18E7">
        <w:t xml:space="preserve">SIRS </w:t>
      </w:r>
      <w:r w:rsidRPr="00E10C29">
        <w:t xml:space="preserve">because this enforcement power would enable the Commission to hold an </w:t>
      </w:r>
      <w:r w:rsidR="007970FE" w:rsidRPr="00E10C29">
        <w:t xml:space="preserve">Approved Provider </w:t>
      </w:r>
      <w:r w:rsidRPr="00E10C29">
        <w:t>to account for actions taken to address root causes of serious incidents at a service and strengthening the accountability of a provider for sustainable improvements in care. They may also be more satisfying for consumers who have a stake in seeing that a harm is redressed and will not happen again (for example, through modifying work processes and practices and introducing systematic safeguards to prevent future occurrences).</w:t>
      </w:r>
    </w:p>
    <w:p w:rsidR="0033256E" w:rsidRPr="00491313" w:rsidRDefault="0033256E" w:rsidP="000F22FC">
      <w:pPr>
        <w:pStyle w:val="Heading1"/>
      </w:pPr>
      <w:bookmarkStart w:id="72" w:name="_Toc54950044"/>
      <w:r w:rsidRPr="00491313">
        <w:t>Public reporting b</w:t>
      </w:r>
      <w:r w:rsidR="00921BC6" w:rsidRPr="00491313">
        <w:t>y</w:t>
      </w:r>
      <w:r w:rsidRPr="00491313">
        <w:t xml:space="preserve"> the Commission on SIRS</w:t>
      </w:r>
      <w:bookmarkEnd w:id="70"/>
      <w:bookmarkEnd w:id="71"/>
      <w:bookmarkEnd w:id="72"/>
    </w:p>
    <w:p w:rsidR="0033256E" w:rsidRPr="00491313" w:rsidRDefault="0033256E" w:rsidP="00C44E3F">
      <w:r w:rsidRPr="00491313">
        <w:t xml:space="preserve">Public reporting of SIRS information is intended to increase transparency and information to the sector and consumers on performance. Reporting </w:t>
      </w:r>
      <w:r w:rsidR="00754A3B" w:rsidRPr="00491313">
        <w:t>will be</w:t>
      </w:r>
      <w:r w:rsidRPr="00491313">
        <w:t xml:space="preserve"> informative</w:t>
      </w:r>
      <w:r w:rsidR="00754A3B" w:rsidRPr="00491313">
        <w:t xml:space="preserve"> and </w:t>
      </w:r>
      <w:r w:rsidRPr="00491313">
        <w:t>include quantitative (e.g. analysis) and qualitative analysis and help the sector, policy makers and regulators understand current trends and emerging issues.</w:t>
      </w:r>
    </w:p>
    <w:p w:rsidR="0033256E" w:rsidRPr="00491313" w:rsidRDefault="0033256E" w:rsidP="00C44E3F">
      <w:r w:rsidRPr="00491313">
        <w:t>Information publicly reported on the operation of the SIRS may include annual and trend reporting on information such as the:</w:t>
      </w:r>
    </w:p>
    <w:p w:rsidR="0033256E" w:rsidRPr="00491313" w:rsidRDefault="000650A7" w:rsidP="00A948AB">
      <w:pPr>
        <w:pStyle w:val="Bullets1"/>
        <w:ind w:left="426"/>
      </w:pPr>
      <w:r w:rsidRPr="00491313">
        <w:t>n</w:t>
      </w:r>
      <w:r w:rsidR="0033256E" w:rsidRPr="00491313">
        <w:t>umber of reports received annually, by type</w:t>
      </w:r>
      <w:r w:rsidR="003338D8" w:rsidRPr="00491313">
        <w:t xml:space="preserve"> (category of incident, who made the allegation; who was the reported </w:t>
      </w:r>
      <w:r w:rsidR="00380073" w:rsidRPr="00491313">
        <w:t>person who committed an incident</w:t>
      </w:r>
      <w:r w:rsidR="003338D8" w:rsidRPr="00491313">
        <w:t>) and identify incidents found to be unsubstantiated or unfounded</w:t>
      </w:r>
      <w:r w:rsidR="0033256E" w:rsidRPr="00491313">
        <w:t>;</w:t>
      </w:r>
    </w:p>
    <w:p w:rsidR="0033256E" w:rsidRPr="00491313" w:rsidRDefault="000650A7" w:rsidP="00A948AB">
      <w:pPr>
        <w:pStyle w:val="Bullets1"/>
        <w:ind w:left="426"/>
      </w:pPr>
      <w:r w:rsidRPr="00491313">
        <w:t>a</w:t>
      </w:r>
      <w:r w:rsidR="0033256E" w:rsidRPr="00491313">
        <w:t xml:space="preserve">ction taken by the Commission, e.g. number of </w:t>
      </w:r>
      <w:r w:rsidR="007551CD" w:rsidRPr="00491313">
        <w:t xml:space="preserve">Directions, </w:t>
      </w:r>
      <w:r w:rsidR="0033256E" w:rsidRPr="00491313">
        <w:t>Notices of Non-Compliance/sanctions; and</w:t>
      </w:r>
    </w:p>
    <w:p w:rsidR="0033256E" w:rsidRPr="00491313" w:rsidRDefault="000650A7" w:rsidP="00A948AB">
      <w:pPr>
        <w:pStyle w:val="Bullets1"/>
        <w:ind w:left="426"/>
      </w:pPr>
      <w:r w:rsidRPr="00491313">
        <w:t>t</w:t>
      </w:r>
      <w:r w:rsidR="0033256E" w:rsidRPr="00491313">
        <w:t>ypes of action taken by the provider to resolve/manage incident</w:t>
      </w:r>
      <w:r w:rsidR="00754A3B" w:rsidRPr="00491313">
        <w:t>s</w:t>
      </w:r>
      <w:r w:rsidR="0033256E" w:rsidRPr="00491313">
        <w:t>.</w:t>
      </w:r>
    </w:p>
    <w:p w:rsidR="00A55DDA" w:rsidRPr="00491313" w:rsidRDefault="006764DD" w:rsidP="00A55DDA">
      <w:pPr>
        <w:pStyle w:val="Bullets1"/>
        <w:numPr>
          <w:ilvl w:val="0"/>
          <w:numId w:val="0"/>
        </w:numPr>
        <w:ind w:left="66"/>
      </w:pPr>
      <w:r w:rsidRPr="00491313">
        <w:t>Providers will be encouraged to have an open disclosure approach to self-reporting incident information and providing information to consumers, for example through annual reports.</w:t>
      </w:r>
    </w:p>
    <w:p w:rsidR="0033256E" w:rsidRPr="00491313" w:rsidRDefault="007551CD" w:rsidP="00A146F3">
      <w:pPr>
        <w:pStyle w:val="Bullets1"/>
        <w:numPr>
          <w:ilvl w:val="0"/>
          <w:numId w:val="0"/>
        </w:numPr>
        <w:ind w:left="66"/>
        <w:rPr>
          <w:rFonts w:eastAsia="MS Gothic" w:cstheme="majorBidi"/>
          <w:color w:val="3F4A75"/>
          <w:sz w:val="40"/>
          <w:szCs w:val="36"/>
          <w:lang w:val="en-US" w:eastAsia="en-AU"/>
        </w:rPr>
      </w:pPr>
      <w:r w:rsidRPr="00491313">
        <w:t xml:space="preserve">The Commission will consider how this reporting fits with other current reporting for example trends. </w:t>
      </w:r>
      <w:bookmarkStart w:id="73" w:name="_Toc17354784"/>
      <w:r w:rsidR="00E90A9B" w:rsidRPr="00491313">
        <w:br w:type="page"/>
      </w:r>
      <w:bookmarkStart w:id="74" w:name="_Toc21590628"/>
      <w:r w:rsidR="0033256E" w:rsidRPr="00491313">
        <w:rPr>
          <w:rFonts w:eastAsia="MS Gothic" w:cstheme="majorBidi"/>
          <w:color w:val="3F4A75"/>
          <w:sz w:val="40"/>
          <w:szCs w:val="36"/>
          <w:lang w:val="en-US" w:eastAsia="en-AU"/>
        </w:rPr>
        <w:t>Glossary</w:t>
      </w:r>
      <w:bookmarkEnd w:id="73"/>
      <w:bookmarkEnd w:id="74"/>
    </w:p>
    <w:tbl>
      <w:tblPr>
        <w:tblStyle w:val="TableGrid"/>
        <w:tblW w:w="0" w:type="auto"/>
        <w:tblBorders>
          <w:top w:val="single" w:sz="12" w:space="0" w:color="358189"/>
          <w:left w:val="single" w:sz="12" w:space="0" w:color="358189"/>
          <w:bottom w:val="single" w:sz="12" w:space="0" w:color="358189"/>
          <w:right w:val="single" w:sz="12" w:space="0" w:color="358189"/>
          <w:insideH w:val="single" w:sz="12" w:space="0" w:color="358189"/>
          <w:insideV w:val="single" w:sz="12" w:space="0" w:color="358189"/>
        </w:tblBorders>
        <w:tblLook w:val="04A0" w:firstRow="1" w:lastRow="0" w:firstColumn="1" w:lastColumn="0" w:noHBand="0" w:noVBand="1"/>
        <w:tblCaption w:val="Glossary"/>
        <w:tblDescription w:val="This table lists terms and definitions relevant to the Serious Incident Response Scheme model"/>
      </w:tblPr>
      <w:tblGrid>
        <w:gridCol w:w="2785"/>
        <w:gridCol w:w="7388"/>
      </w:tblGrid>
      <w:tr w:rsidR="0033256E" w:rsidRPr="00491313" w:rsidTr="00A948AB">
        <w:trPr>
          <w:cantSplit/>
          <w:trHeight w:val="713"/>
          <w:tblHeader/>
        </w:trPr>
        <w:tc>
          <w:tcPr>
            <w:tcW w:w="2785" w:type="dxa"/>
            <w:tcBorders>
              <w:right w:val="single" w:sz="12" w:space="0" w:color="FFFFFF" w:themeColor="background1"/>
            </w:tcBorders>
            <w:shd w:val="clear" w:color="auto" w:fill="358189"/>
            <w:vAlign w:val="center"/>
          </w:tcPr>
          <w:p w:rsidR="0033256E" w:rsidRPr="00491313" w:rsidRDefault="0033256E" w:rsidP="00C44E3F">
            <w:pPr>
              <w:spacing w:after="120" w:line="240" w:lineRule="auto"/>
              <w:rPr>
                <w:rFonts w:cs="Arial"/>
                <w:b/>
                <w:color w:val="FFFFFF" w:themeColor="background1"/>
                <w:sz w:val="22"/>
                <w:szCs w:val="22"/>
              </w:rPr>
            </w:pPr>
            <w:r w:rsidRPr="00491313">
              <w:rPr>
                <w:rFonts w:cs="Arial"/>
                <w:b/>
                <w:color w:val="FFFFFF" w:themeColor="background1"/>
                <w:sz w:val="22"/>
                <w:szCs w:val="22"/>
              </w:rPr>
              <w:t>Term</w:t>
            </w:r>
          </w:p>
        </w:tc>
        <w:tc>
          <w:tcPr>
            <w:tcW w:w="7388" w:type="dxa"/>
            <w:tcBorders>
              <w:left w:val="single" w:sz="12" w:space="0" w:color="FFFFFF" w:themeColor="background1"/>
            </w:tcBorders>
            <w:shd w:val="clear" w:color="auto" w:fill="358189"/>
            <w:vAlign w:val="center"/>
          </w:tcPr>
          <w:p w:rsidR="0033256E" w:rsidRPr="00491313" w:rsidRDefault="0033256E" w:rsidP="00C44E3F">
            <w:pPr>
              <w:spacing w:after="120" w:line="240" w:lineRule="auto"/>
              <w:rPr>
                <w:rFonts w:cs="Arial"/>
                <w:b/>
                <w:color w:val="FFFFFF" w:themeColor="background1"/>
                <w:sz w:val="22"/>
                <w:szCs w:val="22"/>
              </w:rPr>
            </w:pPr>
            <w:r w:rsidRPr="00491313">
              <w:rPr>
                <w:rFonts w:cs="Arial"/>
                <w:b/>
                <w:color w:val="FFFFFF" w:themeColor="background1"/>
                <w:sz w:val="22"/>
                <w:szCs w:val="22"/>
              </w:rPr>
              <w:t>Definition</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18" w:history="1">
              <w:r w:rsidR="0033256E" w:rsidRPr="00491313">
                <w:rPr>
                  <w:rStyle w:val="Hyperlink"/>
                  <w:rFonts w:eastAsia="Calibri"/>
                  <w:i/>
                  <w:szCs w:val="21"/>
                </w:rPr>
                <w:t>Aged Care Act 1997</w:t>
              </w:r>
            </w:hyperlink>
            <w:r w:rsidR="0033256E" w:rsidRPr="00491313">
              <w:rPr>
                <w:rFonts w:eastAsia="Calibri" w:cs="Arial"/>
                <w:i/>
                <w:szCs w:val="21"/>
              </w:rPr>
              <w:t xml:space="preserve"> </w:t>
            </w:r>
            <w:r w:rsidR="0033256E" w:rsidRPr="00491313">
              <w:rPr>
                <w:rFonts w:eastAsia="Calibri" w:cs="Arial"/>
                <w:szCs w:val="21"/>
              </w:rPr>
              <w:t>(the Act)</w:t>
            </w:r>
          </w:p>
        </w:tc>
        <w:tc>
          <w:tcPr>
            <w:tcW w:w="7388" w:type="dxa"/>
          </w:tcPr>
          <w:p w:rsidR="0033256E" w:rsidRPr="00491313" w:rsidRDefault="0033256E" w:rsidP="00C44E3F">
            <w:pPr>
              <w:spacing w:after="120"/>
              <w:rPr>
                <w:rFonts w:cs="Arial"/>
                <w:szCs w:val="21"/>
              </w:rPr>
            </w:pPr>
            <w:r w:rsidRPr="00491313">
              <w:rPr>
                <w:rFonts w:eastAsia="Calibri" w:cs="Arial"/>
                <w:szCs w:val="21"/>
              </w:rPr>
              <w:t>The Act is the overarching legislation that outlines the obligations and responsibilities that aged care providers must follow to receive subsidies from the Australian Government.</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19" w:history="1">
              <w:r w:rsidR="0033256E" w:rsidRPr="00491313">
                <w:rPr>
                  <w:rStyle w:val="Hyperlink"/>
                  <w:rFonts w:eastAsia="Calibri" w:cs="Arial"/>
                  <w:szCs w:val="21"/>
                </w:rPr>
                <w:t>Aged Care Quality and Safety Commission</w:t>
              </w:r>
            </w:hyperlink>
            <w:r w:rsidR="0033256E" w:rsidRPr="00491313">
              <w:rPr>
                <w:rFonts w:eastAsia="Calibri" w:cs="Arial"/>
                <w:szCs w:val="21"/>
              </w:rPr>
              <w:t xml:space="preserve"> (the Commission)</w:t>
            </w:r>
          </w:p>
        </w:tc>
        <w:tc>
          <w:tcPr>
            <w:tcW w:w="7388" w:type="dxa"/>
          </w:tcPr>
          <w:p w:rsidR="0033256E" w:rsidRPr="00491313" w:rsidRDefault="0033256E" w:rsidP="00C44E3F">
            <w:pPr>
              <w:spacing w:after="120"/>
              <w:rPr>
                <w:rFonts w:eastAsia="Calibri" w:cs="Arial"/>
                <w:szCs w:val="21"/>
              </w:rPr>
            </w:pPr>
            <w:r w:rsidRPr="00491313">
              <w:rPr>
                <w:rFonts w:eastAsia="Calibri" w:cs="Arial"/>
                <w:szCs w:val="21"/>
              </w:rPr>
              <w:t>The role of the Commission is to protect and enhance the safety, health, well-being and quality of life of people receiving aged care. The Commission independently accredits, assesses and monitors aged care services subsidised by the Australian Government, and also resolve complaints about these services.</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20" w:history="1">
              <w:r w:rsidR="0033256E" w:rsidRPr="00491313">
                <w:rPr>
                  <w:rStyle w:val="Hyperlink"/>
                  <w:rFonts w:eastAsia="Calibri" w:cs="Arial"/>
                  <w:szCs w:val="21"/>
                </w:rPr>
                <w:t>Aged Care Quality Standards</w:t>
              </w:r>
            </w:hyperlink>
            <w:r w:rsidR="0033256E" w:rsidRPr="00491313">
              <w:rPr>
                <w:rFonts w:eastAsia="Calibri" w:cs="Arial"/>
                <w:szCs w:val="21"/>
              </w:rPr>
              <w:t xml:space="preserve"> (the Standards)</w:t>
            </w:r>
          </w:p>
        </w:tc>
        <w:tc>
          <w:tcPr>
            <w:tcW w:w="7388" w:type="dxa"/>
          </w:tcPr>
          <w:p w:rsidR="0033256E" w:rsidRPr="00491313" w:rsidRDefault="0033256E" w:rsidP="00C44E3F">
            <w:pPr>
              <w:spacing w:after="120"/>
              <w:rPr>
                <w:rFonts w:cs="Arial"/>
                <w:szCs w:val="21"/>
              </w:rPr>
            </w:pPr>
            <w:r w:rsidRPr="00491313">
              <w:rPr>
                <w:rFonts w:eastAsia="Calibri" w:cs="Arial"/>
                <w:szCs w:val="21"/>
              </w:rPr>
              <w:t>Organisations providing Commonwealth subsidised aged care services are required to comply with the Standards. Organisations are assessed and must be able to provide evidence of their compliance with and performance against the Standards. The Standards focus on outcomes for consumers and reflect the level of care and services the community can expect from organisations that provide Commonwealth subsidised aged care services.</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21" w:anchor="1.0" w:history="1">
              <w:r w:rsidR="0033256E" w:rsidRPr="00491313">
                <w:rPr>
                  <w:rStyle w:val="Hyperlink"/>
                  <w:rFonts w:eastAsia="Calibri" w:cs="Arial"/>
                  <w:szCs w:val="21"/>
                </w:rPr>
                <w:t>Approved provider</w:t>
              </w:r>
            </w:hyperlink>
          </w:p>
        </w:tc>
        <w:tc>
          <w:tcPr>
            <w:tcW w:w="7388" w:type="dxa"/>
          </w:tcPr>
          <w:p w:rsidR="0033256E" w:rsidRPr="00491313" w:rsidRDefault="0033256E" w:rsidP="00C44E3F">
            <w:pPr>
              <w:spacing w:after="120"/>
              <w:rPr>
                <w:rFonts w:eastAsia="Calibri" w:cs="Arial"/>
                <w:szCs w:val="21"/>
              </w:rPr>
            </w:pPr>
            <w:r w:rsidRPr="00491313">
              <w:rPr>
                <w:rFonts w:eastAsia="Calibri" w:cs="Arial"/>
                <w:szCs w:val="21"/>
              </w:rPr>
              <w:t>An approved provider receives subsidies for the delivery of aged care to and is responsible for making decisions about the delivery of quality care to consumers, the financial management of subsidies and for managing consumer’s fees and payments.</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22" w:history="1">
              <w:r w:rsidR="0033256E" w:rsidRPr="00491313">
                <w:rPr>
                  <w:rStyle w:val="Hyperlink"/>
                  <w:rFonts w:eastAsia="Calibri" w:cs="Arial"/>
                  <w:szCs w:val="21"/>
                </w:rPr>
                <w:t>Disability Reportable Incidents Scheme</w:t>
              </w:r>
            </w:hyperlink>
            <w:r w:rsidR="0033256E" w:rsidRPr="00491313">
              <w:rPr>
                <w:rFonts w:eastAsia="Calibri" w:cs="Arial"/>
                <w:szCs w:val="21"/>
              </w:rPr>
              <w:t xml:space="preserve"> for disability services in NSW</w:t>
            </w:r>
          </w:p>
        </w:tc>
        <w:tc>
          <w:tcPr>
            <w:tcW w:w="7388" w:type="dxa"/>
          </w:tcPr>
          <w:p w:rsidR="0033256E" w:rsidRPr="00491313" w:rsidRDefault="0033256E" w:rsidP="00C44E3F">
            <w:pPr>
              <w:spacing w:after="120"/>
              <w:rPr>
                <w:rFonts w:cs="Arial"/>
                <w:szCs w:val="21"/>
              </w:rPr>
            </w:pPr>
            <w:r w:rsidRPr="00491313">
              <w:rPr>
                <w:rFonts w:eastAsia="Calibri" w:cs="Arial"/>
                <w:szCs w:val="21"/>
              </w:rPr>
              <w:t>The disability reportable incidents schem</w:t>
            </w:r>
            <w:r w:rsidR="007F4BAB" w:rsidRPr="00491313">
              <w:rPr>
                <w:rFonts w:eastAsia="Calibri" w:cs="Arial"/>
                <w:szCs w:val="21"/>
              </w:rPr>
              <w:t>e operating in New South Wales.</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23" w:history="1">
              <w:r w:rsidR="0033256E" w:rsidRPr="00491313">
                <w:rPr>
                  <w:rStyle w:val="Hyperlink"/>
                  <w:rFonts w:eastAsia="Calibri" w:cs="Arial"/>
                  <w:szCs w:val="21"/>
                </w:rPr>
                <w:t>National Disability Insurance Scheme</w:t>
              </w:r>
            </w:hyperlink>
            <w:r w:rsidR="0033256E" w:rsidRPr="00491313">
              <w:rPr>
                <w:rFonts w:eastAsia="Calibri" w:cs="Arial"/>
                <w:szCs w:val="21"/>
              </w:rPr>
              <w:t xml:space="preserve"> (NDIS)</w:t>
            </w:r>
          </w:p>
        </w:tc>
        <w:tc>
          <w:tcPr>
            <w:tcW w:w="7388" w:type="dxa"/>
          </w:tcPr>
          <w:p w:rsidR="0033256E" w:rsidRPr="00491313" w:rsidRDefault="0033256E" w:rsidP="00C44E3F">
            <w:pPr>
              <w:spacing w:after="120"/>
              <w:rPr>
                <w:rFonts w:cs="Arial"/>
                <w:szCs w:val="21"/>
              </w:rPr>
            </w:pPr>
            <w:r w:rsidRPr="00491313">
              <w:rPr>
                <w:rFonts w:eastAsia="Calibri" w:cs="Arial"/>
                <w:szCs w:val="21"/>
              </w:rPr>
              <w:t>The NDIS provides funding for supports and services to people with a disability, their families and carers.</w:t>
            </w:r>
          </w:p>
        </w:tc>
      </w:tr>
      <w:tr w:rsidR="0033256E" w:rsidRPr="00491313" w:rsidTr="00A948AB">
        <w:trPr>
          <w:cantSplit/>
        </w:trPr>
        <w:tc>
          <w:tcPr>
            <w:tcW w:w="2785" w:type="dxa"/>
          </w:tcPr>
          <w:p w:rsidR="0033256E" w:rsidRPr="00491313" w:rsidRDefault="00700D2A" w:rsidP="00C44E3F">
            <w:pPr>
              <w:spacing w:after="120"/>
              <w:rPr>
                <w:rFonts w:cs="Arial"/>
                <w:szCs w:val="21"/>
              </w:rPr>
            </w:pPr>
            <w:hyperlink r:id="rId24" w:history="1">
              <w:r w:rsidR="0033256E" w:rsidRPr="00491313">
                <w:rPr>
                  <w:rStyle w:val="Hyperlink"/>
                  <w:rFonts w:eastAsia="Calibri" w:cs="Arial"/>
                  <w:szCs w:val="21"/>
                </w:rPr>
                <w:t>Open disclosure</w:t>
              </w:r>
            </w:hyperlink>
          </w:p>
        </w:tc>
        <w:tc>
          <w:tcPr>
            <w:tcW w:w="7388" w:type="dxa"/>
          </w:tcPr>
          <w:p w:rsidR="0033256E" w:rsidRPr="00491313" w:rsidRDefault="0033256E" w:rsidP="00C44E3F">
            <w:pPr>
              <w:spacing w:after="120"/>
              <w:rPr>
                <w:rFonts w:cs="Arial"/>
                <w:szCs w:val="21"/>
              </w:rPr>
            </w:pPr>
            <w:r w:rsidRPr="00491313">
              <w:rPr>
                <w:rFonts w:eastAsia="Calibri" w:cs="Arial"/>
                <w:szCs w:val="21"/>
              </w:rPr>
              <w:t>The open discussion that an aged care provider has with people receiving aged care services when something goes wrong that has harmed or had the potential to cause harm to a person receiving an aged care service.</w:t>
            </w:r>
          </w:p>
        </w:tc>
      </w:tr>
      <w:tr w:rsidR="0033256E" w:rsidRPr="00491313" w:rsidTr="00A948AB">
        <w:trPr>
          <w:cantSplit/>
        </w:trPr>
        <w:tc>
          <w:tcPr>
            <w:tcW w:w="2785" w:type="dxa"/>
          </w:tcPr>
          <w:p w:rsidR="0033256E" w:rsidRPr="00491313" w:rsidRDefault="0033256E" w:rsidP="00C44E3F">
            <w:pPr>
              <w:spacing w:after="120"/>
              <w:rPr>
                <w:rFonts w:cs="Arial"/>
                <w:szCs w:val="21"/>
              </w:rPr>
            </w:pPr>
            <w:r w:rsidRPr="00491313">
              <w:rPr>
                <w:rFonts w:eastAsia="Calibri" w:cs="Arial"/>
                <w:szCs w:val="21"/>
              </w:rPr>
              <w:t>Residential aged care</w:t>
            </w:r>
          </w:p>
        </w:tc>
        <w:tc>
          <w:tcPr>
            <w:tcW w:w="7388" w:type="dxa"/>
          </w:tcPr>
          <w:p w:rsidR="0033256E" w:rsidRPr="00491313" w:rsidRDefault="0033256E" w:rsidP="00C44E3F">
            <w:pPr>
              <w:spacing w:after="120"/>
              <w:rPr>
                <w:rFonts w:cs="Arial"/>
                <w:szCs w:val="21"/>
              </w:rPr>
            </w:pPr>
            <w:r w:rsidRPr="00491313">
              <w:rPr>
                <w:rFonts w:eastAsia="Calibri" w:cs="Arial"/>
                <w:szCs w:val="21"/>
              </w:rPr>
              <w:t>Provides a range of care options and accommodation for older people who are unable to continue living independently in their own homes.</w:t>
            </w:r>
          </w:p>
        </w:tc>
      </w:tr>
      <w:tr w:rsidR="0033256E" w:rsidTr="00A948AB">
        <w:trPr>
          <w:cantSplit/>
        </w:trPr>
        <w:tc>
          <w:tcPr>
            <w:tcW w:w="2785" w:type="dxa"/>
          </w:tcPr>
          <w:p w:rsidR="0033256E" w:rsidRPr="00491313" w:rsidRDefault="0033256E" w:rsidP="00C44E3F">
            <w:pPr>
              <w:spacing w:after="120"/>
              <w:rPr>
                <w:rFonts w:eastAsia="Calibri" w:cs="Arial"/>
                <w:szCs w:val="21"/>
              </w:rPr>
            </w:pPr>
            <w:r w:rsidRPr="00491313">
              <w:rPr>
                <w:rFonts w:eastAsia="Calibri" w:cs="Arial"/>
                <w:szCs w:val="21"/>
              </w:rPr>
              <w:t>Staff member</w:t>
            </w:r>
          </w:p>
        </w:tc>
        <w:tc>
          <w:tcPr>
            <w:tcW w:w="7388" w:type="dxa"/>
          </w:tcPr>
          <w:p w:rsidR="0033256E" w:rsidRDefault="0033256E" w:rsidP="00C44E3F">
            <w:pPr>
              <w:spacing w:after="120"/>
              <w:rPr>
                <w:rFonts w:eastAsia="Calibri" w:cs="Arial"/>
                <w:szCs w:val="21"/>
              </w:rPr>
            </w:pPr>
            <w:r w:rsidRPr="00491313">
              <w:rPr>
                <w:szCs w:val="22"/>
              </w:rPr>
              <w:t xml:space="preserve">Staff member is defined in s63-1AA(9) of </w:t>
            </w:r>
            <w:hyperlink r:id="rId25" w:history="1">
              <w:r w:rsidRPr="00491313">
                <w:rPr>
                  <w:rStyle w:val="Hyperlink"/>
                  <w:szCs w:val="22"/>
                </w:rPr>
                <w:t>the Act</w:t>
              </w:r>
            </w:hyperlink>
            <w:r w:rsidRPr="00491313">
              <w:rPr>
                <w:szCs w:val="22"/>
              </w:rPr>
              <w:t xml:space="preserve"> to mean ‘an individual who is employed, hired, retained or contracted by the </w:t>
            </w:r>
            <w:r w:rsidRPr="00491313">
              <w:rPr>
                <w:rFonts w:eastAsia="Calibri" w:cs="Arial"/>
                <w:szCs w:val="21"/>
              </w:rPr>
              <w:t>approved</w:t>
            </w:r>
            <w:r w:rsidRPr="00491313">
              <w:rPr>
                <w:szCs w:val="22"/>
              </w:rPr>
              <w:t xml:space="preserve"> provider (whether directly or through an employment or recruiting agency) to provide care or other services’ and the </w:t>
            </w:r>
            <w:hyperlink r:id="rId26" w:history="1">
              <w:r w:rsidRPr="00491313">
                <w:rPr>
                  <w:szCs w:val="22"/>
                </w:rPr>
                <w:t>Accountability Principles 2014</w:t>
              </w:r>
            </w:hyperlink>
            <w:r w:rsidRPr="00491313">
              <w:rPr>
                <w:szCs w:val="22"/>
              </w:rPr>
              <w:t xml:space="preserve"> extends this definition to certain volunteers of an aged care service where appropriate.</w:t>
            </w:r>
          </w:p>
        </w:tc>
      </w:tr>
      <w:bookmarkEnd w:id="26"/>
    </w:tbl>
    <w:p w:rsidR="0033256E" w:rsidRPr="000F22FC" w:rsidRDefault="0033256E" w:rsidP="00C44E3F">
      <w:pPr>
        <w:spacing w:before="0" w:line="240" w:lineRule="auto"/>
        <w:rPr>
          <w:sz w:val="2"/>
        </w:rPr>
      </w:pPr>
    </w:p>
    <w:sectPr w:rsidR="0033256E" w:rsidRPr="000F22FC" w:rsidSect="00700D2A">
      <w:footerReference w:type="default" r:id="rId27"/>
      <w:headerReference w:type="first" r:id="rId28"/>
      <w:pgSz w:w="11900" w:h="16840" w:code="9"/>
      <w:pgMar w:top="993" w:right="845" w:bottom="993" w:left="851" w:header="170" w:footer="1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1BE86" w16cid:durableId="229DDAA1"/>
  <w16cid:commentId w16cid:paraId="4826DFD7" w16cid:durableId="229DE52E"/>
  <w16cid:commentId w16cid:paraId="6341907A" w16cid:durableId="229DEA96"/>
  <w16cid:commentId w16cid:paraId="6550723B" w16cid:durableId="229DEAE3"/>
  <w16cid:commentId w16cid:paraId="5A3B4070" w16cid:durableId="229DD589"/>
  <w16cid:commentId w16cid:paraId="2E23DDF5" w16cid:durableId="229DEC68"/>
  <w16cid:commentId w16cid:paraId="3106CE9B" w16cid:durableId="229DED1A"/>
  <w16cid:commentId w16cid:paraId="6D30D889" w16cid:durableId="229DD58A"/>
  <w16cid:commentId w16cid:paraId="05F003DF" w16cid:durableId="229DEE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2A" w:rsidRDefault="00700D2A" w:rsidP="00F15E50">
      <w:pPr>
        <w:spacing w:before="0" w:line="240" w:lineRule="auto"/>
      </w:pPr>
      <w:r>
        <w:separator/>
      </w:r>
    </w:p>
  </w:endnote>
  <w:endnote w:type="continuationSeparator" w:id="0">
    <w:p w:rsidR="00700D2A" w:rsidRDefault="00700D2A" w:rsidP="00F15E50">
      <w:pPr>
        <w:spacing w:before="0" w:line="240" w:lineRule="auto"/>
      </w:pPr>
      <w:r>
        <w:continuationSeparator/>
      </w:r>
    </w:p>
  </w:endnote>
  <w:endnote w:type="continuationNotice" w:id="1">
    <w:p w:rsidR="00700D2A" w:rsidRDefault="00700D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00"/>
    <w:family w:val="roman"/>
    <w:notTrueType/>
    <w:pitch w:val="default"/>
  </w:font>
  <w:font w:name="Times New Roman (Body CS)">
    <w:altName w:val="Arial"/>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2A" w:rsidRDefault="00700D2A" w:rsidP="00F15E50">
    <w:pPr>
      <w:pStyle w:val="Footer"/>
      <w:tabs>
        <w:tab w:val="clear" w:pos="4513"/>
        <w:tab w:val="clear" w:pos="9026"/>
        <w:tab w:val="left" w:pos="8505"/>
        <w:tab w:val="right" w:pos="9020"/>
      </w:tabs>
      <w:rPr>
        <w:sz w:val="20"/>
        <w:szCs w:val="20"/>
      </w:rPr>
    </w:pPr>
    <w:r>
      <w:rPr>
        <w:sz w:val="20"/>
        <w:szCs w:val="20"/>
      </w:rPr>
      <w:t>Serious Incident Response Scheme – for residential aged care</w:t>
    </w:r>
    <w:r>
      <w:rPr>
        <w:sz w:val="20"/>
        <w:szCs w:val="20"/>
      </w:rPr>
      <w:tab/>
    </w:r>
    <w:r>
      <w:rPr>
        <w:sz w:val="20"/>
        <w:szCs w:val="20"/>
      </w:rPr>
      <w:tab/>
    </w:r>
    <w:r w:rsidRPr="00F15E50">
      <w:rPr>
        <w:sz w:val="20"/>
        <w:szCs w:val="20"/>
      </w:rPr>
      <w:t xml:space="preserve">pg. </w:t>
    </w:r>
    <w:r w:rsidRPr="00F15E50">
      <w:rPr>
        <w:sz w:val="20"/>
        <w:szCs w:val="20"/>
      </w:rPr>
      <w:fldChar w:fldCharType="begin"/>
    </w:r>
    <w:r w:rsidRPr="00F15E50">
      <w:rPr>
        <w:sz w:val="20"/>
        <w:szCs w:val="20"/>
      </w:rPr>
      <w:instrText xml:space="preserve"> PAGE  \* Arabic </w:instrText>
    </w:r>
    <w:r w:rsidRPr="00F15E50">
      <w:rPr>
        <w:sz w:val="20"/>
        <w:szCs w:val="20"/>
      </w:rPr>
      <w:fldChar w:fldCharType="separate"/>
    </w:r>
    <w:r w:rsidR="00A933B6">
      <w:rPr>
        <w:noProof/>
        <w:sz w:val="20"/>
        <w:szCs w:val="20"/>
      </w:rPr>
      <w:t>17</w:t>
    </w:r>
    <w:r w:rsidRPr="00F15E5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2A" w:rsidRDefault="00700D2A" w:rsidP="00F15E50">
      <w:pPr>
        <w:spacing w:before="0" w:line="240" w:lineRule="auto"/>
      </w:pPr>
      <w:r>
        <w:separator/>
      </w:r>
    </w:p>
  </w:footnote>
  <w:footnote w:type="continuationSeparator" w:id="0">
    <w:p w:rsidR="00700D2A" w:rsidRDefault="00700D2A" w:rsidP="00F15E50">
      <w:pPr>
        <w:spacing w:before="0" w:line="240" w:lineRule="auto"/>
      </w:pPr>
      <w:r>
        <w:continuationSeparator/>
      </w:r>
    </w:p>
  </w:footnote>
  <w:footnote w:type="continuationNotice" w:id="1">
    <w:p w:rsidR="00700D2A" w:rsidRDefault="00700D2A">
      <w:pPr>
        <w:spacing w:before="0" w:after="0" w:line="240" w:lineRule="auto"/>
      </w:pPr>
    </w:p>
  </w:footnote>
  <w:footnote w:id="2">
    <w:p w:rsidR="00700D2A" w:rsidRPr="002B1D32" w:rsidRDefault="00700D2A" w:rsidP="0033256E">
      <w:pPr>
        <w:pStyle w:val="FootnoteText"/>
        <w:spacing w:after="0" w:line="240" w:lineRule="auto"/>
        <w:rPr>
          <w:rFonts w:ascii="Arial" w:hAnsi="Arial" w:cs="Arial"/>
          <w:sz w:val="18"/>
          <w:szCs w:val="18"/>
          <w:lang w:val="en-US"/>
        </w:rPr>
      </w:pPr>
      <w:r w:rsidRPr="002B1D32">
        <w:rPr>
          <w:rStyle w:val="FootnoteReference"/>
          <w:rFonts w:ascii="Arial" w:hAnsi="Arial" w:cs="Arial"/>
          <w:sz w:val="18"/>
          <w:szCs w:val="18"/>
        </w:rPr>
        <w:footnoteRef/>
      </w:r>
      <w:r w:rsidRPr="002B1D32">
        <w:rPr>
          <w:rFonts w:ascii="Arial" w:hAnsi="Arial" w:cs="Arial"/>
          <w:sz w:val="18"/>
          <w:szCs w:val="18"/>
        </w:rPr>
        <w:t xml:space="preserve"> </w:t>
      </w:r>
      <w:r w:rsidRPr="002B1D32">
        <w:rPr>
          <w:rFonts w:ascii="Arial" w:hAnsi="Arial" w:cs="Arial"/>
          <w:i/>
          <w:sz w:val="18"/>
          <w:szCs w:val="18"/>
          <w:lang w:val="en-US"/>
        </w:rPr>
        <w:t>User Rights Principles 2014</w:t>
      </w:r>
      <w:r w:rsidRPr="002B1D32">
        <w:rPr>
          <w:rFonts w:ascii="Arial" w:hAnsi="Arial" w:cs="Arial"/>
          <w:sz w:val="18"/>
          <w:szCs w:val="18"/>
          <w:lang w:val="en-US"/>
        </w:rPr>
        <w:t>, post 1 July 2019 Schedule 1, right #4.</w:t>
      </w:r>
    </w:p>
  </w:footnote>
  <w:footnote w:id="3">
    <w:p w:rsidR="00700D2A" w:rsidRPr="002B1D32" w:rsidRDefault="00700D2A" w:rsidP="0033256E">
      <w:pPr>
        <w:pStyle w:val="FootnoteText"/>
        <w:spacing w:after="0" w:line="240" w:lineRule="auto"/>
        <w:rPr>
          <w:rFonts w:ascii="Arial" w:hAnsi="Arial" w:cs="Arial"/>
          <w:sz w:val="18"/>
          <w:szCs w:val="18"/>
          <w:lang w:val="en-US"/>
        </w:rPr>
      </w:pPr>
      <w:r w:rsidRPr="002B1D32">
        <w:rPr>
          <w:rStyle w:val="FootnoteReference"/>
          <w:rFonts w:ascii="Arial" w:hAnsi="Arial" w:cs="Arial"/>
          <w:sz w:val="18"/>
          <w:szCs w:val="18"/>
        </w:rPr>
        <w:footnoteRef/>
      </w:r>
      <w:r w:rsidRPr="002B1D32">
        <w:rPr>
          <w:rFonts w:ascii="Arial" w:hAnsi="Arial" w:cs="Arial"/>
          <w:sz w:val="18"/>
          <w:szCs w:val="18"/>
        </w:rPr>
        <w:t xml:space="preserve"> Aged Care Quality Standards, 2019, </w:t>
      </w:r>
      <w:r w:rsidRPr="002B1D32">
        <w:rPr>
          <w:rFonts w:ascii="Arial" w:hAnsi="Arial" w:cs="Arial"/>
          <w:sz w:val="18"/>
          <w:szCs w:val="18"/>
          <w:lang w:val="en-US"/>
        </w:rPr>
        <w:t>Standard 8, requirement 8(3)((d)(ii).</w:t>
      </w:r>
    </w:p>
  </w:footnote>
  <w:footnote w:id="4">
    <w:p w:rsidR="00700D2A" w:rsidRPr="002B1D32" w:rsidRDefault="00700D2A" w:rsidP="0033256E">
      <w:pPr>
        <w:pStyle w:val="FootnoteText"/>
        <w:spacing w:after="0" w:line="240" w:lineRule="auto"/>
        <w:rPr>
          <w:rFonts w:ascii="Arial" w:hAnsi="Arial" w:cs="Arial"/>
          <w:sz w:val="18"/>
          <w:szCs w:val="18"/>
        </w:rPr>
      </w:pPr>
      <w:r w:rsidRPr="002B1D32">
        <w:rPr>
          <w:rStyle w:val="FootnoteReference"/>
          <w:rFonts w:ascii="Arial" w:hAnsi="Arial" w:cs="Arial"/>
          <w:sz w:val="18"/>
          <w:szCs w:val="18"/>
        </w:rPr>
        <w:footnoteRef/>
      </w:r>
      <w:r w:rsidRPr="002B1D32">
        <w:rPr>
          <w:rFonts w:ascii="Arial" w:hAnsi="Arial" w:cs="Arial"/>
          <w:sz w:val="18"/>
          <w:szCs w:val="18"/>
        </w:rPr>
        <w:t xml:space="preserve"> Aged Care Quality Standards, 2019, Standard 6, requirement 6(3)(c).</w:t>
      </w:r>
    </w:p>
  </w:footnote>
  <w:footnote w:id="5">
    <w:p w:rsidR="00700D2A" w:rsidRPr="006572CA" w:rsidRDefault="00700D2A" w:rsidP="0033256E">
      <w:pPr>
        <w:pStyle w:val="FootnoteText"/>
        <w:spacing w:after="0" w:line="240" w:lineRule="auto"/>
        <w:rPr>
          <w:lang w:val="en-US"/>
        </w:rPr>
      </w:pPr>
      <w:r w:rsidRPr="002B1D32">
        <w:rPr>
          <w:rStyle w:val="FootnoteReference"/>
          <w:rFonts w:ascii="Arial" w:hAnsi="Arial" w:cs="Arial"/>
          <w:sz w:val="18"/>
          <w:szCs w:val="18"/>
        </w:rPr>
        <w:footnoteRef/>
      </w:r>
      <w:r w:rsidRPr="002B1D32">
        <w:rPr>
          <w:rFonts w:ascii="Arial" w:hAnsi="Arial" w:cs="Arial"/>
          <w:sz w:val="18"/>
          <w:szCs w:val="18"/>
        </w:rPr>
        <w:t xml:space="preserve"> </w:t>
      </w:r>
      <w:r w:rsidRPr="002B1D32">
        <w:rPr>
          <w:rFonts w:ascii="Arial" w:hAnsi="Arial" w:cs="Arial"/>
          <w:i/>
          <w:sz w:val="18"/>
          <w:szCs w:val="18"/>
          <w:lang w:val="en-US"/>
        </w:rPr>
        <w:t>Aged Care Quality and Safety Commission Act 2018</w:t>
      </w:r>
      <w:r w:rsidRPr="002B1D32">
        <w:rPr>
          <w:rFonts w:ascii="Arial" w:hAnsi="Arial" w:cs="Arial"/>
          <w:sz w:val="18"/>
          <w:szCs w:val="18"/>
          <w:lang w:val="en-US"/>
        </w:rPr>
        <w:t>, s16(1)(a).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2A" w:rsidRDefault="00700D2A">
    <w:pPr>
      <w:pStyle w:val="Header"/>
    </w:pPr>
    <w:r>
      <w:rPr>
        <w:rFonts w:ascii="Segoe UI" w:hAnsi="Segoe UI" w:cs="Segoe UI"/>
        <w:noProof/>
        <w:color w:val="0000FF"/>
        <w:sz w:val="20"/>
        <w:szCs w:val="20"/>
        <w:lang w:eastAsia="en-AU"/>
      </w:rPr>
      <w:drawing>
        <wp:inline distT="0" distB="0" distL="0" distR="0">
          <wp:extent cx="2078355" cy="498475"/>
          <wp:effectExtent l="0" t="0" r="0" b="0"/>
          <wp:docPr id="7" name="Picture 7" descr="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355" cy="498475"/>
                  </a:xfrm>
                  <a:prstGeom prst="rect">
                    <a:avLst/>
                  </a:prstGeom>
                  <a:noFill/>
                  <a:ln>
                    <a:noFill/>
                  </a:ln>
                </pic:spPr>
              </pic:pic>
            </a:graphicData>
          </a:graphic>
        </wp:inline>
      </w:drawing>
    </w:r>
  </w:p>
  <w:p w:rsidR="00700D2A" w:rsidRDefault="00700D2A" w:rsidP="00D31BB5">
    <w:pPr>
      <w:pStyle w:val="Header"/>
      <w:ind w:left="567" w:right="-2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5CE5EA1"/>
    <w:multiLevelType w:val="hybridMultilevel"/>
    <w:tmpl w:val="2362B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0C20EE"/>
    <w:multiLevelType w:val="hybridMultilevel"/>
    <w:tmpl w:val="8988B76E"/>
    <w:lvl w:ilvl="0" w:tplc="188612DA">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 w15:restartNumberingAfterBreak="0">
    <w:nsid w:val="145243F3"/>
    <w:multiLevelType w:val="hybridMultilevel"/>
    <w:tmpl w:val="27985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EA2713"/>
    <w:multiLevelType w:val="hybridMultilevel"/>
    <w:tmpl w:val="91BC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521BD"/>
    <w:multiLevelType w:val="hybridMultilevel"/>
    <w:tmpl w:val="2E002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A136F"/>
    <w:multiLevelType w:val="hybridMultilevel"/>
    <w:tmpl w:val="6656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330FE3"/>
    <w:multiLevelType w:val="hybridMultilevel"/>
    <w:tmpl w:val="832C9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7DE4"/>
    <w:multiLevelType w:val="hybridMultilevel"/>
    <w:tmpl w:val="BA0A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45382"/>
    <w:multiLevelType w:val="hybridMultilevel"/>
    <w:tmpl w:val="B7DA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706F5"/>
    <w:multiLevelType w:val="hybridMultilevel"/>
    <w:tmpl w:val="41B8AEB2"/>
    <w:lvl w:ilvl="0" w:tplc="0C090001">
      <w:start w:val="1"/>
      <w:numFmt w:val="bullet"/>
      <w:lvlText w:val=""/>
      <w:lvlJc w:val="left"/>
      <w:pPr>
        <w:ind w:left="770" w:hanging="360"/>
      </w:pPr>
      <w:rPr>
        <w:rFonts w:ascii="Symbol" w:hAnsi="Symbol" w:hint="default"/>
      </w:rPr>
    </w:lvl>
    <w:lvl w:ilvl="1" w:tplc="D122BA20">
      <w:start w:val="1"/>
      <w:numFmt w:val="bullet"/>
      <w:lvlText w:val="-"/>
      <w:lvlJc w:val="left"/>
      <w:pPr>
        <w:ind w:left="1490" w:hanging="360"/>
      </w:pPr>
      <w:rPr>
        <w:rFonts w:ascii="Arial" w:hAnsi="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9822B44"/>
    <w:multiLevelType w:val="hybridMultilevel"/>
    <w:tmpl w:val="35160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0A2B26"/>
    <w:multiLevelType w:val="hybridMultilevel"/>
    <w:tmpl w:val="FDA8B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97610"/>
    <w:multiLevelType w:val="hybridMultilevel"/>
    <w:tmpl w:val="5E020C9A"/>
    <w:lvl w:ilvl="0" w:tplc="6AE08C98">
      <w:start w:val="1"/>
      <w:numFmt w:val="bullet"/>
      <w:pStyle w:val="Bullets1"/>
      <w:lvlText w:val=""/>
      <w:lvlJc w:val="left"/>
      <w:pPr>
        <w:ind w:left="927" w:hanging="360"/>
      </w:pPr>
      <w:rPr>
        <w:rFonts w:ascii="Symbol" w:hAnsi="Symbol" w:hint="default"/>
        <w:sz w:val="20"/>
        <w:szCs w:val="20"/>
      </w:rPr>
    </w:lvl>
    <w:lvl w:ilvl="1" w:tplc="D122BA2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763"/>
    <w:multiLevelType w:val="hybridMultilevel"/>
    <w:tmpl w:val="46545D04"/>
    <w:lvl w:ilvl="0" w:tplc="0C090001">
      <w:start w:val="1"/>
      <w:numFmt w:val="bullet"/>
      <w:lvlText w:val=""/>
      <w:lvlJc w:val="left"/>
      <w:pPr>
        <w:ind w:left="587" w:hanging="360"/>
      </w:pPr>
      <w:rPr>
        <w:rFonts w:ascii="Symbol" w:hAnsi="Symbol" w:hint="default"/>
      </w:rPr>
    </w:lvl>
    <w:lvl w:ilvl="1" w:tplc="0C090003">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3DAA759F"/>
    <w:multiLevelType w:val="hybridMultilevel"/>
    <w:tmpl w:val="72BC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14F8B"/>
    <w:multiLevelType w:val="hybridMultilevel"/>
    <w:tmpl w:val="B686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D4C67"/>
    <w:multiLevelType w:val="hybridMultilevel"/>
    <w:tmpl w:val="8A66C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EA1657"/>
    <w:multiLevelType w:val="hybridMultilevel"/>
    <w:tmpl w:val="890AD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3431EC"/>
    <w:multiLevelType w:val="hybridMultilevel"/>
    <w:tmpl w:val="B2D08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267CE8"/>
    <w:multiLevelType w:val="hybridMultilevel"/>
    <w:tmpl w:val="6E74EE32"/>
    <w:lvl w:ilvl="0" w:tplc="F6ACD866">
      <w:numFmt w:val="bullet"/>
      <w:lvlText w:val="-"/>
      <w:lvlJc w:val="left"/>
      <w:pPr>
        <w:ind w:left="587" w:hanging="360"/>
      </w:pPr>
      <w:rPr>
        <w:rFonts w:ascii="Arial" w:eastAsiaTheme="minorHAns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4ACF2213"/>
    <w:multiLevelType w:val="hybridMultilevel"/>
    <w:tmpl w:val="E9E8E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FB14B0"/>
    <w:multiLevelType w:val="hybridMultilevel"/>
    <w:tmpl w:val="F7529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650DF6"/>
    <w:multiLevelType w:val="hybridMultilevel"/>
    <w:tmpl w:val="4198E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06D9D"/>
    <w:multiLevelType w:val="hybridMultilevel"/>
    <w:tmpl w:val="91C004B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B715355"/>
    <w:multiLevelType w:val="hybridMultilevel"/>
    <w:tmpl w:val="5D1A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2649E"/>
    <w:multiLevelType w:val="hybridMultilevel"/>
    <w:tmpl w:val="8B3E5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214F0E"/>
    <w:multiLevelType w:val="hybridMultilevel"/>
    <w:tmpl w:val="2940F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205F75"/>
    <w:multiLevelType w:val="hybridMultilevel"/>
    <w:tmpl w:val="0E58A0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16F15"/>
    <w:multiLevelType w:val="hybridMultilevel"/>
    <w:tmpl w:val="8FF2B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70A06"/>
    <w:multiLevelType w:val="hybridMultilevel"/>
    <w:tmpl w:val="970040BE"/>
    <w:lvl w:ilvl="0" w:tplc="0C090001">
      <w:start w:val="1"/>
      <w:numFmt w:val="bullet"/>
      <w:lvlText w:val=""/>
      <w:lvlJc w:val="left"/>
      <w:pPr>
        <w:ind w:left="587" w:hanging="360"/>
      </w:pPr>
      <w:rPr>
        <w:rFonts w:ascii="Symbol" w:hAnsi="Symbol" w:hint="default"/>
      </w:rPr>
    </w:lvl>
    <w:lvl w:ilvl="1" w:tplc="0C090003">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8"/>
  </w:num>
  <w:num w:numId="7">
    <w:abstractNumId w:val="36"/>
  </w:num>
  <w:num w:numId="8">
    <w:abstractNumId w:val="6"/>
  </w:num>
  <w:num w:numId="9">
    <w:abstractNumId w:val="11"/>
  </w:num>
  <w:num w:numId="10">
    <w:abstractNumId w:val="34"/>
  </w:num>
  <w:num w:numId="11">
    <w:abstractNumId w:val="38"/>
  </w:num>
  <w:num w:numId="12">
    <w:abstractNumId w:val="16"/>
  </w:num>
  <w:num w:numId="13">
    <w:abstractNumId w:val="17"/>
  </w:num>
  <w:num w:numId="14">
    <w:abstractNumId w:val="9"/>
  </w:num>
  <w:num w:numId="15">
    <w:abstractNumId w:val="29"/>
  </w:num>
  <w:num w:numId="16">
    <w:abstractNumId w:val="33"/>
  </w:num>
  <w:num w:numId="17">
    <w:abstractNumId w:val="4"/>
  </w:num>
  <w:num w:numId="18">
    <w:abstractNumId w:val="37"/>
  </w:num>
  <w:num w:numId="19">
    <w:abstractNumId w:val="18"/>
  </w:num>
  <w:num w:numId="20">
    <w:abstractNumId w:val="24"/>
  </w:num>
  <w:num w:numId="21">
    <w:abstractNumId w:val="14"/>
  </w:num>
  <w:num w:numId="22">
    <w:abstractNumId w:val="17"/>
  </w:num>
  <w:num w:numId="23">
    <w:abstractNumId w:val="3"/>
  </w:num>
  <w:num w:numId="24">
    <w:abstractNumId w:val="26"/>
  </w:num>
  <w:num w:numId="25">
    <w:abstractNumId w:val="32"/>
  </w:num>
  <w:num w:numId="26">
    <w:abstractNumId w:val="22"/>
  </w:num>
  <w:num w:numId="27">
    <w:abstractNumId w:val="25"/>
  </w:num>
  <w:num w:numId="28">
    <w:abstractNumId w:val="23"/>
  </w:num>
  <w:num w:numId="29">
    <w:abstractNumId w:val="8"/>
  </w:num>
  <w:num w:numId="30">
    <w:abstractNumId w:val="27"/>
  </w:num>
  <w:num w:numId="31">
    <w:abstractNumId w:val="12"/>
  </w:num>
  <w:num w:numId="32">
    <w:abstractNumId w:val="17"/>
  </w:num>
  <w:num w:numId="33">
    <w:abstractNumId w:val="17"/>
  </w:num>
  <w:num w:numId="34">
    <w:abstractNumId w:val="17"/>
  </w:num>
  <w:num w:numId="35">
    <w:abstractNumId w:val="17"/>
  </w:num>
  <w:num w:numId="36">
    <w:abstractNumId w:val="30"/>
  </w:num>
  <w:num w:numId="37">
    <w:abstractNumId w:val="7"/>
  </w:num>
  <w:num w:numId="38">
    <w:abstractNumId w:val="31"/>
  </w:num>
  <w:num w:numId="39">
    <w:abstractNumId w:val="17"/>
  </w:num>
  <w:num w:numId="40">
    <w:abstractNumId w:val="17"/>
  </w:num>
  <w:num w:numId="41">
    <w:abstractNumId w:val="17"/>
  </w:num>
  <w:num w:numId="42">
    <w:abstractNumId w:val="19"/>
  </w:num>
  <w:num w:numId="43">
    <w:abstractNumId w:val="35"/>
  </w:num>
  <w:num w:numId="44">
    <w:abstractNumId w:val="5"/>
  </w:num>
  <w:num w:numId="45">
    <w:abstractNumId w:val="13"/>
  </w:num>
  <w:num w:numId="46">
    <w:abstractNumId w:val="17"/>
  </w:num>
  <w:num w:numId="47">
    <w:abstractNumId w:val="17"/>
  </w:num>
  <w:num w:numId="48">
    <w:abstractNumId w:val="17"/>
  </w:num>
  <w:num w:numId="49">
    <w:abstractNumId w:val="15"/>
  </w:num>
  <w:num w:numId="50">
    <w:abstractNumId w:val="20"/>
  </w:num>
  <w:num w:numId="51">
    <w:abstractNumId w:val="21"/>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ocumentProtection w:edit="readOnly" w:enforcement="0"/>
  <w:styleLockTheme/>
  <w:styleLockQFSet/>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B"/>
    <w:rsid w:val="0000001A"/>
    <w:rsid w:val="000000CE"/>
    <w:rsid w:val="00001592"/>
    <w:rsid w:val="00003D52"/>
    <w:rsid w:val="00006CD8"/>
    <w:rsid w:val="00007FE4"/>
    <w:rsid w:val="000178A9"/>
    <w:rsid w:val="00022B77"/>
    <w:rsid w:val="0002751D"/>
    <w:rsid w:val="00034B2A"/>
    <w:rsid w:val="000445A4"/>
    <w:rsid w:val="000457DB"/>
    <w:rsid w:val="00045DFA"/>
    <w:rsid w:val="00053504"/>
    <w:rsid w:val="00055375"/>
    <w:rsid w:val="00064E9C"/>
    <w:rsid w:val="000650A7"/>
    <w:rsid w:val="00065D69"/>
    <w:rsid w:val="000733DD"/>
    <w:rsid w:val="000738A2"/>
    <w:rsid w:val="0007398A"/>
    <w:rsid w:val="0008333A"/>
    <w:rsid w:val="00086EB2"/>
    <w:rsid w:val="0009004E"/>
    <w:rsid w:val="00095D22"/>
    <w:rsid w:val="000A18E7"/>
    <w:rsid w:val="000B3135"/>
    <w:rsid w:val="000B49EA"/>
    <w:rsid w:val="000B70A8"/>
    <w:rsid w:val="000C001D"/>
    <w:rsid w:val="000C0867"/>
    <w:rsid w:val="000D1A07"/>
    <w:rsid w:val="000D2D48"/>
    <w:rsid w:val="000D4E72"/>
    <w:rsid w:val="000D67FD"/>
    <w:rsid w:val="000E4EC1"/>
    <w:rsid w:val="000E5F4C"/>
    <w:rsid w:val="000F22FC"/>
    <w:rsid w:val="000F714E"/>
    <w:rsid w:val="001108B0"/>
    <w:rsid w:val="00117EDA"/>
    <w:rsid w:val="001255F0"/>
    <w:rsid w:val="00131DEB"/>
    <w:rsid w:val="001335D0"/>
    <w:rsid w:val="00134EE0"/>
    <w:rsid w:val="00136930"/>
    <w:rsid w:val="00144C3F"/>
    <w:rsid w:val="0015011B"/>
    <w:rsid w:val="0015239B"/>
    <w:rsid w:val="00153346"/>
    <w:rsid w:val="0015678F"/>
    <w:rsid w:val="001611D8"/>
    <w:rsid w:val="00166CDC"/>
    <w:rsid w:val="00175FCD"/>
    <w:rsid w:val="0017644F"/>
    <w:rsid w:val="001804A9"/>
    <w:rsid w:val="00187D35"/>
    <w:rsid w:val="001A1D34"/>
    <w:rsid w:val="001A5542"/>
    <w:rsid w:val="001A7242"/>
    <w:rsid w:val="001B0B2A"/>
    <w:rsid w:val="001B7FEC"/>
    <w:rsid w:val="001C55D5"/>
    <w:rsid w:val="001D3B66"/>
    <w:rsid w:val="001D3D28"/>
    <w:rsid w:val="001F50A1"/>
    <w:rsid w:val="001F6558"/>
    <w:rsid w:val="00203A15"/>
    <w:rsid w:val="002056FE"/>
    <w:rsid w:val="00210600"/>
    <w:rsid w:val="002147F9"/>
    <w:rsid w:val="002178D6"/>
    <w:rsid w:val="0022512C"/>
    <w:rsid w:val="00242658"/>
    <w:rsid w:val="00242A2B"/>
    <w:rsid w:val="00242D31"/>
    <w:rsid w:val="002460D1"/>
    <w:rsid w:val="00246DCA"/>
    <w:rsid w:val="0025199E"/>
    <w:rsid w:val="00251CD5"/>
    <w:rsid w:val="00253301"/>
    <w:rsid w:val="00253CDF"/>
    <w:rsid w:val="002603D3"/>
    <w:rsid w:val="002637AF"/>
    <w:rsid w:val="00263E75"/>
    <w:rsid w:val="002733B8"/>
    <w:rsid w:val="00273C60"/>
    <w:rsid w:val="0028138A"/>
    <w:rsid w:val="00284234"/>
    <w:rsid w:val="00286F54"/>
    <w:rsid w:val="00287A44"/>
    <w:rsid w:val="002948DC"/>
    <w:rsid w:val="002A71B0"/>
    <w:rsid w:val="002B2143"/>
    <w:rsid w:val="002B66B2"/>
    <w:rsid w:val="002D2FF8"/>
    <w:rsid w:val="002D3B4E"/>
    <w:rsid w:val="002D5E9E"/>
    <w:rsid w:val="002E179D"/>
    <w:rsid w:val="002E28C3"/>
    <w:rsid w:val="002E5EA1"/>
    <w:rsid w:val="002E6F2E"/>
    <w:rsid w:val="002E7C8E"/>
    <w:rsid w:val="002F2E5A"/>
    <w:rsid w:val="002F6108"/>
    <w:rsid w:val="002F67E5"/>
    <w:rsid w:val="003008BE"/>
    <w:rsid w:val="003060BD"/>
    <w:rsid w:val="00311C22"/>
    <w:rsid w:val="00313BF4"/>
    <w:rsid w:val="003157FA"/>
    <w:rsid w:val="00315F49"/>
    <w:rsid w:val="0031757F"/>
    <w:rsid w:val="00326642"/>
    <w:rsid w:val="00326CE3"/>
    <w:rsid w:val="0033256E"/>
    <w:rsid w:val="00332DF8"/>
    <w:rsid w:val="003338D8"/>
    <w:rsid w:val="0033600D"/>
    <w:rsid w:val="00340D8E"/>
    <w:rsid w:val="003529A4"/>
    <w:rsid w:val="00353714"/>
    <w:rsid w:val="0035459C"/>
    <w:rsid w:val="003571BE"/>
    <w:rsid w:val="00357741"/>
    <w:rsid w:val="00361B5C"/>
    <w:rsid w:val="00362339"/>
    <w:rsid w:val="00362382"/>
    <w:rsid w:val="003635E3"/>
    <w:rsid w:val="003719FC"/>
    <w:rsid w:val="00373E11"/>
    <w:rsid w:val="003778CC"/>
    <w:rsid w:val="00380073"/>
    <w:rsid w:val="00380589"/>
    <w:rsid w:val="00384DC7"/>
    <w:rsid w:val="00393597"/>
    <w:rsid w:val="00395CB0"/>
    <w:rsid w:val="00397538"/>
    <w:rsid w:val="003A0D64"/>
    <w:rsid w:val="003A5783"/>
    <w:rsid w:val="003B1029"/>
    <w:rsid w:val="003C0FA4"/>
    <w:rsid w:val="003C40AA"/>
    <w:rsid w:val="003C4A2E"/>
    <w:rsid w:val="003C4B14"/>
    <w:rsid w:val="003C52F1"/>
    <w:rsid w:val="003C75BA"/>
    <w:rsid w:val="003C7B0E"/>
    <w:rsid w:val="003D0019"/>
    <w:rsid w:val="003D0C94"/>
    <w:rsid w:val="003D33A8"/>
    <w:rsid w:val="003E7B22"/>
    <w:rsid w:val="003F1653"/>
    <w:rsid w:val="003F2797"/>
    <w:rsid w:val="00401661"/>
    <w:rsid w:val="00401724"/>
    <w:rsid w:val="00405A6E"/>
    <w:rsid w:val="004120BD"/>
    <w:rsid w:val="0041384D"/>
    <w:rsid w:val="00417D97"/>
    <w:rsid w:val="004344BA"/>
    <w:rsid w:val="00441C2B"/>
    <w:rsid w:val="004561EE"/>
    <w:rsid w:val="00464967"/>
    <w:rsid w:val="004747C0"/>
    <w:rsid w:val="0048373F"/>
    <w:rsid w:val="00491313"/>
    <w:rsid w:val="00493D60"/>
    <w:rsid w:val="004A49B9"/>
    <w:rsid w:val="004B27DE"/>
    <w:rsid w:val="004B402B"/>
    <w:rsid w:val="004C0AE9"/>
    <w:rsid w:val="004C392E"/>
    <w:rsid w:val="004C5E20"/>
    <w:rsid w:val="004D1952"/>
    <w:rsid w:val="004E0C98"/>
    <w:rsid w:val="004E2AA1"/>
    <w:rsid w:val="004F093B"/>
    <w:rsid w:val="004F6692"/>
    <w:rsid w:val="00503612"/>
    <w:rsid w:val="005047FA"/>
    <w:rsid w:val="005154EC"/>
    <w:rsid w:val="005305AD"/>
    <w:rsid w:val="005312A4"/>
    <w:rsid w:val="005343D0"/>
    <w:rsid w:val="005347D4"/>
    <w:rsid w:val="00537640"/>
    <w:rsid w:val="00540E77"/>
    <w:rsid w:val="0055011E"/>
    <w:rsid w:val="00550DEC"/>
    <w:rsid w:val="005526B4"/>
    <w:rsid w:val="0055372B"/>
    <w:rsid w:val="00556206"/>
    <w:rsid w:val="00556B9B"/>
    <w:rsid w:val="00557B05"/>
    <w:rsid w:val="0056029C"/>
    <w:rsid w:val="00560359"/>
    <w:rsid w:val="005650AE"/>
    <w:rsid w:val="00566137"/>
    <w:rsid w:val="0056770A"/>
    <w:rsid w:val="00573840"/>
    <w:rsid w:val="00580312"/>
    <w:rsid w:val="00583F7E"/>
    <w:rsid w:val="005840D8"/>
    <w:rsid w:val="00584873"/>
    <w:rsid w:val="005858F7"/>
    <w:rsid w:val="00593944"/>
    <w:rsid w:val="005A1410"/>
    <w:rsid w:val="005A2283"/>
    <w:rsid w:val="005B6721"/>
    <w:rsid w:val="005C1159"/>
    <w:rsid w:val="005D349B"/>
    <w:rsid w:val="005D5CD5"/>
    <w:rsid w:val="005E34D2"/>
    <w:rsid w:val="005E58D3"/>
    <w:rsid w:val="005E5EE9"/>
    <w:rsid w:val="005E7B96"/>
    <w:rsid w:val="005F06E5"/>
    <w:rsid w:val="005F27C9"/>
    <w:rsid w:val="005F44F8"/>
    <w:rsid w:val="005F775A"/>
    <w:rsid w:val="00616171"/>
    <w:rsid w:val="0061739F"/>
    <w:rsid w:val="00625BFA"/>
    <w:rsid w:val="0062651D"/>
    <w:rsid w:val="00627CBF"/>
    <w:rsid w:val="00630F6E"/>
    <w:rsid w:val="00641EB4"/>
    <w:rsid w:val="00643318"/>
    <w:rsid w:val="00646932"/>
    <w:rsid w:val="00652999"/>
    <w:rsid w:val="0066310D"/>
    <w:rsid w:val="00664BFD"/>
    <w:rsid w:val="00664EF5"/>
    <w:rsid w:val="00667555"/>
    <w:rsid w:val="00673029"/>
    <w:rsid w:val="006743DA"/>
    <w:rsid w:val="00675E64"/>
    <w:rsid w:val="006764DD"/>
    <w:rsid w:val="00680836"/>
    <w:rsid w:val="00685F4B"/>
    <w:rsid w:val="00686B34"/>
    <w:rsid w:val="00692CAC"/>
    <w:rsid w:val="006962F2"/>
    <w:rsid w:val="006A24AD"/>
    <w:rsid w:val="006A4012"/>
    <w:rsid w:val="006B5D64"/>
    <w:rsid w:val="006C1DB3"/>
    <w:rsid w:val="006C32E2"/>
    <w:rsid w:val="006C496A"/>
    <w:rsid w:val="006C5E2E"/>
    <w:rsid w:val="006D0097"/>
    <w:rsid w:val="006D1A93"/>
    <w:rsid w:val="006D7D3A"/>
    <w:rsid w:val="006D7FA8"/>
    <w:rsid w:val="006E25F1"/>
    <w:rsid w:val="006E7FE8"/>
    <w:rsid w:val="006F0FE6"/>
    <w:rsid w:val="006F48BB"/>
    <w:rsid w:val="006F5F4E"/>
    <w:rsid w:val="00700D2A"/>
    <w:rsid w:val="0070100B"/>
    <w:rsid w:val="00701460"/>
    <w:rsid w:val="00710FA3"/>
    <w:rsid w:val="007135DE"/>
    <w:rsid w:val="00717A63"/>
    <w:rsid w:val="00722FB8"/>
    <w:rsid w:val="007255C3"/>
    <w:rsid w:val="00734024"/>
    <w:rsid w:val="00735F2E"/>
    <w:rsid w:val="00740A03"/>
    <w:rsid w:val="00742751"/>
    <w:rsid w:val="0075034E"/>
    <w:rsid w:val="00750C23"/>
    <w:rsid w:val="0075188A"/>
    <w:rsid w:val="00754A3B"/>
    <w:rsid w:val="007551CD"/>
    <w:rsid w:val="00764E15"/>
    <w:rsid w:val="00766CFA"/>
    <w:rsid w:val="00767987"/>
    <w:rsid w:val="0077020B"/>
    <w:rsid w:val="00771A63"/>
    <w:rsid w:val="00782BD5"/>
    <w:rsid w:val="00782D6B"/>
    <w:rsid w:val="0078528A"/>
    <w:rsid w:val="00786BA0"/>
    <w:rsid w:val="007970FE"/>
    <w:rsid w:val="007A2CE2"/>
    <w:rsid w:val="007A303D"/>
    <w:rsid w:val="007A395F"/>
    <w:rsid w:val="007B0243"/>
    <w:rsid w:val="007B0C47"/>
    <w:rsid w:val="007B5534"/>
    <w:rsid w:val="007C7061"/>
    <w:rsid w:val="007D3C09"/>
    <w:rsid w:val="007D5EF3"/>
    <w:rsid w:val="007D70F4"/>
    <w:rsid w:val="007E3805"/>
    <w:rsid w:val="007E3C2C"/>
    <w:rsid w:val="007F0B34"/>
    <w:rsid w:val="007F136F"/>
    <w:rsid w:val="007F4BAB"/>
    <w:rsid w:val="007F6584"/>
    <w:rsid w:val="008027F1"/>
    <w:rsid w:val="008063BB"/>
    <w:rsid w:val="008074D9"/>
    <w:rsid w:val="00807BDB"/>
    <w:rsid w:val="00813C09"/>
    <w:rsid w:val="0081427A"/>
    <w:rsid w:val="0082074B"/>
    <w:rsid w:val="0082271E"/>
    <w:rsid w:val="008248F4"/>
    <w:rsid w:val="00830113"/>
    <w:rsid w:val="00832B3C"/>
    <w:rsid w:val="0083305C"/>
    <w:rsid w:val="00833570"/>
    <w:rsid w:val="00834A56"/>
    <w:rsid w:val="00834A7B"/>
    <w:rsid w:val="008414C9"/>
    <w:rsid w:val="00841B0B"/>
    <w:rsid w:val="00843974"/>
    <w:rsid w:val="00843D4E"/>
    <w:rsid w:val="00846918"/>
    <w:rsid w:val="00851980"/>
    <w:rsid w:val="00852440"/>
    <w:rsid w:val="00852C3D"/>
    <w:rsid w:val="008566CA"/>
    <w:rsid w:val="008603CF"/>
    <w:rsid w:val="00861907"/>
    <w:rsid w:val="00874EE5"/>
    <w:rsid w:val="00883BA1"/>
    <w:rsid w:val="00884D08"/>
    <w:rsid w:val="00884F5C"/>
    <w:rsid w:val="00891578"/>
    <w:rsid w:val="00895676"/>
    <w:rsid w:val="008A140F"/>
    <w:rsid w:val="008A3276"/>
    <w:rsid w:val="008B078A"/>
    <w:rsid w:val="008B1733"/>
    <w:rsid w:val="008B6E93"/>
    <w:rsid w:val="008C11BB"/>
    <w:rsid w:val="008C17BE"/>
    <w:rsid w:val="008C42B5"/>
    <w:rsid w:val="008D1B6B"/>
    <w:rsid w:val="008D24AF"/>
    <w:rsid w:val="008D4AD6"/>
    <w:rsid w:val="008E1750"/>
    <w:rsid w:val="008E3034"/>
    <w:rsid w:val="008E39C5"/>
    <w:rsid w:val="008E70F6"/>
    <w:rsid w:val="008F17D9"/>
    <w:rsid w:val="008F20D6"/>
    <w:rsid w:val="008F2195"/>
    <w:rsid w:val="008F4B1B"/>
    <w:rsid w:val="008F6BAC"/>
    <w:rsid w:val="009029E7"/>
    <w:rsid w:val="009061C5"/>
    <w:rsid w:val="00915279"/>
    <w:rsid w:val="00921BC6"/>
    <w:rsid w:val="0092261C"/>
    <w:rsid w:val="009301DA"/>
    <w:rsid w:val="009353C4"/>
    <w:rsid w:val="00935785"/>
    <w:rsid w:val="0094077E"/>
    <w:rsid w:val="00943E72"/>
    <w:rsid w:val="00950569"/>
    <w:rsid w:val="00952FE7"/>
    <w:rsid w:val="0095327E"/>
    <w:rsid w:val="00954AF0"/>
    <w:rsid w:val="00955935"/>
    <w:rsid w:val="00957679"/>
    <w:rsid w:val="00965AD3"/>
    <w:rsid w:val="009741F0"/>
    <w:rsid w:val="00976ACA"/>
    <w:rsid w:val="00977357"/>
    <w:rsid w:val="00977571"/>
    <w:rsid w:val="00982259"/>
    <w:rsid w:val="009823BB"/>
    <w:rsid w:val="009847C5"/>
    <w:rsid w:val="00990477"/>
    <w:rsid w:val="00992E9B"/>
    <w:rsid w:val="00993E85"/>
    <w:rsid w:val="00995C71"/>
    <w:rsid w:val="009A1BF5"/>
    <w:rsid w:val="009B05A8"/>
    <w:rsid w:val="009B5832"/>
    <w:rsid w:val="009C4E56"/>
    <w:rsid w:val="009C589D"/>
    <w:rsid w:val="009C5F61"/>
    <w:rsid w:val="009D0F18"/>
    <w:rsid w:val="009D28B1"/>
    <w:rsid w:val="009D2AD1"/>
    <w:rsid w:val="009E05C3"/>
    <w:rsid w:val="009E1186"/>
    <w:rsid w:val="009E36E7"/>
    <w:rsid w:val="009E4BEE"/>
    <w:rsid w:val="009F4C0D"/>
    <w:rsid w:val="009F57F5"/>
    <w:rsid w:val="009F75B0"/>
    <w:rsid w:val="00A0144A"/>
    <w:rsid w:val="00A01BB2"/>
    <w:rsid w:val="00A01E19"/>
    <w:rsid w:val="00A0213D"/>
    <w:rsid w:val="00A04DDD"/>
    <w:rsid w:val="00A0608F"/>
    <w:rsid w:val="00A06EE1"/>
    <w:rsid w:val="00A075AA"/>
    <w:rsid w:val="00A117AE"/>
    <w:rsid w:val="00A146F3"/>
    <w:rsid w:val="00A21534"/>
    <w:rsid w:val="00A22463"/>
    <w:rsid w:val="00A26B01"/>
    <w:rsid w:val="00A274D9"/>
    <w:rsid w:val="00A30CD5"/>
    <w:rsid w:val="00A37B3F"/>
    <w:rsid w:val="00A404F8"/>
    <w:rsid w:val="00A41839"/>
    <w:rsid w:val="00A43DDF"/>
    <w:rsid w:val="00A47398"/>
    <w:rsid w:val="00A55DDA"/>
    <w:rsid w:val="00A57141"/>
    <w:rsid w:val="00A63C05"/>
    <w:rsid w:val="00A72CFC"/>
    <w:rsid w:val="00A7372E"/>
    <w:rsid w:val="00A74E88"/>
    <w:rsid w:val="00A7562D"/>
    <w:rsid w:val="00A86778"/>
    <w:rsid w:val="00A872DD"/>
    <w:rsid w:val="00A933B6"/>
    <w:rsid w:val="00A943E7"/>
    <w:rsid w:val="00A948AB"/>
    <w:rsid w:val="00AA29B3"/>
    <w:rsid w:val="00AB2438"/>
    <w:rsid w:val="00AB2773"/>
    <w:rsid w:val="00AB3A3A"/>
    <w:rsid w:val="00AC112D"/>
    <w:rsid w:val="00AC1D02"/>
    <w:rsid w:val="00AC2A6C"/>
    <w:rsid w:val="00AD160D"/>
    <w:rsid w:val="00AE00D9"/>
    <w:rsid w:val="00AE349A"/>
    <w:rsid w:val="00AF1FE4"/>
    <w:rsid w:val="00AF61F1"/>
    <w:rsid w:val="00AF7FC7"/>
    <w:rsid w:val="00B07532"/>
    <w:rsid w:val="00B11B37"/>
    <w:rsid w:val="00B17EAC"/>
    <w:rsid w:val="00B21757"/>
    <w:rsid w:val="00B3023D"/>
    <w:rsid w:val="00B30808"/>
    <w:rsid w:val="00B32C1C"/>
    <w:rsid w:val="00B36701"/>
    <w:rsid w:val="00B43BD5"/>
    <w:rsid w:val="00B53650"/>
    <w:rsid w:val="00B53B51"/>
    <w:rsid w:val="00B63243"/>
    <w:rsid w:val="00B71547"/>
    <w:rsid w:val="00B76148"/>
    <w:rsid w:val="00B7689B"/>
    <w:rsid w:val="00B81BE9"/>
    <w:rsid w:val="00B8383E"/>
    <w:rsid w:val="00B9089A"/>
    <w:rsid w:val="00B93F46"/>
    <w:rsid w:val="00B94814"/>
    <w:rsid w:val="00BA670C"/>
    <w:rsid w:val="00BB0619"/>
    <w:rsid w:val="00BB1A97"/>
    <w:rsid w:val="00BB1E87"/>
    <w:rsid w:val="00BC0958"/>
    <w:rsid w:val="00BD0374"/>
    <w:rsid w:val="00BD681E"/>
    <w:rsid w:val="00BE0008"/>
    <w:rsid w:val="00BE6778"/>
    <w:rsid w:val="00BF16AB"/>
    <w:rsid w:val="00BF2E2B"/>
    <w:rsid w:val="00BF3D87"/>
    <w:rsid w:val="00BF6EF8"/>
    <w:rsid w:val="00C003AA"/>
    <w:rsid w:val="00C02123"/>
    <w:rsid w:val="00C02399"/>
    <w:rsid w:val="00C12F01"/>
    <w:rsid w:val="00C13111"/>
    <w:rsid w:val="00C16439"/>
    <w:rsid w:val="00C16710"/>
    <w:rsid w:val="00C1726C"/>
    <w:rsid w:val="00C27C9F"/>
    <w:rsid w:val="00C33C89"/>
    <w:rsid w:val="00C36078"/>
    <w:rsid w:val="00C44E3F"/>
    <w:rsid w:val="00C47800"/>
    <w:rsid w:val="00C52422"/>
    <w:rsid w:val="00C557D7"/>
    <w:rsid w:val="00C56212"/>
    <w:rsid w:val="00C6095F"/>
    <w:rsid w:val="00C6337C"/>
    <w:rsid w:val="00C73327"/>
    <w:rsid w:val="00C73BB5"/>
    <w:rsid w:val="00C74007"/>
    <w:rsid w:val="00C75F10"/>
    <w:rsid w:val="00C77CF5"/>
    <w:rsid w:val="00C837D0"/>
    <w:rsid w:val="00C86FA4"/>
    <w:rsid w:val="00C94C55"/>
    <w:rsid w:val="00C96349"/>
    <w:rsid w:val="00CA4A61"/>
    <w:rsid w:val="00CA6358"/>
    <w:rsid w:val="00CB0E43"/>
    <w:rsid w:val="00CC0F95"/>
    <w:rsid w:val="00CE02D3"/>
    <w:rsid w:val="00CE1693"/>
    <w:rsid w:val="00CE7216"/>
    <w:rsid w:val="00CF1851"/>
    <w:rsid w:val="00CF38D4"/>
    <w:rsid w:val="00D01108"/>
    <w:rsid w:val="00D11FF9"/>
    <w:rsid w:val="00D12570"/>
    <w:rsid w:val="00D177B6"/>
    <w:rsid w:val="00D216E2"/>
    <w:rsid w:val="00D225F9"/>
    <w:rsid w:val="00D240F0"/>
    <w:rsid w:val="00D24218"/>
    <w:rsid w:val="00D24721"/>
    <w:rsid w:val="00D265AF"/>
    <w:rsid w:val="00D31BB5"/>
    <w:rsid w:val="00D325F5"/>
    <w:rsid w:val="00D36601"/>
    <w:rsid w:val="00D37C92"/>
    <w:rsid w:val="00D40375"/>
    <w:rsid w:val="00D456D5"/>
    <w:rsid w:val="00D50259"/>
    <w:rsid w:val="00D51156"/>
    <w:rsid w:val="00D52F5A"/>
    <w:rsid w:val="00D60FEA"/>
    <w:rsid w:val="00D72549"/>
    <w:rsid w:val="00D74348"/>
    <w:rsid w:val="00D75349"/>
    <w:rsid w:val="00D83228"/>
    <w:rsid w:val="00D92074"/>
    <w:rsid w:val="00D94674"/>
    <w:rsid w:val="00D96E3A"/>
    <w:rsid w:val="00D978AC"/>
    <w:rsid w:val="00DA429F"/>
    <w:rsid w:val="00DA5E9C"/>
    <w:rsid w:val="00DA6927"/>
    <w:rsid w:val="00DA7A45"/>
    <w:rsid w:val="00DB1EF7"/>
    <w:rsid w:val="00DB6374"/>
    <w:rsid w:val="00DB7E46"/>
    <w:rsid w:val="00DC0A8C"/>
    <w:rsid w:val="00DD790A"/>
    <w:rsid w:val="00DE0F45"/>
    <w:rsid w:val="00DE5471"/>
    <w:rsid w:val="00DE7C03"/>
    <w:rsid w:val="00DF03E2"/>
    <w:rsid w:val="00DF2776"/>
    <w:rsid w:val="00DF6B8F"/>
    <w:rsid w:val="00E000A7"/>
    <w:rsid w:val="00E03C99"/>
    <w:rsid w:val="00E03FFF"/>
    <w:rsid w:val="00E0417D"/>
    <w:rsid w:val="00E04571"/>
    <w:rsid w:val="00E10C29"/>
    <w:rsid w:val="00E13A29"/>
    <w:rsid w:val="00E13F3E"/>
    <w:rsid w:val="00E147A3"/>
    <w:rsid w:val="00E14853"/>
    <w:rsid w:val="00E37B2A"/>
    <w:rsid w:val="00E414B5"/>
    <w:rsid w:val="00E43292"/>
    <w:rsid w:val="00E437ED"/>
    <w:rsid w:val="00E476C6"/>
    <w:rsid w:val="00E5346F"/>
    <w:rsid w:val="00E542CB"/>
    <w:rsid w:val="00E578E4"/>
    <w:rsid w:val="00E602F1"/>
    <w:rsid w:val="00E63722"/>
    <w:rsid w:val="00E833E9"/>
    <w:rsid w:val="00E90A9B"/>
    <w:rsid w:val="00E94430"/>
    <w:rsid w:val="00E97A16"/>
    <w:rsid w:val="00EA05E1"/>
    <w:rsid w:val="00EA0DB7"/>
    <w:rsid w:val="00EA79BC"/>
    <w:rsid w:val="00EB0E4F"/>
    <w:rsid w:val="00EB15DE"/>
    <w:rsid w:val="00EB1FE1"/>
    <w:rsid w:val="00EB239A"/>
    <w:rsid w:val="00EB52E3"/>
    <w:rsid w:val="00EC34BE"/>
    <w:rsid w:val="00ED136A"/>
    <w:rsid w:val="00ED60D9"/>
    <w:rsid w:val="00ED710F"/>
    <w:rsid w:val="00ED7BB7"/>
    <w:rsid w:val="00EE00B0"/>
    <w:rsid w:val="00EF165A"/>
    <w:rsid w:val="00EF7592"/>
    <w:rsid w:val="00F02163"/>
    <w:rsid w:val="00F07320"/>
    <w:rsid w:val="00F10544"/>
    <w:rsid w:val="00F15E50"/>
    <w:rsid w:val="00F15FFD"/>
    <w:rsid w:val="00F167D6"/>
    <w:rsid w:val="00F2144D"/>
    <w:rsid w:val="00F21C8F"/>
    <w:rsid w:val="00F21DDF"/>
    <w:rsid w:val="00F313A0"/>
    <w:rsid w:val="00F318A0"/>
    <w:rsid w:val="00F33CEE"/>
    <w:rsid w:val="00F35CDA"/>
    <w:rsid w:val="00F365B1"/>
    <w:rsid w:val="00F4525C"/>
    <w:rsid w:val="00F472E4"/>
    <w:rsid w:val="00F57CAF"/>
    <w:rsid w:val="00F62ED4"/>
    <w:rsid w:val="00F71068"/>
    <w:rsid w:val="00F75EF5"/>
    <w:rsid w:val="00F81571"/>
    <w:rsid w:val="00F81DBA"/>
    <w:rsid w:val="00F85F4A"/>
    <w:rsid w:val="00F9165E"/>
    <w:rsid w:val="00F939FA"/>
    <w:rsid w:val="00FA62E3"/>
    <w:rsid w:val="00FB4322"/>
    <w:rsid w:val="00FB5E35"/>
    <w:rsid w:val="00FC5F69"/>
    <w:rsid w:val="00FC6519"/>
    <w:rsid w:val="00FC6E53"/>
    <w:rsid w:val="00FE2CE0"/>
    <w:rsid w:val="00FE4161"/>
    <w:rsid w:val="00FE6264"/>
    <w:rsid w:val="00FF381B"/>
    <w:rsid w:val="00FF500B"/>
    <w:rsid w:val="00FF6058"/>
    <w:rsid w:val="00FF72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82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29"/>
    <w:pPr>
      <w:spacing w:before="120" w:after="180" w:line="276" w:lineRule="auto"/>
    </w:pPr>
    <w:rPr>
      <w:rFonts w:ascii="Arial" w:eastAsia="Times New Roman" w:hAnsi="Arial" w:cs="Times New Roman"/>
      <w:sz w:val="21"/>
      <w:lang w:val="en-AU"/>
    </w:rPr>
  </w:style>
  <w:style w:type="paragraph" w:styleId="Heading1">
    <w:name w:val="heading 1"/>
    <w:next w:val="Normal"/>
    <w:link w:val="Heading1Char"/>
    <w:qFormat/>
    <w:rsid w:val="006D1A93"/>
    <w:pPr>
      <w:keepNext/>
      <w:keepLines/>
      <w:spacing w:before="480" w:after="36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566137"/>
    <w:pPr>
      <w:keepNext/>
      <w:keepLines/>
      <w:spacing w:before="360" w:after="120" w:line="281" w:lineRule="auto"/>
      <w:outlineLvl w:val="1"/>
    </w:pPr>
    <w:rPr>
      <w:rFonts w:eastAsia="MS Gothic"/>
      <w:bCs/>
      <w:color w:val="358189"/>
      <w:sz w:val="32"/>
      <w:szCs w:val="26"/>
      <w:lang w:val="en-US"/>
    </w:rPr>
  </w:style>
  <w:style w:type="paragraph" w:styleId="Heading3">
    <w:name w:val="heading 3"/>
    <w:basedOn w:val="Normal"/>
    <w:next w:val="Normal"/>
    <w:link w:val="Heading3Char"/>
    <w:uiPriority w:val="9"/>
    <w:unhideWhenUsed/>
    <w:qFormat/>
    <w:rsid w:val="00566137"/>
    <w:pPr>
      <w:keepNext/>
      <w:keepLines/>
      <w:spacing w:before="360" w:after="120" w:line="271" w:lineRule="auto"/>
      <w:outlineLvl w:val="2"/>
    </w:pPr>
    <w:rPr>
      <w:rFonts w:eastAsia="MS Gothic"/>
      <w:b/>
      <w:color w:val="358189"/>
      <w:sz w:val="24"/>
      <w:lang w:val="en-US"/>
    </w:rPr>
  </w:style>
  <w:style w:type="paragraph" w:styleId="Heading4">
    <w:name w:val="heading 4"/>
    <w:basedOn w:val="Normal"/>
    <w:next w:val="Normal"/>
    <w:link w:val="Heading4Char"/>
    <w:uiPriority w:val="9"/>
    <w:unhideWhenUsed/>
    <w:qFormat/>
    <w:rsid w:val="00566137"/>
    <w:pPr>
      <w:keepNext/>
      <w:keepLines/>
      <w:spacing w:before="240" w:after="120" w:line="259" w:lineRule="auto"/>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A93"/>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566137"/>
    <w:rPr>
      <w:rFonts w:ascii="Arial" w:eastAsia="MS Gothic" w:hAnsi="Arial" w:cs="Times New Roman"/>
      <w:bCs/>
      <w:color w:val="358189"/>
      <w:sz w:val="32"/>
      <w:szCs w:val="26"/>
      <w:lang w:val="en-US"/>
    </w:rPr>
  </w:style>
  <w:style w:type="character" w:customStyle="1" w:styleId="Heading3Char">
    <w:name w:val="Heading 3 Char"/>
    <w:basedOn w:val="DefaultParagraphFont"/>
    <w:link w:val="Heading3"/>
    <w:uiPriority w:val="9"/>
    <w:rsid w:val="00566137"/>
    <w:rPr>
      <w:rFonts w:ascii="Arial" w:eastAsia="MS Gothic" w:hAnsi="Arial" w:cs="Times New Roman"/>
      <w:b/>
      <w:color w:val="358189"/>
      <w:lang w:val="en-US"/>
    </w:rPr>
  </w:style>
  <w:style w:type="character" w:customStyle="1" w:styleId="Heading4Char">
    <w:name w:val="Heading 4 Char"/>
    <w:basedOn w:val="DefaultParagraphFont"/>
    <w:link w:val="Heading4"/>
    <w:uiPriority w:val="9"/>
    <w:rsid w:val="00566137"/>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Recommendation,List Paragraph1,List Paragraph11,L,#List Paragraph,Bullet Level 1,Bullet Point,Bullet point,Bulletr List Paragraph,Content descriptions,FooterText,List Bullet 1,List Paragraph2,List Paragraph21,Listeafsnit1,リスト段落"/>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700D2A"/>
    <w:rPr>
      <w:sz w:val="48"/>
      <w:szCs w:val="48"/>
    </w:rPr>
  </w:style>
  <w:style w:type="character" w:customStyle="1" w:styleId="TitleChar">
    <w:name w:val="Title Char"/>
    <w:basedOn w:val="DefaultParagraphFont"/>
    <w:link w:val="Title"/>
    <w:rsid w:val="00700D2A"/>
    <w:rPr>
      <w:rFonts w:ascii="Arial" w:eastAsia="Times New Roman" w:hAnsi="Arial" w:cs="Times New Roman"/>
      <w:sz w:val="48"/>
      <w:szCs w:val="48"/>
      <w:lang w:val="en-AU"/>
    </w:rPr>
  </w:style>
  <w:style w:type="paragraph" w:styleId="IntenseQuote">
    <w:name w:val="Intense Quote"/>
    <w:basedOn w:val="Normal"/>
    <w:next w:val="Normal"/>
    <w:link w:val="IntenseQuoteChar"/>
    <w:autoRedefine/>
    <w:uiPriority w:val="30"/>
    <w:qFormat/>
    <w:rsid w:val="00C74007"/>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C74007"/>
    <w:rPr>
      <w:rFonts w:ascii="Arial" w:eastAsia="Times New Roman" w:hAnsi="Arial" w:cs="Times New Roman"/>
      <w:iCs/>
      <w:color w:val="358189"/>
      <w:sz w:val="28"/>
      <w:lang w:val="en-AU"/>
    </w:rPr>
  </w:style>
  <w:style w:type="paragraph" w:customStyle="1" w:styleId="PolicyStatement">
    <w:name w:val="PolicyStatement"/>
    <w:basedOn w:val="Normal"/>
    <w:qFormat/>
    <w:rsid w:val="001D3D28"/>
    <w:pPr>
      <w:framePr w:w="7938" w:h="2552" w:hRule="exact" w:wrap="around" w:vAnchor="text" w:hAnchor="text" w:xAlign="center" w:y="1"/>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557B05"/>
    <w:pPr>
      <w:pBdr>
        <w:top w:val="single" w:sz="4" w:space="15" w:color="358189"/>
        <w:bottom w:val="single" w:sz="4" w:space="10" w:color="358189"/>
      </w:pBdr>
      <w:spacing w:before="360" w:after="360" w:line="340" w:lineRule="exact"/>
    </w:pPr>
    <w:rPr>
      <w:rFonts w:eastAsiaTheme="minorHAnsi"/>
      <w:color w:val="358189"/>
      <w:sz w:val="22"/>
    </w:rPr>
  </w:style>
  <w:style w:type="paragraph" w:customStyle="1" w:styleId="Policystylebullet">
    <w:name w:val="Policy style bullet"/>
    <w:basedOn w:val="PolicyStatement"/>
    <w:qFormat/>
    <w:rsid w:val="00FF381B"/>
    <w:pPr>
      <w:framePr w:wrap="around"/>
      <w:numPr>
        <w:numId w:val="7"/>
      </w:numPr>
    </w:pPr>
  </w:style>
  <w:style w:type="paragraph" w:customStyle="1" w:styleId="Style1">
    <w:name w:val="Style1"/>
    <w:next w:val="Normal"/>
    <w:qFormat/>
    <w:rsid w:val="00395CB0"/>
    <w:pPr>
      <w:framePr w:w="8505" w:wrap="around" w:vAnchor="text" w:hAnchor="text" w:xAlign="center" w:y="1"/>
      <w:pBdr>
        <w:top w:val="single" w:sz="8" w:space="20" w:color="358189"/>
        <w:left w:val="single" w:sz="8" w:space="10" w:color="358189"/>
        <w:bottom w:val="single" w:sz="8" w:space="10" w:color="358189"/>
        <w:right w:val="single" w:sz="8" w:space="10" w:color="358189"/>
      </w:pBdr>
      <w:spacing w:before="120" w:after="120" w:line="276"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557B05"/>
    <w:pPr>
      <w:numPr>
        <w:numId w:val="9"/>
      </w:numPr>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TOC1">
    <w:name w:val="toc 1"/>
    <w:basedOn w:val="Normal"/>
    <w:next w:val="Normal"/>
    <w:autoRedefine/>
    <w:uiPriority w:val="39"/>
    <w:unhideWhenUsed/>
    <w:rsid w:val="009E4BEE"/>
    <w:pPr>
      <w:tabs>
        <w:tab w:val="right" w:leader="dot" w:pos="9054"/>
      </w:tabs>
      <w:spacing w:after="120" w:line="240" w:lineRule="auto"/>
    </w:pPr>
    <w:rPr>
      <w:b/>
      <w:color w:val="2E6F76"/>
      <w:sz w:val="28"/>
    </w:rPr>
  </w:style>
  <w:style w:type="paragraph" w:styleId="TOC2">
    <w:name w:val="toc 2"/>
    <w:basedOn w:val="Normal"/>
    <w:next w:val="Normal"/>
    <w:autoRedefine/>
    <w:uiPriority w:val="39"/>
    <w:unhideWhenUsed/>
    <w:rsid w:val="009E4BEE"/>
    <w:pPr>
      <w:tabs>
        <w:tab w:val="right" w:leader="dot" w:pos="9054"/>
      </w:tabs>
      <w:spacing w:after="120" w:line="240" w:lineRule="auto"/>
      <w:ind w:left="425"/>
    </w:pPr>
    <w:rPr>
      <w:sz w:val="24"/>
    </w:rPr>
  </w:style>
  <w:style w:type="paragraph" w:styleId="TOC3">
    <w:name w:val="toc 3"/>
    <w:basedOn w:val="Normal"/>
    <w:next w:val="Normal"/>
    <w:autoRedefine/>
    <w:uiPriority w:val="39"/>
    <w:unhideWhenUsed/>
    <w:rsid w:val="00F57CAF"/>
    <w:pPr>
      <w:tabs>
        <w:tab w:val="right" w:leader="dot" w:pos="9054"/>
      </w:tabs>
      <w:spacing w:before="0"/>
      <w:ind w:left="709"/>
    </w:pPr>
    <w:rPr>
      <w:sz w:val="20"/>
    </w:rPr>
  </w:style>
  <w:style w:type="paragraph" w:styleId="TOC4">
    <w:name w:val="toc 4"/>
    <w:basedOn w:val="Normal"/>
    <w:next w:val="Normal"/>
    <w:autoRedefine/>
    <w:uiPriority w:val="39"/>
    <w:unhideWhenUsed/>
    <w:rsid w:val="007B5534"/>
    <w:pPr>
      <w:tabs>
        <w:tab w:val="right" w:leader="dot" w:pos="9054"/>
      </w:tabs>
      <w:ind w:left="1134"/>
    </w:pPr>
    <w:rPr>
      <w:i/>
      <w:sz w:val="18"/>
    </w:rPr>
  </w:style>
  <w:style w:type="paragraph" w:styleId="TOC5">
    <w:name w:val="toc 5"/>
    <w:basedOn w:val="Normal"/>
    <w:next w:val="Normal"/>
    <w:autoRedefine/>
    <w:uiPriority w:val="39"/>
    <w:unhideWhenUsed/>
    <w:rsid w:val="0033256E"/>
    <w:pPr>
      <w:ind w:left="840"/>
    </w:pPr>
  </w:style>
  <w:style w:type="paragraph" w:styleId="TOC6">
    <w:name w:val="toc 6"/>
    <w:basedOn w:val="Normal"/>
    <w:next w:val="Normal"/>
    <w:autoRedefine/>
    <w:uiPriority w:val="39"/>
    <w:unhideWhenUsed/>
    <w:rsid w:val="0033256E"/>
    <w:pPr>
      <w:ind w:left="1050"/>
    </w:pPr>
  </w:style>
  <w:style w:type="paragraph" w:styleId="TOC7">
    <w:name w:val="toc 7"/>
    <w:basedOn w:val="Normal"/>
    <w:next w:val="Normal"/>
    <w:autoRedefine/>
    <w:uiPriority w:val="39"/>
    <w:unhideWhenUsed/>
    <w:rsid w:val="0033256E"/>
    <w:pPr>
      <w:ind w:left="1260"/>
    </w:pPr>
  </w:style>
  <w:style w:type="paragraph" w:styleId="TOC8">
    <w:name w:val="toc 8"/>
    <w:basedOn w:val="Normal"/>
    <w:next w:val="Normal"/>
    <w:autoRedefine/>
    <w:uiPriority w:val="39"/>
    <w:unhideWhenUsed/>
    <w:rsid w:val="0033256E"/>
    <w:pPr>
      <w:ind w:left="1470"/>
    </w:pPr>
  </w:style>
  <w:style w:type="paragraph" w:styleId="TOC9">
    <w:name w:val="toc 9"/>
    <w:basedOn w:val="Normal"/>
    <w:next w:val="Normal"/>
    <w:autoRedefine/>
    <w:uiPriority w:val="39"/>
    <w:unhideWhenUsed/>
    <w:rsid w:val="0033256E"/>
    <w:pPr>
      <w:ind w:left="1680"/>
    </w:pPr>
  </w:style>
  <w:style w:type="paragraph" w:customStyle="1" w:styleId="Normal1stPara">
    <w:name w:val="Normal 1st Para"/>
    <w:basedOn w:val="Normal"/>
    <w:qFormat/>
    <w:rsid w:val="0033256E"/>
    <w:rPr>
      <w:rFonts w:eastAsia="MS PGothic"/>
      <w:sz w:val="20"/>
      <w:lang w:eastAsia="en-GB"/>
    </w:rPr>
  </w:style>
  <w:style w:type="character" w:styleId="Hyperlink">
    <w:name w:val="Hyperlink"/>
    <w:basedOn w:val="DefaultParagraphFont"/>
    <w:uiPriority w:val="99"/>
    <w:rsid w:val="0033256E"/>
    <w:rPr>
      <w:color w:val="0563C1" w:themeColor="hyperlink"/>
      <w:u w:val="single"/>
    </w:rPr>
  </w:style>
  <w:style w:type="character" w:styleId="FootnoteReference">
    <w:name w:val="footnote reference"/>
    <w:uiPriority w:val="99"/>
    <w:rsid w:val="0033256E"/>
    <w:rPr>
      <w:vertAlign w:val="superscript"/>
    </w:rPr>
  </w:style>
  <w:style w:type="paragraph" w:styleId="FootnoteText">
    <w:name w:val="footnote text"/>
    <w:basedOn w:val="Normal"/>
    <w:link w:val="FootnoteTextChar"/>
    <w:rsid w:val="0033256E"/>
    <w:pPr>
      <w:spacing w:before="0" w:after="200"/>
    </w:pPr>
    <w:rPr>
      <w:rFonts w:ascii="Calibri" w:eastAsia="MS PGothic" w:hAnsi="Calibri"/>
      <w:sz w:val="20"/>
      <w:szCs w:val="22"/>
    </w:rPr>
  </w:style>
  <w:style w:type="character" w:customStyle="1" w:styleId="FootnoteTextChar">
    <w:name w:val="Footnote Text Char"/>
    <w:basedOn w:val="DefaultParagraphFont"/>
    <w:link w:val="FootnoteText"/>
    <w:rsid w:val="0033256E"/>
    <w:rPr>
      <w:rFonts w:ascii="Calibri" w:eastAsia="MS PGothic" w:hAnsi="Calibri" w:cs="Times New Roman"/>
      <w:sz w:val="20"/>
      <w:szCs w:val="22"/>
      <w:lang w:val="en-AU"/>
    </w:rPr>
  </w:style>
  <w:style w:type="character" w:styleId="CommentReference">
    <w:name w:val="annotation reference"/>
    <w:basedOn w:val="DefaultParagraphFont"/>
    <w:uiPriority w:val="99"/>
    <w:semiHidden/>
    <w:unhideWhenUsed/>
    <w:rsid w:val="0033256E"/>
    <w:rPr>
      <w:sz w:val="16"/>
      <w:szCs w:val="16"/>
    </w:rPr>
  </w:style>
  <w:style w:type="paragraph" w:styleId="CommentText">
    <w:name w:val="annotation text"/>
    <w:basedOn w:val="Normal"/>
    <w:link w:val="CommentTextChar"/>
    <w:uiPriority w:val="99"/>
    <w:semiHidden/>
    <w:unhideWhenUsed/>
    <w:rsid w:val="0033256E"/>
    <w:pPr>
      <w:spacing w:line="240" w:lineRule="auto"/>
    </w:pPr>
    <w:rPr>
      <w:sz w:val="20"/>
      <w:szCs w:val="20"/>
    </w:rPr>
  </w:style>
  <w:style w:type="character" w:customStyle="1" w:styleId="CommentTextChar">
    <w:name w:val="Comment Text Char"/>
    <w:basedOn w:val="DefaultParagraphFont"/>
    <w:link w:val="CommentText"/>
    <w:uiPriority w:val="99"/>
    <w:semiHidden/>
    <w:rsid w:val="0033256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3256E"/>
    <w:rPr>
      <w:b/>
      <w:bCs/>
    </w:rPr>
  </w:style>
  <w:style w:type="character" w:customStyle="1" w:styleId="CommentSubjectChar">
    <w:name w:val="Comment Subject Char"/>
    <w:basedOn w:val="CommentTextChar"/>
    <w:link w:val="CommentSubject"/>
    <w:uiPriority w:val="99"/>
    <w:semiHidden/>
    <w:rsid w:val="0033256E"/>
    <w:rPr>
      <w:rFonts w:ascii="Arial" w:eastAsia="Times New Roman" w:hAnsi="Arial" w:cs="Times New Roman"/>
      <w:b/>
      <w:bCs/>
      <w:sz w:val="20"/>
      <w:szCs w:val="20"/>
      <w:lang w:val="en-AU"/>
    </w:rPr>
  </w:style>
  <w:style w:type="paragraph" w:customStyle="1" w:styleId="Bullets1">
    <w:name w:val="Bullets 1"/>
    <w:basedOn w:val="ListParagraph"/>
    <w:qFormat/>
    <w:rsid w:val="00B07532"/>
    <w:pPr>
      <w:numPr>
        <w:numId w:val="13"/>
      </w:numPr>
      <w:spacing w:after="120"/>
      <w:contextualSpacing w:val="0"/>
    </w:pPr>
    <w:rPr>
      <w:rFonts w:cs="Arial"/>
      <w:szCs w:val="22"/>
    </w:rPr>
  </w:style>
  <w:style w:type="table" w:styleId="TableGrid">
    <w:name w:val="Table Grid"/>
    <w:basedOn w:val="TableNormal"/>
    <w:uiPriority w:val="39"/>
    <w:rsid w:val="0033256E"/>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256E"/>
    <w:rPr>
      <w:i/>
      <w:iCs/>
    </w:rPr>
  </w:style>
  <w:style w:type="paragraph" w:styleId="NoSpacing">
    <w:name w:val="No Spacing"/>
    <w:link w:val="NoSpacingChar"/>
    <w:uiPriority w:val="1"/>
    <w:qFormat/>
    <w:rsid w:val="0033256E"/>
    <w:rPr>
      <w:rFonts w:eastAsiaTheme="minorEastAsia"/>
      <w:sz w:val="22"/>
      <w:szCs w:val="22"/>
      <w:lang w:val="en-US"/>
    </w:rPr>
  </w:style>
  <w:style w:type="character" w:customStyle="1" w:styleId="NoSpacingChar">
    <w:name w:val="No Spacing Char"/>
    <w:basedOn w:val="DefaultParagraphFont"/>
    <w:link w:val="NoSpacing"/>
    <w:uiPriority w:val="1"/>
    <w:rsid w:val="0033256E"/>
    <w:rPr>
      <w:rFonts w:eastAsiaTheme="minorEastAsia"/>
      <w:sz w:val="22"/>
      <w:szCs w:val="22"/>
      <w:lang w:val="en-US"/>
    </w:rPr>
  </w:style>
  <w:style w:type="paragraph" w:styleId="Quote">
    <w:name w:val="Quote"/>
    <w:basedOn w:val="Normal"/>
    <w:next w:val="Normal"/>
    <w:link w:val="QuoteChar"/>
    <w:uiPriority w:val="29"/>
    <w:qFormat/>
    <w:rsid w:val="00566137"/>
    <w:pPr>
      <w:ind w:left="567" w:right="567"/>
    </w:pPr>
    <w:rPr>
      <w:i/>
      <w:iCs/>
      <w:color w:val="000000" w:themeColor="text1"/>
    </w:rPr>
  </w:style>
  <w:style w:type="character" w:customStyle="1" w:styleId="QuoteChar">
    <w:name w:val="Quote Char"/>
    <w:basedOn w:val="DefaultParagraphFont"/>
    <w:link w:val="Quote"/>
    <w:uiPriority w:val="29"/>
    <w:rsid w:val="00566137"/>
    <w:rPr>
      <w:rFonts w:ascii="Arial" w:eastAsia="Times New Roman" w:hAnsi="Arial" w:cs="Times New Roman"/>
      <w:i/>
      <w:iCs/>
      <w:color w:val="000000" w:themeColor="text1"/>
      <w:sz w:val="21"/>
      <w:lang w:val="en-AU"/>
    </w:rPr>
  </w:style>
  <w:style w:type="character" w:styleId="FollowedHyperlink">
    <w:name w:val="FollowedHyperlink"/>
    <w:basedOn w:val="DefaultParagraphFont"/>
    <w:uiPriority w:val="99"/>
    <w:semiHidden/>
    <w:unhideWhenUsed/>
    <w:rsid w:val="009301DA"/>
    <w:rPr>
      <w:color w:val="954F72" w:themeColor="followedHyperlink"/>
      <w:u w:val="single"/>
    </w:rPr>
  </w:style>
  <w:style w:type="paragraph" w:customStyle="1" w:styleId="mpcNormal">
    <w:name w:val="mpc Normal"/>
    <w:basedOn w:val="Normal"/>
    <w:qFormat/>
    <w:rsid w:val="005B6721"/>
    <w:pPr>
      <w:spacing w:before="0" w:after="0" w:line="240" w:lineRule="auto"/>
    </w:pPr>
    <w:rPr>
      <w:rFonts w:ascii="Calibri" w:eastAsiaTheme="minorHAnsi" w:hAnsi="Calibri" w:cstheme="minorBidi"/>
      <w:sz w:val="22"/>
    </w:rPr>
  </w:style>
  <w:style w:type="paragraph" w:styleId="TOCHeading">
    <w:name w:val="TOC Heading"/>
    <w:basedOn w:val="Heading1"/>
    <w:next w:val="Normal"/>
    <w:uiPriority w:val="39"/>
    <w:unhideWhenUsed/>
    <w:qFormat/>
    <w:rsid w:val="007D5EF3"/>
    <w:pPr>
      <w:spacing w:before="240" w:after="0" w:line="259" w:lineRule="auto"/>
      <w:outlineLvl w:val="9"/>
    </w:pPr>
    <w:rPr>
      <w:rFonts w:asciiTheme="majorHAnsi" w:eastAsiaTheme="majorEastAsia" w:hAnsiTheme="majorHAnsi"/>
      <w:color w:val="2F5496" w:themeColor="accent1" w:themeShade="BF"/>
      <w:sz w:val="32"/>
      <w:szCs w:val="32"/>
      <w:lang w:eastAsia="en-US"/>
    </w:rPr>
  </w:style>
  <w:style w:type="character" w:customStyle="1" w:styleId="ListParagraphChar">
    <w:name w:val="List Paragraph Char"/>
    <w:aliases w:val="Recommendation Char,List Paragraph1 Char,List Paragraph11 Char,L Char,#List Paragraph Char,Bullet Level 1 Char,Bullet Point Char,Bullet point Char,Bulletr List Paragraph Char,Content descriptions Char,FooterText Char,リスト段落 Char"/>
    <w:link w:val="ListParagraph"/>
    <w:uiPriority w:val="34"/>
    <w:qFormat/>
    <w:locked/>
    <w:rsid w:val="008A3276"/>
    <w:rPr>
      <w:rFonts w:ascii="Arial" w:eastAsia="Times New Roman" w:hAnsi="Arial" w:cs="Times New Roman"/>
      <w:sz w:val="21"/>
      <w:lang w:val="en-AU"/>
    </w:rPr>
  </w:style>
  <w:style w:type="paragraph" w:styleId="Revision">
    <w:name w:val="Revision"/>
    <w:hidden/>
    <w:uiPriority w:val="99"/>
    <w:semiHidden/>
    <w:rsid w:val="00F57CAF"/>
    <w:rPr>
      <w:rFonts w:ascii="Arial" w:eastAsia="Times New Roman" w:hAnsi="Arial" w:cs="Times New Roman"/>
      <w:sz w:val="21"/>
      <w:lang w:val="en-AU"/>
    </w:rPr>
  </w:style>
  <w:style w:type="paragraph" w:customStyle="1" w:styleId="subsection">
    <w:name w:val="subsection"/>
    <w:basedOn w:val="Normal"/>
    <w:rsid w:val="003C75BA"/>
    <w:pPr>
      <w:spacing w:before="100" w:beforeAutospacing="1" w:after="100" w:afterAutospacing="1" w:line="240" w:lineRule="auto"/>
    </w:pPr>
    <w:rPr>
      <w:rFonts w:ascii="Times New Roman" w:eastAsiaTheme="minorHAnsi" w:hAnsi="Times New Roman"/>
      <w:sz w:val="24"/>
      <w:lang w:eastAsia="en-AU"/>
    </w:rPr>
  </w:style>
  <w:style w:type="paragraph" w:customStyle="1" w:styleId="paragraph">
    <w:name w:val="paragraph"/>
    <w:basedOn w:val="Normal"/>
    <w:rsid w:val="003C75BA"/>
    <w:pPr>
      <w:spacing w:before="100" w:beforeAutospacing="1" w:after="100" w:afterAutospacing="1" w:line="240" w:lineRule="auto"/>
    </w:pPr>
    <w:rPr>
      <w:rFonts w:ascii="Times New Roman" w:eastAsiaTheme="minorHAnsi" w:hAnsi="Times New Roman"/>
      <w:sz w:val="24"/>
      <w:lang w:eastAsia="en-AU"/>
    </w:rPr>
  </w:style>
  <w:style w:type="paragraph" w:styleId="NormalWeb">
    <w:name w:val="Normal (Web)"/>
    <w:basedOn w:val="Normal"/>
    <w:uiPriority w:val="99"/>
    <w:unhideWhenUsed/>
    <w:rsid w:val="00A075AA"/>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26290">
      <w:bodyDiv w:val="1"/>
      <w:marLeft w:val="0"/>
      <w:marRight w:val="0"/>
      <w:marTop w:val="0"/>
      <w:marBottom w:val="0"/>
      <w:divBdr>
        <w:top w:val="none" w:sz="0" w:space="0" w:color="auto"/>
        <w:left w:val="none" w:sz="0" w:space="0" w:color="auto"/>
        <w:bottom w:val="none" w:sz="0" w:space="0" w:color="auto"/>
        <w:right w:val="none" w:sz="0" w:space="0" w:color="auto"/>
      </w:divBdr>
    </w:div>
    <w:div w:id="919486809">
      <w:bodyDiv w:val="1"/>
      <w:marLeft w:val="0"/>
      <w:marRight w:val="0"/>
      <w:marTop w:val="0"/>
      <w:marBottom w:val="0"/>
      <w:divBdr>
        <w:top w:val="none" w:sz="0" w:space="0" w:color="auto"/>
        <w:left w:val="none" w:sz="0" w:space="0" w:color="auto"/>
        <w:bottom w:val="none" w:sz="0" w:space="0" w:color="auto"/>
        <w:right w:val="none" w:sz="0" w:space="0" w:color="auto"/>
      </w:divBdr>
    </w:div>
    <w:div w:id="1293099800">
      <w:bodyDiv w:val="1"/>
      <w:marLeft w:val="0"/>
      <w:marRight w:val="0"/>
      <w:marTop w:val="0"/>
      <w:marBottom w:val="0"/>
      <w:divBdr>
        <w:top w:val="none" w:sz="0" w:space="0" w:color="auto"/>
        <w:left w:val="none" w:sz="0" w:space="0" w:color="auto"/>
        <w:bottom w:val="none" w:sz="0" w:space="0" w:color="auto"/>
        <w:right w:val="none" w:sz="0" w:space="0" w:color="auto"/>
      </w:divBdr>
    </w:div>
    <w:div w:id="20291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dcarequality.gov.au/" TargetMode="External"/><Relationship Id="rId18" Type="http://schemas.openxmlformats.org/officeDocument/2006/relationships/hyperlink" Target="https://www.legislation.gov.au/Series/C2004A05206" TargetMode="External"/><Relationship Id="rId26" Type="http://schemas.openxmlformats.org/officeDocument/2006/relationships/hyperlink" Target="https://www.legislation.gov.au/Series/F2014L00831" TargetMode="External"/><Relationship Id="rId3" Type="http://schemas.openxmlformats.org/officeDocument/2006/relationships/customXml" Target="../customXml/item3.xml"/><Relationship Id="rId21" Type="http://schemas.openxmlformats.org/officeDocument/2006/relationships/hyperlink" Target="https://agedcare.health.gov.au/funding/becoming-an-approved-provider"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agedcare.health.gov.au/quality/aged-care-quality-standards" TargetMode="External"/><Relationship Id="rId17" Type="http://schemas.openxmlformats.org/officeDocument/2006/relationships/hyperlink" Target="https://www.legislation.gov.au/Series/F2014L00810" TargetMode="External"/><Relationship Id="rId25" Type="http://schemas.openxmlformats.org/officeDocument/2006/relationships/hyperlink" Target="https://www.legislation.gov.au/Series/C2004A05206" TargetMode="External"/><Relationship Id="rId2" Type="http://schemas.openxmlformats.org/officeDocument/2006/relationships/customXml" Target="../customXml/item2.xml"/><Relationship Id="rId16" Type="http://schemas.openxmlformats.org/officeDocument/2006/relationships/hyperlink" Target="https://www.legislation.gov.au/Details/F2019L00511" TargetMode="External"/><Relationship Id="rId20" Type="http://schemas.openxmlformats.org/officeDocument/2006/relationships/hyperlink" Target="https://agedcare.health.gov.au/quality/aged-care-quality-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edcare.health.gov.au/quality/single-charter-of-aged-care-rights" TargetMode="External"/><Relationship Id="rId24" Type="http://schemas.openxmlformats.org/officeDocument/2006/relationships/hyperlink" Target="https://www.agedcarequality.gov.au/resources/open-disclosure" TargetMode="External"/><Relationship Id="rId5" Type="http://schemas.openxmlformats.org/officeDocument/2006/relationships/numbering" Target="numbering.xml"/><Relationship Id="rId15" Type="http://schemas.openxmlformats.org/officeDocument/2006/relationships/hyperlink" Target="http://www7.austlii.edu.au/cgi-bin/viewdb/au/legis/vic/consol_act/fvpa2008283/" TargetMode="External"/><Relationship Id="rId23" Type="http://schemas.openxmlformats.org/officeDocument/2006/relationships/hyperlink" Target="https://www.ndis.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edcare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5206" TargetMode="External"/><Relationship Id="rId22" Type="http://schemas.openxmlformats.org/officeDocument/2006/relationships/hyperlink" Target="https://www.ombo.nsw.gov.au/what-we-do/our-work/community-services/part-3c-reportable-incident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2.cent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1849-4DF8-4AD2-8BF3-E6C66BB6D89C}">
  <ds:schemaRefs>
    <ds:schemaRef ds:uri="CF9931B6-DEB0-461C-AE35-6B4AA476256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40D113-BDF3-4614-B8AF-48044D6558D4}">
  <ds:schemaRefs>
    <ds:schemaRef ds:uri="http://schemas.microsoft.com/sharepoint/v3/contenttype/forms"/>
  </ds:schemaRefs>
</ds:datastoreItem>
</file>

<file path=customXml/itemProps3.xml><?xml version="1.0" encoding="utf-8"?>
<ds:datastoreItem xmlns:ds="http://schemas.openxmlformats.org/officeDocument/2006/customXml" ds:itemID="{3F2908F7-6B76-4F23-9790-9C84301DD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8F458-B5C2-400A-9085-FB830938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Serious Incident Response Scheme for Commonwealth funded residential aged care</vt:lpstr>
    </vt:vector>
  </TitlesOfParts>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Incident Response Scheme for Commonwealth funded residential aged care - Model for Implementatio</dc:title>
  <dc:subject>Aged care</dc:subject>
  <dc:creator/>
  <cp:keywords>funding; residential aged care; Aged care</cp:keywords>
  <cp:lastModifiedBy/>
  <cp:revision>1</cp:revision>
  <dcterms:created xsi:type="dcterms:W3CDTF">2020-10-30T00:35:00Z</dcterms:created>
  <dcterms:modified xsi:type="dcterms:W3CDTF">2020-10-30T00:35:00Z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