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3D" w:rsidRPr="006C516E" w:rsidRDefault="009F313D" w:rsidP="009F313D">
      <w:pPr>
        <w:rPr>
          <w:rFonts w:ascii="Arial" w:hAnsi="Arial" w:cs="Arial"/>
        </w:rPr>
      </w:pPr>
      <w:r w:rsidRPr="006C516E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 wp14:anchorId="4949AEFC" wp14:editId="2ACAD916">
            <wp:extent cx="1688400" cy="1119600"/>
            <wp:effectExtent l="0" t="0" r="7620" b="4445"/>
            <wp:docPr id="10" name="Picture 10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13D" w:rsidRPr="009F313D" w:rsidRDefault="009F313D" w:rsidP="009F313D">
      <w:pPr>
        <w:pStyle w:val="Title"/>
        <w:spacing w:before="1920"/>
        <w:contextualSpacing w:val="0"/>
        <w:jc w:val="center"/>
        <w:rPr>
          <w:rFonts w:cs="Arial"/>
          <w:b/>
          <w:sz w:val="48"/>
          <w:szCs w:val="48"/>
        </w:rPr>
      </w:pPr>
      <w:r w:rsidRPr="009F313D">
        <w:rPr>
          <w:rFonts w:cs="Arial"/>
          <w:b/>
          <w:sz w:val="48"/>
          <w:szCs w:val="48"/>
        </w:rPr>
        <w:t>Report on the trial of the Australian National Aged Care Classification (AN-ACC)</w:t>
      </w:r>
    </w:p>
    <w:p w:rsidR="009F313D" w:rsidRPr="006C516E" w:rsidRDefault="009F313D" w:rsidP="009F313D">
      <w:pPr>
        <w:pStyle w:val="Title"/>
        <w:spacing w:before="720"/>
        <w:contextualSpacing w:val="0"/>
        <w:jc w:val="center"/>
        <w:rPr>
          <w:rFonts w:cs="Arial"/>
          <w:sz w:val="48"/>
          <w:szCs w:val="48"/>
        </w:rPr>
      </w:pPr>
    </w:p>
    <w:p w:rsidR="009F313D" w:rsidRPr="00404FD8" w:rsidRDefault="009F313D" w:rsidP="009F313D">
      <w:pPr>
        <w:pStyle w:val="Subtitle"/>
        <w:jc w:val="center"/>
        <w:rPr>
          <w:rFonts w:ascii="Arial" w:hAnsi="Arial" w:cs="Arial"/>
          <w:sz w:val="36"/>
          <w:szCs w:val="36"/>
        </w:rPr>
      </w:pPr>
      <w:r w:rsidRPr="00404FD8">
        <w:rPr>
          <w:rFonts w:ascii="Arial" w:hAnsi="Arial" w:cs="Arial"/>
          <w:sz w:val="36"/>
          <w:szCs w:val="36"/>
        </w:rPr>
        <w:t>August 2020</w:t>
      </w:r>
    </w:p>
    <w:p w:rsidR="009F313D" w:rsidRPr="006C516E" w:rsidRDefault="009F313D" w:rsidP="009F313D">
      <w:pPr>
        <w:rPr>
          <w:rFonts w:ascii="Arial" w:hAnsi="Arial" w:cs="Arial"/>
        </w:rPr>
      </w:pPr>
      <w:r w:rsidRPr="006C516E">
        <w:rPr>
          <w:rFonts w:ascii="Arial" w:hAnsi="Arial" w:cs="Arial"/>
        </w:rPr>
        <w:br w:type="page"/>
      </w:r>
    </w:p>
    <w:p w:rsidR="001D41EC" w:rsidRDefault="0081276D" w:rsidP="001E4284">
      <w:pPr>
        <w:pStyle w:val="Heading1"/>
      </w:pPr>
      <w:r>
        <w:lastRenderedPageBreak/>
        <w:t xml:space="preserve">Report on the trial of the </w:t>
      </w:r>
      <w:r w:rsidR="001552CC" w:rsidRPr="00650510">
        <w:t>Australian National Aged Care Classification</w:t>
      </w:r>
    </w:p>
    <w:p w:rsidR="00AC25BD" w:rsidRDefault="00AC25BD" w:rsidP="00AC25BD">
      <w:pPr>
        <w:pStyle w:val="Heading2"/>
      </w:pPr>
      <w:r>
        <w:t>Overview</w:t>
      </w:r>
    </w:p>
    <w:p w:rsidR="00FC36D5" w:rsidRDefault="00A85302">
      <w:r>
        <w:t>On 10 February 2019, the Prime Minister announced a $4.6 million trial of the Australian National Aged Care Classification (AN-ACC) assessment mode</w:t>
      </w:r>
      <w:r w:rsidR="00FC6ACE">
        <w:t>l</w:t>
      </w:r>
      <w:r w:rsidR="003429F9">
        <w:t>.</w:t>
      </w:r>
      <w:r w:rsidR="00CE0C1C">
        <w:rPr>
          <w:rStyle w:val="FootnoteReference"/>
        </w:rPr>
        <w:footnoteReference w:id="1"/>
      </w:r>
      <w:r w:rsidR="00FC36D5">
        <w:t xml:space="preserve"> The purpose of the trial was </w:t>
      </w:r>
    </w:p>
    <w:p w:rsidR="00FC36D5" w:rsidRPr="00FC36D5" w:rsidRDefault="00FC36D5" w:rsidP="00FC36D5">
      <w:pPr>
        <w:pStyle w:val="ListParagraph"/>
        <w:numPr>
          <w:ilvl w:val="0"/>
          <w:numId w:val="38"/>
        </w:numPr>
        <w:rPr>
          <w:rFonts w:cs="Arial"/>
          <w:lang w:eastAsia="en-AU"/>
        </w:rPr>
      </w:pPr>
      <w:r w:rsidRPr="00FC36D5">
        <w:rPr>
          <w:rFonts w:cs="Arial"/>
          <w:lang w:eastAsia="en-AU"/>
        </w:rPr>
        <w:t>Collect data to validate the expected distribution of care recipient classifications under the AN-ACC, as compared to the findings of the Resource Utilisation and Classification Study (RUCS).</w:t>
      </w:r>
    </w:p>
    <w:p w:rsidR="00435982" w:rsidRDefault="00FC36D5" w:rsidP="00FC36D5">
      <w:pPr>
        <w:pStyle w:val="ListParagraph"/>
        <w:numPr>
          <w:ilvl w:val="0"/>
          <w:numId w:val="38"/>
        </w:numPr>
      </w:pPr>
      <w:r>
        <w:t>F</w:t>
      </w:r>
      <w:r w:rsidR="00A85302" w:rsidRPr="00C1307F">
        <w:t>ield test</w:t>
      </w:r>
      <w:r w:rsidR="00A85302">
        <w:t xml:space="preserve"> </w:t>
      </w:r>
      <w:r w:rsidR="00402FD9">
        <w:t xml:space="preserve">the </w:t>
      </w:r>
      <w:r w:rsidR="001601D3">
        <w:t xml:space="preserve">performance of: </w:t>
      </w:r>
    </w:p>
    <w:p w:rsidR="00435982" w:rsidRDefault="00197239" w:rsidP="00FC36D5">
      <w:pPr>
        <w:pStyle w:val="ListParagraph"/>
        <w:numPr>
          <w:ilvl w:val="0"/>
          <w:numId w:val="39"/>
        </w:numPr>
      </w:pPr>
      <w:r>
        <w:t xml:space="preserve">the </w:t>
      </w:r>
      <w:r w:rsidRPr="00FC36D5">
        <w:rPr>
          <w:b/>
        </w:rPr>
        <w:t>AN-ACC</w:t>
      </w:r>
      <w:r w:rsidR="00A85302" w:rsidRPr="00FC36D5">
        <w:rPr>
          <w:b/>
        </w:rPr>
        <w:t xml:space="preserve"> assessment tool</w:t>
      </w:r>
      <w:r w:rsidR="00435982">
        <w:t xml:space="preserve">, which when administered produces </w:t>
      </w:r>
      <w:r w:rsidR="00A6287E">
        <w:t xml:space="preserve">residential aged </w:t>
      </w:r>
      <w:r w:rsidR="00435982">
        <w:t xml:space="preserve">care recipient functional status data required to </w:t>
      </w:r>
      <w:r w:rsidR="00C1307F">
        <w:t>calculate AN-ACC classification levels</w:t>
      </w:r>
      <w:r w:rsidR="002246AD">
        <w:t xml:space="preserve"> for individuals</w:t>
      </w:r>
      <w:r w:rsidR="00CE6890">
        <w:t>;</w:t>
      </w:r>
    </w:p>
    <w:p w:rsidR="00435982" w:rsidRDefault="00A85302" w:rsidP="00FC36D5">
      <w:pPr>
        <w:pStyle w:val="ListParagraph"/>
        <w:numPr>
          <w:ilvl w:val="0"/>
          <w:numId w:val="39"/>
        </w:numPr>
      </w:pPr>
      <w:r w:rsidRPr="00FC36D5">
        <w:rPr>
          <w:b/>
        </w:rPr>
        <w:t xml:space="preserve">an independent assessment </w:t>
      </w:r>
      <w:r w:rsidR="005C6D53" w:rsidRPr="00FC36D5">
        <w:rPr>
          <w:b/>
        </w:rPr>
        <w:t>workforce</w:t>
      </w:r>
      <w:r w:rsidR="005C6D53">
        <w:t xml:space="preserve"> </w:t>
      </w:r>
      <w:r w:rsidR="00856931">
        <w:t xml:space="preserve">trained </w:t>
      </w:r>
      <w:r w:rsidR="005C6D53">
        <w:t>to administer the t</w:t>
      </w:r>
      <w:r w:rsidR="00856931">
        <w:t>ool</w:t>
      </w:r>
      <w:r w:rsidR="00CE6890">
        <w:t>;</w:t>
      </w:r>
      <w:r w:rsidR="00435982">
        <w:t xml:space="preserve"> and</w:t>
      </w:r>
    </w:p>
    <w:p w:rsidR="00DC4B1F" w:rsidRDefault="00FC36D5" w:rsidP="00FC36D5">
      <w:pPr>
        <w:pStyle w:val="ListParagraph"/>
        <w:numPr>
          <w:ilvl w:val="0"/>
          <w:numId w:val="39"/>
        </w:numPr>
      </w:pPr>
      <w:r>
        <w:t xml:space="preserve">the </w:t>
      </w:r>
      <w:r w:rsidRPr="0060472A">
        <w:rPr>
          <w:b/>
        </w:rPr>
        <w:t>t</w:t>
      </w:r>
      <w:r>
        <w:rPr>
          <w:b/>
        </w:rPr>
        <w:t>raining,</w:t>
      </w:r>
      <w:r w:rsidRPr="0060472A">
        <w:rPr>
          <w:b/>
        </w:rPr>
        <w:t xml:space="preserve"> clinical </w:t>
      </w:r>
      <w:r>
        <w:rPr>
          <w:b/>
        </w:rPr>
        <w:t xml:space="preserve">and IT </w:t>
      </w:r>
      <w:r w:rsidRPr="0060472A">
        <w:rPr>
          <w:b/>
        </w:rPr>
        <w:t>supports</w:t>
      </w:r>
      <w:r>
        <w:t xml:space="preserve"> developed to equip assessors undertake assessments</w:t>
      </w:r>
      <w:r w:rsidR="001601D3">
        <w:t>.</w:t>
      </w:r>
    </w:p>
    <w:p w:rsidR="004E4C26" w:rsidRDefault="00A85302" w:rsidP="00FC36D5">
      <w:r>
        <w:t xml:space="preserve">The trial </w:t>
      </w:r>
      <w:r w:rsidR="006F4255">
        <w:t>wa</w:t>
      </w:r>
      <w:r w:rsidR="00BA165F">
        <w:t xml:space="preserve">s </w:t>
      </w:r>
      <w:r>
        <w:t xml:space="preserve">to be completed </w:t>
      </w:r>
      <w:r w:rsidR="008A4F4D">
        <w:t xml:space="preserve">by </w:t>
      </w:r>
      <w:r>
        <w:t>30 June 2020</w:t>
      </w:r>
      <w:r w:rsidR="00DC4B1F">
        <w:t>,</w:t>
      </w:r>
      <w:r w:rsidR="001E4284">
        <w:t xml:space="preserve"> and to involve the assessment of up to 12,000 residents of voluntarily </w:t>
      </w:r>
      <w:r>
        <w:t xml:space="preserve">participating residential aged care homes </w:t>
      </w:r>
      <w:r w:rsidR="008A4F4D">
        <w:t xml:space="preserve">across all states and the mainland territories and </w:t>
      </w:r>
      <w:r>
        <w:t xml:space="preserve">all Modified Monash </w:t>
      </w:r>
      <w:r w:rsidR="004E4C26">
        <w:t>Model</w:t>
      </w:r>
      <w:r w:rsidR="00CE6890">
        <w:t xml:space="preserve"> (MMM)</w:t>
      </w:r>
      <w:r w:rsidR="004E4C26">
        <w:t xml:space="preserve"> </w:t>
      </w:r>
      <w:r w:rsidR="00CE6890">
        <w:t>categories</w:t>
      </w:r>
      <w:r w:rsidR="004E4C26">
        <w:t xml:space="preserve"> (that is, from inner metropolitan to very remote locations)</w:t>
      </w:r>
      <w:r>
        <w:t>.</w:t>
      </w:r>
      <w:r w:rsidR="006F4255">
        <w:t xml:space="preserve"> </w:t>
      </w:r>
    </w:p>
    <w:p w:rsidR="00AC25BD" w:rsidRDefault="00AC25BD" w:rsidP="00AC25BD">
      <w:r>
        <w:t>The impact of the COVID-19 pandemic, which included restricting non-essential access to aged care homes, led to resident assessmen</w:t>
      </w:r>
      <w:r w:rsidR="00402FD9">
        <w:t xml:space="preserve">ts ceasing in early April 2020, at which point </w:t>
      </w:r>
      <w:r w:rsidRPr="006F4255">
        <w:rPr>
          <w:b/>
        </w:rPr>
        <w:t>7387</w:t>
      </w:r>
      <w:r>
        <w:t xml:space="preserve"> AN-ACC assessments were completed (</w:t>
      </w:r>
      <w:r w:rsidRPr="00790D4B">
        <w:rPr>
          <w:b/>
        </w:rPr>
        <w:t>7276</w:t>
      </w:r>
      <w:r>
        <w:t xml:space="preserve"> permanent residents, </w:t>
      </w:r>
      <w:r w:rsidRPr="00790D4B">
        <w:rPr>
          <w:b/>
        </w:rPr>
        <w:t>111</w:t>
      </w:r>
      <w:r>
        <w:t xml:space="preserve"> respite residents), across </w:t>
      </w:r>
      <w:r w:rsidRPr="001D41EC">
        <w:rPr>
          <w:b/>
        </w:rPr>
        <w:t xml:space="preserve">122 </w:t>
      </w:r>
      <w:r w:rsidR="00CF6F83">
        <w:t>homes</w:t>
      </w:r>
      <w:r>
        <w:t xml:space="preserve">. </w:t>
      </w:r>
    </w:p>
    <w:p w:rsidR="00B77602" w:rsidRDefault="008B39F7" w:rsidP="00B77602">
      <w:pPr>
        <w:pStyle w:val="Heading2"/>
      </w:pPr>
      <w:r>
        <w:t>E</w:t>
      </w:r>
      <w:r w:rsidR="00B77602">
        <w:t>thics approval</w:t>
      </w:r>
    </w:p>
    <w:p w:rsidR="00651043" w:rsidRDefault="00495B07" w:rsidP="00AC25BD">
      <w:r>
        <w:t>As the trial involved the assessment of aged care residents, and the collection of personal information</w:t>
      </w:r>
      <w:r w:rsidR="003429F9">
        <w:t>,</w:t>
      </w:r>
      <w:r>
        <w:t xml:space="preserve"> the Department of Health sought ethics approval for the project from the Australian Institute of Health and Welfare Ethics Committee.  This</w:t>
      </w:r>
      <w:r w:rsidR="00DE614B">
        <w:t xml:space="preserve"> ethics</w:t>
      </w:r>
      <w:r w:rsidR="00FC6ACE">
        <w:t xml:space="preserve"> approval was granted on 18</w:t>
      </w:r>
      <w:r w:rsidR="003429F9">
        <w:t> </w:t>
      </w:r>
      <w:r w:rsidR="00FC6ACE">
        <w:t>September</w:t>
      </w:r>
      <w:r>
        <w:t xml:space="preserve"> 2019.</w:t>
      </w:r>
    </w:p>
    <w:p w:rsidR="001E4284" w:rsidRDefault="00123D24" w:rsidP="001E4284">
      <w:pPr>
        <w:pStyle w:val="Heading2"/>
      </w:pPr>
      <w:r>
        <w:t xml:space="preserve">Procurement of </w:t>
      </w:r>
      <w:r w:rsidR="00AC25BD">
        <w:t>a</w:t>
      </w:r>
      <w:r w:rsidR="001E4284">
        <w:t>ssessment management organisations</w:t>
      </w:r>
    </w:p>
    <w:p w:rsidR="00B77602" w:rsidRDefault="001E4284" w:rsidP="00B34D4B">
      <w:r>
        <w:rPr>
          <w:bCs/>
        </w:rPr>
        <w:t>A</w:t>
      </w:r>
      <w:r w:rsidR="00B20125">
        <w:rPr>
          <w:bCs/>
        </w:rPr>
        <w:t>n open tender process</w:t>
      </w:r>
      <w:r>
        <w:rPr>
          <w:bCs/>
        </w:rPr>
        <w:t xml:space="preserve"> was conducted </w:t>
      </w:r>
      <w:r w:rsidR="00B77602">
        <w:rPr>
          <w:bCs/>
        </w:rPr>
        <w:t>to procure</w:t>
      </w:r>
      <w:r w:rsidR="00495B07">
        <w:rPr>
          <w:bCs/>
        </w:rPr>
        <w:t xml:space="preserve"> </w:t>
      </w:r>
      <w:r w:rsidR="00CE6890">
        <w:t>a</w:t>
      </w:r>
      <w:r w:rsidR="00123D24">
        <w:t xml:space="preserve"> </w:t>
      </w:r>
      <w:r w:rsidR="00B77602">
        <w:t xml:space="preserve">suitably qualified </w:t>
      </w:r>
      <w:r w:rsidR="00B34D4B">
        <w:t xml:space="preserve">and experienced workforce of </w:t>
      </w:r>
      <w:r w:rsidR="00B77602">
        <w:t>Registered Nurses, Occupational Therapists and Physiotherapists</w:t>
      </w:r>
      <w:r w:rsidR="000B5857">
        <w:t xml:space="preserve"> to undertake AN-ACC assessments</w:t>
      </w:r>
      <w:r w:rsidR="00B77602">
        <w:t xml:space="preserve">. </w:t>
      </w:r>
    </w:p>
    <w:p w:rsidR="00B20125" w:rsidRDefault="00B34D4B" w:rsidP="00B20125">
      <w:r>
        <w:rPr>
          <w:bCs/>
        </w:rPr>
        <w:t>F</w:t>
      </w:r>
      <w:r w:rsidR="00B20125" w:rsidRPr="00B20125">
        <w:rPr>
          <w:bCs/>
        </w:rPr>
        <w:t>our</w:t>
      </w:r>
      <w:r w:rsidR="00B20125">
        <w:rPr>
          <w:b/>
          <w:bCs/>
        </w:rPr>
        <w:t xml:space="preserve"> </w:t>
      </w:r>
      <w:r w:rsidR="00B20125">
        <w:t xml:space="preserve">assessment management organisations were contracted: </w:t>
      </w:r>
    </w:p>
    <w:p w:rsidR="00B20125" w:rsidRDefault="00B20125" w:rsidP="00B20125">
      <w:pPr>
        <w:pStyle w:val="ListParagraph"/>
        <w:numPr>
          <w:ilvl w:val="0"/>
          <w:numId w:val="30"/>
        </w:numPr>
      </w:pPr>
      <w:r>
        <w:t>Access Care Network Australia;</w:t>
      </w:r>
    </w:p>
    <w:p w:rsidR="00B20125" w:rsidRDefault="00B20125" w:rsidP="00B20125">
      <w:pPr>
        <w:pStyle w:val="ListParagraph"/>
        <w:numPr>
          <w:ilvl w:val="0"/>
          <w:numId w:val="30"/>
        </w:numPr>
      </w:pPr>
      <w:r>
        <w:t>Aspire4Life;</w:t>
      </w:r>
    </w:p>
    <w:p w:rsidR="00B20125" w:rsidRDefault="00B20125" w:rsidP="00B20125">
      <w:pPr>
        <w:pStyle w:val="ListParagraph"/>
        <w:numPr>
          <w:ilvl w:val="0"/>
          <w:numId w:val="30"/>
        </w:numPr>
      </w:pPr>
      <w:r>
        <w:t>Care Tasmania;</w:t>
      </w:r>
      <w:r w:rsidR="003429F9">
        <w:t xml:space="preserve"> and</w:t>
      </w:r>
    </w:p>
    <w:p w:rsidR="00B20125" w:rsidRDefault="00B20125" w:rsidP="00B20125">
      <w:pPr>
        <w:pStyle w:val="ListParagraph"/>
        <w:numPr>
          <w:ilvl w:val="0"/>
          <w:numId w:val="30"/>
        </w:numPr>
      </w:pPr>
      <w:r>
        <w:t>HealthCare Australia</w:t>
      </w:r>
      <w:r w:rsidR="003429F9">
        <w:t>.</w:t>
      </w:r>
    </w:p>
    <w:p w:rsidR="00B34D4B" w:rsidRDefault="00FC36D5">
      <w:r w:rsidRPr="00FC36D5">
        <w:t>Sixty</w:t>
      </w:r>
      <w:r w:rsidR="00B20125">
        <w:t xml:space="preserve"> assessors</w:t>
      </w:r>
      <w:r w:rsidR="00B34D4B">
        <w:t xml:space="preserve"> from these organisations were </w:t>
      </w:r>
      <w:r w:rsidR="002359D4">
        <w:t>trained</w:t>
      </w:r>
      <w:r w:rsidR="00B34D4B">
        <w:t xml:space="preserve"> to undertake AN-ACC </w:t>
      </w:r>
      <w:r w:rsidR="000B5857">
        <w:t>assessments including</w:t>
      </w:r>
      <w:r w:rsidR="00B34D4B">
        <w:t>:</w:t>
      </w:r>
    </w:p>
    <w:p w:rsidR="00B34D4B" w:rsidRDefault="00B34D4B" w:rsidP="00B34D4B">
      <w:pPr>
        <w:pStyle w:val="ListParagraph"/>
        <w:numPr>
          <w:ilvl w:val="0"/>
          <w:numId w:val="35"/>
        </w:numPr>
      </w:pPr>
      <w:r>
        <w:t>40 Registered Nurses;</w:t>
      </w:r>
    </w:p>
    <w:p w:rsidR="008B39F7" w:rsidRDefault="00B20125" w:rsidP="00B34D4B">
      <w:pPr>
        <w:pStyle w:val="ListParagraph"/>
        <w:numPr>
          <w:ilvl w:val="0"/>
          <w:numId w:val="35"/>
        </w:numPr>
      </w:pPr>
      <w:r>
        <w:t>11 Occupational Therapists</w:t>
      </w:r>
      <w:r w:rsidR="00B34D4B">
        <w:t>;</w:t>
      </w:r>
      <w:r>
        <w:t xml:space="preserve"> and </w:t>
      </w:r>
    </w:p>
    <w:p w:rsidR="00B34D4B" w:rsidRDefault="00B20125" w:rsidP="00B34D4B">
      <w:pPr>
        <w:pStyle w:val="ListParagraph"/>
        <w:numPr>
          <w:ilvl w:val="0"/>
          <w:numId w:val="35"/>
        </w:numPr>
      </w:pPr>
      <w:r>
        <w:t>9 Physiotherapists</w:t>
      </w:r>
      <w:r w:rsidR="008B39F7">
        <w:t>.</w:t>
      </w:r>
    </w:p>
    <w:p w:rsidR="008B39F7" w:rsidRDefault="008B39F7" w:rsidP="008B39F7">
      <w:pPr>
        <w:pStyle w:val="Heading2"/>
      </w:pPr>
      <w:r>
        <w:lastRenderedPageBreak/>
        <w:t>Assessor training</w:t>
      </w:r>
    </w:p>
    <w:p w:rsidR="008B39F7" w:rsidRDefault="008B39F7" w:rsidP="008B39F7">
      <w:r>
        <w:t>Assessors were required to undertake training in, and pass a mandatory test on, using the AN</w:t>
      </w:r>
      <w:r>
        <w:noBreakHyphen/>
        <w:t xml:space="preserve">ACC tool prior to undertaking any assessments. </w:t>
      </w:r>
    </w:p>
    <w:p w:rsidR="008B39F7" w:rsidRDefault="008B39F7" w:rsidP="000B5857">
      <w:r>
        <w:t xml:space="preserve">Training involved pre-reading (about the </w:t>
      </w:r>
      <w:r w:rsidR="002359D4">
        <w:t>RUCS)</w:t>
      </w:r>
      <w:r w:rsidR="0034665E">
        <w:t xml:space="preserve"> </w:t>
      </w:r>
      <w:r w:rsidR="00402FD9">
        <w:t xml:space="preserve">and </w:t>
      </w:r>
      <w:r>
        <w:t>attendance at a two-day,</w:t>
      </w:r>
      <w:r w:rsidR="000B5857">
        <w:t xml:space="preserve"> face-to-face training session delivered by the</w:t>
      </w:r>
      <w:r>
        <w:t xml:space="preserve"> </w:t>
      </w:r>
      <w:r w:rsidR="0034665E">
        <w:t>Australian Health Services Research Institute</w:t>
      </w:r>
      <w:r w:rsidR="000B5857">
        <w:t xml:space="preserve"> and the Department.</w:t>
      </w:r>
    </w:p>
    <w:p w:rsidR="002359D4" w:rsidRDefault="008B39F7" w:rsidP="008B39F7">
      <w:pPr>
        <w:spacing w:before="120"/>
      </w:pPr>
      <w:r>
        <w:t xml:space="preserve">During training all assessors received a hard copy reference manual for subsequent field use, containing guidance about how to apply each assessment instrument and basic IT ‘help’. </w:t>
      </w:r>
    </w:p>
    <w:p w:rsidR="00AC25BD" w:rsidRDefault="00AC25BD" w:rsidP="00AC25BD">
      <w:pPr>
        <w:pStyle w:val="Heading2"/>
      </w:pPr>
      <w:r>
        <w:t>Recruitment</w:t>
      </w:r>
      <w:r w:rsidR="00E54B7A">
        <w:t xml:space="preserve"> and profile</w:t>
      </w:r>
      <w:r>
        <w:t xml:space="preserve"> of participating aged care homes</w:t>
      </w:r>
    </w:p>
    <w:p w:rsidR="00AC25BD" w:rsidRDefault="00AC25BD" w:rsidP="00AC25BD">
      <w:r>
        <w:t>The Department was responsible for recruiting aged care homes to take part in the trial</w:t>
      </w:r>
      <w:r w:rsidR="002359D4">
        <w:t>. In doing this the Department sought to</w:t>
      </w:r>
      <w:r>
        <w:t xml:space="preserve"> achieve a mix broadly representative of the sector. Residential aged care providers representing approximately 70,000 of the </w:t>
      </w:r>
      <w:r w:rsidR="00342170" w:rsidRPr="00342170">
        <w:t xml:space="preserve">213,397 </w:t>
      </w:r>
      <w:r>
        <w:t>residential aged care places expressed interest to be involved with the trial.</w:t>
      </w:r>
      <w:bookmarkStart w:id="0" w:name="_GoBack"/>
      <w:bookmarkEnd w:id="0"/>
    </w:p>
    <w:p w:rsidR="00AC25BD" w:rsidRDefault="00CE6890" w:rsidP="00CE6890">
      <w:r>
        <w:t>A</w:t>
      </w:r>
      <w:r w:rsidRPr="00342170">
        <w:t>round</w:t>
      </w:r>
      <w:r w:rsidR="00AC25BD" w:rsidRPr="00342170">
        <w:t xml:space="preserve"> 170 homes</w:t>
      </w:r>
      <w:r w:rsidR="00AC25BD">
        <w:t xml:space="preserve"> were selected and agreed to participate. Due to </w:t>
      </w:r>
      <w:r w:rsidR="000B5857">
        <w:t xml:space="preserve">suspension of the trial due to the </w:t>
      </w:r>
      <w:r>
        <w:t xml:space="preserve">COVID-19 </w:t>
      </w:r>
      <w:r w:rsidR="00AC25BD">
        <w:t>pandemic, assessments were</w:t>
      </w:r>
      <w:r>
        <w:t xml:space="preserve"> </w:t>
      </w:r>
      <w:r w:rsidR="00AC25BD">
        <w:t xml:space="preserve">completed in </w:t>
      </w:r>
      <w:r w:rsidR="00AC25BD" w:rsidRPr="00DE614B">
        <w:rPr>
          <w:b/>
        </w:rPr>
        <w:t>122</w:t>
      </w:r>
      <w:r w:rsidR="00AC25BD">
        <w:t xml:space="preserve"> homes.</w:t>
      </w:r>
      <w:r>
        <w:t xml:space="preserve"> See tables 1 and 2 for a profile of these 122 homes.</w:t>
      </w:r>
    </w:p>
    <w:p w:rsidR="00AC25BD" w:rsidRPr="00055743" w:rsidRDefault="00AC25BD" w:rsidP="00AC25BD">
      <w:pPr>
        <w:keepNext/>
        <w:rPr>
          <w:rStyle w:val="Strong"/>
        </w:rPr>
      </w:pPr>
      <w:r>
        <w:rPr>
          <w:rStyle w:val="Strong"/>
        </w:rPr>
        <w:t>Table 1: Number of homes that participated in the</w:t>
      </w:r>
      <w:r w:rsidRPr="00055743">
        <w:rPr>
          <w:rStyle w:val="Strong"/>
        </w:rPr>
        <w:t xml:space="preserve"> trial by jurisdiction and ownership type</w:t>
      </w:r>
    </w:p>
    <w:tbl>
      <w:tblPr>
        <w:tblW w:w="9134" w:type="dxa"/>
        <w:tblInd w:w="-10" w:type="dxa"/>
        <w:tblLook w:val="04A0" w:firstRow="1" w:lastRow="0" w:firstColumn="1" w:lastColumn="0" w:noHBand="0" w:noVBand="1"/>
      </w:tblPr>
      <w:tblGrid>
        <w:gridCol w:w="1826"/>
        <w:gridCol w:w="1827"/>
        <w:gridCol w:w="1827"/>
        <w:gridCol w:w="1827"/>
        <w:gridCol w:w="1827"/>
      </w:tblGrid>
      <w:tr w:rsidR="00AC25BD" w:rsidRPr="00651043" w:rsidTr="00CE75EA">
        <w:trPr>
          <w:cantSplit/>
          <w:trHeight w:val="6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State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FFFFFF" w:themeFill="background1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Private-for-profit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FFFFFF" w:themeFill="background1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Not-for-profit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FFFFFF" w:themeFill="background1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Government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FFFFFF" w:themeFill="background1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Total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n-AU"/>
              </w:rPr>
              <w:t>4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n-AU"/>
              </w:rPr>
              <w:t>34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NT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20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AC25BD" w:rsidRPr="00651043" w:rsidTr="00CE75EA">
        <w:trPr>
          <w:cantSplit/>
          <w:trHeight w:val="315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n-AU"/>
              </w:rPr>
              <w:t>122</w:t>
            </w:r>
          </w:p>
        </w:tc>
      </w:tr>
    </w:tbl>
    <w:p w:rsidR="00D668DF" w:rsidRDefault="00D668DF" w:rsidP="00D668DF">
      <w:pPr>
        <w:spacing w:after="0"/>
        <w:rPr>
          <w:rStyle w:val="Strong"/>
        </w:rPr>
      </w:pPr>
    </w:p>
    <w:p w:rsidR="00AC25BD" w:rsidRPr="00055743" w:rsidRDefault="00AC25BD" w:rsidP="00AC25BD">
      <w:pPr>
        <w:rPr>
          <w:b/>
          <w:bCs/>
        </w:rPr>
      </w:pPr>
      <w:r>
        <w:rPr>
          <w:rStyle w:val="Strong"/>
        </w:rPr>
        <w:t>Table 2</w:t>
      </w:r>
      <w:r w:rsidRPr="00055743">
        <w:rPr>
          <w:rStyle w:val="Strong"/>
        </w:rPr>
        <w:t xml:space="preserve">: Number of </w:t>
      </w:r>
      <w:r>
        <w:rPr>
          <w:rStyle w:val="Strong"/>
        </w:rPr>
        <w:t>homes that participated in the</w:t>
      </w:r>
      <w:r w:rsidRPr="00055743">
        <w:rPr>
          <w:rStyle w:val="Strong"/>
        </w:rPr>
        <w:t xml:space="preserve"> trial by </w:t>
      </w:r>
      <w:r>
        <w:rPr>
          <w:rStyle w:val="Strong"/>
        </w:rPr>
        <w:t xml:space="preserve">MMM </w:t>
      </w:r>
      <w:r w:rsidR="00206E09">
        <w:rPr>
          <w:rStyle w:val="Strong"/>
        </w:rPr>
        <w:t>category</w:t>
      </w:r>
      <w:r>
        <w:rPr>
          <w:rStyle w:val="Strong"/>
        </w:rPr>
        <w:t xml:space="preserve"> </w:t>
      </w:r>
      <w:r w:rsidR="00206E09">
        <w:rPr>
          <w:rStyle w:val="Strong"/>
        </w:rPr>
        <w:t>and</w:t>
      </w:r>
      <w:r w:rsidRPr="00055743">
        <w:rPr>
          <w:rStyle w:val="Strong"/>
        </w:rPr>
        <w:t xml:space="preserve"> ownership type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AC25BD" w:rsidRPr="00DE614B" w:rsidTr="00CE75EA">
        <w:trPr>
          <w:trHeight w:val="6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Modified Monash Model cat</w:t>
            </w:r>
            <w:r w:rsidR="003429F9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e</w:t>
            </w: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gory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Private for profit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Not for profit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Government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</w:tr>
      <w:tr w:rsidR="00AC25BD" w:rsidRPr="00DE614B" w:rsidTr="00CE75EA">
        <w:trPr>
          <w:trHeight w:val="3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82</w:t>
            </w:r>
          </w:p>
        </w:tc>
      </w:tr>
      <w:tr w:rsidR="00AC25BD" w:rsidRPr="00DE614B" w:rsidTr="00CE75EA">
        <w:trPr>
          <w:trHeight w:val="3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AC25BD" w:rsidRPr="00DE614B" w:rsidTr="00CE75EA">
        <w:trPr>
          <w:trHeight w:val="3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AC25BD" w:rsidRPr="00DE614B" w:rsidTr="00CE75EA">
        <w:trPr>
          <w:trHeight w:val="3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AC25BD" w:rsidRPr="00DE614B" w:rsidTr="00CE75EA">
        <w:trPr>
          <w:trHeight w:val="3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AC25BD" w:rsidRPr="00DE614B" w:rsidTr="00CE75EA">
        <w:trPr>
          <w:trHeight w:val="3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AC25BD" w:rsidRPr="00DE614B" w:rsidTr="00CE75EA">
        <w:trPr>
          <w:trHeight w:val="31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5BD" w:rsidRPr="00D668DF" w:rsidRDefault="00AC25BD" w:rsidP="00CE7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</w:pPr>
            <w:r w:rsidRPr="00D668D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</w:tbl>
    <w:p w:rsidR="00AC25BD" w:rsidRDefault="00AC25BD" w:rsidP="00AC25BD">
      <w:pPr>
        <w:pStyle w:val="Heading2"/>
      </w:pPr>
    </w:p>
    <w:p w:rsidR="002359D4" w:rsidRPr="002359D4" w:rsidRDefault="002359D4" w:rsidP="002359D4">
      <w:r>
        <w:t xml:space="preserve">Participating aged care homes were provided a profile of their residents across the 13 AN-ACC </w:t>
      </w:r>
      <w:r w:rsidR="00D668DF">
        <w:t xml:space="preserve">casemix </w:t>
      </w:r>
      <w:r>
        <w:t xml:space="preserve">classes following the completion of assessments at their </w:t>
      </w:r>
      <w:r w:rsidR="00D668DF">
        <w:t>facility</w:t>
      </w:r>
      <w:r>
        <w:t>.</w:t>
      </w:r>
    </w:p>
    <w:p w:rsidR="00AC25BD" w:rsidRDefault="00AC25BD" w:rsidP="00AC25BD">
      <w:pPr>
        <w:pStyle w:val="Heading2"/>
      </w:pPr>
      <w:r>
        <w:lastRenderedPageBreak/>
        <w:t>Summary of trial assessment data</w:t>
      </w:r>
    </w:p>
    <w:p w:rsidR="00E54B7A" w:rsidRDefault="00E54B7A" w:rsidP="00206E09">
      <w:pPr>
        <w:spacing w:after="0"/>
      </w:pPr>
      <w:r w:rsidRPr="006F4255">
        <w:rPr>
          <w:b/>
        </w:rPr>
        <w:t>7387</w:t>
      </w:r>
      <w:r>
        <w:t xml:space="preserve"> AN-ACC assessments were completed, including:</w:t>
      </w:r>
    </w:p>
    <w:p w:rsidR="00E54B7A" w:rsidRDefault="00E54B7A" w:rsidP="00E54B7A">
      <w:pPr>
        <w:pStyle w:val="ListParagraph"/>
        <w:numPr>
          <w:ilvl w:val="0"/>
          <w:numId w:val="36"/>
        </w:numPr>
      </w:pPr>
      <w:r w:rsidRPr="00E54B7A">
        <w:rPr>
          <w:b/>
        </w:rPr>
        <w:t>7276</w:t>
      </w:r>
      <w:r>
        <w:t xml:space="preserve"> permanent residents; and </w:t>
      </w:r>
    </w:p>
    <w:p w:rsidR="00E54B7A" w:rsidRDefault="00E54B7A" w:rsidP="00E54B7A">
      <w:pPr>
        <w:pStyle w:val="ListParagraph"/>
        <w:numPr>
          <w:ilvl w:val="0"/>
          <w:numId w:val="36"/>
        </w:numPr>
      </w:pPr>
      <w:r w:rsidRPr="00E54B7A">
        <w:rPr>
          <w:b/>
        </w:rPr>
        <w:t>111</w:t>
      </w:r>
      <w:r>
        <w:t xml:space="preserve"> respite residents. </w:t>
      </w:r>
    </w:p>
    <w:p w:rsidR="00206E09" w:rsidRDefault="00206E09" w:rsidP="00E54B7A">
      <w:r>
        <w:t>Chart 1 shows the distribution of residents assessed as part of the trial across the 13 AN-ACC classes</w:t>
      </w:r>
      <w:r w:rsidR="00F24402">
        <w:rPr>
          <w:rStyle w:val="FootnoteReference"/>
        </w:rPr>
        <w:footnoteReference w:id="2"/>
      </w:r>
      <w:r>
        <w:t xml:space="preserve">, </w:t>
      </w:r>
      <w:r w:rsidR="00E54B7A">
        <w:t>along with the distribution of residents assessed in Study Three in the</w:t>
      </w:r>
      <w:r w:rsidR="002359D4">
        <w:t xml:space="preserve"> </w:t>
      </w:r>
      <w:r w:rsidR="00E54B7A">
        <w:t>RUCS</w:t>
      </w:r>
      <w:r w:rsidR="003429F9">
        <w:t>.</w:t>
      </w:r>
      <w:r w:rsidR="00E54B7A">
        <w:rPr>
          <w:rStyle w:val="FootnoteReference"/>
        </w:rPr>
        <w:footnoteReference w:id="3"/>
      </w:r>
      <w:r w:rsidR="00E54B7A">
        <w:t xml:space="preserve"> </w:t>
      </w:r>
      <w:r>
        <w:t>No residents were assigned to class 1 in either the RUCS or the trial as this class is for</w:t>
      </w:r>
      <w:r w:rsidR="00583B33">
        <w:t xml:space="preserve"> residents who enter residential care for palliative care, and requires an assessment prior to entry, which was outside the scope of both the RUCS and the trial.</w:t>
      </w:r>
    </w:p>
    <w:p w:rsidR="00E54B7A" w:rsidRPr="00055743" w:rsidRDefault="00E54B7A" w:rsidP="00E54B7A">
      <w:pPr>
        <w:rPr>
          <w:rStyle w:val="Strong"/>
        </w:rPr>
      </w:pPr>
      <w:r>
        <w:rPr>
          <w:rStyle w:val="Strong"/>
        </w:rPr>
        <w:t>Chart</w:t>
      </w:r>
      <w:r w:rsidRPr="00055743">
        <w:rPr>
          <w:rStyle w:val="Strong"/>
        </w:rPr>
        <w:t xml:space="preserve"> 1: </w:t>
      </w:r>
      <w:r w:rsidR="00FC6ACE">
        <w:rPr>
          <w:rStyle w:val="Strong"/>
        </w:rPr>
        <w:t>Overall distribution of residents assessed in the trial and RUCS study 3</w:t>
      </w:r>
    </w:p>
    <w:p w:rsidR="00E54B7A" w:rsidRDefault="00BE2B2D" w:rsidP="00E54B7A">
      <w:r w:rsidRPr="00BE2B2D">
        <w:rPr>
          <w:noProof/>
          <w:lang w:eastAsia="en-AU"/>
        </w:rPr>
        <w:drawing>
          <wp:inline distT="0" distB="0" distL="0" distR="0" wp14:anchorId="6C53E6E7" wp14:editId="31A23F28">
            <wp:extent cx="5638165" cy="2519396"/>
            <wp:effectExtent l="19050" t="19050" r="19685" b="14605"/>
            <wp:docPr id="6" name="Picture 6" descr="This chart shows the proportion of residents assessed across the 13 AN-ACC classes in the AN-ACC trial and in  Study Three in the Resource Utilisation and Classification Study (RUCS)." title="Overall distribution of residents assessed in the trial and RUCS Stud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48" r="481" b="1047"/>
                    <a:stretch/>
                  </pic:blipFill>
                  <pic:spPr bwMode="auto">
                    <a:xfrm>
                      <a:off x="0" y="0"/>
                      <a:ext cx="5640183" cy="25202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D75" w:rsidRDefault="00FA2D75"/>
    <w:p w:rsidR="00FA2D75" w:rsidRDefault="00E54B7A" w:rsidP="00E54B7A">
      <w:r>
        <w:t xml:space="preserve">Chart 2 shows the </w:t>
      </w:r>
      <w:r w:rsidR="000B5857">
        <w:t xml:space="preserve">casemix </w:t>
      </w:r>
      <w:r>
        <w:t xml:space="preserve">distribution of trial assessments by </w:t>
      </w:r>
      <w:r w:rsidR="00583B33">
        <w:t xml:space="preserve">state and territory. </w:t>
      </w:r>
      <w:r w:rsidR="00FA2D75">
        <w:t>In line with</w:t>
      </w:r>
      <w:r w:rsidR="000B5857">
        <w:t xml:space="preserve"> the results of the </w:t>
      </w:r>
      <w:r>
        <w:t xml:space="preserve">RUCS </w:t>
      </w:r>
      <w:r w:rsidR="000B5857">
        <w:t xml:space="preserve">study, jurisdiction distributions </w:t>
      </w:r>
      <w:r w:rsidR="00FA2D75">
        <w:t>were shown to differ</w:t>
      </w:r>
      <w:r w:rsidR="000B5857">
        <w:t xml:space="preserve">, which is likely to be attributable to </w:t>
      </w:r>
      <w:r w:rsidR="00FA2D75">
        <w:t>state based differences in population and</w:t>
      </w:r>
      <w:r w:rsidR="000B5857">
        <w:t xml:space="preserve"> resident characteristics such as remoteness, size and </w:t>
      </w:r>
      <w:r w:rsidR="00FA2D75">
        <w:t>average population age.</w:t>
      </w:r>
    </w:p>
    <w:p w:rsidR="00E54B7A" w:rsidRPr="0007721C" w:rsidRDefault="00E54B7A" w:rsidP="00E54B7A">
      <w:pPr>
        <w:keepNext/>
        <w:rPr>
          <w:b/>
        </w:rPr>
      </w:pPr>
      <w:r w:rsidRPr="0007721C">
        <w:rPr>
          <w:b/>
        </w:rPr>
        <w:lastRenderedPageBreak/>
        <w:t>Chart 2: AN-ACC class</w:t>
      </w:r>
      <w:r>
        <w:rPr>
          <w:b/>
        </w:rPr>
        <w:t>es</w:t>
      </w:r>
      <w:r w:rsidRPr="0007721C">
        <w:rPr>
          <w:b/>
        </w:rPr>
        <w:t xml:space="preserve"> by jurisdiction</w:t>
      </w:r>
    </w:p>
    <w:p w:rsidR="00E54B7A" w:rsidRDefault="00E54B7A" w:rsidP="00E54B7A">
      <w:r>
        <w:rPr>
          <w:noProof/>
          <w:color w:val="1F497D"/>
          <w:lang w:eastAsia="en-AU"/>
        </w:rPr>
        <w:drawing>
          <wp:inline distT="0" distB="0" distL="0" distR="0" wp14:anchorId="676F13D4" wp14:editId="2B58A6AD">
            <wp:extent cx="4533900" cy="2981325"/>
            <wp:effectExtent l="0" t="0" r="0" b="9525"/>
            <wp:docPr id="1" name="Picture 1" descr="This chart shows the distribution of AN-ACC trial assessments in the 13 AN-ACC classes by state and territory. &#10;&#10;&#10;&#10;" title="AN-ACC classes by jurisd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65467.576CEF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7A" w:rsidRDefault="00E54B7A" w:rsidP="00E54B7A">
      <w:r>
        <w:t>Chart 3 shows variation in the distribution of residents a</w:t>
      </w:r>
      <w:r w:rsidR="00583B33">
        <w:t>cross the AN-ACC classes by age category</w:t>
      </w:r>
      <w:r>
        <w:t>. As was found in the RUCS, younger aged care residents were more likely to fall into the two most complex classes (12 and 13), a</w:t>
      </w:r>
      <w:r w:rsidR="00583B33">
        <w:t xml:space="preserve">nd also more likely to be independently </w:t>
      </w:r>
      <w:r>
        <w:t xml:space="preserve">mobile (classes 2 and 3). </w:t>
      </w:r>
    </w:p>
    <w:p w:rsidR="00E54B7A" w:rsidRPr="00D271C2" w:rsidRDefault="00E54B7A" w:rsidP="00E54B7A">
      <w:pPr>
        <w:rPr>
          <w:b/>
        </w:rPr>
      </w:pPr>
      <w:r w:rsidRPr="00D271C2">
        <w:rPr>
          <w:b/>
        </w:rPr>
        <w:t>Chart 3: AN-ACC classes by age group</w:t>
      </w:r>
    </w:p>
    <w:p w:rsidR="00E54B7A" w:rsidRDefault="00E54B7A" w:rsidP="00E54B7A">
      <w:r>
        <w:rPr>
          <w:noProof/>
          <w:color w:val="1F497D"/>
          <w:lang w:eastAsia="en-AU"/>
        </w:rPr>
        <w:drawing>
          <wp:inline distT="0" distB="0" distL="0" distR="0" wp14:anchorId="02FEFB97" wp14:editId="0B0680F0">
            <wp:extent cx="4581525" cy="2752725"/>
            <wp:effectExtent l="0" t="0" r="9525" b="9525"/>
            <wp:docPr id="3" name="Picture 3" descr="This chart shows the distribution of residents in the AN-ACC trial across the 13 AN-ACC classes by age category. The three age categories are less than or equal to 64 years, 65 to 84 years, and equal to or more than 85 years." title="AN-ACC classes by aged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65467.576CEF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75" w:rsidRDefault="00FA2D75"/>
    <w:p w:rsidR="00E54B7A" w:rsidRDefault="00E54B7A" w:rsidP="00E54B7A">
      <w:r>
        <w:t>Chart 4 shows the distribution of residents across the AN-ACC classes by ownership type. Government</w:t>
      </w:r>
      <w:r w:rsidR="003429F9">
        <w:t>-</w:t>
      </w:r>
      <w:r>
        <w:t xml:space="preserve">owned </w:t>
      </w:r>
      <w:r w:rsidR="002359D4">
        <w:t>homes</w:t>
      </w:r>
      <w:r>
        <w:t xml:space="preserve"> have a larger proportion of their residents falling into the most complex classes than the not-for-profit and private</w:t>
      </w:r>
      <w:r w:rsidR="002359D4">
        <w:t xml:space="preserve"> homes</w:t>
      </w:r>
      <w:r>
        <w:t>.</w:t>
      </w:r>
    </w:p>
    <w:p w:rsidR="00E54B7A" w:rsidRPr="00D271C2" w:rsidRDefault="00E54B7A" w:rsidP="00E54B7A">
      <w:pPr>
        <w:keepNext/>
        <w:rPr>
          <w:b/>
          <w:color w:val="000000" w:themeColor="text1"/>
        </w:rPr>
      </w:pPr>
      <w:r w:rsidRPr="00D271C2">
        <w:rPr>
          <w:b/>
          <w:color w:val="000000" w:themeColor="text1"/>
        </w:rPr>
        <w:lastRenderedPageBreak/>
        <w:t>Chart 4: AN-ACC classes by ownership type</w:t>
      </w:r>
    </w:p>
    <w:p w:rsidR="00E54B7A" w:rsidRDefault="00E54B7A" w:rsidP="00E54B7A">
      <w:r>
        <w:rPr>
          <w:noProof/>
          <w:color w:val="1F497D"/>
          <w:lang w:eastAsia="en-AU"/>
        </w:rPr>
        <w:drawing>
          <wp:inline distT="0" distB="0" distL="0" distR="0" wp14:anchorId="138D29B2" wp14:editId="2985461B">
            <wp:extent cx="4581525" cy="2752725"/>
            <wp:effectExtent l="0" t="0" r="9525" b="9525"/>
            <wp:docPr id="4" name="Picture 4" descr="This chart shows the distribution of residents in the AN-ACC trial across the 13 AN-ACC classes by residential aged care ownership type. The ownership types are not-for-profit, private and public residential aged care homes." title="AN-ACC classes by ownership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65467.576CEF9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7A" w:rsidRPr="00533AAC" w:rsidRDefault="00E54B7A" w:rsidP="00E54B7A">
      <w:r w:rsidRPr="00533AAC">
        <w:t xml:space="preserve">Chart 5 </w:t>
      </w:r>
      <w:r>
        <w:t>shows the distribution of residents across the AN-ACC classes by MMM region. Residents across metropolitan (MMM 1-2) and regional (MMM3-5) area relatively similar, but the distribution of the residents from remote areas is markedly different. The remote residents were much more likely to be independently mobile tha</w:t>
      </w:r>
      <w:r w:rsidR="003429F9">
        <w:t>n</w:t>
      </w:r>
      <w:r>
        <w:t xml:space="preserve"> residents from other areas</w:t>
      </w:r>
      <w:r w:rsidR="003429F9">
        <w:t>,</w:t>
      </w:r>
      <w:r>
        <w:t xml:space="preserve"> consistent with the results of the RUCS (although it should be noted that the sample size of residents in remote areas</w:t>
      </w:r>
      <w:r w:rsidR="00583B33">
        <w:t xml:space="preserve"> in the trial</w:t>
      </w:r>
      <w:r>
        <w:t xml:space="preserve"> was small).</w:t>
      </w:r>
    </w:p>
    <w:p w:rsidR="00E54B7A" w:rsidRPr="00D271C2" w:rsidRDefault="00E54B7A" w:rsidP="00E54B7A">
      <w:pPr>
        <w:rPr>
          <w:b/>
        </w:rPr>
      </w:pPr>
      <w:r w:rsidRPr="00D271C2">
        <w:rPr>
          <w:b/>
        </w:rPr>
        <w:t>Chart 5: AN-ACC classes by remoteness</w:t>
      </w:r>
    </w:p>
    <w:p w:rsidR="00E54B7A" w:rsidRDefault="00E54B7A" w:rsidP="00E54B7A">
      <w:r>
        <w:rPr>
          <w:noProof/>
          <w:color w:val="1F497D"/>
          <w:lang w:eastAsia="en-AU"/>
        </w:rPr>
        <w:drawing>
          <wp:inline distT="0" distB="0" distL="0" distR="0" wp14:anchorId="78DF4A17" wp14:editId="292A5978">
            <wp:extent cx="4581525" cy="3133725"/>
            <wp:effectExtent l="0" t="0" r="9525" b="9525"/>
            <wp:docPr id="5" name="Picture 5" descr="This chart shows the distribution of residents in the AN-ACC trial across the 13 AN-ACC classes by Modified Monash Model (MMM) regions. " title="AN-ACC classes by remot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6.png@01D65467.576CEF9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DF" w:rsidRDefault="00D668D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AC25BD" w:rsidRDefault="00856931" w:rsidP="00AC25BD">
      <w:pPr>
        <w:pStyle w:val="Heading2"/>
      </w:pPr>
      <w:r>
        <w:lastRenderedPageBreak/>
        <w:t xml:space="preserve">Assessment Workforce </w:t>
      </w:r>
      <w:r w:rsidR="00AC25BD">
        <w:t>Findings</w:t>
      </w:r>
    </w:p>
    <w:p w:rsidR="00583B33" w:rsidRDefault="00FA2D75" w:rsidP="003D1611">
      <w:r>
        <w:t>T</w:t>
      </w:r>
      <w:r w:rsidR="00CE75AB">
        <w:t>he</w:t>
      </w:r>
      <w:r w:rsidR="00583B33">
        <w:t xml:space="preserve"> trial </w:t>
      </w:r>
      <w:r>
        <w:t>demonstrated</w:t>
      </w:r>
      <w:r w:rsidR="005A5352">
        <w:t xml:space="preserve"> th</w:t>
      </w:r>
      <w:r w:rsidR="00583B33">
        <w:t xml:space="preserve">at the AN-ACC assessment model is </w:t>
      </w:r>
      <w:r>
        <w:t>fit-for-purpose,</w:t>
      </w:r>
      <w:r w:rsidR="00CE75AB">
        <w:t xml:space="preserve"> nationally scalable </w:t>
      </w:r>
      <w:bookmarkStart w:id="1" w:name="_Hlk33951975"/>
      <w:r w:rsidR="00CE75AB">
        <w:t>and costs less on a per-assessment basis than was anticipated when the RUCS was completed.</w:t>
      </w:r>
      <w:bookmarkStart w:id="2" w:name="_Toc36548927"/>
      <w:bookmarkEnd w:id="1"/>
      <w:r w:rsidR="0073441C">
        <w:t xml:space="preserve"> </w:t>
      </w:r>
    </w:p>
    <w:p w:rsidR="00B20125" w:rsidRDefault="0073441C" w:rsidP="003D1611">
      <w:r>
        <w:t xml:space="preserve">Specific findings </w:t>
      </w:r>
      <w:r w:rsidR="00FA2D75">
        <w:t>include</w:t>
      </w:r>
      <w:r w:rsidR="00FC6ACE">
        <w:t>:</w:t>
      </w:r>
    </w:p>
    <w:p w:rsidR="00FC6ACE" w:rsidRDefault="00FC6ACE" w:rsidP="00FC6ACE">
      <w:pPr>
        <w:pStyle w:val="ListParagraph"/>
        <w:numPr>
          <w:ilvl w:val="0"/>
          <w:numId w:val="32"/>
        </w:numPr>
      </w:pPr>
      <w:bookmarkStart w:id="3" w:name="_Hlk33690661"/>
      <w:r>
        <w:t xml:space="preserve">Consistent with findings of the RUCS, average time to complete an assessment is </w:t>
      </w:r>
      <w:r w:rsidRPr="0073441C">
        <w:rPr>
          <w:b/>
          <w:bCs/>
        </w:rPr>
        <w:t>one hour</w:t>
      </w:r>
      <w:r>
        <w:t xml:space="preserve"> (with variation around this average of +/- 20 minutes, related to degree of resident mobility), while an assessor can sustainably complete an average of </w:t>
      </w:r>
      <w:r w:rsidRPr="0073441C">
        <w:rPr>
          <w:b/>
          <w:bCs/>
        </w:rPr>
        <w:t>6 assessments per full working day</w:t>
      </w:r>
      <w:r>
        <w:t xml:space="preserve"> (allowing for performance of related non-assessment tasks).</w:t>
      </w:r>
    </w:p>
    <w:p w:rsidR="0073441C" w:rsidRDefault="0073441C" w:rsidP="0073441C">
      <w:pPr>
        <w:pStyle w:val="ListParagraph"/>
        <w:numPr>
          <w:ilvl w:val="0"/>
          <w:numId w:val="32"/>
        </w:numPr>
      </w:pPr>
      <w:bookmarkStart w:id="4" w:name="_Hlk33691859"/>
      <w:r>
        <w:t xml:space="preserve">An appropriately qualified and experienced </w:t>
      </w:r>
      <w:r w:rsidRPr="0073441C">
        <w:rPr>
          <w:b/>
          <w:bCs/>
        </w:rPr>
        <w:t>independent</w:t>
      </w:r>
      <w:r>
        <w:t xml:space="preserve"> </w:t>
      </w:r>
      <w:r w:rsidRPr="0073441C">
        <w:rPr>
          <w:b/>
          <w:bCs/>
        </w:rPr>
        <w:t>assessment workforce</w:t>
      </w:r>
      <w:r>
        <w:t>, employed through contracted assessment management organisations, is readily ava</w:t>
      </w:r>
      <w:r w:rsidR="00FC6ACE">
        <w:t>ilable to undertake AN-ACC assessments.</w:t>
      </w:r>
      <w:r>
        <w:t xml:space="preserve"> </w:t>
      </w:r>
      <w:bookmarkStart w:id="5" w:name="_Hlk33725611"/>
    </w:p>
    <w:p w:rsidR="00E15201" w:rsidRDefault="00FA2D75" w:rsidP="00E15201">
      <w:pPr>
        <w:pStyle w:val="ListParagraph"/>
        <w:numPr>
          <w:ilvl w:val="0"/>
          <w:numId w:val="32"/>
        </w:numPr>
      </w:pPr>
      <w:bookmarkStart w:id="6" w:name="_Hlk33868387"/>
      <w:bookmarkStart w:id="7" w:name="_Hlk33792347"/>
      <w:bookmarkEnd w:id="3"/>
      <w:bookmarkEnd w:id="4"/>
      <w:bookmarkEnd w:id="5"/>
      <w:r>
        <w:t>T</w:t>
      </w:r>
      <w:r w:rsidR="0060472A">
        <w:t xml:space="preserve">he </w:t>
      </w:r>
      <w:r w:rsidR="0060472A" w:rsidRPr="0060472A">
        <w:rPr>
          <w:b/>
        </w:rPr>
        <w:t>t</w:t>
      </w:r>
      <w:r w:rsidRPr="0060472A">
        <w:rPr>
          <w:b/>
        </w:rPr>
        <w:t xml:space="preserve">raining and </w:t>
      </w:r>
      <w:r w:rsidR="0060472A" w:rsidRPr="0060472A">
        <w:rPr>
          <w:b/>
        </w:rPr>
        <w:t>clinical</w:t>
      </w:r>
      <w:r w:rsidR="0073441C" w:rsidRPr="0060472A">
        <w:rPr>
          <w:b/>
        </w:rPr>
        <w:t xml:space="preserve"> </w:t>
      </w:r>
      <w:r w:rsidRPr="0060472A">
        <w:rPr>
          <w:b/>
        </w:rPr>
        <w:t>supports</w:t>
      </w:r>
      <w:r>
        <w:t xml:space="preserve"> developed to equip assessors undertake assessments </w:t>
      </w:r>
      <w:bookmarkEnd w:id="6"/>
      <w:r w:rsidR="0060472A">
        <w:t>were shown to be</w:t>
      </w:r>
      <w:r w:rsidR="0073441C">
        <w:t xml:space="preserve"> effective, </w:t>
      </w:r>
      <w:r>
        <w:t xml:space="preserve">however, areas of improvement </w:t>
      </w:r>
      <w:r w:rsidR="0060472A">
        <w:t>were</w:t>
      </w:r>
      <w:r>
        <w:t xml:space="preserve"> identified</w:t>
      </w:r>
      <w:r w:rsidR="0073441C">
        <w:t xml:space="preserve"> </w:t>
      </w:r>
      <w:r>
        <w:t xml:space="preserve">to optimise </w:t>
      </w:r>
      <w:r w:rsidR="0060472A">
        <w:t>assessment consistency and accuracy for a potential national rollout of AN-ACC. These include</w:t>
      </w:r>
      <w:r>
        <w:t xml:space="preserve"> increasing the length of training from two to three days, with additional time spent on </w:t>
      </w:r>
      <w:r w:rsidR="003429F9">
        <w:t xml:space="preserve">providing training </w:t>
      </w:r>
      <w:r w:rsidR="00337076">
        <w:t xml:space="preserve">on </w:t>
      </w:r>
      <w:r w:rsidR="0060472A">
        <w:t>assessing residents with complex cognitive variables and those from diverse linguistic and cultural backgrounds</w:t>
      </w:r>
      <w:bookmarkEnd w:id="2"/>
      <w:bookmarkEnd w:id="7"/>
      <w:r w:rsidR="003429F9">
        <w:t>.</w:t>
      </w:r>
      <w:r w:rsidR="005A5352">
        <w:t xml:space="preserve"> </w:t>
      </w:r>
      <w:r w:rsidR="003429F9">
        <w:t>P</w:t>
      </w:r>
      <w:r w:rsidR="005A5352">
        <w:t>ost</w:t>
      </w:r>
      <w:r w:rsidR="003429F9">
        <w:t>-</w:t>
      </w:r>
      <w:r w:rsidR="005A5352">
        <w:t xml:space="preserve">training </w:t>
      </w:r>
      <w:r w:rsidR="003B7148">
        <w:t>assessor clinical support structures</w:t>
      </w:r>
      <w:r w:rsidR="003429F9">
        <w:t xml:space="preserve"> were also shown to be essential</w:t>
      </w:r>
      <w:r w:rsidR="003B7148">
        <w:t>.</w:t>
      </w:r>
    </w:p>
    <w:p w:rsidR="00C81A8A" w:rsidRDefault="00C81A8A">
      <w:pPr>
        <w:rPr>
          <w:rFonts w:eastAsia="Times New Roman" w:cs="Times New Roman"/>
          <w:b/>
          <w:bCs/>
          <w:sz w:val="24"/>
          <w:szCs w:val="18"/>
          <w:lang w:eastAsia="en-AU"/>
        </w:rPr>
      </w:pPr>
      <w:bookmarkStart w:id="8" w:name="_Toc534360961"/>
      <w:bookmarkStart w:id="9" w:name="_Toc2066842"/>
      <w:r>
        <w:br w:type="page"/>
      </w:r>
    </w:p>
    <w:p w:rsidR="007807B9" w:rsidRDefault="007807B9" w:rsidP="00E73A88">
      <w:pPr>
        <w:pStyle w:val="Caption"/>
        <w:ind w:left="720"/>
        <w:jc w:val="center"/>
      </w:pPr>
      <w:r>
        <w:lastRenderedPageBreak/>
        <w:t>Appendix 1</w:t>
      </w:r>
    </w:p>
    <w:p w:rsidR="00682308" w:rsidRDefault="00682308" w:rsidP="00E73A88">
      <w:pPr>
        <w:pStyle w:val="Caption"/>
        <w:ind w:left="720"/>
        <w:jc w:val="center"/>
      </w:pPr>
      <w:r w:rsidRPr="00B82914">
        <w:t>The Australian National Aged Care Classification (AN-ACC)</w:t>
      </w:r>
      <w:r w:rsidR="007807B9">
        <w:t xml:space="preserve"> Variable Component Casemix Model</w:t>
      </w:r>
      <w:r>
        <w:t xml:space="preserve"> </w:t>
      </w:r>
      <w:bookmarkEnd w:id="8"/>
      <w:bookmarkEnd w:id="9"/>
    </w:p>
    <w:p w:rsidR="00682308" w:rsidRPr="0043278D" w:rsidRDefault="00682308" w:rsidP="00682308">
      <w:r>
        <w:rPr>
          <w:noProof/>
          <w:lang w:eastAsia="en-AU"/>
        </w:rPr>
        <w:drawing>
          <wp:inline distT="0" distB="0" distL="0" distR="0" wp14:anchorId="6AEA5DEE" wp14:editId="3C2253AB">
            <wp:extent cx="5667375" cy="6734175"/>
            <wp:effectExtent l="0" t="0" r="9525" b="9525"/>
            <wp:docPr id="7" name="Picture 7" descr="Figure 1 shows the branching model of the AN-ACC classification Version 1.0." title="Figure 1 The Australian National Aged Care Classification (AN-ACC) Version 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308" w:rsidRDefault="00682308" w:rsidP="00682308"/>
    <w:p w:rsidR="003E19C7" w:rsidRDefault="003E19C7" w:rsidP="003E19C7"/>
    <w:sectPr w:rsidR="003E19C7" w:rsidSect="00404FD8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39" w:rsidRDefault="00140339" w:rsidP="001601D3">
      <w:pPr>
        <w:spacing w:after="0" w:line="240" w:lineRule="auto"/>
      </w:pPr>
      <w:r>
        <w:separator/>
      </w:r>
    </w:p>
  </w:endnote>
  <w:endnote w:type="continuationSeparator" w:id="0">
    <w:p w:rsidR="00140339" w:rsidRDefault="00140339" w:rsidP="0016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843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14B" w:rsidRDefault="00DE61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1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E614B" w:rsidRDefault="00DE614B" w:rsidP="00C82D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39" w:rsidRDefault="00140339" w:rsidP="001601D3">
      <w:pPr>
        <w:spacing w:after="0" w:line="240" w:lineRule="auto"/>
      </w:pPr>
      <w:r>
        <w:separator/>
      </w:r>
    </w:p>
  </w:footnote>
  <w:footnote w:type="continuationSeparator" w:id="0">
    <w:p w:rsidR="00140339" w:rsidRDefault="00140339" w:rsidP="001601D3">
      <w:pPr>
        <w:spacing w:after="0" w:line="240" w:lineRule="auto"/>
      </w:pPr>
      <w:r>
        <w:continuationSeparator/>
      </w:r>
    </w:p>
  </w:footnote>
  <w:footnote w:id="1">
    <w:p w:rsidR="00DE614B" w:rsidRDefault="00DE614B" w:rsidP="00CE0C1C">
      <w:pPr>
        <w:pStyle w:val="FootnoteText"/>
      </w:pPr>
      <w:r>
        <w:rPr>
          <w:rStyle w:val="FootnoteReference"/>
        </w:rPr>
        <w:footnoteRef/>
      </w:r>
      <w:r>
        <w:t xml:space="preserve"> The AN-ACC assessment model was developed by the </w:t>
      </w:r>
      <w:r w:rsidRPr="00F048CE">
        <w:t>Australian Health Services Research Institute</w:t>
      </w:r>
      <w:r>
        <w:t xml:space="preserve"> (AHSRI), at the University of Wollongong as part of the Resource Utilisation and Classification Study (RUCS).</w:t>
      </w:r>
      <w:r w:rsidRPr="00F048CE">
        <w:t xml:space="preserve"> </w:t>
      </w:r>
      <w:r>
        <w:t xml:space="preserve">For RUCS reports and detail of the overall AN-ACC system, see: </w:t>
      </w:r>
      <w:hyperlink r:id="rId1" w:history="1">
        <w:r w:rsidR="00C81A8A" w:rsidRPr="00C81A8A">
          <w:rPr>
            <w:rStyle w:val="Hyperlink"/>
          </w:rPr>
          <w:t>www.health.gov.au/resources/publications/resource-utilisation-and-classification-study-rucs-reports</w:t>
        </w:r>
      </w:hyperlink>
      <w:r>
        <w:t xml:space="preserve"> </w:t>
      </w:r>
      <w:r w:rsidR="00682308">
        <w:t xml:space="preserve">. </w:t>
      </w:r>
    </w:p>
  </w:footnote>
  <w:footnote w:id="2">
    <w:p w:rsidR="00F24402" w:rsidRDefault="00F24402">
      <w:pPr>
        <w:pStyle w:val="FootnoteText"/>
      </w:pPr>
      <w:r>
        <w:rPr>
          <w:rStyle w:val="FootnoteReference"/>
        </w:rPr>
        <w:footnoteRef/>
      </w:r>
      <w:r>
        <w:t xml:space="preserve"> The AN-ACC classification structure can be found at Appendix 1.</w:t>
      </w:r>
    </w:p>
  </w:footnote>
  <w:footnote w:id="3">
    <w:p w:rsidR="00E54B7A" w:rsidRDefault="00E54B7A">
      <w:pPr>
        <w:pStyle w:val="FootnoteText"/>
      </w:pPr>
      <w:r>
        <w:rPr>
          <w:rStyle w:val="FootnoteReference"/>
        </w:rPr>
        <w:footnoteRef/>
      </w:r>
      <w:r>
        <w:t xml:space="preserve"> The distribution of residents in Study One in the RUCS is not directly comparable as these residents were not assessed using the</w:t>
      </w:r>
      <w:r w:rsidR="00682308">
        <w:t xml:space="preserve"> Behaviour Resource Utilisation Assessment</w:t>
      </w:r>
      <w:r>
        <w:t xml:space="preserve"> </w:t>
      </w:r>
      <w:r w:rsidR="00682308">
        <w:t>(</w:t>
      </w:r>
      <w:r>
        <w:t>BRUA</w:t>
      </w:r>
      <w:r w:rsidR="00682308">
        <w:t>)</w:t>
      </w:r>
      <w:r>
        <w:t xml:space="preserve"> assessment tool as part of their AN-ACC assessment</w:t>
      </w:r>
      <w:r w:rsidR="002359D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4B" w:rsidRDefault="00DE614B" w:rsidP="004C46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491"/>
    <w:multiLevelType w:val="hybridMultilevel"/>
    <w:tmpl w:val="E8524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12892"/>
    <w:multiLevelType w:val="hybridMultilevel"/>
    <w:tmpl w:val="36A6E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37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40402"/>
    <w:multiLevelType w:val="hybridMultilevel"/>
    <w:tmpl w:val="F3D83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303C0"/>
    <w:multiLevelType w:val="hybridMultilevel"/>
    <w:tmpl w:val="30E42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C1AF4"/>
    <w:multiLevelType w:val="hybridMultilevel"/>
    <w:tmpl w:val="750CD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34DBE"/>
    <w:multiLevelType w:val="hybridMultilevel"/>
    <w:tmpl w:val="736467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B3608"/>
    <w:multiLevelType w:val="hybridMultilevel"/>
    <w:tmpl w:val="20D00C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310BD8"/>
    <w:multiLevelType w:val="hybridMultilevel"/>
    <w:tmpl w:val="0C464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D462A"/>
    <w:multiLevelType w:val="hybridMultilevel"/>
    <w:tmpl w:val="F49C88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93500"/>
    <w:multiLevelType w:val="hybridMultilevel"/>
    <w:tmpl w:val="195A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8609C"/>
    <w:multiLevelType w:val="hybridMultilevel"/>
    <w:tmpl w:val="11486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A3FDB"/>
    <w:multiLevelType w:val="hybridMultilevel"/>
    <w:tmpl w:val="0498A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0725"/>
    <w:multiLevelType w:val="hybridMultilevel"/>
    <w:tmpl w:val="6E589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A7872"/>
    <w:multiLevelType w:val="hybridMultilevel"/>
    <w:tmpl w:val="FBE41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93371"/>
    <w:multiLevelType w:val="hybridMultilevel"/>
    <w:tmpl w:val="6E60D9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E5671"/>
    <w:multiLevelType w:val="hybridMultilevel"/>
    <w:tmpl w:val="0F3011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840E4"/>
    <w:multiLevelType w:val="hybridMultilevel"/>
    <w:tmpl w:val="3E3CF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55F0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46ABA"/>
    <w:multiLevelType w:val="hybridMultilevel"/>
    <w:tmpl w:val="5C580A1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8F434F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F4151F"/>
    <w:multiLevelType w:val="hybridMultilevel"/>
    <w:tmpl w:val="E5F48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323EC9"/>
    <w:multiLevelType w:val="hybridMultilevel"/>
    <w:tmpl w:val="C186B3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296ECC"/>
    <w:multiLevelType w:val="hybridMultilevel"/>
    <w:tmpl w:val="BA04B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E17E0B"/>
    <w:multiLevelType w:val="hybridMultilevel"/>
    <w:tmpl w:val="9E4EB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28682E"/>
    <w:multiLevelType w:val="hybridMultilevel"/>
    <w:tmpl w:val="F3EA05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6205A7"/>
    <w:multiLevelType w:val="hybridMultilevel"/>
    <w:tmpl w:val="1D12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55F4A"/>
    <w:multiLevelType w:val="hybridMultilevel"/>
    <w:tmpl w:val="D08663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F57E2C"/>
    <w:multiLevelType w:val="hybridMultilevel"/>
    <w:tmpl w:val="EF6816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94DF0"/>
    <w:multiLevelType w:val="hybridMultilevel"/>
    <w:tmpl w:val="72BAD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22A3"/>
    <w:multiLevelType w:val="hybridMultilevel"/>
    <w:tmpl w:val="18B06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C62F0"/>
    <w:multiLevelType w:val="hybridMultilevel"/>
    <w:tmpl w:val="BD086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C006EF"/>
    <w:multiLevelType w:val="hybridMultilevel"/>
    <w:tmpl w:val="506235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04736"/>
    <w:multiLevelType w:val="hybridMultilevel"/>
    <w:tmpl w:val="051EC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780052"/>
    <w:multiLevelType w:val="hybridMultilevel"/>
    <w:tmpl w:val="F8603E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D4AFA"/>
    <w:multiLevelType w:val="hybridMultilevel"/>
    <w:tmpl w:val="34841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582345"/>
    <w:multiLevelType w:val="hybridMultilevel"/>
    <w:tmpl w:val="72C210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3401E"/>
    <w:multiLevelType w:val="hybridMultilevel"/>
    <w:tmpl w:val="0548F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3C6628"/>
    <w:multiLevelType w:val="hybridMultilevel"/>
    <w:tmpl w:val="BE762C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6"/>
  </w:num>
  <w:num w:numId="5">
    <w:abstractNumId w:val="17"/>
  </w:num>
  <w:num w:numId="6">
    <w:abstractNumId w:val="37"/>
  </w:num>
  <w:num w:numId="7">
    <w:abstractNumId w:val="15"/>
  </w:num>
  <w:num w:numId="8">
    <w:abstractNumId w:val="24"/>
  </w:num>
  <w:num w:numId="9">
    <w:abstractNumId w:val="25"/>
  </w:num>
  <w:num w:numId="10">
    <w:abstractNumId w:val="8"/>
  </w:num>
  <w:num w:numId="11">
    <w:abstractNumId w:val="32"/>
  </w:num>
  <w:num w:numId="12">
    <w:abstractNumId w:val="16"/>
  </w:num>
  <w:num w:numId="13">
    <w:abstractNumId w:val="21"/>
  </w:num>
  <w:num w:numId="14">
    <w:abstractNumId w:val="13"/>
  </w:num>
  <w:num w:numId="15">
    <w:abstractNumId w:val="38"/>
  </w:num>
  <w:num w:numId="16">
    <w:abstractNumId w:val="4"/>
  </w:num>
  <w:num w:numId="17">
    <w:abstractNumId w:val="11"/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36"/>
  </w:num>
  <w:num w:numId="23">
    <w:abstractNumId w:val="22"/>
  </w:num>
  <w:num w:numId="24">
    <w:abstractNumId w:val="29"/>
  </w:num>
  <w:num w:numId="25">
    <w:abstractNumId w:val="35"/>
  </w:num>
  <w:num w:numId="26">
    <w:abstractNumId w:val="33"/>
  </w:num>
  <w:num w:numId="27">
    <w:abstractNumId w:val="9"/>
  </w:num>
  <w:num w:numId="28">
    <w:abstractNumId w:val="7"/>
  </w:num>
  <w:num w:numId="29">
    <w:abstractNumId w:val="3"/>
  </w:num>
  <w:num w:numId="30">
    <w:abstractNumId w:val="26"/>
  </w:num>
  <w:num w:numId="31">
    <w:abstractNumId w:val="20"/>
  </w:num>
  <w:num w:numId="32">
    <w:abstractNumId w:val="19"/>
  </w:num>
  <w:num w:numId="33">
    <w:abstractNumId w:val="2"/>
  </w:num>
  <w:num w:numId="34">
    <w:abstractNumId w:val="18"/>
  </w:num>
  <w:num w:numId="35">
    <w:abstractNumId w:val="10"/>
  </w:num>
  <w:num w:numId="36">
    <w:abstractNumId w:val="12"/>
  </w:num>
  <w:num w:numId="37">
    <w:abstractNumId w:val="1"/>
  </w:num>
  <w:num w:numId="38">
    <w:abstractNumId w:val="2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FC"/>
    <w:rsid w:val="00005574"/>
    <w:rsid w:val="000105CB"/>
    <w:rsid w:val="00011932"/>
    <w:rsid w:val="00014962"/>
    <w:rsid w:val="00020375"/>
    <w:rsid w:val="00022896"/>
    <w:rsid w:val="00036733"/>
    <w:rsid w:val="000427F5"/>
    <w:rsid w:val="0004525B"/>
    <w:rsid w:val="00054DC0"/>
    <w:rsid w:val="00055743"/>
    <w:rsid w:val="00060656"/>
    <w:rsid w:val="00065259"/>
    <w:rsid w:val="0006779D"/>
    <w:rsid w:val="00072262"/>
    <w:rsid w:val="00075DFC"/>
    <w:rsid w:val="0007721C"/>
    <w:rsid w:val="00077C2D"/>
    <w:rsid w:val="000850FC"/>
    <w:rsid w:val="00094E04"/>
    <w:rsid w:val="000A46E8"/>
    <w:rsid w:val="000B0061"/>
    <w:rsid w:val="000B22FF"/>
    <w:rsid w:val="000B3C50"/>
    <w:rsid w:val="000B5857"/>
    <w:rsid w:val="000B7FE2"/>
    <w:rsid w:val="000C1C77"/>
    <w:rsid w:val="000D23F8"/>
    <w:rsid w:val="000D2747"/>
    <w:rsid w:val="000D5555"/>
    <w:rsid w:val="000D6CB9"/>
    <w:rsid w:val="000E1603"/>
    <w:rsid w:val="000E2967"/>
    <w:rsid w:val="000F6545"/>
    <w:rsid w:val="00101753"/>
    <w:rsid w:val="00101B2C"/>
    <w:rsid w:val="00101DAC"/>
    <w:rsid w:val="0010456E"/>
    <w:rsid w:val="001130F0"/>
    <w:rsid w:val="00114473"/>
    <w:rsid w:val="001172DE"/>
    <w:rsid w:val="00120503"/>
    <w:rsid w:val="00121752"/>
    <w:rsid w:val="00123D24"/>
    <w:rsid w:val="001240F8"/>
    <w:rsid w:val="00126932"/>
    <w:rsid w:val="001269B8"/>
    <w:rsid w:val="00126FA7"/>
    <w:rsid w:val="00127C5F"/>
    <w:rsid w:val="00136895"/>
    <w:rsid w:val="00137309"/>
    <w:rsid w:val="0013754E"/>
    <w:rsid w:val="00137B51"/>
    <w:rsid w:val="00137C5C"/>
    <w:rsid w:val="00140339"/>
    <w:rsid w:val="00140832"/>
    <w:rsid w:val="00141474"/>
    <w:rsid w:val="00150C3D"/>
    <w:rsid w:val="00153D9D"/>
    <w:rsid w:val="001549F1"/>
    <w:rsid w:val="001552CC"/>
    <w:rsid w:val="001601D3"/>
    <w:rsid w:val="00161943"/>
    <w:rsid w:val="001620A9"/>
    <w:rsid w:val="00162F3B"/>
    <w:rsid w:val="0017641D"/>
    <w:rsid w:val="001769C9"/>
    <w:rsid w:val="00191757"/>
    <w:rsid w:val="00197239"/>
    <w:rsid w:val="001A02DE"/>
    <w:rsid w:val="001A161C"/>
    <w:rsid w:val="001A4932"/>
    <w:rsid w:val="001A7E77"/>
    <w:rsid w:val="001C34D3"/>
    <w:rsid w:val="001C38AA"/>
    <w:rsid w:val="001C4162"/>
    <w:rsid w:val="001C6BDF"/>
    <w:rsid w:val="001D328B"/>
    <w:rsid w:val="001D38B2"/>
    <w:rsid w:val="001D41EC"/>
    <w:rsid w:val="001D6287"/>
    <w:rsid w:val="001E12F9"/>
    <w:rsid w:val="001E14D0"/>
    <w:rsid w:val="001E4284"/>
    <w:rsid w:val="0020052B"/>
    <w:rsid w:val="00206E09"/>
    <w:rsid w:val="00212FE7"/>
    <w:rsid w:val="0021336D"/>
    <w:rsid w:val="002222AE"/>
    <w:rsid w:val="0022298C"/>
    <w:rsid w:val="002246AD"/>
    <w:rsid w:val="002260D2"/>
    <w:rsid w:val="0023064E"/>
    <w:rsid w:val="002358EA"/>
    <w:rsid w:val="002359D4"/>
    <w:rsid w:val="00254BCB"/>
    <w:rsid w:val="00261863"/>
    <w:rsid w:val="00261CBD"/>
    <w:rsid w:val="002806F4"/>
    <w:rsid w:val="00283F57"/>
    <w:rsid w:val="00291C67"/>
    <w:rsid w:val="00292F3A"/>
    <w:rsid w:val="002B3D58"/>
    <w:rsid w:val="002B3E0D"/>
    <w:rsid w:val="002C04CC"/>
    <w:rsid w:val="002D2490"/>
    <w:rsid w:val="002D4F08"/>
    <w:rsid w:val="002E24D3"/>
    <w:rsid w:val="002F455D"/>
    <w:rsid w:val="00301FC9"/>
    <w:rsid w:val="00302CD5"/>
    <w:rsid w:val="00312B0F"/>
    <w:rsid w:val="00322E3D"/>
    <w:rsid w:val="00325500"/>
    <w:rsid w:val="00325A9B"/>
    <w:rsid w:val="00337076"/>
    <w:rsid w:val="00337510"/>
    <w:rsid w:val="00341EB3"/>
    <w:rsid w:val="00342170"/>
    <w:rsid w:val="003429F9"/>
    <w:rsid w:val="00342F85"/>
    <w:rsid w:val="00343A06"/>
    <w:rsid w:val="0034412D"/>
    <w:rsid w:val="0034665E"/>
    <w:rsid w:val="00347A41"/>
    <w:rsid w:val="003535A0"/>
    <w:rsid w:val="0036552C"/>
    <w:rsid w:val="003774C3"/>
    <w:rsid w:val="003802AA"/>
    <w:rsid w:val="00384856"/>
    <w:rsid w:val="00384BF4"/>
    <w:rsid w:val="00386834"/>
    <w:rsid w:val="00393A74"/>
    <w:rsid w:val="00396DA8"/>
    <w:rsid w:val="003B2BB9"/>
    <w:rsid w:val="003B3F67"/>
    <w:rsid w:val="003B7148"/>
    <w:rsid w:val="003C17E4"/>
    <w:rsid w:val="003C504D"/>
    <w:rsid w:val="003C67B6"/>
    <w:rsid w:val="003C7118"/>
    <w:rsid w:val="003D0319"/>
    <w:rsid w:val="003D1611"/>
    <w:rsid w:val="003D5909"/>
    <w:rsid w:val="003E19C7"/>
    <w:rsid w:val="003E6FFF"/>
    <w:rsid w:val="003F4C76"/>
    <w:rsid w:val="003F76A0"/>
    <w:rsid w:val="00401357"/>
    <w:rsid w:val="00402FD9"/>
    <w:rsid w:val="00404FD8"/>
    <w:rsid w:val="004074A2"/>
    <w:rsid w:val="0040768E"/>
    <w:rsid w:val="00411756"/>
    <w:rsid w:val="00411E33"/>
    <w:rsid w:val="00417AF0"/>
    <w:rsid w:val="00417C9F"/>
    <w:rsid w:val="00420B21"/>
    <w:rsid w:val="00435982"/>
    <w:rsid w:val="00435FB7"/>
    <w:rsid w:val="00441287"/>
    <w:rsid w:val="00441D47"/>
    <w:rsid w:val="00442058"/>
    <w:rsid w:val="00445CE4"/>
    <w:rsid w:val="00452375"/>
    <w:rsid w:val="00453B68"/>
    <w:rsid w:val="00456067"/>
    <w:rsid w:val="00460372"/>
    <w:rsid w:val="00464844"/>
    <w:rsid w:val="004657DD"/>
    <w:rsid w:val="0047408C"/>
    <w:rsid w:val="00480986"/>
    <w:rsid w:val="00482300"/>
    <w:rsid w:val="004827E8"/>
    <w:rsid w:val="00483EEB"/>
    <w:rsid w:val="004851B3"/>
    <w:rsid w:val="00487390"/>
    <w:rsid w:val="0048788B"/>
    <w:rsid w:val="00495B07"/>
    <w:rsid w:val="00495E52"/>
    <w:rsid w:val="0049727C"/>
    <w:rsid w:val="00497BF5"/>
    <w:rsid w:val="004A5EF4"/>
    <w:rsid w:val="004B4F0D"/>
    <w:rsid w:val="004B6313"/>
    <w:rsid w:val="004C0BD9"/>
    <w:rsid w:val="004C0DD3"/>
    <w:rsid w:val="004C2BB8"/>
    <w:rsid w:val="004C31AE"/>
    <w:rsid w:val="004C46E6"/>
    <w:rsid w:val="004C5B77"/>
    <w:rsid w:val="004D505C"/>
    <w:rsid w:val="004D5CA2"/>
    <w:rsid w:val="004E0B98"/>
    <w:rsid w:val="004E4361"/>
    <w:rsid w:val="004E4C26"/>
    <w:rsid w:val="004F0816"/>
    <w:rsid w:val="004F222D"/>
    <w:rsid w:val="005106BF"/>
    <w:rsid w:val="005117A2"/>
    <w:rsid w:val="00511F97"/>
    <w:rsid w:val="00521B08"/>
    <w:rsid w:val="005230B6"/>
    <w:rsid w:val="00523E66"/>
    <w:rsid w:val="0053226C"/>
    <w:rsid w:val="00533AAC"/>
    <w:rsid w:val="00542E84"/>
    <w:rsid w:val="005461B7"/>
    <w:rsid w:val="0055375C"/>
    <w:rsid w:val="00573457"/>
    <w:rsid w:val="00577CE0"/>
    <w:rsid w:val="00583B33"/>
    <w:rsid w:val="005878A2"/>
    <w:rsid w:val="005A5352"/>
    <w:rsid w:val="005B561C"/>
    <w:rsid w:val="005C3D56"/>
    <w:rsid w:val="005C6D53"/>
    <w:rsid w:val="005D037F"/>
    <w:rsid w:val="005D0979"/>
    <w:rsid w:val="005D1EF6"/>
    <w:rsid w:val="005D4C51"/>
    <w:rsid w:val="005E3355"/>
    <w:rsid w:val="005F58E0"/>
    <w:rsid w:val="005F7D7A"/>
    <w:rsid w:val="006008A7"/>
    <w:rsid w:val="006023B9"/>
    <w:rsid w:val="0060472A"/>
    <w:rsid w:val="00606029"/>
    <w:rsid w:val="00607B6A"/>
    <w:rsid w:val="0061368E"/>
    <w:rsid w:val="00617A8E"/>
    <w:rsid w:val="006213E8"/>
    <w:rsid w:val="00622A3D"/>
    <w:rsid w:val="00624F9A"/>
    <w:rsid w:val="00625DE5"/>
    <w:rsid w:val="00625FBE"/>
    <w:rsid w:val="00641157"/>
    <w:rsid w:val="00641674"/>
    <w:rsid w:val="00643515"/>
    <w:rsid w:val="00650510"/>
    <w:rsid w:val="00651043"/>
    <w:rsid w:val="006553D6"/>
    <w:rsid w:val="006559EE"/>
    <w:rsid w:val="00661CB2"/>
    <w:rsid w:val="00666D5B"/>
    <w:rsid w:val="0066774D"/>
    <w:rsid w:val="00671B1C"/>
    <w:rsid w:val="00674409"/>
    <w:rsid w:val="00682308"/>
    <w:rsid w:val="006833CA"/>
    <w:rsid w:val="00692B5F"/>
    <w:rsid w:val="00694624"/>
    <w:rsid w:val="006958E9"/>
    <w:rsid w:val="006975EF"/>
    <w:rsid w:val="00697A3D"/>
    <w:rsid w:val="006A39BD"/>
    <w:rsid w:val="006B0F4A"/>
    <w:rsid w:val="006B48E7"/>
    <w:rsid w:val="006B601C"/>
    <w:rsid w:val="006C5C80"/>
    <w:rsid w:val="006D191F"/>
    <w:rsid w:val="006D249B"/>
    <w:rsid w:val="006D3FE7"/>
    <w:rsid w:val="006E3480"/>
    <w:rsid w:val="006E3E6B"/>
    <w:rsid w:val="006E533D"/>
    <w:rsid w:val="006E5650"/>
    <w:rsid w:val="006E6D93"/>
    <w:rsid w:val="006E7ECC"/>
    <w:rsid w:val="006F27E0"/>
    <w:rsid w:val="006F4255"/>
    <w:rsid w:val="006F7B69"/>
    <w:rsid w:val="00700A14"/>
    <w:rsid w:val="00721EFC"/>
    <w:rsid w:val="00723F62"/>
    <w:rsid w:val="00730777"/>
    <w:rsid w:val="007318A3"/>
    <w:rsid w:val="00732073"/>
    <w:rsid w:val="0073441C"/>
    <w:rsid w:val="00736E27"/>
    <w:rsid w:val="0073708A"/>
    <w:rsid w:val="00737C0F"/>
    <w:rsid w:val="007433DB"/>
    <w:rsid w:val="00743549"/>
    <w:rsid w:val="00744371"/>
    <w:rsid w:val="00744FE3"/>
    <w:rsid w:val="00746619"/>
    <w:rsid w:val="007507B8"/>
    <w:rsid w:val="00753EF1"/>
    <w:rsid w:val="00754299"/>
    <w:rsid w:val="00756995"/>
    <w:rsid w:val="00761710"/>
    <w:rsid w:val="00762AB5"/>
    <w:rsid w:val="00763C28"/>
    <w:rsid w:val="00765329"/>
    <w:rsid w:val="00766D5F"/>
    <w:rsid w:val="007807B9"/>
    <w:rsid w:val="00790D4B"/>
    <w:rsid w:val="0079610F"/>
    <w:rsid w:val="007B0C6F"/>
    <w:rsid w:val="007B3174"/>
    <w:rsid w:val="007B3B44"/>
    <w:rsid w:val="007B3D22"/>
    <w:rsid w:val="007C2E27"/>
    <w:rsid w:val="007C5F63"/>
    <w:rsid w:val="007D19AE"/>
    <w:rsid w:val="007D4057"/>
    <w:rsid w:val="007E5F6E"/>
    <w:rsid w:val="007F5B3D"/>
    <w:rsid w:val="007F73C5"/>
    <w:rsid w:val="008014E0"/>
    <w:rsid w:val="00802D72"/>
    <w:rsid w:val="008043AB"/>
    <w:rsid w:val="0081276D"/>
    <w:rsid w:val="00812BED"/>
    <w:rsid w:val="0081565B"/>
    <w:rsid w:val="00830F6F"/>
    <w:rsid w:val="00842215"/>
    <w:rsid w:val="00856931"/>
    <w:rsid w:val="0086501B"/>
    <w:rsid w:val="0087144E"/>
    <w:rsid w:val="00875F34"/>
    <w:rsid w:val="00881755"/>
    <w:rsid w:val="00882A45"/>
    <w:rsid w:val="0088554E"/>
    <w:rsid w:val="008A38D8"/>
    <w:rsid w:val="008A4F4D"/>
    <w:rsid w:val="008A595E"/>
    <w:rsid w:val="008B2B54"/>
    <w:rsid w:val="008B39F7"/>
    <w:rsid w:val="008B6F36"/>
    <w:rsid w:val="008B7B78"/>
    <w:rsid w:val="008C14BF"/>
    <w:rsid w:val="008C27E6"/>
    <w:rsid w:val="008C47F8"/>
    <w:rsid w:val="008D60E6"/>
    <w:rsid w:val="008E1EBB"/>
    <w:rsid w:val="008E52DC"/>
    <w:rsid w:val="008E6792"/>
    <w:rsid w:val="008E6BE5"/>
    <w:rsid w:val="008F1D34"/>
    <w:rsid w:val="008F6555"/>
    <w:rsid w:val="0090049D"/>
    <w:rsid w:val="0090356C"/>
    <w:rsid w:val="00904662"/>
    <w:rsid w:val="00913405"/>
    <w:rsid w:val="00913705"/>
    <w:rsid w:val="009205AF"/>
    <w:rsid w:val="00923D9E"/>
    <w:rsid w:val="00933171"/>
    <w:rsid w:val="00943361"/>
    <w:rsid w:val="00951C48"/>
    <w:rsid w:val="00962A08"/>
    <w:rsid w:val="009641AA"/>
    <w:rsid w:val="009710EF"/>
    <w:rsid w:val="0097127F"/>
    <w:rsid w:val="00973469"/>
    <w:rsid w:val="00976309"/>
    <w:rsid w:val="009776CC"/>
    <w:rsid w:val="00986821"/>
    <w:rsid w:val="0099007D"/>
    <w:rsid w:val="00990280"/>
    <w:rsid w:val="0099232A"/>
    <w:rsid w:val="00994F4C"/>
    <w:rsid w:val="009A110F"/>
    <w:rsid w:val="009A24AD"/>
    <w:rsid w:val="009A2936"/>
    <w:rsid w:val="009A5775"/>
    <w:rsid w:val="009A66A3"/>
    <w:rsid w:val="009B2087"/>
    <w:rsid w:val="009B29E9"/>
    <w:rsid w:val="009B2C34"/>
    <w:rsid w:val="009B323C"/>
    <w:rsid w:val="009B7821"/>
    <w:rsid w:val="009E6103"/>
    <w:rsid w:val="009E6854"/>
    <w:rsid w:val="009F313D"/>
    <w:rsid w:val="00A0120C"/>
    <w:rsid w:val="00A0339A"/>
    <w:rsid w:val="00A142CB"/>
    <w:rsid w:val="00A16D6B"/>
    <w:rsid w:val="00A20921"/>
    <w:rsid w:val="00A23BB1"/>
    <w:rsid w:val="00A31E52"/>
    <w:rsid w:val="00A346B8"/>
    <w:rsid w:val="00A35979"/>
    <w:rsid w:val="00A44E43"/>
    <w:rsid w:val="00A512AB"/>
    <w:rsid w:val="00A521AC"/>
    <w:rsid w:val="00A55B95"/>
    <w:rsid w:val="00A60D07"/>
    <w:rsid w:val="00A625E1"/>
    <w:rsid w:val="00A6287E"/>
    <w:rsid w:val="00A63C83"/>
    <w:rsid w:val="00A655B6"/>
    <w:rsid w:val="00A6773A"/>
    <w:rsid w:val="00A70253"/>
    <w:rsid w:val="00A75891"/>
    <w:rsid w:val="00A76378"/>
    <w:rsid w:val="00A85302"/>
    <w:rsid w:val="00A97E27"/>
    <w:rsid w:val="00A97F42"/>
    <w:rsid w:val="00AA3CA5"/>
    <w:rsid w:val="00AA4FEA"/>
    <w:rsid w:val="00AA6E18"/>
    <w:rsid w:val="00AB1170"/>
    <w:rsid w:val="00AB1F33"/>
    <w:rsid w:val="00AB1F6B"/>
    <w:rsid w:val="00AB7059"/>
    <w:rsid w:val="00AC1978"/>
    <w:rsid w:val="00AC25BD"/>
    <w:rsid w:val="00AC28F1"/>
    <w:rsid w:val="00AC35B7"/>
    <w:rsid w:val="00AC3C4C"/>
    <w:rsid w:val="00AD0292"/>
    <w:rsid w:val="00AD411A"/>
    <w:rsid w:val="00AD66CB"/>
    <w:rsid w:val="00AD7E91"/>
    <w:rsid w:val="00AE4D5D"/>
    <w:rsid w:val="00AE654E"/>
    <w:rsid w:val="00AF70FE"/>
    <w:rsid w:val="00B00CA2"/>
    <w:rsid w:val="00B05EC4"/>
    <w:rsid w:val="00B07B41"/>
    <w:rsid w:val="00B1018E"/>
    <w:rsid w:val="00B1238F"/>
    <w:rsid w:val="00B145EE"/>
    <w:rsid w:val="00B16373"/>
    <w:rsid w:val="00B20125"/>
    <w:rsid w:val="00B21A37"/>
    <w:rsid w:val="00B226A1"/>
    <w:rsid w:val="00B25616"/>
    <w:rsid w:val="00B339FF"/>
    <w:rsid w:val="00B34127"/>
    <w:rsid w:val="00B34D4B"/>
    <w:rsid w:val="00B405D0"/>
    <w:rsid w:val="00B4698B"/>
    <w:rsid w:val="00B46D98"/>
    <w:rsid w:val="00B50AD1"/>
    <w:rsid w:val="00B55C50"/>
    <w:rsid w:val="00B63D7C"/>
    <w:rsid w:val="00B63DD8"/>
    <w:rsid w:val="00B64601"/>
    <w:rsid w:val="00B649E1"/>
    <w:rsid w:val="00B7174D"/>
    <w:rsid w:val="00B71D2B"/>
    <w:rsid w:val="00B729D8"/>
    <w:rsid w:val="00B77602"/>
    <w:rsid w:val="00B8057D"/>
    <w:rsid w:val="00B8193F"/>
    <w:rsid w:val="00B92B74"/>
    <w:rsid w:val="00BA165F"/>
    <w:rsid w:val="00BA1DFC"/>
    <w:rsid w:val="00BC2F8D"/>
    <w:rsid w:val="00BC55F7"/>
    <w:rsid w:val="00BD616C"/>
    <w:rsid w:val="00BD77E1"/>
    <w:rsid w:val="00BD79D4"/>
    <w:rsid w:val="00BE049C"/>
    <w:rsid w:val="00BE2182"/>
    <w:rsid w:val="00BE2B2D"/>
    <w:rsid w:val="00BF19B6"/>
    <w:rsid w:val="00C04DAD"/>
    <w:rsid w:val="00C1307F"/>
    <w:rsid w:val="00C13F7A"/>
    <w:rsid w:val="00C168B6"/>
    <w:rsid w:val="00C21508"/>
    <w:rsid w:val="00C22FF5"/>
    <w:rsid w:val="00C31CE5"/>
    <w:rsid w:val="00C32B49"/>
    <w:rsid w:val="00C344A4"/>
    <w:rsid w:val="00C37291"/>
    <w:rsid w:val="00C415F7"/>
    <w:rsid w:val="00C524D8"/>
    <w:rsid w:val="00C52B97"/>
    <w:rsid w:val="00C54A9C"/>
    <w:rsid w:val="00C5752E"/>
    <w:rsid w:val="00C60A21"/>
    <w:rsid w:val="00C60ABA"/>
    <w:rsid w:val="00C70F6A"/>
    <w:rsid w:val="00C81A8A"/>
    <w:rsid w:val="00C82D61"/>
    <w:rsid w:val="00C84B81"/>
    <w:rsid w:val="00C85EF1"/>
    <w:rsid w:val="00C870E4"/>
    <w:rsid w:val="00C9251E"/>
    <w:rsid w:val="00C963F1"/>
    <w:rsid w:val="00C96C5C"/>
    <w:rsid w:val="00CB004E"/>
    <w:rsid w:val="00CB33D0"/>
    <w:rsid w:val="00CB6346"/>
    <w:rsid w:val="00CB6FD3"/>
    <w:rsid w:val="00CB7EC8"/>
    <w:rsid w:val="00CC3C3C"/>
    <w:rsid w:val="00CC4B32"/>
    <w:rsid w:val="00CC4D91"/>
    <w:rsid w:val="00CD07F1"/>
    <w:rsid w:val="00CD21B3"/>
    <w:rsid w:val="00CD315A"/>
    <w:rsid w:val="00CD3BFF"/>
    <w:rsid w:val="00CE0C1C"/>
    <w:rsid w:val="00CE1B31"/>
    <w:rsid w:val="00CE6890"/>
    <w:rsid w:val="00CE75AB"/>
    <w:rsid w:val="00CF0AD2"/>
    <w:rsid w:val="00CF2561"/>
    <w:rsid w:val="00CF6F83"/>
    <w:rsid w:val="00D006DD"/>
    <w:rsid w:val="00D074AE"/>
    <w:rsid w:val="00D16F78"/>
    <w:rsid w:val="00D22848"/>
    <w:rsid w:val="00D239E4"/>
    <w:rsid w:val="00D271C2"/>
    <w:rsid w:val="00D33E14"/>
    <w:rsid w:val="00D40242"/>
    <w:rsid w:val="00D40B11"/>
    <w:rsid w:val="00D4180D"/>
    <w:rsid w:val="00D44E33"/>
    <w:rsid w:val="00D46407"/>
    <w:rsid w:val="00D54756"/>
    <w:rsid w:val="00D60F50"/>
    <w:rsid w:val="00D626CD"/>
    <w:rsid w:val="00D6412D"/>
    <w:rsid w:val="00D668DF"/>
    <w:rsid w:val="00D816A8"/>
    <w:rsid w:val="00D82505"/>
    <w:rsid w:val="00DA1F89"/>
    <w:rsid w:val="00DA5B46"/>
    <w:rsid w:val="00DA6487"/>
    <w:rsid w:val="00DA7A1E"/>
    <w:rsid w:val="00DB0583"/>
    <w:rsid w:val="00DB2502"/>
    <w:rsid w:val="00DB569A"/>
    <w:rsid w:val="00DB61B6"/>
    <w:rsid w:val="00DC4B1F"/>
    <w:rsid w:val="00DD7E94"/>
    <w:rsid w:val="00DE4F65"/>
    <w:rsid w:val="00DE614B"/>
    <w:rsid w:val="00DF15F8"/>
    <w:rsid w:val="00DF4975"/>
    <w:rsid w:val="00E07EF6"/>
    <w:rsid w:val="00E15201"/>
    <w:rsid w:val="00E17C60"/>
    <w:rsid w:val="00E24589"/>
    <w:rsid w:val="00E3203C"/>
    <w:rsid w:val="00E37CB2"/>
    <w:rsid w:val="00E46607"/>
    <w:rsid w:val="00E47FF9"/>
    <w:rsid w:val="00E54B7A"/>
    <w:rsid w:val="00E565D7"/>
    <w:rsid w:val="00E56F69"/>
    <w:rsid w:val="00E61B9D"/>
    <w:rsid w:val="00E678B6"/>
    <w:rsid w:val="00E73A88"/>
    <w:rsid w:val="00E74527"/>
    <w:rsid w:val="00E75AFE"/>
    <w:rsid w:val="00E7762D"/>
    <w:rsid w:val="00E82549"/>
    <w:rsid w:val="00E849AD"/>
    <w:rsid w:val="00E9338C"/>
    <w:rsid w:val="00E9499B"/>
    <w:rsid w:val="00E97228"/>
    <w:rsid w:val="00EA0DE4"/>
    <w:rsid w:val="00EA1639"/>
    <w:rsid w:val="00EA5E0C"/>
    <w:rsid w:val="00EB0C61"/>
    <w:rsid w:val="00EB40A6"/>
    <w:rsid w:val="00EB4E5E"/>
    <w:rsid w:val="00EB6D07"/>
    <w:rsid w:val="00EC0502"/>
    <w:rsid w:val="00EC620B"/>
    <w:rsid w:val="00EE0B30"/>
    <w:rsid w:val="00EE5E02"/>
    <w:rsid w:val="00EE5FD6"/>
    <w:rsid w:val="00EF69FD"/>
    <w:rsid w:val="00F016B7"/>
    <w:rsid w:val="00F02A72"/>
    <w:rsid w:val="00F048CE"/>
    <w:rsid w:val="00F05C85"/>
    <w:rsid w:val="00F06996"/>
    <w:rsid w:val="00F11A42"/>
    <w:rsid w:val="00F21C5C"/>
    <w:rsid w:val="00F23A3A"/>
    <w:rsid w:val="00F24402"/>
    <w:rsid w:val="00F24F03"/>
    <w:rsid w:val="00F270FE"/>
    <w:rsid w:val="00F30F02"/>
    <w:rsid w:val="00F31122"/>
    <w:rsid w:val="00F34A03"/>
    <w:rsid w:val="00F352AE"/>
    <w:rsid w:val="00F357EA"/>
    <w:rsid w:val="00F43C78"/>
    <w:rsid w:val="00F45ED1"/>
    <w:rsid w:val="00F55112"/>
    <w:rsid w:val="00F5694F"/>
    <w:rsid w:val="00F60224"/>
    <w:rsid w:val="00F60C83"/>
    <w:rsid w:val="00F60CFA"/>
    <w:rsid w:val="00F6201A"/>
    <w:rsid w:val="00F82D8D"/>
    <w:rsid w:val="00F83DAF"/>
    <w:rsid w:val="00F85275"/>
    <w:rsid w:val="00F87A2F"/>
    <w:rsid w:val="00F93B05"/>
    <w:rsid w:val="00F96563"/>
    <w:rsid w:val="00F96DB2"/>
    <w:rsid w:val="00FA1B78"/>
    <w:rsid w:val="00FA2D75"/>
    <w:rsid w:val="00FA317C"/>
    <w:rsid w:val="00FA5948"/>
    <w:rsid w:val="00FA5CB6"/>
    <w:rsid w:val="00FB0920"/>
    <w:rsid w:val="00FB0F49"/>
    <w:rsid w:val="00FB2FCA"/>
    <w:rsid w:val="00FB54F0"/>
    <w:rsid w:val="00FC035D"/>
    <w:rsid w:val="00FC1536"/>
    <w:rsid w:val="00FC36D5"/>
    <w:rsid w:val="00FC5FF5"/>
    <w:rsid w:val="00FC6ACE"/>
    <w:rsid w:val="00FD1A22"/>
    <w:rsid w:val="00FE03B9"/>
    <w:rsid w:val="00FE4E20"/>
    <w:rsid w:val="00FE5EB0"/>
    <w:rsid w:val="00FE7A9F"/>
    <w:rsid w:val="00FF22D0"/>
    <w:rsid w:val="00FF4E64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1EB3"/>
  <w15:chartTrackingRefBased/>
  <w15:docId w15:val="{4A80AD57-E45B-4D77-A4EA-919F9EF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#List Paragraph,Recommendation,List Paragraph1,List Paragraph11,L,SAP Subpara"/>
    <w:basedOn w:val="Normal"/>
    <w:link w:val="ListParagraphChar"/>
    <w:uiPriority w:val="34"/>
    <w:qFormat/>
    <w:rsid w:val="004013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01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1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1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4B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B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0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F1"/>
  </w:style>
  <w:style w:type="paragraph" w:styleId="Footer">
    <w:name w:val="footer"/>
    <w:basedOn w:val="Normal"/>
    <w:link w:val="FooterChar"/>
    <w:uiPriority w:val="99"/>
    <w:unhideWhenUsed/>
    <w:rsid w:val="00CD0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F1"/>
  </w:style>
  <w:style w:type="table" w:styleId="TableGrid">
    <w:name w:val="Table Grid"/>
    <w:basedOn w:val="TableNormal"/>
    <w:uiPriority w:val="39"/>
    <w:rsid w:val="0026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5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52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52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5051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05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0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50510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5743"/>
    <w:rPr>
      <w:b/>
      <w:bCs/>
    </w:rPr>
  </w:style>
  <w:style w:type="character" w:customStyle="1" w:styleId="ListParagraphChar">
    <w:name w:val="List Paragraph Char"/>
    <w:aliases w:val="#List Paragraph Char,Recommendation Char,List Paragraph1 Char,List Paragraph11 Char,L Char,SAP Subpara Char"/>
    <w:basedOn w:val="DefaultParagraphFont"/>
    <w:link w:val="ListParagraph"/>
    <w:uiPriority w:val="34"/>
    <w:locked/>
    <w:rsid w:val="00856931"/>
  </w:style>
  <w:style w:type="paragraph" w:styleId="Title">
    <w:name w:val="Title"/>
    <w:basedOn w:val="Normal"/>
    <w:next w:val="Normal"/>
    <w:link w:val="TitleChar"/>
    <w:qFormat/>
    <w:rsid w:val="00F6201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F6201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qFormat/>
    <w:rsid w:val="00F6201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F6201A"/>
    <w:rPr>
      <w:rFonts w:eastAsiaTheme="minorEastAsia" w:cs="Times New Roman"/>
      <w:color w:val="5A5A5A" w:themeColor="text1" w:themeTint="A5"/>
      <w:spacing w:val="15"/>
      <w:lang w:val="en-US"/>
    </w:rPr>
  </w:style>
  <w:style w:type="paragraph" w:styleId="NoSpacing">
    <w:name w:val="No Spacing"/>
    <w:link w:val="NoSpacingChar"/>
    <w:uiPriority w:val="1"/>
    <w:qFormat/>
    <w:rsid w:val="00F620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201A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6E2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82308"/>
    <w:pPr>
      <w:spacing w:before="120" w:after="200" w:line="240" w:lineRule="auto"/>
    </w:pPr>
    <w:rPr>
      <w:rFonts w:eastAsia="Times New Roman" w:cs="Times New Roman"/>
      <w:b/>
      <w:bCs/>
      <w:sz w:val="24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cid:image004.png@01D65467.576CEF9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image003.png@01D65467.576CEF90" TargetMode="External"/><Relationship Id="rId20" Type="http://schemas.openxmlformats.org/officeDocument/2006/relationships/image" Target="cid:image006.png@01D65467.576CEF9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png@01D65467.576CEF90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\\central.health\dfsuserenv\Users\User_11\PHILBP\Documents\www.health.gov.au\resources\publications\resource-utilisation-and-classification-study-rucs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A927164838BD4BB90D0ABE7093D2DA" ma:contentTypeVersion="" ma:contentTypeDescription="PDMS Document Site Content Type" ma:contentTypeScope="" ma:versionID="927a290b77be030e522446f8efc68fa7">
  <xsd:schema xmlns:xsd="http://www.w3.org/2001/XMLSchema" xmlns:xs="http://www.w3.org/2001/XMLSchema" xmlns:p="http://schemas.microsoft.com/office/2006/metadata/properties" xmlns:ns2="CF9931B6-DEB0-461C-AE35-6B4AA476256B" targetNamespace="http://schemas.microsoft.com/office/2006/metadata/properties" ma:root="true" ma:fieldsID="364a7986268159645322ce628f6bf6ad" ns2:_="">
    <xsd:import namespace="CF9931B6-DEB0-461C-AE35-6B4AA476256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1B6-DEB0-461C-AE35-6B4AA476256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931B6-DEB0-461C-AE35-6B4AA4762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37DE-0996-4C90-95B1-3DD63E67A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931B6-DEB0-461C-AE35-6B4AA476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C02F9-96F4-4E26-9EB0-38C4A6CB59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9931B6-DEB0-461C-AE35-6B4AA47625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5593BD-0003-4377-A6A2-FAC5E344C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1D8D5-629F-43E8-97A9-EBC94DAE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Algie</dc:creator>
  <cp:keywords/>
  <dc:description/>
  <cp:lastModifiedBy>PHILBRICK, Penny</cp:lastModifiedBy>
  <cp:revision>2</cp:revision>
  <cp:lastPrinted>2020-03-02T02:16:00Z</cp:lastPrinted>
  <dcterms:created xsi:type="dcterms:W3CDTF">2020-10-07T01:04:00Z</dcterms:created>
  <dcterms:modified xsi:type="dcterms:W3CDTF">2020-10-07T01:04:00Z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0x010100266966F133664895A6EE3632470D45F5004EA927164838BD4BB90D0ABE7093D2DA</vt:lpwstr>
  </property>
</Properties>
</file>