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E4" w:rsidRDefault="00D8450A" w:rsidP="00B410CA">
      <w:pPr>
        <w:spacing w:after="480"/>
        <w:jc w:val="center"/>
        <w:rPr>
          <w:noProof/>
          <w:sz w:val="28"/>
          <w:szCs w:val="28"/>
        </w:rPr>
      </w:pPr>
      <w:bookmarkStart w:id="0" w:name="imageHolder"/>
      <w:bookmarkEnd w:id="0"/>
      <w:r w:rsidRPr="00D912DB">
        <w:rPr>
          <w:noProof/>
          <w:sz w:val="28"/>
          <w:szCs w:val="28"/>
        </w:rPr>
        <w:drawing>
          <wp:inline distT="0" distB="0" distL="0" distR="0" wp14:anchorId="1830D032" wp14:editId="23AFDA85">
            <wp:extent cx="1688400" cy="1119600"/>
            <wp:effectExtent l="0" t="0" r="7620" b="4445"/>
            <wp:docPr id="2" name="Picture 2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DBE" w:rsidRPr="007E54C5" w:rsidRDefault="00753ADC" w:rsidP="000A6DED">
      <w:pPr>
        <w:pStyle w:val="Heading1"/>
      </w:pPr>
      <w:r w:rsidRPr="007E54C5">
        <w:t>Outcome of</w:t>
      </w:r>
      <w:r w:rsidR="001F6DBE" w:rsidRPr="007E54C5">
        <w:t xml:space="preserve"> the application from </w:t>
      </w:r>
      <w:r w:rsidRPr="007E54C5">
        <w:t>Alexion Pharmaceuticals Australasia Pty Ltd</w:t>
      </w:r>
      <w:r w:rsidR="001F6DBE" w:rsidRPr="007E54C5">
        <w:t xml:space="preserve"> </w:t>
      </w:r>
      <w:r w:rsidRPr="007E54C5">
        <w:t>to</w:t>
      </w:r>
      <w:r w:rsidR="001F6DBE" w:rsidRPr="007E54C5">
        <w:t xml:space="preserve"> </w:t>
      </w:r>
      <w:r w:rsidRPr="007E54C5">
        <w:t>include</w:t>
      </w:r>
      <w:r w:rsidR="001F6DBE" w:rsidRPr="007E54C5">
        <w:t xml:space="preserve"> Strensiq® (asfotase alfa) on the Life Saving Drugs Program for the treatment of </w:t>
      </w:r>
      <w:r w:rsidRPr="007E54C5">
        <w:t xml:space="preserve">peri-natal and infantile onset </w:t>
      </w:r>
      <w:r w:rsidR="001F6DBE" w:rsidRPr="007E54C5">
        <w:t>hypophosphatasia.</w:t>
      </w:r>
    </w:p>
    <w:p w:rsidR="007E54C5" w:rsidRDefault="007E54C5" w:rsidP="001F6DBE">
      <w:pPr>
        <w:rPr>
          <w:rFonts w:cs="Arial"/>
        </w:rPr>
      </w:pPr>
    </w:p>
    <w:p w:rsidR="005C589F" w:rsidRDefault="005C589F" w:rsidP="001F6DBE">
      <w:pPr>
        <w:rPr>
          <w:rFonts w:cstheme="minorHAnsi"/>
        </w:rPr>
      </w:pPr>
      <w:r>
        <w:rPr>
          <w:rFonts w:cs="Arial"/>
        </w:rPr>
        <w:t>A</w:t>
      </w:r>
      <w:r w:rsidR="00E21A22">
        <w:rPr>
          <w:rFonts w:cs="Arial"/>
        </w:rPr>
        <w:t xml:space="preserve">t their July 2017 meeting, the </w:t>
      </w:r>
      <w:r>
        <w:rPr>
          <w:rFonts w:cs="Arial"/>
        </w:rPr>
        <w:t xml:space="preserve"> </w:t>
      </w:r>
      <w:r w:rsidR="00672185">
        <w:rPr>
          <w:rFonts w:cstheme="minorHAnsi"/>
        </w:rPr>
        <w:t>Phar</w:t>
      </w:r>
      <w:r w:rsidR="00E21A22">
        <w:rPr>
          <w:rFonts w:cstheme="minorHAnsi"/>
        </w:rPr>
        <w:t xml:space="preserve">maceutical Benefits Advisory Committee (PBAC) considered, and rejected, a </w:t>
      </w:r>
      <w:r>
        <w:rPr>
          <w:rFonts w:cs="Arial"/>
        </w:rPr>
        <w:t>submission</w:t>
      </w:r>
      <w:r w:rsidR="00E21A22">
        <w:rPr>
          <w:rFonts w:cs="Arial"/>
        </w:rPr>
        <w:t xml:space="preserve"> from</w:t>
      </w:r>
      <w:r>
        <w:rPr>
          <w:rFonts w:cs="Arial"/>
        </w:rPr>
        <w:t xml:space="preserve"> </w:t>
      </w:r>
      <w:r w:rsidR="00E21A22">
        <w:rPr>
          <w:rFonts w:cstheme="minorHAnsi"/>
        </w:rPr>
        <w:t>Alexion Pharmaceuticals Australasia Pty Ltd</w:t>
      </w:r>
      <w:r w:rsidR="00E21A22">
        <w:rPr>
          <w:rFonts w:cs="Arial"/>
        </w:rPr>
        <w:t xml:space="preserve"> requesting</w:t>
      </w:r>
      <w:r>
        <w:rPr>
          <w:rFonts w:cs="Arial"/>
        </w:rPr>
        <w:t xml:space="preserve"> the listing of </w:t>
      </w:r>
      <w:r w:rsidRPr="001F6DBE">
        <w:rPr>
          <w:rFonts w:cstheme="minorHAnsi"/>
        </w:rPr>
        <w:t>Strensiq®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asfotase</w:t>
      </w:r>
      <w:proofErr w:type="spellEnd"/>
      <w:r>
        <w:rPr>
          <w:rFonts w:cstheme="minorHAnsi"/>
        </w:rPr>
        <w:t xml:space="preserve"> alfa)</w:t>
      </w:r>
      <w:r w:rsidR="00E21A22">
        <w:rPr>
          <w:rFonts w:cstheme="minorHAnsi"/>
        </w:rPr>
        <w:t>,</w:t>
      </w:r>
      <w:r>
        <w:rPr>
          <w:rFonts w:cstheme="minorHAnsi"/>
        </w:rPr>
        <w:t xml:space="preserve"> on the Pharmaceutical Benefits Scheme (PBS) for the treatment of patients with paediatric-onset </w:t>
      </w:r>
      <w:proofErr w:type="spellStart"/>
      <w:r>
        <w:rPr>
          <w:rFonts w:cstheme="minorHAnsi"/>
        </w:rPr>
        <w:t>hypophosphatasia</w:t>
      </w:r>
      <w:proofErr w:type="spellEnd"/>
      <w:r>
        <w:rPr>
          <w:rFonts w:cstheme="minorHAnsi"/>
        </w:rPr>
        <w:t xml:space="preserve"> (HPP)</w:t>
      </w:r>
      <w:r w:rsidR="00E21A2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DC1AB0" w:rsidRDefault="005C589F" w:rsidP="001F6DBE">
      <w:pPr>
        <w:rPr>
          <w:rFonts w:cstheme="minorHAnsi"/>
        </w:rPr>
      </w:pPr>
      <w:r>
        <w:rPr>
          <w:rFonts w:cstheme="minorHAnsi"/>
        </w:rPr>
        <w:t xml:space="preserve">The PBAC </w:t>
      </w:r>
      <w:r w:rsidR="00E21A22">
        <w:rPr>
          <w:rFonts w:cstheme="minorHAnsi"/>
        </w:rPr>
        <w:t xml:space="preserve">noted the submission’s request that consideration be given to including </w:t>
      </w:r>
      <w:r w:rsidR="00E21A22" w:rsidRPr="001F6DBE">
        <w:rPr>
          <w:rFonts w:cstheme="minorHAnsi"/>
        </w:rPr>
        <w:t>Strensiq®</w:t>
      </w:r>
      <w:r w:rsidR="00E21A22">
        <w:rPr>
          <w:rFonts w:cstheme="minorHAnsi"/>
        </w:rPr>
        <w:t xml:space="preserve"> on the Life Saving Drugs Program (LSDP) for paediatric-onset, and further noted that the Commonwealth CMO was responsible for </w:t>
      </w:r>
      <w:r w:rsidR="00DC1AB0">
        <w:rPr>
          <w:rFonts w:cstheme="minorHAnsi"/>
        </w:rPr>
        <w:t>advising the Minister on drugs proposed for inclusion on the LSDP</w:t>
      </w:r>
      <w:r w:rsidR="00E21A22">
        <w:rPr>
          <w:rFonts w:cstheme="minorHAnsi"/>
        </w:rPr>
        <w:t>.</w:t>
      </w:r>
    </w:p>
    <w:p w:rsidR="005C589F" w:rsidRDefault="00DC1AB0" w:rsidP="001F6DBE">
      <w:pPr>
        <w:rPr>
          <w:rFonts w:cstheme="minorHAnsi"/>
        </w:rPr>
      </w:pPr>
      <w:r>
        <w:rPr>
          <w:rFonts w:cstheme="minorHAnsi"/>
        </w:rPr>
        <w:t>The PBAC noted for the CMO that a</w:t>
      </w:r>
      <w:bookmarkStart w:id="1" w:name="_GoBack"/>
      <w:bookmarkEnd w:id="1"/>
      <w:r>
        <w:rPr>
          <w:rFonts w:cstheme="minorHAnsi"/>
        </w:rPr>
        <w:t xml:space="preserve"> number of outcomes from the PBAC’s review of </w:t>
      </w:r>
      <w:r w:rsidRPr="001F6DBE">
        <w:rPr>
          <w:rFonts w:cstheme="minorHAnsi"/>
        </w:rPr>
        <w:t>Strensiq®</w:t>
      </w:r>
      <w:r>
        <w:rPr>
          <w:rFonts w:cstheme="minorHAnsi"/>
        </w:rPr>
        <w:t xml:space="preserve"> might be relevant, including that any survival advantage associated with treatment with </w:t>
      </w:r>
      <w:r w:rsidRPr="001F6DBE">
        <w:rPr>
          <w:rFonts w:cstheme="minorHAnsi"/>
        </w:rPr>
        <w:t>Strensiq®</w:t>
      </w:r>
      <w:r w:rsidR="00E21A22">
        <w:rPr>
          <w:rFonts w:cstheme="minorHAnsi"/>
        </w:rPr>
        <w:t xml:space="preserve"> </w:t>
      </w:r>
      <w:r>
        <w:rPr>
          <w:rFonts w:cstheme="minorHAnsi"/>
        </w:rPr>
        <w:t>is limited to patients with perinatal- and infantile-onset HPP who are at high risk of premature death, and that, for a number of reasons, the PBS may be the most appropriate mechanism for subsidising treatments for juvenile onset HPP.</w:t>
      </w:r>
    </w:p>
    <w:p w:rsidR="005C589F" w:rsidRDefault="005C589F" w:rsidP="001F6DBE">
      <w:pPr>
        <w:rPr>
          <w:rFonts w:cstheme="minorHAnsi"/>
        </w:rPr>
      </w:pPr>
      <w:r>
        <w:rPr>
          <w:rFonts w:cstheme="minorHAnsi"/>
        </w:rPr>
        <w:t xml:space="preserve">For further information refer to the Public Summary Document related to the PBAC’s consideration: </w:t>
      </w:r>
      <w:hyperlink r:id="rId8" w:history="1">
        <w:r w:rsidRPr="00804964">
          <w:rPr>
            <w:rStyle w:val="Hyperlink"/>
            <w:rFonts w:cstheme="minorHAnsi"/>
          </w:rPr>
          <w:t>http://www.pbs.gov.au/industry/listing/elements/pbac-meetings/psd/2017-07/files/asfotase-alfa-rch-psd-july-2017.pdf</w:t>
        </w:r>
      </w:hyperlink>
    </w:p>
    <w:p w:rsidR="007A64FB" w:rsidRDefault="007A64FB" w:rsidP="001F6DBE">
      <w:pPr>
        <w:rPr>
          <w:rFonts w:cs="Arial"/>
        </w:rPr>
      </w:pPr>
      <w:r>
        <w:rPr>
          <w:rFonts w:cs="Arial"/>
        </w:rPr>
        <w:t>Following the consideration by the PBAC, the sponsor applied for inclusion on the LSDP for patients with perinatal- and infantile-onset HPP.</w:t>
      </w:r>
    </w:p>
    <w:p w:rsidR="001F6DBE" w:rsidRPr="001F6DBE" w:rsidRDefault="007A64FB" w:rsidP="001F6DBE">
      <w:pPr>
        <w:rPr>
          <w:rFonts w:cs="Arial"/>
        </w:rPr>
      </w:pPr>
      <w:r>
        <w:rPr>
          <w:rFonts w:cs="Arial"/>
        </w:rPr>
        <w:t>T</w:t>
      </w:r>
      <w:r w:rsidR="001F6DBE" w:rsidRPr="001F6DBE">
        <w:rPr>
          <w:rFonts w:cs="Arial"/>
        </w:rPr>
        <w:t xml:space="preserve">he CMO </w:t>
      </w:r>
      <w:r>
        <w:rPr>
          <w:rFonts w:cs="Arial"/>
        </w:rPr>
        <w:t xml:space="preserve">subsequently </w:t>
      </w:r>
      <w:r w:rsidR="001F6DBE" w:rsidRPr="001F6DBE">
        <w:rPr>
          <w:rFonts w:cs="Arial"/>
        </w:rPr>
        <w:t xml:space="preserve">recommended </w:t>
      </w:r>
      <w:r w:rsidR="001F6DBE">
        <w:rPr>
          <w:rFonts w:cs="Arial"/>
        </w:rPr>
        <w:t xml:space="preserve">that </w:t>
      </w:r>
      <w:r w:rsidR="001F6DBE" w:rsidRPr="001F6DBE">
        <w:rPr>
          <w:rFonts w:cstheme="minorHAnsi"/>
        </w:rPr>
        <w:t xml:space="preserve">Strensiq® </w:t>
      </w:r>
      <w:r w:rsidR="001F6DBE" w:rsidRPr="001F6DBE">
        <w:rPr>
          <w:rFonts w:cs="Arial"/>
        </w:rPr>
        <w:t xml:space="preserve">be included on the LSDP </w:t>
      </w:r>
      <w:r w:rsidR="00B410CA">
        <w:rPr>
          <w:rFonts w:cs="Arial"/>
        </w:rPr>
        <w:t xml:space="preserve">for </w:t>
      </w:r>
      <w:r w:rsidR="001F6DBE" w:rsidRPr="001F6DBE">
        <w:rPr>
          <w:rFonts w:cs="Arial"/>
        </w:rPr>
        <w:t>patients with perinatal</w:t>
      </w:r>
      <w:r>
        <w:rPr>
          <w:rFonts w:cs="Arial"/>
        </w:rPr>
        <w:t xml:space="preserve">- </w:t>
      </w:r>
      <w:r w:rsidR="001F6DBE" w:rsidRPr="001F6DBE">
        <w:rPr>
          <w:rFonts w:cs="Arial"/>
        </w:rPr>
        <w:t>infantile</w:t>
      </w:r>
      <w:r>
        <w:rPr>
          <w:rFonts w:cs="Arial"/>
        </w:rPr>
        <w:t>-</w:t>
      </w:r>
      <w:r w:rsidR="001F6DBE" w:rsidRPr="001F6DBE">
        <w:rPr>
          <w:rFonts w:cs="Arial"/>
        </w:rPr>
        <w:t xml:space="preserve">onset </w:t>
      </w:r>
      <w:r w:rsidR="00DC1AB0">
        <w:rPr>
          <w:rFonts w:cs="Arial"/>
        </w:rPr>
        <w:t>HPP</w:t>
      </w:r>
      <w:r w:rsidR="001F6DBE" w:rsidRPr="001F6DBE">
        <w:rPr>
          <w:rFonts w:cs="Arial"/>
        </w:rPr>
        <w:t>. The CMO’s recommendations included a number of funding and access conditions.</w:t>
      </w:r>
    </w:p>
    <w:p w:rsidR="001F6DBE" w:rsidRPr="001F6DBE" w:rsidRDefault="00B410CA" w:rsidP="00EC4A7B">
      <w:pPr>
        <w:spacing w:after="480"/>
        <w:rPr>
          <w:rFonts w:cstheme="minorHAnsi"/>
        </w:rPr>
      </w:pPr>
      <w:r>
        <w:rPr>
          <w:rFonts w:cstheme="minorHAnsi"/>
        </w:rPr>
        <w:t xml:space="preserve">The Department and </w:t>
      </w:r>
      <w:r w:rsidR="001F6DBE" w:rsidRPr="001F6DBE">
        <w:rPr>
          <w:rFonts w:cstheme="minorHAnsi"/>
        </w:rPr>
        <w:t xml:space="preserve">Alexion </w:t>
      </w:r>
      <w:r>
        <w:rPr>
          <w:rFonts w:cstheme="minorHAnsi"/>
        </w:rPr>
        <w:t xml:space="preserve">have been unable to come to an agreement around the funding and access conditions </w:t>
      </w:r>
      <w:r w:rsidR="001F6DBE" w:rsidRPr="001F6DBE">
        <w:rPr>
          <w:rFonts w:cstheme="minorHAnsi"/>
        </w:rPr>
        <w:t xml:space="preserve">for the listing of </w:t>
      </w:r>
      <w:proofErr w:type="spellStart"/>
      <w:r w:rsidR="001F6DBE" w:rsidRPr="001F6DBE">
        <w:rPr>
          <w:rFonts w:cstheme="minorHAnsi"/>
        </w:rPr>
        <w:t>asfotase</w:t>
      </w:r>
      <w:proofErr w:type="spellEnd"/>
      <w:r w:rsidR="001F6DBE" w:rsidRPr="001F6DBE">
        <w:rPr>
          <w:rFonts w:cstheme="minorHAnsi"/>
        </w:rPr>
        <w:t xml:space="preserve"> alfa on the LSDP</w:t>
      </w:r>
      <w:r>
        <w:rPr>
          <w:rFonts w:cstheme="minorHAnsi"/>
        </w:rPr>
        <w:t xml:space="preserve">, and as such the sponsor has notified the Department that the listing will not go ahead at this time. </w:t>
      </w:r>
    </w:p>
    <w:p w:rsidR="007E54C5" w:rsidRPr="007E54C5" w:rsidRDefault="001F6DBE" w:rsidP="000A6DED">
      <w:pPr>
        <w:pStyle w:val="Heading2"/>
      </w:pPr>
      <w:r w:rsidRPr="000A6DED">
        <w:t>Sponsor’s Comment</w:t>
      </w:r>
      <w:r>
        <w:t>:</w:t>
      </w:r>
    </w:p>
    <w:p w:rsidR="001F6DBE" w:rsidRPr="001F6DBE" w:rsidRDefault="00096135" w:rsidP="00EC4A7B">
      <w:pPr>
        <w:spacing w:after="480"/>
        <w:rPr>
          <w:rFonts w:cstheme="minorHAnsi"/>
          <w:b/>
          <w:noProof/>
        </w:rPr>
      </w:pPr>
      <w:r w:rsidRPr="00096135">
        <w:rPr>
          <w:rFonts w:cstheme="minorHAnsi"/>
        </w:rPr>
        <w:t>Strensiq is a proven transformative medication that addresses a significant unmet clinical need for a small number of pat</w:t>
      </w:r>
      <w:r>
        <w:rPr>
          <w:rFonts w:cstheme="minorHAnsi"/>
        </w:rPr>
        <w:t>ients with paediatric-onset HPP</w:t>
      </w:r>
      <w:r w:rsidRPr="00096135">
        <w:rPr>
          <w:rFonts w:cstheme="minorHAnsi"/>
        </w:rPr>
        <w:t>. Alexion will actively pursue a future listing for Strensiq when further data demonstrating its value is ava</w:t>
      </w:r>
      <w:r>
        <w:rPr>
          <w:rFonts w:cstheme="minorHAnsi"/>
        </w:rPr>
        <w:t>ilable from real-world sources.</w:t>
      </w:r>
    </w:p>
    <w:sectPr w:rsidR="001F6DBE" w:rsidRPr="001F6DBE" w:rsidSect="009662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BE" w:rsidRDefault="001F6DBE">
      <w:r>
        <w:separator/>
      </w:r>
    </w:p>
  </w:endnote>
  <w:endnote w:type="continuationSeparator" w:id="0">
    <w:p w:rsidR="001F6DBE" w:rsidRDefault="001F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82" w:rsidRDefault="00884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82" w:rsidRDefault="008845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DB" w:rsidRPr="00CF3477" w:rsidRDefault="001F6DBE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GPO Box 9848 Canberra ACT 2601</w:t>
    </w:r>
    <w:r w:rsidR="00DD5414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BE" w:rsidRDefault="001F6DBE">
      <w:r>
        <w:separator/>
      </w:r>
    </w:p>
  </w:footnote>
  <w:footnote w:type="continuationSeparator" w:id="0">
    <w:p w:rsidR="001F6DBE" w:rsidRDefault="001F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82" w:rsidRDefault="00884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DB" w:rsidRDefault="00D912DB">
    <w:pPr>
      <w:pStyle w:val="Head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2BB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582" w:rsidRDefault="00884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BE"/>
    <w:rsid w:val="0000021D"/>
    <w:rsid w:val="00041E2E"/>
    <w:rsid w:val="000460C4"/>
    <w:rsid w:val="00047105"/>
    <w:rsid w:val="00063FB6"/>
    <w:rsid w:val="00072F0C"/>
    <w:rsid w:val="000906BD"/>
    <w:rsid w:val="00096135"/>
    <w:rsid w:val="000A6DED"/>
    <w:rsid w:val="000B478D"/>
    <w:rsid w:val="000E4D22"/>
    <w:rsid w:val="000F2591"/>
    <w:rsid w:val="001014B8"/>
    <w:rsid w:val="00112C73"/>
    <w:rsid w:val="001162DE"/>
    <w:rsid w:val="001305E2"/>
    <w:rsid w:val="001572D2"/>
    <w:rsid w:val="00160564"/>
    <w:rsid w:val="0017608F"/>
    <w:rsid w:val="00190EE6"/>
    <w:rsid w:val="0019136C"/>
    <w:rsid w:val="001C595D"/>
    <w:rsid w:val="001D75A2"/>
    <w:rsid w:val="001E4026"/>
    <w:rsid w:val="001F0D48"/>
    <w:rsid w:val="001F6DBE"/>
    <w:rsid w:val="00235958"/>
    <w:rsid w:val="002426B3"/>
    <w:rsid w:val="0024276B"/>
    <w:rsid w:val="00251E49"/>
    <w:rsid w:val="00273053"/>
    <w:rsid w:val="002D1A4C"/>
    <w:rsid w:val="002E45FF"/>
    <w:rsid w:val="002F3611"/>
    <w:rsid w:val="00300F73"/>
    <w:rsid w:val="003060D2"/>
    <w:rsid w:val="0030702A"/>
    <w:rsid w:val="00310CDA"/>
    <w:rsid w:val="00363CF2"/>
    <w:rsid w:val="00372506"/>
    <w:rsid w:val="003C1944"/>
    <w:rsid w:val="003C464D"/>
    <w:rsid w:val="004124E0"/>
    <w:rsid w:val="00413130"/>
    <w:rsid w:val="00420B2C"/>
    <w:rsid w:val="004227ED"/>
    <w:rsid w:val="004352FF"/>
    <w:rsid w:val="0044416F"/>
    <w:rsid w:val="0044779A"/>
    <w:rsid w:val="004557B9"/>
    <w:rsid w:val="00461016"/>
    <w:rsid w:val="00465451"/>
    <w:rsid w:val="004701C4"/>
    <w:rsid w:val="004735A2"/>
    <w:rsid w:val="004776E8"/>
    <w:rsid w:val="0048137D"/>
    <w:rsid w:val="004864D9"/>
    <w:rsid w:val="004972B9"/>
    <w:rsid w:val="004C0B1F"/>
    <w:rsid w:val="004C7B6B"/>
    <w:rsid w:val="004F3200"/>
    <w:rsid w:val="005025B0"/>
    <w:rsid w:val="005041DA"/>
    <w:rsid w:val="00516621"/>
    <w:rsid w:val="00531B2D"/>
    <w:rsid w:val="00536627"/>
    <w:rsid w:val="0054002A"/>
    <w:rsid w:val="005527BE"/>
    <w:rsid w:val="00552FCD"/>
    <w:rsid w:val="00556242"/>
    <w:rsid w:val="00562816"/>
    <w:rsid w:val="0057330E"/>
    <w:rsid w:val="005C589F"/>
    <w:rsid w:val="005D2DB1"/>
    <w:rsid w:val="005E3018"/>
    <w:rsid w:val="005E57FD"/>
    <w:rsid w:val="005F028C"/>
    <w:rsid w:val="00631ADC"/>
    <w:rsid w:val="006344A2"/>
    <w:rsid w:val="0063526B"/>
    <w:rsid w:val="006353C6"/>
    <w:rsid w:val="00635412"/>
    <w:rsid w:val="00641F00"/>
    <w:rsid w:val="00650E1D"/>
    <w:rsid w:val="00654CE5"/>
    <w:rsid w:val="00672185"/>
    <w:rsid w:val="00676983"/>
    <w:rsid w:val="00691B7D"/>
    <w:rsid w:val="006A3B8F"/>
    <w:rsid w:val="006B4D31"/>
    <w:rsid w:val="006E7D7A"/>
    <w:rsid w:val="006F025E"/>
    <w:rsid w:val="007004A3"/>
    <w:rsid w:val="00706A24"/>
    <w:rsid w:val="007211BC"/>
    <w:rsid w:val="0072510E"/>
    <w:rsid w:val="00730354"/>
    <w:rsid w:val="00731FCD"/>
    <w:rsid w:val="00753ADC"/>
    <w:rsid w:val="007744F2"/>
    <w:rsid w:val="00775FE4"/>
    <w:rsid w:val="00782FCB"/>
    <w:rsid w:val="007A3D38"/>
    <w:rsid w:val="007A64FB"/>
    <w:rsid w:val="007A6745"/>
    <w:rsid w:val="007B097B"/>
    <w:rsid w:val="007E54C5"/>
    <w:rsid w:val="007F3885"/>
    <w:rsid w:val="00822C1A"/>
    <w:rsid w:val="00855778"/>
    <w:rsid w:val="00884582"/>
    <w:rsid w:val="0089317D"/>
    <w:rsid w:val="00893978"/>
    <w:rsid w:val="0089439E"/>
    <w:rsid w:val="00894F47"/>
    <w:rsid w:val="008A79A4"/>
    <w:rsid w:val="008B0D7D"/>
    <w:rsid w:val="00910FFC"/>
    <w:rsid w:val="00911F6E"/>
    <w:rsid w:val="00915116"/>
    <w:rsid w:val="0093202A"/>
    <w:rsid w:val="0093466D"/>
    <w:rsid w:val="00935E4C"/>
    <w:rsid w:val="00937489"/>
    <w:rsid w:val="009539F4"/>
    <w:rsid w:val="00960916"/>
    <w:rsid w:val="0096146C"/>
    <w:rsid w:val="0096629A"/>
    <w:rsid w:val="00973568"/>
    <w:rsid w:val="009800E4"/>
    <w:rsid w:val="009A2CD9"/>
    <w:rsid w:val="009A7761"/>
    <w:rsid w:val="009C3F3F"/>
    <w:rsid w:val="009E3D9F"/>
    <w:rsid w:val="009F2C8F"/>
    <w:rsid w:val="009F4DAC"/>
    <w:rsid w:val="009F5453"/>
    <w:rsid w:val="00A07D4C"/>
    <w:rsid w:val="00A114A1"/>
    <w:rsid w:val="00A20BC6"/>
    <w:rsid w:val="00A241EB"/>
    <w:rsid w:val="00A309A6"/>
    <w:rsid w:val="00A53488"/>
    <w:rsid w:val="00A832DF"/>
    <w:rsid w:val="00A84ACC"/>
    <w:rsid w:val="00A932D3"/>
    <w:rsid w:val="00AB2279"/>
    <w:rsid w:val="00AC7598"/>
    <w:rsid w:val="00AD718D"/>
    <w:rsid w:val="00AE2684"/>
    <w:rsid w:val="00AF08B4"/>
    <w:rsid w:val="00B14849"/>
    <w:rsid w:val="00B20688"/>
    <w:rsid w:val="00B21ED6"/>
    <w:rsid w:val="00B33270"/>
    <w:rsid w:val="00B372F0"/>
    <w:rsid w:val="00B410CA"/>
    <w:rsid w:val="00B53800"/>
    <w:rsid w:val="00B60BFA"/>
    <w:rsid w:val="00B61C58"/>
    <w:rsid w:val="00B7391A"/>
    <w:rsid w:val="00B8737D"/>
    <w:rsid w:val="00BE388C"/>
    <w:rsid w:val="00BF7CB2"/>
    <w:rsid w:val="00C12EEB"/>
    <w:rsid w:val="00C21FDA"/>
    <w:rsid w:val="00C23A31"/>
    <w:rsid w:val="00C67E28"/>
    <w:rsid w:val="00C8019D"/>
    <w:rsid w:val="00C853DD"/>
    <w:rsid w:val="00C91ACF"/>
    <w:rsid w:val="00CA627A"/>
    <w:rsid w:val="00CB6189"/>
    <w:rsid w:val="00CC0246"/>
    <w:rsid w:val="00CD5206"/>
    <w:rsid w:val="00CE2BB9"/>
    <w:rsid w:val="00CE4691"/>
    <w:rsid w:val="00CE4823"/>
    <w:rsid w:val="00CF3477"/>
    <w:rsid w:val="00D23FF4"/>
    <w:rsid w:val="00D451B8"/>
    <w:rsid w:val="00D54A0B"/>
    <w:rsid w:val="00D67CDE"/>
    <w:rsid w:val="00D73387"/>
    <w:rsid w:val="00D8450A"/>
    <w:rsid w:val="00D912DB"/>
    <w:rsid w:val="00D91587"/>
    <w:rsid w:val="00DA0569"/>
    <w:rsid w:val="00DB0AD2"/>
    <w:rsid w:val="00DC1AB0"/>
    <w:rsid w:val="00DD5414"/>
    <w:rsid w:val="00DF116F"/>
    <w:rsid w:val="00E21A22"/>
    <w:rsid w:val="00E25AED"/>
    <w:rsid w:val="00E50657"/>
    <w:rsid w:val="00E5582E"/>
    <w:rsid w:val="00E579D8"/>
    <w:rsid w:val="00E645C6"/>
    <w:rsid w:val="00E873F1"/>
    <w:rsid w:val="00EB0ED3"/>
    <w:rsid w:val="00EC415E"/>
    <w:rsid w:val="00EC4A7B"/>
    <w:rsid w:val="00ED7514"/>
    <w:rsid w:val="00EF14F5"/>
    <w:rsid w:val="00F00237"/>
    <w:rsid w:val="00F054E3"/>
    <w:rsid w:val="00F141C6"/>
    <w:rsid w:val="00F21E8A"/>
    <w:rsid w:val="00F35708"/>
    <w:rsid w:val="00F41061"/>
    <w:rsid w:val="00F54B4A"/>
    <w:rsid w:val="00F72B1B"/>
    <w:rsid w:val="00FC3B9C"/>
    <w:rsid w:val="00FC639D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1801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B9"/>
  </w:style>
  <w:style w:type="paragraph" w:styleId="Heading1">
    <w:name w:val="heading 1"/>
    <w:basedOn w:val="Normal"/>
    <w:next w:val="Normal"/>
    <w:link w:val="Heading1Char"/>
    <w:uiPriority w:val="9"/>
    <w:qFormat/>
    <w:rsid w:val="000A6DE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DE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noProof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BB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B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B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B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B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B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B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6DED"/>
    <w:rPr>
      <w:rFonts w:asciiTheme="majorHAnsi" w:eastAsiaTheme="majorEastAsia" w:hAnsiTheme="majorHAnsi" w:cstheme="majorBidi"/>
      <w:noProof/>
      <w:sz w:val="32"/>
      <w:szCs w:val="32"/>
    </w:rPr>
  </w:style>
  <w:style w:type="paragraph" w:styleId="NoSpacing">
    <w:name w:val="No Spacing"/>
    <w:uiPriority w:val="1"/>
    <w:qFormat/>
    <w:rsid w:val="00CE2BB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2B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BB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A6DED"/>
    <w:rPr>
      <w:rFonts w:asciiTheme="majorHAnsi" w:eastAsiaTheme="majorEastAsia" w:hAnsiTheme="majorHAnsi" w:cstheme="majorBidi"/>
      <w:noProof/>
      <w:color w:val="404040" w:themeColor="text1" w:themeTint="BF"/>
      <w:sz w:val="28"/>
      <w:szCs w:val="28"/>
    </w:rPr>
  </w:style>
  <w:style w:type="paragraph" w:customStyle="1" w:styleId="CustomLetterhead">
    <w:name w:val="Custom Letterhead"/>
    <w:basedOn w:val="Normal"/>
    <w:link w:val="CustomLetterheadChar"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table" w:styleId="TableGrid">
    <w:name w:val="Table Grid"/>
    <w:basedOn w:val="TableNormal"/>
    <w:uiPriority w:val="39"/>
    <w:rsid w:val="001F6DBE"/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89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BB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BB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BB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BB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BB9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BB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BB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2BB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BB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2BB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E2BB9"/>
    <w:rPr>
      <w:b/>
      <w:bCs/>
    </w:rPr>
  </w:style>
  <w:style w:type="character" w:styleId="Emphasis">
    <w:name w:val="Emphasis"/>
    <w:basedOn w:val="DefaultParagraphFont"/>
    <w:uiPriority w:val="20"/>
    <w:qFormat/>
    <w:rsid w:val="00CE2BB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E2BB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BB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BB9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BB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E2BB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E2BB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E2BB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2BB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E2BB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B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gov.au/industry/listing/elements/pbac-meetings/psd/2017-07/files/asfotase-alfa-rch-psd-july-2017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522D-0C28-468A-AEC5-CE68245A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2019-08-13T04:35:00Z</dcterms:created>
  <dcterms:modified xsi:type="dcterms:W3CDTF">2019-08-14T04:11:00Z</dcterms:modified>
</cp:coreProperties>
</file>