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E53" w:rsidRPr="00F54655" w:rsidRDefault="00565E53" w:rsidP="0041073A">
      <w:pPr>
        <w:pStyle w:val="Title"/>
        <w:rPr>
          <w:rFonts w:ascii="Arial" w:hAnsi="Arial" w:cs="Arial"/>
          <w:sz w:val="36"/>
          <w:szCs w:val="36"/>
        </w:rPr>
      </w:pPr>
      <w:bookmarkStart w:id="0" w:name="_GoBack"/>
      <w:bookmarkEnd w:id="0"/>
      <w:r w:rsidRPr="00F54655">
        <w:rPr>
          <w:rFonts w:ascii="Arial" w:hAnsi="Arial" w:cs="Arial"/>
          <w:sz w:val="36"/>
          <w:szCs w:val="36"/>
        </w:rPr>
        <w:t xml:space="preserve">ANNUAL REPORT </w:t>
      </w:r>
    </w:p>
    <w:p w:rsidR="00565E53" w:rsidRPr="00F54655" w:rsidRDefault="00565E53" w:rsidP="0041073A">
      <w:pPr>
        <w:pStyle w:val="Title"/>
        <w:rPr>
          <w:rFonts w:ascii="Arial" w:hAnsi="Arial" w:cs="Arial"/>
          <w:sz w:val="36"/>
          <w:szCs w:val="36"/>
        </w:rPr>
      </w:pPr>
      <w:r w:rsidRPr="00F54655">
        <w:rPr>
          <w:rFonts w:ascii="Arial" w:hAnsi="Arial" w:cs="Arial"/>
          <w:sz w:val="36"/>
          <w:szCs w:val="36"/>
        </w:rPr>
        <w:t xml:space="preserve">MARKETING IN AUSTRALIA OF INFANT FORMULA </w:t>
      </w:r>
    </w:p>
    <w:p w:rsidR="0041073A" w:rsidRPr="00F54655" w:rsidRDefault="00565E53" w:rsidP="0041073A">
      <w:pPr>
        <w:pStyle w:val="Title"/>
        <w:rPr>
          <w:rFonts w:ascii="Arial" w:hAnsi="Arial" w:cs="Arial"/>
          <w:sz w:val="36"/>
          <w:szCs w:val="36"/>
        </w:rPr>
      </w:pPr>
      <w:r w:rsidRPr="00F54655">
        <w:rPr>
          <w:rFonts w:ascii="Arial" w:hAnsi="Arial" w:cs="Arial"/>
          <w:sz w:val="36"/>
          <w:szCs w:val="36"/>
        </w:rPr>
        <w:t>2015-2016</w:t>
      </w:r>
    </w:p>
    <w:p w:rsidR="0041073A" w:rsidRPr="00F54655" w:rsidRDefault="0041073A" w:rsidP="0041073A">
      <w:pPr>
        <w:pStyle w:val="Title"/>
        <w:rPr>
          <w:rFonts w:ascii="Arial" w:hAnsi="Arial" w:cs="Arial"/>
        </w:rPr>
      </w:pPr>
    </w:p>
    <w:p w:rsidR="0041073A" w:rsidRPr="00F54655" w:rsidRDefault="0041073A" w:rsidP="0041073A">
      <w:pPr>
        <w:pStyle w:val="Title"/>
        <w:rPr>
          <w:rFonts w:ascii="Arial" w:hAnsi="Arial" w:cs="Arial"/>
          <w:b/>
          <w:bCs/>
          <w:sz w:val="22"/>
          <w:szCs w:val="22"/>
        </w:rPr>
      </w:pPr>
      <w:r w:rsidRPr="00F54655">
        <w:rPr>
          <w:rFonts w:ascii="Arial" w:hAnsi="Arial" w:cs="Arial"/>
          <w:b/>
          <w:bCs/>
          <w:sz w:val="22"/>
          <w:szCs w:val="22"/>
        </w:rPr>
        <w:t>Contact details</w:t>
      </w:r>
    </w:p>
    <w:p w:rsidR="002B2021" w:rsidRPr="00F54655" w:rsidRDefault="002B2021" w:rsidP="0041073A">
      <w:pPr>
        <w:pStyle w:val="Title"/>
        <w:rPr>
          <w:rFonts w:ascii="Arial" w:hAnsi="Arial" w:cs="Arial"/>
          <w:sz w:val="22"/>
          <w:szCs w:val="22"/>
        </w:rPr>
      </w:pPr>
      <w:r w:rsidRPr="00F54655">
        <w:rPr>
          <w:rFonts w:ascii="Arial" w:hAnsi="Arial" w:cs="Arial"/>
          <w:sz w:val="22"/>
          <w:szCs w:val="22"/>
        </w:rPr>
        <w:t>The Ethics Centre</w:t>
      </w:r>
      <w:r w:rsidR="0041073A" w:rsidRPr="00F54655">
        <w:rPr>
          <w:rFonts w:ascii="Arial" w:hAnsi="Arial" w:cs="Arial"/>
          <w:sz w:val="22"/>
          <w:szCs w:val="22"/>
        </w:rPr>
        <w:br/>
      </w:r>
      <w:r w:rsidRPr="00F54655">
        <w:rPr>
          <w:rFonts w:ascii="Arial" w:hAnsi="Arial" w:cs="Arial"/>
          <w:sz w:val="22"/>
          <w:szCs w:val="22"/>
        </w:rPr>
        <w:t>Legion House, Liberty Place</w:t>
      </w:r>
    </w:p>
    <w:p w:rsidR="002B2021" w:rsidRPr="00F54655" w:rsidRDefault="002B2021" w:rsidP="0041073A">
      <w:pPr>
        <w:pStyle w:val="Title"/>
        <w:rPr>
          <w:rFonts w:ascii="Arial" w:hAnsi="Arial" w:cs="Arial"/>
          <w:sz w:val="22"/>
          <w:szCs w:val="22"/>
        </w:rPr>
      </w:pPr>
      <w:r w:rsidRPr="00F54655">
        <w:rPr>
          <w:rFonts w:ascii="Arial" w:hAnsi="Arial" w:cs="Arial"/>
          <w:sz w:val="22"/>
          <w:szCs w:val="22"/>
        </w:rPr>
        <w:t>Level 2 – 161 Castlereagh Street</w:t>
      </w:r>
    </w:p>
    <w:p w:rsidR="002B2021" w:rsidRPr="00F54655" w:rsidRDefault="002B2021" w:rsidP="0041073A">
      <w:pPr>
        <w:pStyle w:val="Title"/>
        <w:rPr>
          <w:rFonts w:ascii="Arial" w:hAnsi="Arial" w:cs="Arial"/>
          <w:sz w:val="22"/>
          <w:szCs w:val="22"/>
        </w:rPr>
      </w:pPr>
      <w:r w:rsidRPr="00F54655">
        <w:rPr>
          <w:rFonts w:ascii="Arial" w:hAnsi="Arial" w:cs="Arial"/>
          <w:sz w:val="22"/>
          <w:szCs w:val="22"/>
        </w:rPr>
        <w:t>Sydney NSW 2000</w:t>
      </w:r>
    </w:p>
    <w:p w:rsidR="0019155C" w:rsidRPr="00F54655" w:rsidRDefault="0041073A" w:rsidP="0041073A">
      <w:pPr>
        <w:pStyle w:val="Title"/>
        <w:rPr>
          <w:rFonts w:ascii="Arial" w:hAnsi="Arial" w:cs="Arial"/>
          <w:sz w:val="22"/>
          <w:szCs w:val="22"/>
        </w:rPr>
      </w:pPr>
      <w:r w:rsidRPr="00F54655">
        <w:rPr>
          <w:rFonts w:ascii="Arial" w:hAnsi="Arial" w:cs="Arial"/>
          <w:sz w:val="22"/>
          <w:szCs w:val="22"/>
        </w:rPr>
        <w:t>Email:</w:t>
      </w:r>
      <w:r w:rsidR="00CF0590" w:rsidRPr="00F54655">
        <w:rPr>
          <w:rFonts w:ascii="Arial" w:hAnsi="Arial" w:cs="Arial"/>
          <w:sz w:val="22"/>
          <w:szCs w:val="22"/>
        </w:rPr>
        <w:t xml:space="preserve"> </w:t>
      </w:r>
      <w:hyperlink r:id="rId9" w:history="1">
        <w:r w:rsidR="002B2021" w:rsidRPr="00F54655">
          <w:rPr>
            <w:rStyle w:val="Hyperlink"/>
            <w:rFonts w:ascii="Arial" w:hAnsi="Arial" w:cs="Arial"/>
            <w:color w:val="auto"/>
            <w:sz w:val="22"/>
            <w:szCs w:val="22"/>
          </w:rPr>
          <w:t>maif.tribunal</w:t>
        </w:r>
      </w:hyperlink>
      <w:r w:rsidR="002B2021" w:rsidRPr="00F54655">
        <w:rPr>
          <w:rStyle w:val="Hyperlink"/>
          <w:rFonts w:ascii="Arial" w:hAnsi="Arial" w:cs="Arial"/>
          <w:color w:val="auto"/>
          <w:sz w:val="22"/>
          <w:szCs w:val="22"/>
        </w:rPr>
        <w:t>@ethics.org.au</w:t>
      </w:r>
    </w:p>
    <w:p w:rsidR="00DB3B76" w:rsidRPr="00F54655" w:rsidRDefault="00DB3B76">
      <w:pPr>
        <w:rPr>
          <w:rFonts w:ascii="Arial" w:hAnsi="Arial" w:cs="Arial"/>
        </w:rPr>
      </w:pPr>
    </w:p>
    <w:sdt>
      <w:sdtPr>
        <w:rPr>
          <w:rFonts w:ascii="Arial" w:eastAsiaTheme="minorHAnsi" w:hAnsi="Arial" w:cs="Arial"/>
          <w:color w:val="auto"/>
          <w:sz w:val="22"/>
          <w:szCs w:val="22"/>
          <w:u w:val="single"/>
          <w:lang w:val="en-AU"/>
        </w:rPr>
        <w:id w:val="-1427876650"/>
        <w:docPartObj>
          <w:docPartGallery w:val="Table of Contents"/>
          <w:docPartUnique/>
        </w:docPartObj>
      </w:sdtPr>
      <w:sdtEndPr>
        <w:rPr>
          <w:b/>
          <w:bCs/>
          <w:noProof/>
          <w:sz w:val="20"/>
          <w:szCs w:val="20"/>
        </w:rPr>
      </w:sdtEndPr>
      <w:sdtContent>
        <w:p w:rsidR="00565E53" w:rsidRPr="00F54655" w:rsidRDefault="00565E53">
          <w:pPr>
            <w:pStyle w:val="TOCHeading"/>
            <w:rPr>
              <w:rFonts w:ascii="Arial" w:eastAsiaTheme="minorHAnsi" w:hAnsi="Arial" w:cs="Arial"/>
              <w:color w:val="auto"/>
              <w:sz w:val="22"/>
              <w:szCs w:val="22"/>
              <w:u w:val="single"/>
              <w:lang w:val="en-AU"/>
            </w:rPr>
          </w:pPr>
        </w:p>
        <w:p w:rsidR="00DB3B76" w:rsidRPr="00F54655" w:rsidRDefault="006701C3">
          <w:pPr>
            <w:pStyle w:val="TOCHeading"/>
            <w:rPr>
              <w:rFonts w:ascii="Arial" w:eastAsiaTheme="minorHAnsi" w:hAnsi="Arial" w:cs="Arial"/>
              <w:b/>
              <w:color w:val="auto"/>
              <w:sz w:val="22"/>
              <w:szCs w:val="22"/>
              <w:lang w:val="en-AU"/>
            </w:rPr>
          </w:pPr>
          <w:r w:rsidRPr="00F54655">
            <w:rPr>
              <w:rFonts w:ascii="Arial" w:eastAsiaTheme="minorHAnsi" w:hAnsi="Arial" w:cs="Arial"/>
              <w:b/>
              <w:color w:val="auto"/>
              <w:sz w:val="22"/>
              <w:szCs w:val="22"/>
              <w:lang w:val="en-AU"/>
            </w:rPr>
            <w:t>TABLE OF CONTENTS</w:t>
          </w:r>
        </w:p>
        <w:p w:rsidR="00565E53" w:rsidRPr="00F54655" w:rsidRDefault="00565E53" w:rsidP="006701C3">
          <w:pPr>
            <w:spacing w:after="0"/>
            <w:rPr>
              <w:rFonts w:ascii="Arial" w:hAnsi="Arial" w:cs="Arial"/>
            </w:rPr>
          </w:pPr>
        </w:p>
        <w:p w:rsidR="00CF0590" w:rsidRPr="00F54655" w:rsidRDefault="00B0676F" w:rsidP="006701C3">
          <w:pPr>
            <w:pStyle w:val="TOC1"/>
            <w:rPr>
              <w:rFonts w:eastAsiaTheme="minorEastAsia"/>
              <w:noProof/>
              <w:lang w:eastAsia="en-AU"/>
            </w:rPr>
          </w:pPr>
          <w:r w:rsidRPr="00F54655">
            <w:fldChar w:fldCharType="begin"/>
          </w:r>
          <w:r w:rsidR="00DB3B76" w:rsidRPr="00F54655">
            <w:instrText xml:space="preserve"> TOC \o "1-2" \h \z \u </w:instrText>
          </w:r>
          <w:r w:rsidRPr="00F54655">
            <w:fldChar w:fldCharType="separate"/>
          </w:r>
          <w:hyperlink w:anchor="_Toc476133878" w:history="1">
            <w:r w:rsidR="00CF0590" w:rsidRPr="00F54655">
              <w:rPr>
                <w:rStyle w:val="Hyperlink"/>
                <w:rFonts w:ascii="Arial" w:hAnsi="Arial" w:cs="Arial"/>
                <w:noProof/>
                <w:color w:val="auto"/>
              </w:rPr>
              <w:t>Letter of Transmittal</w:t>
            </w:r>
            <w:r w:rsidR="00CF0590" w:rsidRPr="00F54655">
              <w:rPr>
                <w:noProof/>
                <w:webHidden/>
              </w:rPr>
              <w:tab/>
            </w:r>
            <w:r w:rsidR="00CF0590" w:rsidRPr="00F54655">
              <w:rPr>
                <w:noProof/>
                <w:webHidden/>
              </w:rPr>
              <w:fldChar w:fldCharType="begin"/>
            </w:r>
            <w:r w:rsidR="00CF0590" w:rsidRPr="00F54655">
              <w:rPr>
                <w:noProof/>
                <w:webHidden/>
              </w:rPr>
              <w:instrText xml:space="preserve"> PAGEREF _Toc476133878 \h </w:instrText>
            </w:r>
            <w:r w:rsidR="00CF0590" w:rsidRPr="00F54655">
              <w:rPr>
                <w:noProof/>
                <w:webHidden/>
              </w:rPr>
            </w:r>
            <w:r w:rsidR="00CF0590" w:rsidRPr="00F54655">
              <w:rPr>
                <w:noProof/>
                <w:webHidden/>
              </w:rPr>
              <w:fldChar w:fldCharType="separate"/>
            </w:r>
            <w:r w:rsidR="00CF0590" w:rsidRPr="00F54655">
              <w:rPr>
                <w:noProof/>
                <w:webHidden/>
              </w:rPr>
              <w:t>2</w:t>
            </w:r>
            <w:r w:rsidR="00CF0590" w:rsidRPr="00F54655">
              <w:rPr>
                <w:noProof/>
                <w:webHidden/>
              </w:rPr>
              <w:fldChar w:fldCharType="end"/>
            </w:r>
          </w:hyperlink>
        </w:p>
        <w:p w:rsidR="00CF0590" w:rsidRPr="00F54655" w:rsidRDefault="00DA1108" w:rsidP="006701C3">
          <w:pPr>
            <w:pStyle w:val="TOC1"/>
            <w:rPr>
              <w:rFonts w:eastAsiaTheme="minorEastAsia"/>
              <w:noProof/>
              <w:lang w:eastAsia="en-AU"/>
            </w:rPr>
          </w:pPr>
          <w:hyperlink w:anchor="_Toc476133879" w:history="1">
            <w:r w:rsidR="00CF0590" w:rsidRPr="00F54655">
              <w:rPr>
                <w:rStyle w:val="Hyperlink"/>
                <w:rFonts w:ascii="Arial" w:hAnsi="Arial" w:cs="Arial"/>
                <w:noProof/>
                <w:color w:val="auto"/>
              </w:rPr>
              <w:t>Chapter 1: Scope and functions</w:t>
            </w:r>
            <w:r w:rsidR="00CF0590" w:rsidRPr="00F54655">
              <w:rPr>
                <w:noProof/>
                <w:webHidden/>
              </w:rPr>
              <w:tab/>
            </w:r>
            <w:r w:rsidR="00CF0590" w:rsidRPr="00F54655">
              <w:rPr>
                <w:noProof/>
                <w:webHidden/>
              </w:rPr>
              <w:fldChar w:fldCharType="begin"/>
            </w:r>
            <w:r w:rsidR="00CF0590" w:rsidRPr="00F54655">
              <w:rPr>
                <w:noProof/>
                <w:webHidden/>
              </w:rPr>
              <w:instrText xml:space="preserve"> PAGEREF _Toc476133879 \h </w:instrText>
            </w:r>
            <w:r w:rsidR="00CF0590" w:rsidRPr="00F54655">
              <w:rPr>
                <w:noProof/>
                <w:webHidden/>
              </w:rPr>
            </w:r>
            <w:r w:rsidR="00CF0590" w:rsidRPr="00F54655">
              <w:rPr>
                <w:noProof/>
                <w:webHidden/>
              </w:rPr>
              <w:fldChar w:fldCharType="separate"/>
            </w:r>
            <w:r w:rsidR="00CF0590" w:rsidRPr="00F54655">
              <w:rPr>
                <w:noProof/>
                <w:webHidden/>
              </w:rPr>
              <w:t>3</w:t>
            </w:r>
            <w:r w:rsidR="00CF0590" w:rsidRPr="00F54655">
              <w:rPr>
                <w:noProof/>
                <w:webHidden/>
              </w:rPr>
              <w:fldChar w:fldCharType="end"/>
            </w:r>
          </w:hyperlink>
        </w:p>
        <w:p w:rsidR="00CF0590" w:rsidRPr="00F54655" w:rsidRDefault="00DA1108" w:rsidP="006701C3">
          <w:pPr>
            <w:pStyle w:val="TOC2"/>
            <w:rPr>
              <w:rFonts w:eastAsiaTheme="minorEastAsia"/>
              <w:noProof/>
              <w:lang w:eastAsia="en-AU"/>
            </w:rPr>
          </w:pPr>
          <w:hyperlink w:anchor="_Toc476133880" w:history="1">
            <w:r w:rsidR="00CF0590" w:rsidRPr="00F54655">
              <w:rPr>
                <w:rStyle w:val="Hyperlink"/>
                <w:rFonts w:ascii="Arial" w:hAnsi="Arial" w:cs="Arial"/>
                <w:noProof/>
                <w:color w:val="auto"/>
              </w:rPr>
              <w:t>MAIF Tribunal</w:t>
            </w:r>
            <w:r w:rsidR="00CF0590" w:rsidRPr="00F54655">
              <w:rPr>
                <w:noProof/>
                <w:webHidden/>
              </w:rPr>
              <w:tab/>
            </w:r>
            <w:r w:rsidR="00CF0590" w:rsidRPr="00F54655">
              <w:rPr>
                <w:noProof/>
                <w:webHidden/>
              </w:rPr>
              <w:fldChar w:fldCharType="begin"/>
            </w:r>
            <w:r w:rsidR="00CF0590" w:rsidRPr="00F54655">
              <w:rPr>
                <w:noProof/>
                <w:webHidden/>
              </w:rPr>
              <w:instrText xml:space="preserve"> PAGEREF _Toc476133880 \h </w:instrText>
            </w:r>
            <w:r w:rsidR="00CF0590" w:rsidRPr="00F54655">
              <w:rPr>
                <w:noProof/>
                <w:webHidden/>
              </w:rPr>
            </w:r>
            <w:r w:rsidR="00CF0590" w:rsidRPr="00F54655">
              <w:rPr>
                <w:noProof/>
                <w:webHidden/>
              </w:rPr>
              <w:fldChar w:fldCharType="separate"/>
            </w:r>
            <w:r w:rsidR="00CF0590" w:rsidRPr="00F54655">
              <w:rPr>
                <w:noProof/>
                <w:webHidden/>
              </w:rPr>
              <w:t>3</w:t>
            </w:r>
            <w:r w:rsidR="00CF0590" w:rsidRPr="00F54655">
              <w:rPr>
                <w:noProof/>
                <w:webHidden/>
              </w:rPr>
              <w:fldChar w:fldCharType="end"/>
            </w:r>
          </w:hyperlink>
        </w:p>
        <w:p w:rsidR="00CF0590" w:rsidRPr="00F54655" w:rsidRDefault="00DA1108" w:rsidP="006701C3">
          <w:pPr>
            <w:pStyle w:val="TOC2"/>
            <w:rPr>
              <w:rFonts w:eastAsiaTheme="minorEastAsia"/>
              <w:noProof/>
              <w:lang w:eastAsia="en-AU"/>
            </w:rPr>
          </w:pPr>
          <w:hyperlink w:anchor="_Toc476133881" w:history="1">
            <w:r w:rsidR="00CF0590" w:rsidRPr="00F54655">
              <w:rPr>
                <w:rStyle w:val="Hyperlink"/>
                <w:rFonts w:ascii="Arial" w:hAnsi="Arial" w:cs="Arial"/>
                <w:noProof/>
                <w:color w:val="auto"/>
              </w:rPr>
              <w:t>MAIF Agreement</w:t>
            </w:r>
            <w:r w:rsidR="00CF0590" w:rsidRPr="00F54655">
              <w:rPr>
                <w:noProof/>
                <w:webHidden/>
              </w:rPr>
              <w:tab/>
            </w:r>
            <w:r w:rsidR="00CF0590" w:rsidRPr="00F54655">
              <w:rPr>
                <w:noProof/>
                <w:webHidden/>
              </w:rPr>
              <w:fldChar w:fldCharType="begin"/>
            </w:r>
            <w:r w:rsidR="00CF0590" w:rsidRPr="00F54655">
              <w:rPr>
                <w:noProof/>
                <w:webHidden/>
              </w:rPr>
              <w:instrText xml:space="preserve"> PAGEREF _Toc476133881 \h </w:instrText>
            </w:r>
            <w:r w:rsidR="00CF0590" w:rsidRPr="00F54655">
              <w:rPr>
                <w:noProof/>
                <w:webHidden/>
              </w:rPr>
            </w:r>
            <w:r w:rsidR="00CF0590" w:rsidRPr="00F54655">
              <w:rPr>
                <w:noProof/>
                <w:webHidden/>
              </w:rPr>
              <w:fldChar w:fldCharType="separate"/>
            </w:r>
            <w:r w:rsidR="00CF0590" w:rsidRPr="00F54655">
              <w:rPr>
                <w:noProof/>
                <w:webHidden/>
              </w:rPr>
              <w:t>3</w:t>
            </w:r>
            <w:r w:rsidR="00CF0590" w:rsidRPr="00F54655">
              <w:rPr>
                <w:noProof/>
                <w:webHidden/>
              </w:rPr>
              <w:fldChar w:fldCharType="end"/>
            </w:r>
          </w:hyperlink>
        </w:p>
        <w:p w:rsidR="00CF0590" w:rsidRPr="00F54655" w:rsidRDefault="00DA1108" w:rsidP="006701C3">
          <w:pPr>
            <w:pStyle w:val="TOC2"/>
            <w:rPr>
              <w:rFonts w:eastAsiaTheme="minorEastAsia"/>
              <w:noProof/>
              <w:lang w:eastAsia="en-AU"/>
            </w:rPr>
          </w:pPr>
          <w:hyperlink w:anchor="_Toc476133882" w:history="1">
            <w:r w:rsidR="00CF0590" w:rsidRPr="00F54655">
              <w:rPr>
                <w:rStyle w:val="Hyperlink"/>
                <w:rFonts w:ascii="Arial" w:hAnsi="Arial" w:cs="Arial"/>
                <w:noProof/>
                <w:color w:val="auto"/>
              </w:rPr>
              <w:t>Authorisation of MAIF Agreement</w:t>
            </w:r>
            <w:r w:rsidR="00CF0590" w:rsidRPr="00F54655">
              <w:rPr>
                <w:noProof/>
                <w:webHidden/>
              </w:rPr>
              <w:tab/>
            </w:r>
            <w:r w:rsidR="00CF0590" w:rsidRPr="00F54655">
              <w:rPr>
                <w:noProof/>
                <w:webHidden/>
              </w:rPr>
              <w:fldChar w:fldCharType="begin"/>
            </w:r>
            <w:r w:rsidR="00CF0590" w:rsidRPr="00F54655">
              <w:rPr>
                <w:noProof/>
                <w:webHidden/>
              </w:rPr>
              <w:instrText xml:space="preserve"> PAGEREF _Toc476133882 \h </w:instrText>
            </w:r>
            <w:r w:rsidR="00CF0590" w:rsidRPr="00F54655">
              <w:rPr>
                <w:noProof/>
                <w:webHidden/>
              </w:rPr>
            </w:r>
            <w:r w:rsidR="00CF0590" w:rsidRPr="00F54655">
              <w:rPr>
                <w:noProof/>
                <w:webHidden/>
              </w:rPr>
              <w:fldChar w:fldCharType="separate"/>
            </w:r>
            <w:r w:rsidR="00CF0590" w:rsidRPr="00F54655">
              <w:rPr>
                <w:noProof/>
                <w:webHidden/>
              </w:rPr>
              <w:t>4</w:t>
            </w:r>
            <w:r w:rsidR="00CF0590" w:rsidRPr="00F54655">
              <w:rPr>
                <w:noProof/>
                <w:webHidden/>
              </w:rPr>
              <w:fldChar w:fldCharType="end"/>
            </w:r>
          </w:hyperlink>
        </w:p>
        <w:p w:rsidR="00CF0590" w:rsidRPr="00F54655" w:rsidRDefault="00DA1108" w:rsidP="006701C3">
          <w:pPr>
            <w:pStyle w:val="TOC2"/>
            <w:rPr>
              <w:rFonts w:eastAsiaTheme="minorEastAsia"/>
              <w:noProof/>
              <w:lang w:eastAsia="en-AU"/>
            </w:rPr>
          </w:pPr>
          <w:hyperlink w:anchor="_Toc476133883" w:history="1">
            <w:r w:rsidR="00CF0590" w:rsidRPr="00F54655">
              <w:rPr>
                <w:rStyle w:val="Hyperlink"/>
                <w:rFonts w:ascii="Arial" w:hAnsi="Arial" w:cs="Arial"/>
                <w:noProof/>
                <w:color w:val="auto"/>
              </w:rPr>
              <w:t>Reference to Guidelines</w:t>
            </w:r>
            <w:r w:rsidR="00CF0590" w:rsidRPr="00F54655">
              <w:rPr>
                <w:noProof/>
                <w:webHidden/>
              </w:rPr>
              <w:tab/>
            </w:r>
            <w:r w:rsidR="00CF0590" w:rsidRPr="00F54655">
              <w:rPr>
                <w:noProof/>
                <w:webHidden/>
              </w:rPr>
              <w:fldChar w:fldCharType="begin"/>
            </w:r>
            <w:r w:rsidR="00CF0590" w:rsidRPr="00F54655">
              <w:rPr>
                <w:noProof/>
                <w:webHidden/>
              </w:rPr>
              <w:instrText xml:space="preserve"> PAGEREF _Toc476133883 \h </w:instrText>
            </w:r>
            <w:r w:rsidR="00CF0590" w:rsidRPr="00F54655">
              <w:rPr>
                <w:noProof/>
                <w:webHidden/>
              </w:rPr>
            </w:r>
            <w:r w:rsidR="00CF0590" w:rsidRPr="00F54655">
              <w:rPr>
                <w:noProof/>
                <w:webHidden/>
              </w:rPr>
              <w:fldChar w:fldCharType="separate"/>
            </w:r>
            <w:r w:rsidR="00CF0590" w:rsidRPr="00F54655">
              <w:rPr>
                <w:noProof/>
                <w:webHidden/>
              </w:rPr>
              <w:t>4</w:t>
            </w:r>
            <w:r w:rsidR="00CF0590" w:rsidRPr="00F54655">
              <w:rPr>
                <w:noProof/>
                <w:webHidden/>
              </w:rPr>
              <w:fldChar w:fldCharType="end"/>
            </w:r>
          </w:hyperlink>
        </w:p>
        <w:p w:rsidR="00CF0590" w:rsidRPr="00F54655" w:rsidRDefault="00DA1108" w:rsidP="006701C3">
          <w:pPr>
            <w:pStyle w:val="TOC1"/>
            <w:rPr>
              <w:rFonts w:eastAsiaTheme="minorEastAsia"/>
              <w:noProof/>
              <w:lang w:eastAsia="en-AU"/>
            </w:rPr>
          </w:pPr>
          <w:hyperlink w:anchor="_Toc476133884" w:history="1">
            <w:r w:rsidR="00CF0590" w:rsidRPr="00F54655">
              <w:rPr>
                <w:rStyle w:val="Hyperlink"/>
                <w:rFonts w:ascii="Arial" w:hAnsi="Arial" w:cs="Arial"/>
                <w:noProof/>
                <w:color w:val="auto"/>
                <w:lang w:val="en-US"/>
              </w:rPr>
              <w:t>Chapter 2: Tribunal members</w:t>
            </w:r>
            <w:r w:rsidR="00CF0590" w:rsidRPr="00F54655">
              <w:rPr>
                <w:noProof/>
                <w:webHidden/>
              </w:rPr>
              <w:tab/>
            </w:r>
            <w:r w:rsidR="00CF0590" w:rsidRPr="00F54655">
              <w:rPr>
                <w:noProof/>
                <w:webHidden/>
              </w:rPr>
              <w:fldChar w:fldCharType="begin"/>
            </w:r>
            <w:r w:rsidR="00CF0590" w:rsidRPr="00F54655">
              <w:rPr>
                <w:noProof/>
                <w:webHidden/>
              </w:rPr>
              <w:instrText xml:space="preserve"> PAGEREF _Toc476133884 \h </w:instrText>
            </w:r>
            <w:r w:rsidR="00CF0590" w:rsidRPr="00F54655">
              <w:rPr>
                <w:noProof/>
                <w:webHidden/>
              </w:rPr>
            </w:r>
            <w:r w:rsidR="00CF0590" w:rsidRPr="00F54655">
              <w:rPr>
                <w:noProof/>
                <w:webHidden/>
              </w:rPr>
              <w:fldChar w:fldCharType="separate"/>
            </w:r>
            <w:r w:rsidR="00CF0590" w:rsidRPr="00F54655">
              <w:rPr>
                <w:noProof/>
                <w:webHidden/>
              </w:rPr>
              <w:t>5</w:t>
            </w:r>
            <w:r w:rsidR="00CF0590" w:rsidRPr="00F54655">
              <w:rPr>
                <w:noProof/>
                <w:webHidden/>
              </w:rPr>
              <w:fldChar w:fldCharType="end"/>
            </w:r>
          </w:hyperlink>
        </w:p>
        <w:p w:rsidR="00CF0590" w:rsidRPr="00F54655" w:rsidRDefault="00DA1108" w:rsidP="006701C3">
          <w:pPr>
            <w:pStyle w:val="TOC2"/>
            <w:rPr>
              <w:rFonts w:eastAsiaTheme="minorEastAsia"/>
              <w:noProof/>
              <w:lang w:eastAsia="en-AU"/>
            </w:rPr>
          </w:pPr>
          <w:hyperlink w:anchor="_Toc476133885" w:history="1">
            <w:r w:rsidR="00CF0590" w:rsidRPr="00F54655">
              <w:rPr>
                <w:rStyle w:val="Hyperlink"/>
                <w:rFonts w:ascii="Arial" w:hAnsi="Arial" w:cs="Arial"/>
                <w:noProof/>
                <w:color w:val="auto"/>
                <w:lang w:val="en-US"/>
              </w:rPr>
              <w:t>Tribunal Chair: Graeme Innes AM</w:t>
            </w:r>
            <w:r w:rsidR="00CF0590" w:rsidRPr="00F54655">
              <w:rPr>
                <w:noProof/>
                <w:webHidden/>
              </w:rPr>
              <w:tab/>
            </w:r>
            <w:r w:rsidR="00CF0590" w:rsidRPr="00F54655">
              <w:rPr>
                <w:noProof/>
                <w:webHidden/>
              </w:rPr>
              <w:fldChar w:fldCharType="begin"/>
            </w:r>
            <w:r w:rsidR="00CF0590" w:rsidRPr="00F54655">
              <w:rPr>
                <w:noProof/>
                <w:webHidden/>
              </w:rPr>
              <w:instrText xml:space="preserve"> PAGEREF _Toc476133885 \h </w:instrText>
            </w:r>
            <w:r w:rsidR="00CF0590" w:rsidRPr="00F54655">
              <w:rPr>
                <w:noProof/>
                <w:webHidden/>
              </w:rPr>
            </w:r>
            <w:r w:rsidR="00CF0590" w:rsidRPr="00F54655">
              <w:rPr>
                <w:noProof/>
                <w:webHidden/>
              </w:rPr>
              <w:fldChar w:fldCharType="separate"/>
            </w:r>
            <w:r w:rsidR="00CF0590" w:rsidRPr="00F54655">
              <w:rPr>
                <w:noProof/>
                <w:webHidden/>
              </w:rPr>
              <w:t>5</w:t>
            </w:r>
            <w:r w:rsidR="00CF0590" w:rsidRPr="00F54655">
              <w:rPr>
                <w:noProof/>
                <w:webHidden/>
              </w:rPr>
              <w:fldChar w:fldCharType="end"/>
            </w:r>
          </w:hyperlink>
        </w:p>
        <w:p w:rsidR="00CF0590" w:rsidRPr="00F54655" w:rsidRDefault="00DA1108" w:rsidP="006701C3">
          <w:pPr>
            <w:pStyle w:val="TOC2"/>
            <w:rPr>
              <w:rFonts w:eastAsiaTheme="minorEastAsia"/>
              <w:noProof/>
              <w:lang w:eastAsia="en-AU"/>
            </w:rPr>
          </w:pPr>
          <w:hyperlink w:anchor="_Toc476133886" w:history="1">
            <w:r w:rsidR="00CF0590" w:rsidRPr="00F54655">
              <w:rPr>
                <w:rStyle w:val="Hyperlink"/>
                <w:rFonts w:ascii="Arial" w:hAnsi="Arial" w:cs="Arial"/>
                <w:noProof/>
                <w:color w:val="auto"/>
                <w:lang w:val="en-US"/>
              </w:rPr>
              <w:t>Tribunal Member: Dr. Jacqui Dalby-Payne</w:t>
            </w:r>
            <w:r w:rsidR="00CF0590" w:rsidRPr="00F54655">
              <w:rPr>
                <w:noProof/>
                <w:webHidden/>
              </w:rPr>
              <w:tab/>
            </w:r>
            <w:r w:rsidR="00CF0590" w:rsidRPr="00F54655">
              <w:rPr>
                <w:noProof/>
                <w:webHidden/>
              </w:rPr>
              <w:fldChar w:fldCharType="begin"/>
            </w:r>
            <w:r w:rsidR="00CF0590" w:rsidRPr="00F54655">
              <w:rPr>
                <w:noProof/>
                <w:webHidden/>
              </w:rPr>
              <w:instrText xml:space="preserve"> PAGEREF _Toc476133886 \h </w:instrText>
            </w:r>
            <w:r w:rsidR="00CF0590" w:rsidRPr="00F54655">
              <w:rPr>
                <w:noProof/>
                <w:webHidden/>
              </w:rPr>
            </w:r>
            <w:r w:rsidR="00CF0590" w:rsidRPr="00F54655">
              <w:rPr>
                <w:noProof/>
                <w:webHidden/>
              </w:rPr>
              <w:fldChar w:fldCharType="separate"/>
            </w:r>
            <w:r w:rsidR="00CF0590" w:rsidRPr="00F54655">
              <w:rPr>
                <w:noProof/>
                <w:webHidden/>
              </w:rPr>
              <w:t>5</w:t>
            </w:r>
            <w:r w:rsidR="00CF0590" w:rsidRPr="00F54655">
              <w:rPr>
                <w:noProof/>
                <w:webHidden/>
              </w:rPr>
              <w:fldChar w:fldCharType="end"/>
            </w:r>
          </w:hyperlink>
        </w:p>
        <w:p w:rsidR="00CF0590" w:rsidRPr="00F54655" w:rsidRDefault="00DA1108" w:rsidP="006701C3">
          <w:pPr>
            <w:pStyle w:val="TOC2"/>
            <w:rPr>
              <w:rFonts w:eastAsiaTheme="minorEastAsia"/>
              <w:noProof/>
              <w:lang w:eastAsia="en-AU"/>
            </w:rPr>
          </w:pPr>
          <w:hyperlink w:anchor="_Toc476133887" w:history="1">
            <w:r w:rsidR="00CF0590" w:rsidRPr="00F54655">
              <w:rPr>
                <w:rStyle w:val="Hyperlink"/>
                <w:rFonts w:ascii="Arial" w:hAnsi="Arial" w:cs="Arial"/>
                <w:noProof/>
                <w:color w:val="auto"/>
                <w:lang w:val="en-US"/>
              </w:rPr>
              <w:t>Tribunal Member: Gillian Calvert AO</w:t>
            </w:r>
            <w:r w:rsidR="00CF0590" w:rsidRPr="00F54655">
              <w:rPr>
                <w:noProof/>
                <w:webHidden/>
              </w:rPr>
              <w:tab/>
            </w:r>
            <w:r w:rsidR="00CF0590" w:rsidRPr="00F54655">
              <w:rPr>
                <w:noProof/>
                <w:webHidden/>
              </w:rPr>
              <w:fldChar w:fldCharType="begin"/>
            </w:r>
            <w:r w:rsidR="00CF0590" w:rsidRPr="00F54655">
              <w:rPr>
                <w:noProof/>
                <w:webHidden/>
              </w:rPr>
              <w:instrText xml:space="preserve"> PAGEREF _Toc476133887 \h </w:instrText>
            </w:r>
            <w:r w:rsidR="00CF0590" w:rsidRPr="00F54655">
              <w:rPr>
                <w:noProof/>
                <w:webHidden/>
              </w:rPr>
            </w:r>
            <w:r w:rsidR="00CF0590" w:rsidRPr="00F54655">
              <w:rPr>
                <w:noProof/>
                <w:webHidden/>
              </w:rPr>
              <w:fldChar w:fldCharType="separate"/>
            </w:r>
            <w:r w:rsidR="00CF0590" w:rsidRPr="00F54655">
              <w:rPr>
                <w:noProof/>
                <w:webHidden/>
              </w:rPr>
              <w:t>5</w:t>
            </w:r>
            <w:r w:rsidR="00CF0590" w:rsidRPr="00F54655">
              <w:rPr>
                <w:noProof/>
                <w:webHidden/>
              </w:rPr>
              <w:fldChar w:fldCharType="end"/>
            </w:r>
          </w:hyperlink>
        </w:p>
        <w:p w:rsidR="00CF0590" w:rsidRPr="00F54655" w:rsidRDefault="00DA1108" w:rsidP="006701C3">
          <w:pPr>
            <w:pStyle w:val="TOC2"/>
            <w:rPr>
              <w:rFonts w:eastAsiaTheme="minorEastAsia"/>
              <w:noProof/>
              <w:lang w:eastAsia="en-AU"/>
            </w:rPr>
          </w:pPr>
          <w:hyperlink w:anchor="_Toc476133888" w:history="1">
            <w:r w:rsidR="00CF0590" w:rsidRPr="00F54655">
              <w:rPr>
                <w:rStyle w:val="Hyperlink"/>
                <w:rFonts w:ascii="Arial" w:hAnsi="Arial" w:cs="Arial"/>
                <w:noProof/>
                <w:color w:val="auto"/>
                <w:lang w:val="en-US"/>
              </w:rPr>
              <w:t>Tribunal Secretariat: Leigh Woodgate</w:t>
            </w:r>
            <w:r w:rsidR="00CF0590" w:rsidRPr="00F54655">
              <w:rPr>
                <w:noProof/>
                <w:webHidden/>
              </w:rPr>
              <w:tab/>
            </w:r>
            <w:r w:rsidR="00CF0590" w:rsidRPr="00F54655">
              <w:rPr>
                <w:noProof/>
                <w:webHidden/>
              </w:rPr>
              <w:fldChar w:fldCharType="begin"/>
            </w:r>
            <w:r w:rsidR="00CF0590" w:rsidRPr="00F54655">
              <w:rPr>
                <w:noProof/>
                <w:webHidden/>
              </w:rPr>
              <w:instrText xml:space="preserve"> PAGEREF _Toc476133888 \h </w:instrText>
            </w:r>
            <w:r w:rsidR="00CF0590" w:rsidRPr="00F54655">
              <w:rPr>
                <w:noProof/>
                <w:webHidden/>
              </w:rPr>
            </w:r>
            <w:r w:rsidR="00CF0590" w:rsidRPr="00F54655">
              <w:rPr>
                <w:noProof/>
                <w:webHidden/>
              </w:rPr>
              <w:fldChar w:fldCharType="separate"/>
            </w:r>
            <w:r w:rsidR="00CF0590" w:rsidRPr="00F54655">
              <w:rPr>
                <w:noProof/>
                <w:webHidden/>
              </w:rPr>
              <w:t>5</w:t>
            </w:r>
            <w:r w:rsidR="00CF0590" w:rsidRPr="00F54655">
              <w:rPr>
                <w:noProof/>
                <w:webHidden/>
              </w:rPr>
              <w:fldChar w:fldCharType="end"/>
            </w:r>
          </w:hyperlink>
        </w:p>
        <w:p w:rsidR="00CF0590" w:rsidRPr="00F54655" w:rsidRDefault="00DA1108" w:rsidP="006701C3">
          <w:pPr>
            <w:pStyle w:val="TOC1"/>
            <w:rPr>
              <w:rFonts w:eastAsiaTheme="minorEastAsia"/>
              <w:noProof/>
              <w:lang w:eastAsia="en-AU"/>
            </w:rPr>
          </w:pPr>
          <w:hyperlink w:anchor="_Toc476133889" w:history="1">
            <w:r w:rsidR="00CF0590" w:rsidRPr="00F54655">
              <w:rPr>
                <w:rStyle w:val="Hyperlink"/>
                <w:rFonts w:ascii="Arial" w:hAnsi="Arial" w:cs="Arial"/>
                <w:noProof/>
                <w:color w:val="auto"/>
              </w:rPr>
              <w:t>Chapter 3: How complaints are processed</w:t>
            </w:r>
            <w:r w:rsidR="00CF0590" w:rsidRPr="00F54655">
              <w:rPr>
                <w:noProof/>
                <w:webHidden/>
              </w:rPr>
              <w:tab/>
            </w:r>
            <w:r w:rsidR="00CF0590" w:rsidRPr="00F54655">
              <w:rPr>
                <w:noProof/>
                <w:webHidden/>
              </w:rPr>
              <w:fldChar w:fldCharType="begin"/>
            </w:r>
            <w:r w:rsidR="00CF0590" w:rsidRPr="00F54655">
              <w:rPr>
                <w:noProof/>
                <w:webHidden/>
              </w:rPr>
              <w:instrText xml:space="preserve"> PAGEREF _Toc476133889 \h </w:instrText>
            </w:r>
            <w:r w:rsidR="00CF0590" w:rsidRPr="00F54655">
              <w:rPr>
                <w:noProof/>
                <w:webHidden/>
              </w:rPr>
            </w:r>
            <w:r w:rsidR="00CF0590" w:rsidRPr="00F54655">
              <w:rPr>
                <w:noProof/>
                <w:webHidden/>
              </w:rPr>
              <w:fldChar w:fldCharType="separate"/>
            </w:r>
            <w:r w:rsidR="00CF0590" w:rsidRPr="00F54655">
              <w:rPr>
                <w:noProof/>
                <w:webHidden/>
              </w:rPr>
              <w:t>6</w:t>
            </w:r>
            <w:r w:rsidR="00CF0590" w:rsidRPr="00F54655">
              <w:rPr>
                <w:noProof/>
                <w:webHidden/>
              </w:rPr>
              <w:fldChar w:fldCharType="end"/>
            </w:r>
          </w:hyperlink>
        </w:p>
        <w:p w:rsidR="00CF0590" w:rsidRPr="00F54655" w:rsidRDefault="00DA1108" w:rsidP="006701C3">
          <w:pPr>
            <w:pStyle w:val="TOC1"/>
            <w:rPr>
              <w:rFonts w:eastAsiaTheme="minorEastAsia"/>
              <w:noProof/>
              <w:lang w:eastAsia="en-AU"/>
            </w:rPr>
          </w:pPr>
          <w:hyperlink w:anchor="_Toc476133890" w:history="1">
            <w:r w:rsidR="00CF0590" w:rsidRPr="00F54655">
              <w:rPr>
                <w:rStyle w:val="Hyperlink"/>
                <w:rFonts w:ascii="Arial" w:hAnsi="Arial" w:cs="Arial"/>
                <w:noProof/>
                <w:color w:val="auto"/>
                <w:lang w:val="en-US"/>
              </w:rPr>
              <w:t>Chapter 4: Complaints outcomes July 2015 – June 2016</w:t>
            </w:r>
            <w:r w:rsidR="00CF0590" w:rsidRPr="00F54655">
              <w:rPr>
                <w:noProof/>
                <w:webHidden/>
              </w:rPr>
              <w:tab/>
            </w:r>
            <w:r w:rsidR="00CF0590" w:rsidRPr="00F54655">
              <w:rPr>
                <w:noProof/>
                <w:webHidden/>
              </w:rPr>
              <w:fldChar w:fldCharType="begin"/>
            </w:r>
            <w:r w:rsidR="00CF0590" w:rsidRPr="00F54655">
              <w:rPr>
                <w:noProof/>
                <w:webHidden/>
              </w:rPr>
              <w:instrText xml:space="preserve"> PAGEREF _Toc476133890 \h </w:instrText>
            </w:r>
            <w:r w:rsidR="00CF0590" w:rsidRPr="00F54655">
              <w:rPr>
                <w:noProof/>
                <w:webHidden/>
              </w:rPr>
            </w:r>
            <w:r w:rsidR="00CF0590" w:rsidRPr="00F54655">
              <w:rPr>
                <w:noProof/>
                <w:webHidden/>
              </w:rPr>
              <w:fldChar w:fldCharType="separate"/>
            </w:r>
            <w:r w:rsidR="00CF0590" w:rsidRPr="00F54655">
              <w:rPr>
                <w:noProof/>
                <w:webHidden/>
              </w:rPr>
              <w:t>8</w:t>
            </w:r>
            <w:r w:rsidR="00CF0590" w:rsidRPr="00F54655">
              <w:rPr>
                <w:noProof/>
                <w:webHidden/>
              </w:rPr>
              <w:fldChar w:fldCharType="end"/>
            </w:r>
          </w:hyperlink>
        </w:p>
        <w:p w:rsidR="00CF0590" w:rsidRPr="00F54655" w:rsidRDefault="00DA1108" w:rsidP="006701C3">
          <w:pPr>
            <w:pStyle w:val="TOC2"/>
            <w:rPr>
              <w:rFonts w:eastAsiaTheme="minorEastAsia"/>
              <w:noProof/>
              <w:lang w:eastAsia="en-AU"/>
            </w:rPr>
          </w:pPr>
          <w:hyperlink w:anchor="_Toc476133891" w:history="1">
            <w:r w:rsidR="00CF0590" w:rsidRPr="00F54655">
              <w:rPr>
                <w:rStyle w:val="Hyperlink"/>
                <w:rFonts w:ascii="Arial" w:hAnsi="Arial" w:cs="Arial"/>
                <w:noProof/>
                <w:color w:val="auto"/>
                <w:lang w:val="en-US"/>
              </w:rPr>
              <w:t>Details of complaints decided</w:t>
            </w:r>
            <w:r w:rsidR="00CF0590" w:rsidRPr="00F54655">
              <w:rPr>
                <w:noProof/>
                <w:webHidden/>
              </w:rPr>
              <w:tab/>
            </w:r>
            <w:r w:rsidR="00CF0590" w:rsidRPr="00F54655">
              <w:rPr>
                <w:noProof/>
                <w:webHidden/>
              </w:rPr>
              <w:fldChar w:fldCharType="begin"/>
            </w:r>
            <w:r w:rsidR="00CF0590" w:rsidRPr="00F54655">
              <w:rPr>
                <w:noProof/>
                <w:webHidden/>
              </w:rPr>
              <w:instrText xml:space="preserve"> PAGEREF _Toc476133891 \h </w:instrText>
            </w:r>
            <w:r w:rsidR="00CF0590" w:rsidRPr="00F54655">
              <w:rPr>
                <w:noProof/>
                <w:webHidden/>
              </w:rPr>
            </w:r>
            <w:r w:rsidR="00CF0590" w:rsidRPr="00F54655">
              <w:rPr>
                <w:noProof/>
                <w:webHidden/>
              </w:rPr>
              <w:fldChar w:fldCharType="separate"/>
            </w:r>
            <w:r w:rsidR="00CF0590" w:rsidRPr="00F54655">
              <w:rPr>
                <w:noProof/>
                <w:webHidden/>
              </w:rPr>
              <w:t>8</w:t>
            </w:r>
            <w:r w:rsidR="00CF0590" w:rsidRPr="00F54655">
              <w:rPr>
                <w:noProof/>
                <w:webHidden/>
              </w:rPr>
              <w:fldChar w:fldCharType="end"/>
            </w:r>
          </w:hyperlink>
        </w:p>
        <w:p w:rsidR="00CF0590" w:rsidRPr="00F54655" w:rsidRDefault="00DA1108" w:rsidP="006701C3">
          <w:pPr>
            <w:pStyle w:val="TOC1"/>
            <w:rPr>
              <w:rFonts w:eastAsiaTheme="minorEastAsia"/>
              <w:noProof/>
              <w:lang w:eastAsia="en-AU"/>
            </w:rPr>
          </w:pPr>
          <w:hyperlink w:anchor="_Toc476133892" w:history="1">
            <w:r w:rsidR="00CF0590" w:rsidRPr="00F54655">
              <w:rPr>
                <w:rStyle w:val="Hyperlink"/>
                <w:rFonts w:ascii="Arial" w:hAnsi="Arial" w:cs="Arial"/>
                <w:noProof/>
                <w:color w:val="auto"/>
              </w:rPr>
              <w:t>Appendix A: Marketing in Australia of Infant Formulas: Manufacturers and Importers Agreement</w:t>
            </w:r>
            <w:r w:rsidR="00CF0590" w:rsidRPr="00F54655">
              <w:rPr>
                <w:noProof/>
                <w:webHidden/>
              </w:rPr>
              <w:tab/>
            </w:r>
            <w:r w:rsidR="00CF0590" w:rsidRPr="00F54655">
              <w:rPr>
                <w:noProof/>
                <w:webHidden/>
              </w:rPr>
              <w:fldChar w:fldCharType="begin"/>
            </w:r>
            <w:r w:rsidR="00CF0590" w:rsidRPr="00F54655">
              <w:rPr>
                <w:noProof/>
                <w:webHidden/>
              </w:rPr>
              <w:instrText xml:space="preserve"> PAGEREF _Toc476133892 \h </w:instrText>
            </w:r>
            <w:r w:rsidR="00CF0590" w:rsidRPr="00F54655">
              <w:rPr>
                <w:noProof/>
                <w:webHidden/>
              </w:rPr>
            </w:r>
            <w:r w:rsidR="00CF0590" w:rsidRPr="00F54655">
              <w:rPr>
                <w:noProof/>
                <w:webHidden/>
              </w:rPr>
              <w:fldChar w:fldCharType="separate"/>
            </w:r>
            <w:r w:rsidR="00CF0590" w:rsidRPr="00F54655">
              <w:rPr>
                <w:noProof/>
                <w:webHidden/>
              </w:rPr>
              <w:t>9</w:t>
            </w:r>
            <w:r w:rsidR="00CF0590" w:rsidRPr="00F54655">
              <w:rPr>
                <w:noProof/>
                <w:webHidden/>
              </w:rPr>
              <w:fldChar w:fldCharType="end"/>
            </w:r>
          </w:hyperlink>
        </w:p>
        <w:p w:rsidR="00CF0590" w:rsidRPr="00F54655" w:rsidRDefault="00DA1108" w:rsidP="006701C3">
          <w:pPr>
            <w:pStyle w:val="TOC1"/>
            <w:rPr>
              <w:rFonts w:eastAsiaTheme="minorEastAsia"/>
              <w:noProof/>
              <w:lang w:eastAsia="en-AU"/>
            </w:rPr>
          </w:pPr>
          <w:hyperlink w:anchor="_Toc476133893" w:history="1">
            <w:r w:rsidR="00CF0590" w:rsidRPr="00F54655">
              <w:rPr>
                <w:rStyle w:val="Hyperlink"/>
                <w:rFonts w:ascii="Arial" w:hAnsi="Arial" w:cs="Arial"/>
                <w:noProof/>
                <w:color w:val="auto"/>
              </w:rPr>
              <w:t>Appendix B: Guidelines concerning interactions with health care professionals for the purpose of interpreting the MAIF Agreement</w:t>
            </w:r>
            <w:r w:rsidR="00CF0590" w:rsidRPr="00F54655">
              <w:rPr>
                <w:noProof/>
                <w:webHidden/>
              </w:rPr>
              <w:tab/>
            </w:r>
            <w:r w:rsidR="00CF0590" w:rsidRPr="00F54655">
              <w:rPr>
                <w:noProof/>
                <w:webHidden/>
              </w:rPr>
              <w:fldChar w:fldCharType="begin"/>
            </w:r>
            <w:r w:rsidR="00CF0590" w:rsidRPr="00F54655">
              <w:rPr>
                <w:noProof/>
                <w:webHidden/>
              </w:rPr>
              <w:instrText xml:space="preserve"> PAGEREF _Toc476133893 \h </w:instrText>
            </w:r>
            <w:r w:rsidR="00CF0590" w:rsidRPr="00F54655">
              <w:rPr>
                <w:noProof/>
                <w:webHidden/>
              </w:rPr>
            </w:r>
            <w:r w:rsidR="00CF0590" w:rsidRPr="00F54655">
              <w:rPr>
                <w:noProof/>
                <w:webHidden/>
              </w:rPr>
              <w:fldChar w:fldCharType="separate"/>
            </w:r>
            <w:r w:rsidR="00CF0590" w:rsidRPr="00F54655">
              <w:rPr>
                <w:noProof/>
                <w:webHidden/>
              </w:rPr>
              <w:t>13</w:t>
            </w:r>
            <w:r w:rsidR="00CF0590" w:rsidRPr="00F54655">
              <w:rPr>
                <w:noProof/>
                <w:webHidden/>
              </w:rPr>
              <w:fldChar w:fldCharType="end"/>
            </w:r>
          </w:hyperlink>
        </w:p>
        <w:p w:rsidR="00DB3B76" w:rsidRPr="00F54655" w:rsidRDefault="00B0676F">
          <w:pPr>
            <w:rPr>
              <w:rFonts w:ascii="Arial" w:hAnsi="Arial" w:cs="Arial"/>
              <w:sz w:val="20"/>
              <w:szCs w:val="20"/>
            </w:rPr>
          </w:pPr>
          <w:r w:rsidRPr="00F54655">
            <w:rPr>
              <w:rFonts w:ascii="Arial" w:hAnsi="Arial" w:cs="Arial"/>
            </w:rPr>
            <w:fldChar w:fldCharType="end"/>
          </w:r>
        </w:p>
      </w:sdtContent>
    </w:sdt>
    <w:p w:rsidR="00E12E70" w:rsidRDefault="00E12E70">
      <w:pPr>
        <w:rPr>
          <w:rFonts w:ascii="Arial" w:hAnsi="Arial" w:cs="Arial"/>
        </w:rPr>
        <w:sectPr w:rsidR="00E12E70" w:rsidSect="006701C3">
          <w:footerReference w:type="default" r:id="rId10"/>
          <w:pgSz w:w="11910" w:h="16840"/>
          <w:pgMar w:top="940" w:right="1020" w:bottom="280" w:left="1300" w:header="720" w:footer="480" w:gutter="0"/>
          <w:cols w:space="720"/>
        </w:sectPr>
      </w:pPr>
    </w:p>
    <w:p w:rsidR="00AE163E" w:rsidRPr="00F54655" w:rsidRDefault="00016224" w:rsidP="0029202F">
      <w:pPr>
        <w:pStyle w:val="Heading1"/>
        <w:rPr>
          <w:rFonts w:ascii="Arial" w:hAnsi="Arial" w:cs="Arial"/>
          <w:color w:val="auto"/>
        </w:rPr>
      </w:pPr>
      <w:bookmarkStart w:id="1" w:name="_Toc476133878"/>
      <w:r w:rsidRPr="00F54655">
        <w:rPr>
          <w:rFonts w:ascii="Arial" w:hAnsi="Arial" w:cs="Arial"/>
          <w:color w:val="auto"/>
        </w:rPr>
        <w:lastRenderedPageBreak/>
        <w:t>Letter of Transmittal</w:t>
      </w:r>
      <w:bookmarkEnd w:id="1"/>
    </w:p>
    <w:p w:rsidR="00C86C25" w:rsidRPr="00F54655" w:rsidRDefault="00523E29" w:rsidP="000A131E">
      <w:pPr>
        <w:spacing w:after="0" w:line="240" w:lineRule="auto"/>
        <w:rPr>
          <w:rFonts w:ascii="Arial" w:hAnsi="Arial" w:cs="Arial"/>
        </w:rPr>
      </w:pPr>
      <w:r w:rsidRPr="00F54655">
        <w:rPr>
          <w:rFonts w:ascii="Arial" w:hAnsi="Arial" w:cs="Arial"/>
        </w:rPr>
        <w:t>The Hon. David Gillespie MP</w:t>
      </w:r>
    </w:p>
    <w:p w:rsidR="00C86C25" w:rsidRPr="00F54655" w:rsidRDefault="00C86C25" w:rsidP="000A131E">
      <w:pPr>
        <w:spacing w:after="0" w:line="240" w:lineRule="auto"/>
        <w:rPr>
          <w:rFonts w:ascii="Arial" w:hAnsi="Arial" w:cs="Arial"/>
        </w:rPr>
      </w:pPr>
      <w:r w:rsidRPr="00F54655">
        <w:rPr>
          <w:rFonts w:ascii="Arial" w:hAnsi="Arial" w:cs="Arial"/>
        </w:rPr>
        <w:t>As</w:t>
      </w:r>
      <w:r w:rsidR="00523E29" w:rsidRPr="00F54655">
        <w:rPr>
          <w:rFonts w:ascii="Arial" w:hAnsi="Arial" w:cs="Arial"/>
        </w:rPr>
        <w:t xml:space="preserve">sistant Minister for Health </w:t>
      </w:r>
    </w:p>
    <w:p w:rsidR="00C86C25" w:rsidRPr="00F54655" w:rsidRDefault="00C86C25" w:rsidP="000A131E">
      <w:pPr>
        <w:spacing w:after="0" w:line="240" w:lineRule="auto"/>
        <w:rPr>
          <w:rFonts w:ascii="Arial" w:hAnsi="Arial" w:cs="Arial"/>
        </w:rPr>
      </w:pPr>
      <w:r w:rsidRPr="00F54655">
        <w:rPr>
          <w:rFonts w:ascii="Arial" w:hAnsi="Arial" w:cs="Arial"/>
        </w:rPr>
        <w:t>Parliament House</w:t>
      </w:r>
    </w:p>
    <w:p w:rsidR="00C86C25" w:rsidRPr="00F54655" w:rsidRDefault="00C86C25" w:rsidP="000A131E">
      <w:pPr>
        <w:spacing w:after="0" w:line="240" w:lineRule="auto"/>
        <w:rPr>
          <w:rFonts w:ascii="Arial" w:hAnsi="Arial" w:cs="Arial"/>
        </w:rPr>
      </w:pPr>
      <w:r w:rsidRPr="00F54655">
        <w:rPr>
          <w:rFonts w:ascii="Arial" w:hAnsi="Arial" w:cs="Arial"/>
        </w:rPr>
        <w:t>Canberra ACT 2600</w:t>
      </w:r>
    </w:p>
    <w:p w:rsidR="00C86C25" w:rsidRPr="00F54655" w:rsidRDefault="00C86C25">
      <w:pPr>
        <w:rPr>
          <w:rFonts w:ascii="Arial" w:hAnsi="Arial" w:cs="Arial"/>
        </w:rPr>
      </w:pPr>
    </w:p>
    <w:p w:rsidR="00BA2BD8" w:rsidRPr="00F54655" w:rsidRDefault="00016224">
      <w:pPr>
        <w:rPr>
          <w:rFonts w:ascii="Arial" w:hAnsi="Arial" w:cs="Arial"/>
        </w:rPr>
      </w:pPr>
      <w:r w:rsidRPr="00F54655">
        <w:rPr>
          <w:rFonts w:ascii="Arial" w:hAnsi="Arial" w:cs="Arial"/>
        </w:rPr>
        <w:t xml:space="preserve">Dear </w:t>
      </w:r>
      <w:r w:rsidR="00FB1CA1" w:rsidRPr="00F54655">
        <w:rPr>
          <w:rFonts w:ascii="Arial" w:hAnsi="Arial" w:cs="Arial"/>
        </w:rPr>
        <w:t xml:space="preserve">Mr Gillespie </w:t>
      </w:r>
    </w:p>
    <w:p w:rsidR="001E067E" w:rsidRPr="00F54655" w:rsidRDefault="000A131E">
      <w:pPr>
        <w:rPr>
          <w:rFonts w:ascii="Arial" w:hAnsi="Arial" w:cs="Arial"/>
        </w:rPr>
      </w:pPr>
      <w:r w:rsidRPr="00F54655">
        <w:rPr>
          <w:rFonts w:ascii="Arial" w:hAnsi="Arial" w:cs="Arial"/>
        </w:rPr>
        <w:t xml:space="preserve">I am pleased </w:t>
      </w:r>
      <w:r w:rsidR="00BA2BD8" w:rsidRPr="00F54655">
        <w:rPr>
          <w:rFonts w:ascii="Arial" w:hAnsi="Arial" w:cs="Arial"/>
        </w:rPr>
        <w:t>to present the Annual Report of the M</w:t>
      </w:r>
      <w:r w:rsidRPr="00F54655">
        <w:rPr>
          <w:rFonts w:ascii="Arial" w:hAnsi="Arial" w:cs="Arial"/>
        </w:rPr>
        <w:t xml:space="preserve">arketing in Australia of Infant Formula Tribunal for </w:t>
      </w:r>
      <w:r w:rsidR="003F1456" w:rsidRPr="00F54655">
        <w:rPr>
          <w:rFonts w:ascii="Arial" w:hAnsi="Arial" w:cs="Arial"/>
        </w:rPr>
        <w:t>our second</w:t>
      </w:r>
      <w:r w:rsidRPr="00F54655">
        <w:rPr>
          <w:rFonts w:ascii="Arial" w:hAnsi="Arial" w:cs="Arial"/>
        </w:rPr>
        <w:t xml:space="preserve"> </w:t>
      </w:r>
      <w:r w:rsidR="008A13FF" w:rsidRPr="00F54655">
        <w:rPr>
          <w:rFonts w:ascii="Arial" w:hAnsi="Arial" w:cs="Arial"/>
        </w:rPr>
        <w:t xml:space="preserve">year </w:t>
      </w:r>
      <w:r w:rsidRPr="00F54655">
        <w:rPr>
          <w:rFonts w:ascii="Arial" w:hAnsi="Arial" w:cs="Arial"/>
        </w:rPr>
        <w:t xml:space="preserve">of operation, ending on 30 June </w:t>
      </w:r>
      <w:r w:rsidR="003F1456" w:rsidRPr="00F54655">
        <w:rPr>
          <w:rFonts w:ascii="Arial" w:hAnsi="Arial" w:cs="Arial"/>
        </w:rPr>
        <w:t>2016</w:t>
      </w:r>
      <w:r w:rsidRPr="00F54655">
        <w:rPr>
          <w:rFonts w:ascii="Arial" w:hAnsi="Arial" w:cs="Arial"/>
        </w:rPr>
        <w:t>.</w:t>
      </w:r>
    </w:p>
    <w:p w:rsidR="007F2DB2" w:rsidRPr="00F54655" w:rsidRDefault="003F1456">
      <w:pPr>
        <w:rPr>
          <w:rFonts w:ascii="Arial" w:hAnsi="Arial" w:cs="Arial"/>
        </w:rPr>
      </w:pPr>
      <w:r w:rsidRPr="00F54655">
        <w:rPr>
          <w:rFonts w:ascii="Arial" w:hAnsi="Arial" w:cs="Arial"/>
        </w:rPr>
        <w:t xml:space="preserve">As noted in the report, </w:t>
      </w:r>
      <w:r w:rsidR="005511B3" w:rsidRPr="00F54655">
        <w:rPr>
          <w:rFonts w:ascii="Arial" w:hAnsi="Arial" w:cs="Arial"/>
        </w:rPr>
        <w:t>another marketer</w:t>
      </w:r>
      <w:r w:rsidRPr="00F54655">
        <w:rPr>
          <w:rFonts w:ascii="Arial" w:hAnsi="Arial" w:cs="Arial"/>
        </w:rPr>
        <w:t xml:space="preserve"> of infant formula </w:t>
      </w:r>
      <w:r w:rsidR="005511B3" w:rsidRPr="00F54655">
        <w:rPr>
          <w:rFonts w:ascii="Arial" w:hAnsi="Arial" w:cs="Arial"/>
        </w:rPr>
        <w:t>has</w:t>
      </w:r>
      <w:r w:rsidRPr="00F54655">
        <w:rPr>
          <w:rFonts w:ascii="Arial" w:hAnsi="Arial" w:cs="Arial"/>
        </w:rPr>
        <w:t xml:space="preserve"> </w:t>
      </w:r>
      <w:r w:rsidR="008A13FF" w:rsidRPr="00F54655">
        <w:rPr>
          <w:rFonts w:ascii="Arial" w:hAnsi="Arial" w:cs="Arial"/>
        </w:rPr>
        <w:t xml:space="preserve">become a signatory </w:t>
      </w:r>
      <w:r w:rsidR="001E067E" w:rsidRPr="00F54655">
        <w:rPr>
          <w:rFonts w:ascii="Arial" w:hAnsi="Arial" w:cs="Arial"/>
        </w:rPr>
        <w:t xml:space="preserve">to the MAIF Agreement, thereby extending the coverage of voluntary regulation. </w:t>
      </w:r>
      <w:r w:rsidR="004779A6" w:rsidRPr="00F54655">
        <w:rPr>
          <w:rFonts w:ascii="Arial" w:hAnsi="Arial" w:cs="Arial"/>
        </w:rPr>
        <w:t>The Tribunal views this as a very positive outcome for consumers and the industry.</w:t>
      </w:r>
    </w:p>
    <w:p w:rsidR="000A131E" w:rsidRPr="00F54655" w:rsidRDefault="004779A6">
      <w:pPr>
        <w:rPr>
          <w:rFonts w:ascii="Arial" w:hAnsi="Arial" w:cs="Arial"/>
        </w:rPr>
      </w:pPr>
      <w:r w:rsidRPr="00F54655">
        <w:rPr>
          <w:rFonts w:ascii="Arial" w:hAnsi="Arial" w:cs="Arial"/>
        </w:rPr>
        <w:t>We note that some ind</w:t>
      </w:r>
      <w:r w:rsidR="007F2DB2" w:rsidRPr="00F54655">
        <w:rPr>
          <w:rFonts w:ascii="Arial" w:hAnsi="Arial" w:cs="Arial"/>
        </w:rPr>
        <w:t>ustry participants are not parties</w:t>
      </w:r>
      <w:r w:rsidRPr="00F54655">
        <w:rPr>
          <w:rFonts w:ascii="Arial" w:hAnsi="Arial" w:cs="Arial"/>
        </w:rPr>
        <w:t xml:space="preserve"> to the MAIF Agreement and that any complaints received about their conduct are rejected as beyond the scope of the Tribunal. </w:t>
      </w:r>
      <w:r w:rsidR="007F2DB2" w:rsidRPr="00F54655">
        <w:rPr>
          <w:rFonts w:ascii="Arial" w:hAnsi="Arial" w:cs="Arial"/>
        </w:rPr>
        <w:t>In our opinion this reduces the effectiveness of industry self-regulation and may undermine the confidence of consumers.</w:t>
      </w:r>
      <w:r w:rsidR="005700BD" w:rsidRPr="00F54655">
        <w:rPr>
          <w:rFonts w:ascii="Arial" w:hAnsi="Arial" w:cs="Arial"/>
        </w:rPr>
        <w:t xml:space="preserve"> It is encouraging that when those complaints are received the Department of Health formally invites the respondent to join the MAIF Agreement.</w:t>
      </w:r>
      <w:r w:rsidR="00CF0590" w:rsidRPr="00F54655" w:rsidDel="00CF0590">
        <w:rPr>
          <w:rFonts w:ascii="Arial" w:hAnsi="Arial" w:cs="Arial"/>
        </w:rPr>
        <w:t xml:space="preserve"> </w:t>
      </w:r>
    </w:p>
    <w:p w:rsidR="000A131E" w:rsidRPr="00F54655" w:rsidRDefault="000A131E">
      <w:pPr>
        <w:rPr>
          <w:rFonts w:ascii="Arial" w:hAnsi="Arial" w:cs="Arial"/>
        </w:rPr>
      </w:pPr>
      <w:r w:rsidRPr="00F54655">
        <w:rPr>
          <w:rFonts w:ascii="Arial" w:hAnsi="Arial" w:cs="Arial"/>
        </w:rPr>
        <w:t>Yours sincerely</w:t>
      </w:r>
    </w:p>
    <w:p w:rsidR="000A131E" w:rsidRPr="00F54655" w:rsidRDefault="00551EA8">
      <w:pPr>
        <w:rPr>
          <w:rFonts w:ascii="Arial" w:hAnsi="Arial" w:cs="Arial"/>
        </w:rPr>
      </w:pPr>
      <w:r w:rsidRPr="00F54655">
        <w:rPr>
          <w:rFonts w:ascii="Arial" w:hAnsi="Arial" w:cs="Arial"/>
          <w:noProof/>
          <w:lang w:eastAsia="en-AU"/>
        </w:rPr>
        <w:drawing>
          <wp:inline distT="0" distB="0" distL="0" distR="0" wp14:anchorId="30B68642" wp14:editId="6549697E">
            <wp:extent cx="1380424" cy="257175"/>
            <wp:effectExtent l="0" t="0" r="0" b="0"/>
            <wp:docPr id="2" name="Picture 2" descr="Letter of Transmittal signed by Doctor Graeme Innes, Tribunal Chair, March 2017" titl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380424" cy="257175"/>
                    </a:xfrm>
                    <a:prstGeom prst="rect">
                      <a:avLst/>
                    </a:prstGeom>
                  </pic:spPr>
                </pic:pic>
              </a:graphicData>
            </a:graphic>
          </wp:inline>
        </w:drawing>
      </w:r>
    </w:p>
    <w:p w:rsidR="000A131E" w:rsidRPr="00F54655" w:rsidRDefault="000A131E">
      <w:pPr>
        <w:rPr>
          <w:rFonts w:ascii="Arial" w:hAnsi="Arial" w:cs="Arial"/>
        </w:rPr>
      </w:pPr>
      <w:r w:rsidRPr="00F54655">
        <w:rPr>
          <w:rFonts w:ascii="Arial" w:hAnsi="Arial" w:cs="Arial"/>
        </w:rPr>
        <w:t>Graeme Innes AM</w:t>
      </w:r>
    </w:p>
    <w:p w:rsidR="000A131E" w:rsidRPr="00F54655" w:rsidRDefault="000A131E">
      <w:pPr>
        <w:rPr>
          <w:rFonts w:ascii="Arial" w:hAnsi="Arial" w:cs="Arial"/>
        </w:rPr>
      </w:pPr>
      <w:r w:rsidRPr="00F54655">
        <w:rPr>
          <w:rFonts w:ascii="Arial" w:hAnsi="Arial" w:cs="Arial"/>
        </w:rPr>
        <w:t>Tribunal Chair</w:t>
      </w:r>
    </w:p>
    <w:p w:rsidR="00016224" w:rsidRPr="00F54655" w:rsidRDefault="00CF0590">
      <w:pPr>
        <w:rPr>
          <w:rFonts w:ascii="Arial" w:hAnsi="Arial" w:cs="Arial"/>
        </w:rPr>
      </w:pPr>
      <w:r w:rsidRPr="00F54655">
        <w:rPr>
          <w:rFonts w:ascii="Arial" w:hAnsi="Arial" w:cs="Arial"/>
        </w:rPr>
        <w:t>March</w:t>
      </w:r>
      <w:r w:rsidR="001E067E" w:rsidRPr="00F54655">
        <w:rPr>
          <w:rFonts w:ascii="Arial" w:hAnsi="Arial" w:cs="Arial"/>
        </w:rPr>
        <w:t xml:space="preserve"> </w:t>
      </w:r>
      <w:r w:rsidRPr="00F54655">
        <w:rPr>
          <w:rFonts w:ascii="Arial" w:hAnsi="Arial" w:cs="Arial"/>
        </w:rPr>
        <w:t>2017</w:t>
      </w:r>
      <w:r w:rsidR="00BA2BD8" w:rsidRPr="00F54655">
        <w:rPr>
          <w:rFonts w:ascii="Arial" w:hAnsi="Arial" w:cs="Arial"/>
        </w:rPr>
        <w:t xml:space="preserve"> </w:t>
      </w:r>
      <w:r w:rsidR="00016224" w:rsidRPr="00F54655">
        <w:rPr>
          <w:rFonts w:ascii="Arial" w:hAnsi="Arial" w:cs="Arial"/>
        </w:rPr>
        <w:br w:type="page"/>
      </w:r>
    </w:p>
    <w:p w:rsidR="00A701E9" w:rsidRPr="00F54655" w:rsidRDefault="00A701E9" w:rsidP="00F54655">
      <w:pPr>
        <w:pStyle w:val="Heading1"/>
        <w:rPr>
          <w:rFonts w:ascii="Arial" w:hAnsi="Arial" w:cs="Arial"/>
          <w:b/>
          <w:color w:val="auto"/>
        </w:rPr>
      </w:pPr>
      <w:bookmarkStart w:id="2" w:name="_Toc476133879"/>
      <w:r w:rsidRPr="00F54655">
        <w:rPr>
          <w:rFonts w:ascii="Arial" w:hAnsi="Arial" w:cs="Arial"/>
          <w:b/>
          <w:color w:val="auto"/>
        </w:rPr>
        <w:lastRenderedPageBreak/>
        <w:t xml:space="preserve">Chapter 1: </w:t>
      </w:r>
      <w:r w:rsidR="008D7F1B" w:rsidRPr="00F54655">
        <w:rPr>
          <w:rFonts w:ascii="Arial" w:hAnsi="Arial" w:cs="Arial"/>
          <w:b/>
          <w:color w:val="auto"/>
        </w:rPr>
        <w:t>Scope and functions</w:t>
      </w:r>
      <w:bookmarkEnd w:id="2"/>
    </w:p>
    <w:p w:rsidR="008D7F1B" w:rsidRPr="00F54655" w:rsidRDefault="008D7F1B" w:rsidP="0029202F">
      <w:pPr>
        <w:pStyle w:val="Heading2"/>
        <w:rPr>
          <w:rFonts w:ascii="Arial" w:hAnsi="Arial" w:cs="Arial"/>
          <w:b/>
          <w:color w:val="auto"/>
        </w:rPr>
      </w:pPr>
      <w:bookmarkStart w:id="3" w:name="_Toc476133880"/>
      <w:r w:rsidRPr="00F54655">
        <w:rPr>
          <w:rFonts w:ascii="Arial" w:hAnsi="Arial" w:cs="Arial"/>
          <w:b/>
          <w:color w:val="auto"/>
        </w:rPr>
        <w:t>MAIF Tribunal</w:t>
      </w:r>
      <w:bookmarkEnd w:id="3"/>
    </w:p>
    <w:p w:rsidR="00F54655" w:rsidRPr="00F54655" w:rsidRDefault="00F54655" w:rsidP="00F54655">
      <w:pPr>
        <w:spacing w:after="0"/>
      </w:pPr>
    </w:p>
    <w:p w:rsidR="000C1321" w:rsidRPr="00F54655" w:rsidRDefault="000C1321" w:rsidP="000C1321">
      <w:pPr>
        <w:rPr>
          <w:rFonts w:ascii="Arial" w:hAnsi="Arial" w:cs="Arial"/>
        </w:rPr>
      </w:pPr>
      <w:r w:rsidRPr="00F54655">
        <w:rPr>
          <w:rFonts w:ascii="Arial" w:hAnsi="Arial" w:cs="Arial"/>
        </w:rPr>
        <w:t xml:space="preserve">The MAIF Tribunal (The Tribunal) is a non-statutory dispute resolution body that handles complaints arising under the </w:t>
      </w:r>
      <w:r w:rsidRPr="00F54655">
        <w:rPr>
          <w:rFonts w:ascii="Arial" w:hAnsi="Arial" w:cs="Arial"/>
          <w:i/>
        </w:rPr>
        <w:t>Marketing in Australia of Infant Formulas: Manufacturers and Importers Agreement</w:t>
      </w:r>
      <w:r w:rsidRPr="00F54655">
        <w:rPr>
          <w:rFonts w:ascii="Arial" w:hAnsi="Arial" w:cs="Arial"/>
        </w:rPr>
        <w:t xml:space="preserve"> (MAIF Agreement). The Tribunal replaces the former Advisory Panel on MAIF which </w:t>
      </w:r>
      <w:r w:rsidR="00BB64D2" w:rsidRPr="00F54655">
        <w:rPr>
          <w:rFonts w:ascii="Arial" w:hAnsi="Arial" w:cs="Arial"/>
        </w:rPr>
        <w:t>previously handled</w:t>
      </w:r>
      <w:r w:rsidR="00AE163E" w:rsidRPr="00F54655">
        <w:rPr>
          <w:rFonts w:ascii="Arial" w:hAnsi="Arial" w:cs="Arial"/>
        </w:rPr>
        <w:t xml:space="preserve"> complaints </w:t>
      </w:r>
      <w:r w:rsidRPr="00F54655">
        <w:rPr>
          <w:rFonts w:ascii="Arial" w:hAnsi="Arial" w:cs="Arial"/>
        </w:rPr>
        <w:t>under the MAIF Agreement.</w:t>
      </w:r>
    </w:p>
    <w:p w:rsidR="0026750E" w:rsidRPr="00F54655" w:rsidRDefault="0076019F" w:rsidP="0026750E">
      <w:pPr>
        <w:rPr>
          <w:rFonts w:ascii="Arial" w:hAnsi="Arial" w:cs="Arial"/>
        </w:rPr>
      </w:pPr>
      <w:r w:rsidRPr="00F54655">
        <w:rPr>
          <w:rFonts w:ascii="Arial" w:hAnsi="Arial" w:cs="Arial"/>
        </w:rPr>
        <w:t xml:space="preserve">The Tribunal is conducted under the auspices of </w:t>
      </w:r>
      <w:hyperlink r:id="rId12" w:history="1">
        <w:r w:rsidRPr="00F54655">
          <w:rPr>
            <w:rStyle w:val="Hyperlink"/>
            <w:rFonts w:ascii="Arial" w:hAnsi="Arial" w:cs="Arial"/>
            <w:color w:val="auto"/>
          </w:rPr>
          <w:t>The Ethics Centre</w:t>
        </w:r>
      </w:hyperlink>
      <w:r w:rsidRPr="00F54655">
        <w:rPr>
          <w:rFonts w:ascii="Arial" w:hAnsi="Arial" w:cs="Arial"/>
        </w:rPr>
        <w:t xml:space="preserve">. </w:t>
      </w:r>
      <w:r w:rsidR="0026750E" w:rsidRPr="00F54655">
        <w:rPr>
          <w:rFonts w:ascii="Arial" w:hAnsi="Arial" w:cs="Arial"/>
        </w:rPr>
        <w:t>The cost of operating the Tribunal in the period covered by this annual report was</w:t>
      </w:r>
    </w:p>
    <w:p w:rsidR="0026750E" w:rsidRPr="00F54655" w:rsidRDefault="0026750E" w:rsidP="009D7872">
      <w:pPr>
        <w:pStyle w:val="ListParagraph"/>
        <w:numPr>
          <w:ilvl w:val="0"/>
          <w:numId w:val="6"/>
        </w:numPr>
        <w:rPr>
          <w:rFonts w:ascii="Arial" w:hAnsi="Arial" w:cs="Arial"/>
        </w:rPr>
      </w:pPr>
      <w:r w:rsidRPr="00F54655">
        <w:rPr>
          <w:rFonts w:ascii="Arial" w:hAnsi="Arial" w:cs="Arial"/>
        </w:rPr>
        <w:t>Secretariat - $48,000</w:t>
      </w:r>
      <w:r w:rsidR="009C55CE" w:rsidRPr="00F54655">
        <w:rPr>
          <w:rFonts w:ascii="Arial" w:hAnsi="Arial" w:cs="Arial"/>
        </w:rPr>
        <w:t xml:space="preserve">; </w:t>
      </w:r>
      <w:r w:rsidRPr="00F54655">
        <w:rPr>
          <w:rFonts w:ascii="Arial" w:hAnsi="Arial" w:cs="Arial"/>
        </w:rPr>
        <w:t>Tribunal - $</w:t>
      </w:r>
      <w:r w:rsidR="005511B3" w:rsidRPr="00F54655">
        <w:rPr>
          <w:rFonts w:ascii="Arial" w:hAnsi="Arial" w:cs="Arial"/>
        </w:rPr>
        <w:t>5,584</w:t>
      </w:r>
    </w:p>
    <w:p w:rsidR="0026750E" w:rsidRDefault="008D7F1B" w:rsidP="0026750E">
      <w:pPr>
        <w:rPr>
          <w:rFonts w:ascii="Arial" w:hAnsi="Arial" w:cs="Arial"/>
        </w:rPr>
      </w:pPr>
      <w:proofErr w:type="gramStart"/>
      <w:r w:rsidRPr="00F54655">
        <w:rPr>
          <w:rFonts w:ascii="Arial" w:hAnsi="Arial" w:cs="Arial"/>
        </w:rPr>
        <w:t>f</w:t>
      </w:r>
      <w:r w:rsidR="0026750E" w:rsidRPr="00F54655">
        <w:rPr>
          <w:rFonts w:ascii="Arial" w:hAnsi="Arial" w:cs="Arial"/>
        </w:rPr>
        <w:t>or</w:t>
      </w:r>
      <w:proofErr w:type="gramEnd"/>
      <w:r w:rsidR="0026750E" w:rsidRPr="00F54655">
        <w:rPr>
          <w:rFonts w:ascii="Arial" w:hAnsi="Arial" w:cs="Arial"/>
        </w:rPr>
        <w:t xml:space="preserve"> a total of $</w:t>
      </w:r>
      <w:r w:rsidR="005511B3" w:rsidRPr="00F54655">
        <w:rPr>
          <w:rFonts w:ascii="Arial" w:hAnsi="Arial" w:cs="Arial"/>
        </w:rPr>
        <w:t>53,584</w:t>
      </w:r>
      <w:r w:rsidRPr="00F54655">
        <w:rPr>
          <w:rFonts w:ascii="Arial" w:hAnsi="Arial" w:cs="Arial"/>
        </w:rPr>
        <w:t>.</w:t>
      </w:r>
    </w:p>
    <w:p w:rsidR="008D7F1B" w:rsidRDefault="008D7F1B" w:rsidP="0029202F">
      <w:pPr>
        <w:pStyle w:val="Heading2"/>
        <w:rPr>
          <w:rFonts w:ascii="Arial" w:hAnsi="Arial" w:cs="Arial"/>
          <w:b/>
          <w:color w:val="auto"/>
        </w:rPr>
      </w:pPr>
      <w:bookmarkStart w:id="4" w:name="_Toc476133881"/>
      <w:r w:rsidRPr="00F54655">
        <w:rPr>
          <w:rFonts w:ascii="Arial" w:hAnsi="Arial" w:cs="Arial"/>
          <w:b/>
          <w:color w:val="auto"/>
        </w:rPr>
        <w:t>MAIF Agreement</w:t>
      </w:r>
      <w:bookmarkEnd w:id="4"/>
      <w:r w:rsidR="0026750E" w:rsidRPr="00F54655">
        <w:rPr>
          <w:rFonts w:ascii="Arial" w:hAnsi="Arial" w:cs="Arial"/>
          <w:b/>
          <w:color w:val="auto"/>
        </w:rPr>
        <w:t xml:space="preserve"> </w:t>
      </w:r>
    </w:p>
    <w:p w:rsidR="00F54655" w:rsidRPr="00F54655" w:rsidRDefault="00F54655" w:rsidP="00F54655">
      <w:pPr>
        <w:spacing w:after="0"/>
      </w:pPr>
    </w:p>
    <w:p w:rsidR="000C1321" w:rsidRPr="00F54655" w:rsidRDefault="000C1321" w:rsidP="000C1321">
      <w:pPr>
        <w:rPr>
          <w:rFonts w:ascii="Arial" w:hAnsi="Arial" w:cs="Arial"/>
        </w:rPr>
      </w:pPr>
      <w:r w:rsidRPr="00F54655">
        <w:rPr>
          <w:rFonts w:ascii="Arial" w:hAnsi="Arial" w:cs="Arial"/>
        </w:rPr>
        <w:t>The MAIF Agreement embodies a voluntary, self-regulatory code of conduct for those manufacturers and importers of infant formula who are parties to the MAIF Agreement. It aims to promote:</w:t>
      </w:r>
    </w:p>
    <w:p w:rsidR="000C1321" w:rsidRPr="00F54655" w:rsidRDefault="000C1321" w:rsidP="00F54655">
      <w:pPr>
        <w:pStyle w:val="ListParagraph"/>
        <w:numPr>
          <w:ilvl w:val="0"/>
          <w:numId w:val="22"/>
        </w:numPr>
        <w:rPr>
          <w:rFonts w:ascii="Arial" w:hAnsi="Arial" w:cs="Arial"/>
        </w:rPr>
      </w:pPr>
      <w:r w:rsidRPr="00F54655">
        <w:rPr>
          <w:rFonts w:ascii="Arial" w:hAnsi="Arial" w:cs="Arial"/>
        </w:rPr>
        <w:t>Safe and adequate nutrition for infants</w:t>
      </w:r>
    </w:p>
    <w:p w:rsidR="000C1321" w:rsidRPr="00F54655" w:rsidRDefault="000C1321" w:rsidP="00F54655">
      <w:pPr>
        <w:pStyle w:val="ListParagraph"/>
        <w:numPr>
          <w:ilvl w:val="0"/>
          <w:numId w:val="22"/>
        </w:numPr>
        <w:rPr>
          <w:rFonts w:ascii="Arial" w:hAnsi="Arial" w:cs="Arial"/>
        </w:rPr>
      </w:pPr>
      <w:r w:rsidRPr="00F54655">
        <w:rPr>
          <w:rFonts w:ascii="Arial" w:hAnsi="Arial" w:cs="Arial"/>
        </w:rPr>
        <w:t>Breastfeeding</w:t>
      </w:r>
    </w:p>
    <w:p w:rsidR="000C1321" w:rsidRPr="00F54655" w:rsidRDefault="000C1321" w:rsidP="00F54655">
      <w:pPr>
        <w:pStyle w:val="ListParagraph"/>
        <w:numPr>
          <w:ilvl w:val="0"/>
          <w:numId w:val="22"/>
        </w:numPr>
        <w:rPr>
          <w:rFonts w:ascii="Arial" w:hAnsi="Arial" w:cs="Arial"/>
        </w:rPr>
      </w:pPr>
      <w:r w:rsidRPr="00F54655">
        <w:rPr>
          <w:rFonts w:ascii="Arial" w:hAnsi="Arial" w:cs="Arial"/>
        </w:rPr>
        <w:t>Proper use of breast milk substitutes when necessary</w:t>
      </w:r>
    </w:p>
    <w:p w:rsidR="000C1321" w:rsidRPr="00F54655" w:rsidRDefault="000C1321" w:rsidP="00F54655">
      <w:pPr>
        <w:pStyle w:val="ListParagraph"/>
        <w:numPr>
          <w:ilvl w:val="0"/>
          <w:numId w:val="22"/>
        </w:numPr>
        <w:rPr>
          <w:rFonts w:ascii="Arial" w:hAnsi="Arial" w:cs="Arial"/>
        </w:rPr>
      </w:pPr>
      <w:r w:rsidRPr="00F54655">
        <w:rPr>
          <w:rFonts w:ascii="Arial" w:hAnsi="Arial" w:cs="Arial"/>
        </w:rPr>
        <w:t>Adequate information about infant nutrition</w:t>
      </w:r>
    </w:p>
    <w:p w:rsidR="000C1321" w:rsidRPr="00F54655" w:rsidRDefault="000C1321" w:rsidP="00F54655">
      <w:pPr>
        <w:pStyle w:val="ListParagraph"/>
        <w:numPr>
          <w:ilvl w:val="0"/>
          <w:numId w:val="22"/>
        </w:numPr>
        <w:rPr>
          <w:rFonts w:ascii="Arial" w:hAnsi="Arial" w:cs="Arial"/>
        </w:rPr>
      </w:pPr>
      <w:r w:rsidRPr="00F54655">
        <w:rPr>
          <w:rFonts w:ascii="Arial" w:hAnsi="Arial" w:cs="Arial"/>
        </w:rPr>
        <w:t>Appropriate marketing and distribution of breast milk substitutes.</w:t>
      </w:r>
    </w:p>
    <w:p w:rsidR="000C1321" w:rsidRPr="00F54655" w:rsidRDefault="000C1321" w:rsidP="000C1321">
      <w:pPr>
        <w:rPr>
          <w:rFonts w:ascii="Arial" w:hAnsi="Arial" w:cs="Arial"/>
        </w:rPr>
      </w:pPr>
      <w:r w:rsidRPr="00F54655">
        <w:rPr>
          <w:rFonts w:ascii="Arial" w:hAnsi="Arial" w:cs="Arial"/>
        </w:rPr>
        <w:t xml:space="preserve">The MAIF Agreement is Australia’s primary means of implementing the </w:t>
      </w:r>
      <w:r w:rsidRPr="00F54655">
        <w:rPr>
          <w:rFonts w:ascii="Arial" w:hAnsi="Arial" w:cs="Arial"/>
          <w:i/>
        </w:rPr>
        <w:t>World Health Organization’s</w:t>
      </w:r>
      <w:r w:rsidRPr="00F54655">
        <w:rPr>
          <w:rFonts w:ascii="Arial" w:hAnsi="Arial" w:cs="Arial"/>
        </w:rPr>
        <w:t xml:space="preserve"> </w:t>
      </w:r>
      <w:r w:rsidRPr="00F54655">
        <w:rPr>
          <w:rFonts w:ascii="Arial" w:hAnsi="Arial" w:cs="Arial"/>
          <w:i/>
        </w:rPr>
        <w:t>International Code of Marketing Breast-milk Substitutes</w:t>
      </w:r>
      <w:r w:rsidRPr="00F54655">
        <w:rPr>
          <w:rFonts w:ascii="Arial" w:hAnsi="Arial" w:cs="Arial"/>
        </w:rPr>
        <w:t xml:space="preserve"> (WHO Code</w:t>
      </w:r>
      <w:r w:rsidR="00207923" w:rsidRPr="00F54655">
        <w:rPr>
          <w:rFonts w:ascii="Arial" w:hAnsi="Arial" w:cs="Arial"/>
        </w:rPr>
        <w:t xml:space="preserve">). </w:t>
      </w:r>
      <w:r w:rsidRPr="00F54655">
        <w:rPr>
          <w:rFonts w:ascii="Arial" w:hAnsi="Arial" w:cs="Arial"/>
        </w:rPr>
        <w:t>The MAIF Agreement implements those aspects of the WHO Code that are appropriate to Australia’s legal and economic environment.</w:t>
      </w:r>
    </w:p>
    <w:p w:rsidR="000C1321" w:rsidRPr="00F54655" w:rsidRDefault="000C1321" w:rsidP="000C1321">
      <w:pPr>
        <w:rPr>
          <w:rFonts w:ascii="Arial" w:hAnsi="Arial" w:cs="Arial"/>
        </w:rPr>
      </w:pPr>
      <w:r w:rsidRPr="00F54655">
        <w:rPr>
          <w:rFonts w:ascii="Arial" w:hAnsi="Arial" w:cs="Arial"/>
        </w:rPr>
        <w:t>Australian manufacturers and importers who are parties to the MAIF Agreement undertake to observe its provisions with respect to marketing and promotion of formulas for infants up to 12 months of age. The MAIF Agreement applies to:</w:t>
      </w:r>
    </w:p>
    <w:p w:rsidR="000C1321" w:rsidRPr="00F54655" w:rsidRDefault="000C1321" w:rsidP="00F54655">
      <w:pPr>
        <w:pStyle w:val="ListParagraph"/>
        <w:numPr>
          <w:ilvl w:val="0"/>
          <w:numId w:val="22"/>
        </w:numPr>
        <w:rPr>
          <w:rFonts w:ascii="Arial" w:hAnsi="Arial" w:cs="Arial"/>
        </w:rPr>
      </w:pPr>
      <w:r w:rsidRPr="00F54655">
        <w:rPr>
          <w:rFonts w:ascii="Arial" w:hAnsi="Arial" w:cs="Arial"/>
        </w:rPr>
        <w:t>Infant formula, i.e., formula that is suitable for babies from birth (often described as Starter, Stage 1 or All Ages infant formulas)</w:t>
      </w:r>
    </w:p>
    <w:p w:rsidR="000C1321" w:rsidRPr="00F54655" w:rsidRDefault="000C1321" w:rsidP="00F54655">
      <w:pPr>
        <w:pStyle w:val="ListParagraph"/>
        <w:numPr>
          <w:ilvl w:val="0"/>
          <w:numId w:val="22"/>
        </w:numPr>
        <w:rPr>
          <w:rFonts w:ascii="Arial" w:hAnsi="Arial" w:cs="Arial"/>
        </w:rPr>
      </w:pPr>
      <w:r w:rsidRPr="00F54655">
        <w:rPr>
          <w:rFonts w:ascii="Arial" w:hAnsi="Arial" w:cs="Arial"/>
        </w:rPr>
        <w:t xml:space="preserve">Follow-on formulas, i.e., formula that is suitable for babies aged six </w:t>
      </w:r>
      <w:r w:rsidR="008A13FF" w:rsidRPr="00F54655">
        <w:rPr>
          <w:rFonts w:ascii="Arial" w:hAnsi="Arial" w:cs="Arial"/>
        </w:rPr>
        <w:t>to twelve months.</w:t>
      </w:r>
    </w:p>
    <w:p w:rsidR="000C1321" w:rsidRPr="00F54655" w:rsidRDefault="000C1321" w:rsidP="000C1321">
      <w:pPr>
        <w:rPr>
          <w:rFonts w:ascii="Arial" w:hAnsi="Arial" w:cs="Arial"/>
        </w:rPr>
      </w:pPr>
      <w:r w:rsidRPr="00F54655">
        <w:rPr>
          <w:rFonts w:ascii="Arial" w:hAnsi="Arial" w:cs="Arial"/>
        </w:rPr>
        <w:t>The MAIF Agreement does not apply to:</w:t>
      </w:r>
    </w:p>
    <w:p w:rsidR="000C1321" w:rsidRPr="00F54655" w:rsidRDefault="000C1321" w:rsidP="00F54655">
      <w:pPr>
        <w:pStyle w:val="ListParagraph"/>
        <w:numPr>
          <w:ilvl w:val="0"/>
          <w:numId w:val="22"/>
        </w:numPr>
        <w:rPr>
          <w:rFonts w:ascii="Arial" w:hAnsi="Arial" w:cs="Arial"/>
        </w:rPr>
      </w:pPr>
      <w:r w:rsidRPr="00F54655">
        <w:rPr>
          <w:rFonts w:ascii="Arial" w:hAnsi="Arial" w:cs="Arial"/>
        </w:rPr>
        <w:t>Toddler milk drinks (sometimes called Growing Up milks)</w:t>
      </w:r>
    </w:p>
    <w:p w:rsidR="000C1321" w:rsidRPr="00F54655" w:rsidRDefault="000C1321" w:rsidP="00F54655">
      <w:pPr>
        <w:pStyle w:val="ListParagraph"/>
        <w:numPr>
          <w:ilvl w:val="0"/>
          <w:numId w:val="22"/>
        </w:numPr>
        <w:rPr>
          <w:rFonts w:ascii="Arial" w:hAnsi="Arial" w:cs="Arial"/>
        </w:rPr>
      </w:pPr>
      <w:r w:rsidRPr="00F54655">
        <w:rPr>
          <w:rFonts w:ascii="Arial" w:hAnsi="Arial" w:cs="Arial"/>
        </w:rPr>
        <w:t>Complementary foods (such as baby cereal and packaged baby foods)</w:t>
      </w:r>
    </w:p>
    <w:p w:rsidR="000C1321" w:rsidRPr="00F54655" w:rsidRDefault="000C1321" w:rsidP="00F54655">
      <w:pPr>
        <w:pStyle w:val="ListParagraph"/>
        <w:numPr>
          <w:ilvl w:val="0"/>
          <w:numId w:val="22"/>
        </w:numPr>
        <w:rPr>
          <w:rFonts w:ascii="Arial" w:hAnsi="Arial" w:cs="Arial"/>
        </w:rPr>
      </w:pPr>
      <w:r w:rsidRPr="00F54655">
        <w:rPr>
          <w:rFonts w:ascii="Arial" w:hAnsi="Arial" w:cs="Arial"/>
        </w:rPr>
        <w:t>Feeding bottles and teats</w:t>
      </w:r>
    </w:p>
    <w:p w:rsidR="000C1321" w:rsidRPr="00F54655" w:rsidRDefault="000C1321" w:rsidP="000C1321">
      <w:pPr>
        <w:rPr>
          <w:rFonts w:ascii="Arial" w:hAnsi="Arial" w:cs="Arial"/>
        </w:rPr>
      </w:pPr>
      <w:r w:rsidRPr="00F54655">
        <w:rPr>
          <w:rFonts w:ascii="Arial" w:hAnsi="Arial" w:cs="Arial"/>
        </w:rPr>
        <w:t xml:space="preserve">The Tribunal has no formal powers to obtain information about a complaint. The Tribunal relies </w:t>
      </w:r>
      <w:r w:rsidR="00311A69" w:rsidRPr="00F54655">
        <w:rPr>
          <w:rFonts w:ascii="Arial" w:hAnsi="Arial" w:cs="Arial"/>
        </w:rPr>
        <w:t xml:space="preserve">for information </w:t>
      </w:r>
      <w:r w:rsidRPr="00F54655">
        <w:rPr>
          <w:rFonts w:ascii="Arial" w:hAnsi="Arial" w:cs="Arial"/>
        </w:rPr>
        <w:t>on voluntary cooperation from the parties to the MAIF Agreement and on other stak</w:t>
      </w:r>
      <w:r w:rsidR="00311A69" w:rsidRPr="00F54655">
        <w:rPr>
          <w:rFonts w:ascii="Arial" w:hAnsi="Arial" w:cs="Arial"/>
        </w:rPr>
        <w:t>eholders.</w:t>
      </w:r>
    </w:p>
    <w:p w:rsidR="00735846" w:rsidRDefault="00735846">
      <w:pPr>
        <w:rPr>
          <w:rFonts w:ascii="Arial" w:hAnsi="Arial" w:cs="Arial"/>
        </w:rPr>
      </w:pPr>
      <w:r>
        <w:rPr>
          <w:rFonts w:ascii="Arial" w:hAnsi="Arial" w:cs="Arial"/>
        </w:rPr>
        <w:br w:type="page"/>
      </w:r>
    </w:p>
    <w:p w:rsidR="000C1321" w:rsidRPr="00F54655" w:rsidRDefault="000C1321" w:rsidP="000C1321">
      <w:pPr>
        <w:rPr>
          <w:rFonts w:ascii="Arial" w:hAnsi="Arial" w:cs="Arial"/>
        </w:rPr>
      </w:pPr>
      <w:r w:rsidRPr="00F54655">
        <w:rPr>
          <w:rFonts w:ascii="Arial" w:hAnsi="Arial" w:cs="Arial"/>
        </w:rPr>
        <w:lastRenderedPageBreak/>
        <w:t>Current signatories to the MAIF Agreement include</w:t>
      </w:r>
      <w:r w:rsidR="008A13FF" w:rsidRPr="00F54655">
        <w:rPr>
          <w:rFonts w:ascii="Arial" w:hAnsi="Arial" w:cs="Arial"/>
        </w:rPr>
        <w:t xml:space="preserve"> (as at 30 June 2016)</w:t>
      </w:r>
      <w:r w:rsidRPr="00F54655">
        <w:rPr>
          <w:rFonts w:ascii="Arial" w:hAnsi="Arial" w:cs="Arial"/>
        </w:rPr>
        <w:t>:</w:t>
      </w:r>
    </w:p>
    <w:p w:rsidR="009277CE" w:rsidRPr="00F54655" w:rsidRDefault="009277CE" w:rsidP="00F54655">
      <w:pPr>
        <w:pStyle w:val="ListParagraph"/>
        <w:numPr>
          <w:ilvl w:val="0"/>
          <w:numId w:val="23"/>
        </w:numPr>
        <w:rPr>
          <w:rFonts w:ascii="Arial" w:hAnsi="Arial" w:cs="Arial"/>
        </w:rPr>
      </w:pPr>
      <w:r w:rsidRPr="00F54655">
        <w:rPr>
          <w:rFonts w:ascii="Arial" w:hAnsi="Arial" w:cs="Arial"/>
        </w:rPr>
        <w:t>A2 Corporation Ltd</w:t>
      </w:r>
    </w:p>
    <w:p w:rsidR="000C1321" w:rsidRPr="00F54655" w:rsidRDefault="000C1321" w:rsidP="00F54655">
      <w:pPr>
        <w:pStyle w:val="ListParagraph"/>
        <w:numPr>
          <w:ilvl w:val="0"/>
          <w:numId w:val="23"/>
        </w:numPr>
        <w:rPr>
          <w:rFonts w:ascii="Arial" w:hAnsi="Arial" w:cs="Arial"/>
        </w:rPr>
      </w:pPr>
      <w:r w:rsidRPr="00F54655">
        <w:rPr>
          <w:rFonts w:ascii="Arial" w:hAnsi="Arial" w:cs="Arial"/>
        </w:rPr>
        <w:t>Abbott Australasia Pty Ltd</w:t>
      </w:r>
    </w:p>
    <w:p w:rsidR="000C1321" w:rsidRPr="00F54655" w:rsidRDefault="000C1321" w:rsidP="00F54655">
      <w:pPr>
        <w:pStyle w:val="ListParagraph"/>
        <w:numPr>
          <w:ilvl w:val="0"/>
          <w:numId w:val="23"/>
        </w:numPr>
        <w:rPr>
          <w:rFonts w:ascii="Arial" w:hAnsi="Arial" w:cs="Arial"/>
        </w:rPr>
      </w:pPr>
      <w:r w:rsidRPr="00F54655">
        <w:rPr>
          <w:rFonts w:ascii="Arial" w:hAnsi="Arial" w:cs="Arial"/>
        </w:rPr>
        <w:t>Aspen Nutritionals Australia Pty Ltd</w:t>
      </w:r>
    </w:p>
    <w:p w:rsidR="00D41887" w:rsidRPr="00F54655" w:rsidRDefault="00D41887" w:rsidP="00F54655">
      <w:pPr>
        <w:pStyle w:val="ListParagraph"/>
        <w:numPr>
          <w:ilvl w:val="0"/>
          <w:numId w:val="23"/>
        </w:numPr>
        <w:rPr>
          <w:rFonts w:ascii="Arial" w:hAnsi="Arial" w:cs="Arial"/>
        </w:rPr>
      </w:pPr>
      <w:r w:rsidRPr="00F54655">
        <w:rPr>
          <w:rFonts w:ascii="Arial" w:hAnsi="Arial" w:cs="Arial"/>
        </w:rPr>
        <w:t xml:space="preserve">Australian Dairy Park Pty Ltd </w:t>
      </w:r>
    </w:p>
    <w:p w:rsidR="000C1321" w:rsidRPr="00F54655" w:rsidRDefault="000C1321" w:rsidP="00F54655">
      <w:pPr>
        <w:pStyle w:val="ListParagraph"/>
        <w:numPr>
          <w:ilvl w:val="0"/>
          <w:numId w:val="23"/>
        </w:numPr>
        <w:rPr>
          <w:rFonts w:ascii="Arial" w:hAnsi="Arial" w:cs="Arial"/>
        </w:rPr>
      </w:pPr>
      <w:r w:rsidRPr="00F54655">
        <w:rPr>
          <w:rFonts w:ascii="Arial" w:hAnsi="Arial" w:cs="Arial"/>
        </w:rPr>
        <w:t>Bayer Australia Ltd</w:t>
      </w:r>
    </w:p>
    <w:p w:rsidR="009277CE" w:rsidRPr="00F54655" w:rsidRDefault="009277CE" w:rsidP="00F54655">
      <w:pPr>
        <w:pStyle w:val="ListParagraph"/>
        <w:numPr>
          <w:ilvl w:val="0"/>
          <w:numId w:val="23"/>
        </w:numPr>
        <w:rPr>
          <w:rFonts w:ascii="Arial" w:hAnsi="Arial" w:cs="Arial"/>
        </w:rPr>
      </w:pPr>
      <w:proofErr w:type="spellStart"/>
      <w:r w:rsidRPr="00F54655">
        <w:rPr>
          <w:rFonts w:ascii="Arial" w:hAnsi="Arial" w:cs="Arial"/>
        </w:rPr>
        <w:t>Devondale</w:t>
      </w:r>
      <w:proofErr w:type="spellEnd"/>
      <w:r w:rsidRPr="00F54655">
        <w:rPr>
          <w:rFonts w:ascii="Arial" w:hAnsi="Arial" w:cs="Arial"/>
        </w:rPr>
        <w:t xml:space="preserve"> Murray Goulburn</w:t>
      </w:r>
    </w:p>
    <w:p w:rsidR="000C1321" w:rsidRPr="00F54655" w:rsidRDefault="000C1321" w:rsidP="00F54655">
      <w:pPr>
        <w:pStyle w:val="ListParagraph"/>
        <w:numPr>
          <w:ilvl w:val="0"/>
          <w:numId w:val="23"/>
        </w:numPr>
        <w:rPr>
          <w:rFonts w:ascii="Arial" w:hAnsi="Arial" w:cs="Arial"/>
        </w:rPr>
      </w:pPr>
      <w:r w:rsidRPr="00F54655">
        <w:rPr>
          <w:rFonts w:ascii="Arial" w:hAnsi="Arial" w:cs="Arial"/>
        </w:rPr>
        <w:t>H J Heinz Company Australia Ltd</w:t>
      </w:r>
    </w:p>
    <w:p w:rsidR="00BA2BD8" w:rsidRPr="00F54655" w:rsidRDefault="00BA2BD8" w:rsidP="00F54655">
      <w:pPr>
        <w:pStyle w:val="ListParagraph"/>
        <w:numPr>
          <w:ilvl w:val="0"/>
          <w:numId w:val="23"/>
        </w:numPr>
        <w:rPr>
          <w:rFonts w:ascii="Arial" w:hAnsi="Arial" w:cs="Arial"/>
        </w:rPr>
      </w:pPr>
      <w:r w:rsidRPr="00F54655">
        <w:rPr>
          <w:rFonts w:ascii="Arial" w:hAnsi="Arial" w:cs="Arial"/>
        </w:rPr>
        <w:t>Nature One Dairy Pty Ltd</w:t>
      </w:r>
    </w:p>
    <w:p w:rsidR="000C1321" w:rsidRPr="00F54655" w:rsidRDefault="000C1321" w:rsidP="00F54655">
      <w:pPr>
        <w:pStyle w:val="ListParagraph"/>
        <w:numPr>
          <w:ilvl w:val="0"/>
          <w:numId w:val="23"/>
        </w:numPr>
        <w:rPr>
          <w:rFonts w:ascii="Arial" w:hAnsi="Arial" w:cs="Arial"/>
        </w:rPr>
      </w:pPr>
      <w:r w:rsidRPr="00F54655">
        <w:rPr>
          <w:rFonts w:ascii="Arial" w:hAnsi="Arial" w:cs="Arial"/>
        </w:rPr>
        <w:t>Nestlé Australia Ltd</w:t>
      </w:r>
    </w:p>
    <w:p w:rsidR="000C1321" w:rsidRPr="00F54655" w:rsidRDefault="000C1321" w:rsidP="00F54655">
      <w:pPr>
        <w:pStyle w:val="ListParagraph"/>
        <w:numPr>
          <w:ilvl w:val="0"/>
          <w:numId w:val="23"/>
        </w:numPr>
        <w:rPr>
          <w:rFonts w:ascii="Arial" w:hAnsi="Arial" w:cs="Arial"/>
        </w:rPr>
      </w:pPr>
      <w:proofErr w:type="spellStart"/>
      <w:r w:rsidRPr="00F54655">
        <w:rPr>
          <w:rFonts w:ascii="Arial" w:hAnsi="Arial" w:cs="Arial"/>
        </w:rPr>
        <w:t>Nutricia</w:t>
      </w:r>
      <w:proofErr w:type="spellEnd"/>
      <w:r w:rsidRPr="00F54655">
        <w:rPr>
          <w:rFonts w:ascii="Arial" w:hAnsi="Arial" w:cs="Arial"/>
        </w:rPr>
        <w:t xml:space="preserve"> Australia Pty Ltd</w:t>
      </w:r>
    </w:p>
    <w:p w:rsidR="0029202F" w:rsidRPr="00F54655" w:rsidRDefault="0029202F" w:rsidP="0029202F">
      <w:pPr>
        <w:pStyle w:val="Heading2"/>
        <w:rPr>
          <w:rFonts w:ascii="Arial" w:hAnsi="Arial" w:cs="Arial"/>
          <w:b/>
          <w:color w:val="auto"/>
        </w:rPr>
      </w:pPr>
      <w:bookmarkStart w:id="5" w:name="_Toc476133882"/>
      <w:r w:rsidRPr="00F54655">
        <w:rPr>
          <w:rFonts w:ascii="Arial" w:hAnsi="Arial" w:cs="Arial"/>
          <w:b/>
          <w:color w:val="auto"/>
        </w:rPr>
        <w:t>Authorisation of MAIF Agreement</w:t>
      </w:r>
      <w:bookmarkEnd w:id="5"/>
    </w:p>
    <w:p w:rsidR="00F54655" w:rsidRPr="00F54655" w:rsidRDefault="00F54655" w:rsidP="00F54655">
      <w:pPr>
        <w:spacing w:after="0"/>
      </w:pPr>
    </w:p>
    <w:p w:rsidR="00F952EA" w:rsidRPr="00F54655" w:rsidRDefault="00F952EA" w:rsidP="00F952EA">
      <w:pPr>
        <w:rPr>
          <w:rFonts w:ascii="Arial" w:hAnsi="Arial" w:cs="Arial"/>
        </w:rPr>
      </w:pPr>
      <w:r w:rsidRPr="00F54655">
        <w:rPr>
          <w:rFonts w:ascii="Arial" w:hAnsi="Arial" w:cs="Arial"/>
        </w:rPr>
        <w:t xml:space="preserve">The MAIF Agreement was authorised by the then Trade Practices Commission on 23 September 1992. Authorisation of the MAIF Agreement was necessary because it contains marketing restrictions limiting competition and was granted on the basis that public benefit outweighed any anti-competitive detriment. Authorised organisations can legally follow the provisions of the MAIF Agreement, but could be in breach of the </w:t>
      </w:r>
      <w:r w:rsidRPr="00F54655">
        <w:rPr>
          <w:rFonts w:ascii="Arial" w:hAnsi="Arial" w:cs="Arial"/>
          <w:i/>
          <w:iCs/>
        </w:rPr>
        <w:t xml:space="preserve">Trade Practices Act 1974 </w:t>
      </w:r>
      <w:r w:rsidRPr="00F54655">
        <w:rPr>
          <w:rFonts w:ascii="Arial" w:hAnsi="Arial" w:cs="Arial"/>
        </w:rPr>
        <w:t xml:space="preserve">if they agree to any further marketing restriction which is not covered in the MAIF Agreement, even if it is recommended in the WHO Code. </w:t>
      </w:r>
    </w:p>
    <w:p w:rsidR="00F952EA" w:rsidRPr="00F54655" w:rsidRDefault="00F952EA" w:rsidP="00F952EA">
      <w:pPr>
        <w:rPr>
          <w:rFonts w:ascii="Arial" w:hAnsi="Arial" w:cs="Arial"/>
        </w:rPr>
      </w:pPr>
      <w:r w:rsidRPr="00F54655">
        <w:rPr>
          <w:rFonts w:ascii="Arial" w:hAnsi="Arial" w:cs="Arial"/>
        </w:rPr>
        <w:t xml:space="preserve">On 4 July 2007 Nestlé Australia Ltd lodged an application with the Australian Competition and Consumer Commission (ACCC) for a minor variation to the authorisation of the MAIF Agreement. The application was necessary because several infant formula manufacturers and importers had exited or entered the market since the 1992 authorisations. This created uncertainty for the APMAIF and the infant formula manufacturers about the authorisation status of parties to the MAIF Agreement. The application was made to provide for the addition of parties to the MAIF Agreement and introduce a new time limit on the authorisations to allow for more regular review. </w:t>
      </w:r>
    </w:p>
    <w:p w:rsidR="00F952EA" w:rsidRPr="00F54655" w:rsidRDefault="00F952EA" w:rsidP="00F952EA">
      <w:pPr>
        <w:rPr>
          <w:rFonts w:ascii="Arial" w:hAnsi="Arial" w:cs="Arial"/>
        </w:rPr>
      </w:pPr>
      <w:r w:rsidRPr="00F54655">
        <w:rPr>
          <w:rFonts w:ascii="Arial" w:hAnsi="Arial" w:cs="Arial"/>
        </w:rPr>
        <w:t xml:space="preserve">The ACCC granted an interim authorisation on 11 July 2007. On 30 August 2007 the ACCC made a determination varying the 1992 authorisations so that: </w:t>
      </w:r>
    </w:p>
    <w:p w:rsidR="00F952EA" w:rsidRPr="00F54655" w:rsidRDefault="00F952EA" w:rsidP="0026750E">
      <w:pPr>
        <w:ind w:left="720"/>
        <w:rPr>
          <w:rFonts w:ascii="Arial" w:hAnsi="Arial" w:cs="Arial"/>
        </w:rPr>
      </w:pPr>
      <w:r w:rsidRPr="00F54655">
        <w:rPr>
          <w:rFonts w:ascii="Arial" w:hAnsi="Arial" w:cs="Arial"/>
        </w:rPr>
        <w:t xml:space="preserve">Authorisation applies to current and future manufacturers in, and importers into, Australia of infant formula that are or become parties to the Marketing in Australia of Infant Formula: Manufacturers and Importers Agreement. </w:t>
      </w:r>
    </w:p>
    <w:p w:rsidR="007B0C10" w:rsidRPr="00F54655" w:rsidRDefault="00F952EA" w:rsidP="00F952EA">
      <w:pPr>
        <w:rPr>
          <w:rFonts w:ascii="Arial" w:hAnsi="Arial" w:cs="Arial"/>
        </w:rPr>
      </w:pPr>
      <w:r w:rsidRPr="00F54655">
        <w:rPr>
          <w:rFonts w:ascii="Arial" w:hAnsi="Arial" w:cs="Arial"/>
        </w:rPr>
        <w:t xml:space="preserve">This determination came into effect on 21 September 2007, replacing the interim authorisation. </w:t>
      </w:r>
      <w:r w:rsidR="0026750E" w:rsidRPr="00F54655">
        <w:rPr>
          <w:rFonts w:ascii="Arial" w:hAnsi="Arial" w:cs="Arial"/>
        </w:rPr>
        <w:t>Authorisations A90539 and A90540 were due to expire on 31 December 2015</w:t>
      </w:r>
      <w:r w:rsidR="007B0C10" w:rsidRPr="00F54655">
        <w:rPr>
          <w:rFonts w:ascii="Arial" w:hAnsi="Arial" w:cs="Arial"/>
        </w:rPr>
        <w:t xml:space="preserve"> but remained in force temporarily while the ACCC considered their long-term renewal.</w:t>
      </w:r>
      <w:r w:rsidR="00F16E99" w:rsidRPr="00F54655">
        <w:rPr>
          <w:rFonts w:ascii="Arial" w:hAnsi="Arial" w:cs="Arial"/>
        </w:rPr>
        <w:t xml:space="preserve"> The Tribunal provided information about its activities to the ACCC to assist them in making a determination about the MAIF Agreement.</w:t>
      </w:r>
    </w:p>
    <w:p w:rsidR="00534CDA" w:rsidRPr="00F54655" w:rsidRDefault="007B0C10" w:rsidP="00F952EA">
      <w:pPr>
        <w:rPr>
          <w:rFonts w:ascii="Arial" w:hAnsi="Arial" w:cs="Arial"/>
        </w:rPr>
      </w:pPr>
      <w:r w:rsidRPr="00F54655">
        <w:rPr>
          <w:rFonts w:ascii="Arial" w:hAnsi="Arial" w:cs="Arial"/>
        </w:rPr>
        <w:t xml:space="preserve">Just after the period covered by this Annual Report, on 15 July 2016, the ACCC </w:t>
      </w:r>
      <w:r w:rsidR="00F16E99" w:rsidRPr="00F54655">
        <w:rPr>
          <w:rFonts w:ascii="Arial" w:hAnsi="Arial" w:cs="Arial"/>
        </w:rPr>
        <w:t xml:space="preserve">made final determinations A91506 and A91507 authorising the continuation for a further five years of the MAIF Agreement and the Guidelines made under the Agreement. Full details of the </w:t>
      </w:r>
      <w:r w:rsidR="00534CDA" w:rsidRPr="00F54655">
        <w:rPr>
          <w:rFonts w:ascii="Arial" w:hAnsi="Arial" w:cs="Arial"/>
        </w:rPr>
        <w:t xml:space="preserve">reasons for the </w:t>
      </w:r>
      <w:r w:rsidR="00F16E99" w:rsidRPr="00F54655">
        <w:rPr>
          <w:rFonts w:ascii="Arial" w:hAnsi="Arial" w:cs="Arial"/>
        </w:rPr>
        <w:t>determination</w:t>
      </w:r>
      <w:r w:rsidR="00534CDA" w:rsidRPr="00F54655">
        <w:rPr>
          <w:rFonts w:ascii="Arial" w:hAnsi="Arial" w:cs="Arial"/>
        </w:rPr>
        <w:t xml:space="preserve"> are available from the ACCC’s website at </w:t>
      </w:r>
      <w:proofErr w:type="gramStart"/>
      <w:r w:rsidR="00534CDA" w:rsidRPr="00F54655">
        <w:rPr>
          <w:rFonts w:ascii="Arial" w:hAnsi="Arial" w:cs="Arial"/>
        </w:rPr>
        <w:t>www.accc.gov.au .</w:t>
      </w:r>
      <w:proofErr w:type="gramEnd"/>
    </w:p>
    <w:p w:rsidR="00F54655" w:rsidRDefault="00F54655">
      <w:pPr>
        <w:rPr>
          <w:rFonts w:ascii="Arial" w:eastAsiaTheme="majorEastAsia" w:hAnsi="Arial" w:cs="Arial"/>
        </w:rPr>
      </w:pPr>
      <w:bookmarkStart w:id="6" w:name="_Toc476133883"/>
      <w:r>
        <w:rPr>
          <w:rFonts w:ascii="Arial" w:hAnsi="Arial" w:cs="Arial"/>
        </w:rPr>
        <w:br w:type="page"/>
      </w:r>
    </w:p>
    <w:p w:rsidR="00534CDA" w:rsidRDefault="00534CDA" w:rsidP="00534CDA">
      <w:pPr>
        <w:pStyle w:val="Heading2"/>
        <w:rPr>
          <w:rFonts w:ascii="Arial" w:hAnsi="Arial" w:cs="Arial"/>
          <w:b/>
          <w:color w:val="auto"/>
        </w:rPr>
      </w:pPr>
      <w:r w:rsidRPr="00F54655">
        <w:rPr>
          <w:rFonts w:ascii="Arial" w:hAnsi="Arial" w:cs="Arial"/>
          <w:b/>
          <w:color w:val="auto"/>
        </w:rPr>
        <w:lastRenderedPageBreak/>
        <w:t>Reference to Guidelines</w:t>
      </w:r>
      <w:bookmarkEnd w:id="6"/>
    </w:p>
    <w:p w:rsidR="00F54655" w:rsidRPr="00F54655" w:rsidRDefault="00F54655" w:rsidP="00F54655"/>
    <w:p w:rsidR="00F54655" w:rsidRDefault="00472AE4" w:rsidP="00F952EA">
      <w:pPr>
        <w:rPr>
          <w:rFonts w:ascii="Arial" w:hAnsi="Arial" w:cs="Arial"/>
        </w:rPr>
      </w:pPr>
      <w:r w:rsidRPr="00F54655">
        <w:rPr>
          <w:rFonts w:ascii="Arial" w:hAnsi="Arial" w:cs="Arial"/>
        </w:rPr>
        <w:t>It is clear from the determination of the ACCC that t</w:t>
      </w:r>
      <w:r w:rsidR="00534CDA" w:rsidRPr="00F54655">
        <w:rPr>
          <w:rFonts w:ascii="Arial" w:hAnsi="Arial" w:cs="Arial"/>
        </w:rPr>
        <w:t>he Guidelines made under the MAIF Agreement form an integral part of the self-regulatory regime that the Agreement has established. The</w:t>
      </w:r>
      <w:r w:rsidRPr="00F54655">
        <w:rPr>
          <w:rFonts w:ascii="Arial" w:hAnsi="Arial" w:cs="Arial"/>
        </w:rPr>
        <w:t xml:space="preserve"> Guidelines </w:t>
      </w:r>
      <w:r w:rsidR="00534CDA" w:rsidRPr="00F54655">
        <w:rPr>
          <w:rFonts w:ascii="Arial" w:hAnsi="Arial" w:cs="Arial"/>
        </w:rPr>
        <w:t xml:space="preserve">are given careful consideration by the Tribunal when assessing complaints that allege breaches of the Agreement. The Tribunal therefore encourages complainants </w:t>
      </w:r>
      <w:r w:rsidR="00294C4D" w:rsidRPr="00F54655">
        <w:rPr>
          <w:rFonts w:ascii="Arial" w:hAnsi="Arial" w:cs="Arial"/>
        </w:rPr>
        <w:t>and respondents to refer to the Guidelines when making submissions to the Tribunal.</w:t>
      </w:r>
    </w:p>
    <w:p w:rsidR="00534CDA" w:rsidRPr="00F54655" w:rsidRDefault="00534CDA" w:rsidP="00F952EA">
      <w:pPr>
        <w:rPr>
          <w:rFonts w:ascii="Arial" w:hAnsi="Arial" w:cs="Arial"/>
        </w:rPr>
      </w:pPr>
    </w:p>
    <w:p w:rsidR="00977B1B" w:rsidRDefault="0029202F" w:rsidP="0029202F">
      <w:pPr>
        <w:pStyle w:val="Heading1"/>
        <w:rPr>
          <w:rFonts w:ascii="Arial" w:hAnsi="Arial" w:cs="Arial"/>
          <w:b/>
          <w:color w:val="auto"/>
          <w:lang w:val="en-US"/>
        </w:rPr>
      </w:pPr>
      <w:bookmarkStart w:id="7" w:name="_Toc476133884"/>
      <w:r w:rsidRPr="00F54655">
        <w:rPr>
          <w:rFonts w:ascii="Arial" w:hAnsi="Arial" w:cs="Arial"/>
          <w:b/>
          <w:color w:val="auto"/>
          <w:lang w:val="en-US"/>
        </w:rPr>
        <w:t xml:space="preserve">Chapter 2: </w:t>
      </w:r>
      <w:r w:rsidR="00053486" w:rsidRPr="00F54655">
        <w:rPr>
          <w:rFonts w:ascii="Arial" w:hAnsi="Arial" w:cs="Arial"/>
          <w:b/>
          <w:color w:val="auto"/>
          <w:lang w:val="en-US"/>
        </w:rPr>
        <w:t>Tribunal m</w:t>
      </w:r>
      <w:r w:rsidR="00977B1B" w:rsidRPr="00F54655">
        <w:rPr>
          <w:rFonts w:ascii="Arial" w:hAnsi="Arial" w:cs="Arial"/>
          <w:b/>
          <w:color w:val="auto"/>
          <w:lang w:val="en-US"/>
        </w:rPr>
        <w:t>embers</w:t>
      </w:r>
      <w:bookmarkEnd w:id="7"/>
    </w:p>
    <w:p w:rsidR="00977B1B" w:rsidRDefault="00977B1B" w:rsidP="0029202F">
      <w:pPr>
        <w:pStyle w:val="Heading2"/>
        <w:rPr>
          <w:rFonts w:ascii="Arial" w:hAnsi="Arial" w:cs="Arial"/>
          <w:b/>
          <w:color w:val="auto"/>
          <w:lang w:val="en-US"/>
        </w:rPr>
      </w:pPr>
      <w:bookmarkStart w:id="8" w:name="_Toc476133885"/>
      <w:r w:rsidRPr="00F54655">
        <w:rPr>
          <w:rFonts w:ascii="Arial" w:hAnsi="Arial" w:cs="Arial"/>
          <w:b/>
          <w:color w:val="auto"/>
          <w:lang w:val="en-US"/>
        </w:rPr>
        <w:t>Tribunal Chair:</w:t>
      </w:r>
      <w:r w:rsidR="008C18DC" w:rsidRPr="00F54655">
        <w:rPr>
          <w:rFonts w:ascii="Arial" w:hAnsi="Arial" w:cs="Arial"/>
          <w:b/>
          <w:color w:val="auto"/>
          <w:lang w:val="en-US"/>
        </w:rPr>
        <w:t xml:space="preserve"> </w:t>
      </w:r>
      <w:r w:rsidRPr="00F54655">
        <w:rPr>
          <w:rFonts w:ascii="Arial" w:hAnsi="Arial" w:cs="Arial"/>
          <w:b/>
          <w:color w:val="auto"/>
          <w:lang w:val="en-US"/>
        </w:rPr>
        <w:t>Graeme Innes AM</w:t>
      </w:r>
      <w:bookmarkEnd w:id="8"/>
    </w:p>
    <w:p w:rsidR="00F54655" w:rsidRPr="00F54655" w:rsidRDefault="00F54655" w:rsidP="00F54655">
      <w:pPr>
        <w:spacing w:after="0"/>
        <w:rPr>
          <w:lang w:val="en-US"/>
        </w:rPr>
      </w:pPr>
    </w:p>
    <w:p w:rsidR="00977B1B" w:rsidRPr="00F54655" w:rsidRDefault="008A13FF" w:rsidP="00977B1B">
      <w:pPr>
        <w:rPr>
          <w:rFonts w:ascii="Arial" w:hAnsi="Arial" w:cs="Arial"/>
          <w:lang w:val="en-US"/>
        </w:rPr>
      </w:pPr>
      <w:proofErr w:type="spellStart"/>
      <w:r w:rsidRPr="00F54655">
        <w:rPr>
          <w:rFonts w:ascii="Arial" w:hAnsi="Arial" w:cs="Arial"/>
          <w:lang w:val="en-US"/>
        </w:rPr>
        <w:t>Mr</w:t>
      </w:r>
      <w:proofErr w:type="spellEnd"/>
      <w:r w:rsidRPr="00F54655">
        <w:rPr>
          <w:rFonts w:ascii="Arial" w:hAnsi="Arial" w:cs="Arial"/>
          <w:lang w:val="en-US"/>
        </w:rPr>
        <w:t xml:space="preserve"> </w:t>
      </w:r>
      <w:r w:rsidR="00977B1B" w:rsidRPr="00F54655">
        <w:rPr>
          <w:rFonts w:ascii="Arial" w:hAnsi="Arial" w:cs="Arial"/>
          <w:lang w:val="en-US"/>
        </w:rPr>
        <w:t xml:space="preserve">Graeme Innes AM is a lawyer, mediator and company director. He has been a human rights practitioner for more than thirty years. </w:t>
      </w:r>
      <w:proofErr w:type="spellStart"/>
      <w:r w:rsidRPr="00F54655">
        <w:rPr>
          <w:rFonts w:ascii="Arial" w:hAnsi="Arial" w:cs="Arial"/>
          <w:lang w:val="en-US"/>
        </w:rPr>
        <w:t>Mr</w:t>
      </w:r>
      <w:proofErr w:type="spellEnd"/>
      <w:r w:rsidRPr="00F54655">
        <w:rPr>
          <w:rFonts w:ascii="Arial" w:hAnsi="Arial" w:cs="Arial"/>
          <w:lang w:val="en-US"/>
        </w:rPr>
        <w:t xml:space="preserve"> Innes </w:t>
      </w:r>
      <w:r w:rsidR="00977B1B" w:rsidRPr="00F54655">
        <w:rPr>
          <w:rFonts w:ascii="Arial" w:hAnsi="Arial" w:cs="Arial"/>
          <w:lang w:val="en-US"/>
        </w:rPr>
        <w:t>was a Commissioner at the Australian Human Rights Commission for almost nine years, responsible for issues relating to disability, race and human rights. In this role he led work on:</w:t>
      </w:r>
    </w:p>
    <w:p w:rsidR="00977B1B" w:rsidRPr="00F54655" w:rsidRDefault="00977B1B" w:rsidP="00F54655">
      <w:pPr>
        <w:numPr>
          <w:ilvl w:val="0"/>
          <w:numId w:val="24"/>
        </w:numPr>
        <w:rPr>
          <w:rFonts w:ascii="Arial" w:hAnsi="Arial" w:cs="Arial"/>
          <w:lang w:val="en-US"/>
        </w:rPr>
      </w:pPr>
      <w:r w:rsidRPr="00F54655">
        <w:rPr>
          <w:rFonts w:ascii="Arial" w:hAnsi="Arial" w:cs="Arial"/>
          <w:lang w:val="en-US"/>
        </w:rPr>
        <w:t>The ratification by Australia of a UN Convention on the rights of people with disabilities</w:t>
      </w:r>
    </w:p>
    <w:p w:rsidR="00977B1B" w:rsidRPr="00F54655" w:rsidRDefault="00977B1B" w:rsidP="00F54655">
      <w:pPr>
        <w:numPr>
          <w:ilvl w:val="0"/>
          <w:numId w:val="24"/>
        </w:numPr>
        <w:rPr>
          <w:rFonts w:ascii="Arial" w:hAnsi="Arial" w:cs="Arial"/>
          <w:lang w:val="en-US"/>
        </w:rPr>
      </w:pPr>
      <w:r w:rsidRPr="00F54655">
        <w:rPr>
          <w:rFonts w:ascii="Arial" w:hAnsi="Arial" w:cs="Arial"/>
          <w:lang w:val="en-US"/>
        </w:rPr>
        <w:t>The Same Sex Same Entitlements inquiry</w:t>
      </w:r>
    </w:p>
    <w:p w:rsidR="00977B1B" w:rsidRPr="00F54655" w:rsidRDefault="00977B1B" w:rsidP="00F54655">
      <w:pPr>
        <w:numPr>
          <w:ilvl w:val="0"/>
          <w:numId w:val="24"/>
        </w:numPr>
        <w:rPr>
          <w:rFonts w:ascii="Arial" w:hAnsi="Arial" w:cs="Arial"/>
          <w:lang w:val="en-US"/>
        </w:rPr>
      </w:pPr>
      <w:r w:rsidRPr="00F54655">
        <w:rPr>
          <w:rFonts w:ascii="Arial" w:hAnsi="Arial" w:cs="Arial"/>
          <w:lang w:val="en-US"/>
        </w:rPr>
        <w:t>Regulations in the areas of accessible buildings and transport</w:t>
      </w:r>
    </w:p>
    <w:p w:rsidR="00977B1B" w:rsidRPr="00F54655" w:rsidRDefault="00977B1B" w:rsidP="00F54655">
      <w:pPr>
        <w:numPr>
          <w:ilvl w:val="0"/>
          <w:numId w:val="24"/>
        </w:numPr>
        <w:rPr>
          <w:rFonts w:ascii="Arial" w:hAnsi="Arial" w:cs="Arial"/>
          <w:lang w:val="en-US"/>
        </w:rPr>
      </w:pPr>
      <w:r w:rsidRPr="00F54655">
        <w:rPr>
          <w:rFonts w:ascii="Arial" w:hAnsi="Arial" w:cs="Arial"/>
          <w:lang w:val="en-US"/>
        </w:rPr>
        <w:t>Work with industry on television and movie captions and accessible banking standards</w:t>
      </w:r>
    </w:p>
    <w:p w:rsidR="00977B1B" w:rsidRPr="00FB37EC" w:rsidRDefault="00977B1B" w:rsidP="00F54655">
      <w:pPr>
        <w:numPr>
          <w:ilvl w:val="0"/>
          <w:numId w:val="24"/>
        </w:numPr>
        <w:rPr>
          <w:rFonts w:ascii="Arial" w:hAnsi="Arial" w:cs="Arial"/>
          <w:lang w:val="en-US"/>
        </w:rPr>
      </w:pPr>
      <w:r w:rsidRPr="00FB37EC">
        <w:rPr>
          <w:rFonts w:ascii="Arial" w:hAnsi="Arial" w:cs="Arial"/>
          <w:lang w:val="en-US"/>
        </w:rPr>
        <w:t xml:space="preserve">Three inspections of Australia's immigration detention </w:t>
      </w:r>
      <w:proofErr w:type="spellStart"/>
      <w:r w:rsidRPr="00FB37EC">
        <w:rPr>
          <w:rFonts w:ascii="Arial" w:hAnsi="Arial" w:cs="Arial"/>
          <w:lang w:val="en-US"/>
        </w:rPr>
        <w:t>centres</w:t>
      </w:r>
      <w:proofErr w:type="spellEnd"/>
    </w:p>
    <w:p w:rsidR="00977B1B" w:rsidRPr="00FB37EC" w:rsidRDefault="00977B1B" w:rsidP="00977B1B">
      <w:pPr>
        <w:rPr>
          <w:rFonts w:ascii="Arial" w:hAnsi="Arial" w:cs="Arial"/>
          <w:lang w:val="en-US"/>
        </w:rPr>
      </w:pPr>
      <w:proofErr w:type="spellStart"/>
      <w:r w:rsidRPr="00FB37EC">
        <w:rPr>
          <w:rFonts w:ascii="Arial" w:hAnsi="Arial" w:cs="Arial"/>
          <w:lang w:val="en-US"/>
        </w:rPr>
        <w:t>Mr</w:t>
      </w:r>
      <w:proofErr w:type="spellEnd"/>
      <w:r w:rsidRPr="00FB37EC">
        <w:rPr>
          <w:rFonts w:ascii="Arial" w:hAnsi="Arial" w:cs="Arial"/>
          <w:lang w:val="en-US"/>
        </w:rPr>
        <w:t xml:space="preserve"> Innes led the merger of four blindness agencies to form Vision Australia, and chaired the board of that agency. He is currently the chair of the Attitude Australia Foundation, and a board member of Life </w:t>
      </w:r>
      <w:proofErr w:type="gramStart"/>
      <w:r w:rsidRPr="00FB37EC">
        <w:rPr>
          <w:rFonts w:ascii="Arial" w:hAnsi="Arial" w:cs="Arial"/>
          <w:lang w:val="en-US"/>
        </w:rPr>
        <w:t>Without</w:t>
      </w:r>
      <w:proofErr w:type="gramEnd"/>
      <w:r w:rsidRPr="00FB37EC">
        <w:rPr>
          <w:rFonts w:ascii="Arial" w:hAnsi="Arial" w:cs="Arial"/>
          <w:lang w:val="en-US"/>
        </w:rPr>
        <w:t xml:space="preserve"> Barriers. </w:t>
      </w:r>
      <w:proofErr w:type="spellStart"/>
      <w:r w:rsidR="008A13FF" w:rsidRPr="00FB37EC">
        <w:rPr>
          <w:rFonts w:ascii="Arial" w:hAnsi="Arial" w:cs="Arial"/>
          <w:lang w:val="en-US"/>
        </w:rPr>
        <w:t>Mr</w:t>
      </w:r>
      <w:proofErr w:type="spellEnd"/>
      <w:r w:rsidR="008A13FF" w:rsidRPr="00FB37EC">
        <w:rPr>
          <w:rFonts w:ascii="Arial" w:hAnsi="Arial" w:cs="Arial"/>
          <w:lang w:val="en-US"/>
        </w:rPr>
        <w:t xml:space="preserve"> </w:t>
      </w:r>
      <w:r w:rsidRPr="00FB37EC">
        <w:rPr>
          <w:rFonts w:ascii="Arial" w:hAnsi="Arial" w:cs="Arial"/>
          <w:lang w:val="en-US"/>
        </w:rPr>
        <w:t>Innes was awarded an AM for his work on the development of the Disability Discrimination Act.</w:t>
      </w:r>
    </w:p>
    <w:p w:rsidR="00F54655" w:rsidRPr="00FB37EC" w:rsidRDefault="00F54655" w:rsidP="00977B1B">
      <w:pPr>
        <w:rPr>
          <w:rFonts w:ascii="Arial" w:hAnsi="Arial" w:cs="Arial"/>
          <w:lang w:val="en-US"/>
        </w:rPr>
      </w:pPr>
    </w:p>
    <w:p w:rsidR="00977B1B" w:rsidRPr="00FB37EC" w:rsidRDefault="00977B1B" w:rsidP="0029202F">
      <w:pPr>
        <w:pStyle w:val="Heading2"/>
        <w:rPr>
          <w:rFonts w:ascii="Arial" w:hAnsi="Arial" w:cs="Arial"/>
          <w:b/>
          <w:color w:val="auto"/>
          <w:lang w:val="en-US"/>
        </w:rPr>
      </w:pPr>
      <w:bookmarkStart w:id="9" w:name="_Toc476133886"/>
      <w:r w:rsidRPr="00FB37EC">
        <w:rPr>
          <w:rFonts w:ascii="Arial" w:hAnsi="Arial" w:cs="Arial"/>
          <w:b/>
          <w:color w:val="auto"/>
          <w:lang w:val="en-US"/>
        </w:rPr>
        <w:t>Tribunal Member:</w:t>
      </w:r>
      <w:r w:rsidR="008C18DC" w:rsidRPr="00FB37EC">
        <w:rPr>
          <w:rFonts w:ascii="Arial" w:hAnsi="Arial" w:cs="Arial"/>
          <w:b/>
          <w:color w:val="auto"/>
          <w:lang w:val="en-US"/>
        </w:rPr>
        <w:t xml:space="preserve"> </w:t>
      </w:r>
      <w:r w:rsidRPr="00FB37EC">
        <w:rPr>
          <w:rFonts w:ascii="Arial" w:hAnsi="Arial" w:cs="Arial"/>
          <w:b/>
          <w:color w:val="auto"/>
          <w:lang w:val="en-US"/>
        </w:rPr>
        <w:t xml:space="preserve">Dr. Jacqui </w:t>
      </w:r>
      <w:proofErr w:type="spellStart"/>
      <w:r w:rsidRPr="00FB37EC">
        <w:rPr>
          <w:rFonts w:ascii="Arial" w:hAnsi="Arial" w:cs="Arial"/>
          <w:b/>
          <w:color w:val="auto"/>
          <w:lang w:val="en-US"/>
        </w:rPr>
        <w:t>Dalby</w:t>
      </w:r>
      <w:proofErr w:type="spellEnd"/>
      <w:r w:rsidRPr="00FB37EC">
        <w:rPr>
          <w:rFonts w:ascii="Arial" w:hAnsi="Arial" w:cs="Arial"/>
          <w:b/>
          <w:color w:val="auto"/>
          <w:lang w:val="en-US"/>
        </w:rPr>
        <w:t>-Payne</w:t>
      </w:r>
      <w:bookmarkEnd w:id="9"/>
    </w:p>
    <w:p w:rsidR="00F54655" w:rsidRPr="00FB37EC" w:rsidRDefault="00F54655" w:rsidP="00F54655">
      <w:pPr>
        <w:spacing w:after="0"/>
        <w:rPr>
          <w:lang w:val="en-US"/>
        </w:rPr>
      </w:pPr>
    </w:p>
    <w:p w:rsidR="00977B1B" w:rsidRPr="00FB37EC" w:rsidRDefault="00977B1B" w:rsidP="00977B1B">
      <w:pPr>
        <w:rPr>
          <w:rFonts w:ascii="Arial" w:hAnsi="Arial" w:cs="Arial"/>
          <w:lang w:val="en-US"/>
        </w:rPr>
      </w:pPr>
      <w:proofErr w:type="spellStart"/>
      <w:r w:rsidRPr="00FB37EC">
        <w:rPr>
          <w:rFonts w:ascii="Arial" w:hAnsi="Arial" w:cs="Arial"/>
          <w:lang w:val="en-US"/>
        </w:rPr>
        <w:t>Dr</w:t>
      </w:r>
      <w:proofErr w:type="spellEnd"/>
      <w:r w:rsidRPr="00FB37EC">
        <w:rPr>
          <w:rFonts w:ascii="Arial" w:hAnsi="Arial" w:cs="Arial"/>
          <w:lang w:val="en-US"/>
        </w:rPr>
        <w:t xml:space="preserve"> </w:t>
      </w:r>
      <w:r w:rsidR="008359A7" w:rsidRPr="00FB37EC">
        <w:rPr>
          <w:rFonts w:ascii="Arial" w:hAnsi="Arial" w:cs="Arial"/>
          <w:lang w:val="en-US"/>
        </w:rPr>
        <w:t xml:space="preserve">Jacqui </w:t>
      </w:r>
      <w:proofErr w:type="spellStart"/>
      <w:r w:rsidRPr="00FB37EC">
        <w:rPr>
          <w:rFonts w:ascii="Arial" w:hAnsi="Arial" w:cs="Arial"/>
          <w:lang w:val="en-US"/>
        </w:rPr>
        <w:t>Dalby</w:t>
      </w:r>
      <w:proofErr w:type="spellEnd"/>
      <w:r w:rsidRPr="00FB37EC">
        <w:rPr>
          <w:rFonts w:ascii="Arial" w:hAnsi="Arial" w:cs="Arial"/>
          <w:lang w:val="en-US"/>
        </w:rPr>
        <w:t xml:space="preserve">-Payne is a General </w:t>
      </w:r>
      <w:proofErr w:type="spellStart"/>
      <w:r w:rsidRPr="00FB37EC">
        <w:rPr>
          <w:rFonts w:ascii="Arial" w:hAnsi="Arial" w:cs="Arial"/>
          <w:lang w:val="en-US"/>
        </w:rPr>
        <w:t>Paediatrician</w:t>
      </w:r>
      <w:proofErr w:type="spellEnd"/>
      <w:r w:rsidRPr="00FB37EC">
        <w:rPr>
          <w:rFonts w:ascii="Arial" w:hAnsi="Arial" w:cs="Arial"/>
          <w:lang w:val="en-US"/>
        </w:rPr>
        <w:t xml:space="preserve"> with a special interest in feeding and </w:t>
      </w:r>
      <w:proofErr w:type="spellStart"/>
      <w:r w:rsidRPr="00FB37EC">
        <w:rPr>
          <w:rFonts w:ascii="Arial" w:hAnsi="Arial" w:cs="Arial"/>
          <w:lang w:val="en-US"/>
        </w:rPr>
        <w:t>behavioural</w:t>
      </w:r>
      <w:proofErr w:type="spellEnd"/>
      <w:r w:rsidRPr="00FB37EC">
        <w:rPr>
          <w:rFonts w:ascii="Arial" w:hAnsi="Arial" w:cs="Arial"/>
          <w:lang w:val="en-US"/>
        </w:rPr>
        <w:t xml:space="preserve"> feeding problems. She graduated with her </w:t>
      </w:r>
      <w:r w:rsidR="008A13FF" w:rsidRPr="00FB37EC">
        <w:rPr>
          <w:rFonts w:ascii="Arial" w:hAnsi="Arial" w:cs="Arial"/>
          <w:lang w:val="en-US"/>
        </w:rPr>
        <w:t xml:space="preserve">Bachelor of Medicine/Bachelor of </w:t>
      </w:r>
      <w:proofErr w:type="spellStart"/>
      <w:r w:rsidR="008A13FF" w:rsidRPr="00FB37EC">
        <w:rPr>
          <w:rFonts w:ascii="Arial" w:hAnsi="Arial" w:cs="Arial"/>
          <w:lang w:val="en-US"/>
        </w:rPr>
        <w:t>Surgery</w:t>
      </w:r>
      <w:r w:rsidRPr="00FB37EC">
        <w:rPr>
          <w:rFonts w:ascii="Arial" w:hAnsi="Arial" w:cs="Arial"/>
          <w:lang w:val="en-US"/>
        </w:rPr>
        <w:t>from</w:t>
      </w:r>
      <w:proofErr w:type="spellEnd"/>
      <w:r w:rsidRPr="00FB37EC">
        <w:rPr>
          <w:rFonts w:ascii="Arial" w:hAnsi="Arial" w:cs="Arial"/>
          <w:lang w:val="en-US"/>
        </w:rPr>
        <w:t xml:space="preserve"> the University of New South Wales </w:t>
      </w:r>
      <w:r w:rsidR="00207923" w:rsidRPr="00FB37EC">
        <w:rPr>
          <w:rFonts w:ascii="Arial" w:hAnsi="Arial" w:cs="Arial"/>
          <w:lang w:val="en-US"/>
        </w:rPr>
        <w:t>in 1992</w:t>
      </w:r>
      <w:r w:rsidRPr="00FB37EC">
        <w:rPr>
          <w:rFonts w:ascii="Arial" w:hAnsi="Arial" w:cs="Arial"/>
          <w:lang w:val="en-US"/>
        </w:rPr>
        <w:t xml:space="preserve">. She initially trained at Royal North Shore Hospital in Internal Medicine and commenced </w:t>
      </w:r>
      <w:proofErr w:type="spellStart"/>
      <w:r w:rsidRPr="00FB37EC">
        <w:rPr>
          <w:rFonts w:ascii="Arial" w:hAnsi="Arial" w:cs="Arial"/>
          <w:lang w:val="en-US"/>
        </w:rPr>
        <w:t>Paediatric</w:t>
      </w:r>
      <w:proofErr w:type="spellEnd"/>
      <w:r w:rsidRPr="00FB37EC">
        <w:rPr>
          <w:rFonts w:ascii="Arial" w:hAnsi="Arial" w:cs="Arial"/>
          <w:lang w:val="en-US"/>
        </w:rPr>
        <w:t xml:space="preserve"> training at The Children’s Hospital at </w:t>
      </w:r>
      <w:proofErr w:type="spellStart"/>
      <w:r w:rsidRPr="00FB37EC">
        <w:rPr>
          <w:rFonts w:ascii="Arial" w:hAnsi="Arial" w:cs="Arial"/>
          <w:lang w:val="en-US"/>
        </w:rPr>
        <w:t>Westmead</w:t>
      </w:r>
      <w:proofErr w:type="spellEnd"/>
      <w:r w:rsidRPr="00FB37EC">
        <w:rPr>
          <w:rFonts w:ascii="Arial" w:hAnsi="Arial" w:cs="Arial"/>
          <w:lang w:val="en-US"/>
        </w:rPr>
        <w:t xml:space="preserve"> in 1996. She completed a </w:t>
      </w:r>
      <w:proofErr w:type="spellStart"/>
      <w:r w:rsidRPr="00FB37EC">
        <w:rPr>
          <w:rFonts w:ascii="Arial" w:hAnsi="Arial" w:cs="Arial"/>
          <w:lang w:val="en-US"/>
        </w:rPr>
        <w:t>Masters</w:t>
      </w:r>
      <w:proofErr w:type="spellEnd"/>
      <w:r w:rsidRPr="00FB37EC">
        <w:rPr>
          <w:rFonts w:ascii="Arial" w:hAnsi="Arial" w:cs="Arial"/>
          <w:lang w:val="en-US"/>
        </w:rPr>
        <w:t xml:space="preserve"> Degree in Clinical Epidemiology at the University of Sydney in 2000 and graduated with </w:t>
      </w:r>
      <w:proofErr w:type="gramStart"/>
      <w:r w:rsidRPr="00FB37EC">
        <w:rPr>
          <w:rFonts w:ascii="Arial" w:hAnsi="Arial" w:cs="Arial"/>
          <w:lang w:val="en-US"/>
        </w:rPr>
        <w:t>her  PhD</w:t>
      </w:r>
      <w:proofErr w:type="gramEnd"/>
      <w:r w:rsidRPr="00FB37EC">
        <w:rPr>
          <w:rFonts w:ascii="Arial" w:hAnsi="Arial" w:cs="Arial"/>
          <w:lang w:val="en-US"/>
        </w:rPr>
        <w:t xml:space="preserve"> from the University of Sydney in 2002. </w:t>
      </w:r>
      <w:proofErr w:type="spellStart"/>
      <w:r w:rsidRPr="00FB37EC">
        <w:rPr>
          <w:rFonts w:ascii="Arial" w:hAnsi="Arial" w:cs="Arial"/>
          <w:lang w:val="en-US"/>
        </w:rPr>
        <w:t>Dr</w:t>
      </w:r>
      <w:proofErr w:type="spellEnd"/>
      <w:r w:rsidRPr="00FB37EC">
        <w:rPr>
          <w:rFonts w:ascii="Arial" w:hAnsi="Arial" w:cs="Arial"/>
          <w:lang w:val="en-US"/>
        </w:rPr>
        <w:t xml:space="preserve"> </w:t>
      </w:r>
      <w:proofErr w:type="spellStart"/>
      <w:r w:rsidRPr="00FB37EC">
        <w:rPr>
          <w:rFonts w:ascii="Arial" w:hAnsi="Arial" w:cs="Arial"/>
          <w:lang w:val="en-US"/>
        </w:rPr>
        <w:t>Dalby</w:t>
      </w:r>
      <w:proofErr w:type="spellEnd"/>
      <w:r w:rsidRPr="00FB37EC">
        <w:rPr>
          <w:rFonts w:ascii="Arial" w:hAnsi="Arial" w:cs="Arial"/>
          <w:lang w:val="en-US"/>
        </w:rPr>
        <w:t xml:space="preserve">-Payne was appointed as a Staff Specialist in General Medicine at The Children’s Hospital at </w:t>
      </w:r>
      <w:proofErr w:type="spellStart"/>
      <w:r w:rsidRPr="00FB37EC">
        <w:rPr>
          <w:rFonts w:ascii="Arial" w:hAnsi="Arial" w:cs="Arial"/>
          <w:lang w:val="en-US"/>
        </w:rPr>
        <w:t>Westmead</w:t>
      </w:r>
      <w:proofErr w:type="spellEnd"/>
      <w:r w:rsidRPr="00FB37EC">
        <w:rPr>
          <w:rFonts w:ascii="Arial" w:hAnsi="Arial" w:cs="Arial"/>
          <w:lang w:val="en-US"/>
        </w:rPr>
        <w:t xml:space="preserve"> in 2002 and as a </w:t>
      </w:r>
      <w:r w:rsidR="00C67F8A" w:rsidRPr="00FB37EC">
        <w:rPr>
          <w:rFonts w:ascii="Arial" w:hAnsi="Arial" w:cs="Arial"/>
          <w:lang w:val="en-US"/>
        </w:rPr>
        <w:t xml:space="preserve">visiting medical officer </w:t>
      </w:r>
      <w:r w:rsidRPr="00FB37EC">
        <w:rPr>
          <w:rFonts w:ascii="Arial" w:hAnsi="Arial" w:cs="Arial"/>
          <w:lang w:val="en-US"/>
        </w:rPr>
        <w:t xml:space="preserve">in </w:t>
      </w:r>
      <w:proofErr w:type="spellStart"/>
      <w:r w:rsidRPr="00FB37EC">
        <w:rPr>
          <w:rFonts w:ascii="Arial" w:hAnsi="Arial" w:cs="Arial"/>
          <w:lang w:val="en-US"/>
        </w:rPr>
        <w:t>Paediatrics</w:t>
      </w:r>
      <w:proofErr w:type="spellEnd"/>
      <w:r w:rsidRPr="00FB37EC">
        <w:rPr>
          <w:rFonts w:ascii="Arial" w:hAnsi="Arial" w:cs="Arial"/>
          <w:lang w:val="en-US"/>
        </w:rPr>
        <w:t xml:space="preserve"> at Royal North Shore Hospital in 2007. She has a conjoint appointment as a Senior Lecturer with the University of Sydney. She is a founding member of the Multi-Disciplinary Feeding Team </w:t>
      </w:r>
      <w:r w:rsidR="008F49BC" w:rsidRPr="00FB37EC">
        <w:rPr>
          <w:rFonts w:ascii="Arial" w:hAnsi="Arial" w:cs="Arial"/>
          <w:lang w:val="en-US"/>
        </w:rPr>
        <w:t>at The</w:t>
      </w:r>
      <w:r w:rsidRPr="00FB37EC">
        <w:rPr>
          <w:rFonts w:ascii="Arial" w:hAnsi="Arial" w:cs="Arial"/>
          <w:lang w:val="en-US"/>
        </w:rPr>
        <w:t xml:space="preserve"> Children’s Hospital at </w:t>
      </w:r>
      <w:proofErr w:type="spellStart"/>
      <w:r w:rsidRPr="00FB37EC">
        <w:rPr>
          <w:rFonts w:ascii="Arial" w:hAnsi="Arial" w:cs="Arial"/>
          <w:lang w:val="en-US"/>
        </w:rPr>
        <w:t>Westmead</w:t>
      </w:r>
      <w:proofErr w:type="spellEnd"/>
      <w:r w:rsidRPr="00FB37EC">
        <w:rPr>
          <w:rFonts w:ascii="Arial" w:hAnsi="Arial" w:cs="Arial"/>
          <w:lang w:val="en-US"/>
        </w:rPr>
        <w:t>.</w:t>
      </w:r>
    </w:p>
    <w:p w:rsidR="00F54655" w:rsidRPr="00FB37EC" w:rsidRDefault="00F54655">
      <w:pPr>
        <w:rPr>
          <w:rFonts w:ascii="Arial" w:eastAsiaTheme="majorEastAsia" w:hAnsi="Arial" w:cs="Arial"/>
          <w:b/>
          <w:lang w:val="en-US"/>
        </w:rPr>
      </w:pPr>
      <w:bookmarkStart w:id="10" w:name="_Toc476133887"/>
      <w:r w:rsidRPr="00FB37EC">
        <w:rPr>
          <w:rFonts w:ascii="Arial" w:hAnsi="Arial" w:cs="Arial"/>
          <w:b/>
          <w:lang w:val="en-US"/>
        </w:rPr>
        <w:br w:type="page"/>
      </w:r>
    </w:p>
    <w:p w:rsidR="00977B1B" w:rsidRPr="00FB37EC" w:rsidRDefault="00977B1B" w:rsidP="0029202F">
      <w:pPr>
        <w:pStyle w:val="Heading2"/>
        <w:rPr>
          <w:rFonts w:ascii="Arial" w:hAnsi="Arial" w:cs="Arial"/>
          <w:b/>
          <w:color w:val="auto"/>
          <w:lang w:val="en-US"/>
        </w:rPr>
      </w:pPr>
      <w:r w:rsidRPr="00FB37EC">
        <w:rPr>
          <w:rFonts w:ascii="Arial" w:hAnsi="Arial" w:cs="Arial"/>
          <w:b/>
          <w:color w:val="auto"/>
          <w:lang w:val="en-US"/>
        </w:rPr>
        <w:lastRenderedPageBreak/>
        <w:t>Tribunal Member:</w:t>
      </w:r>
      <w:r w:rsidR="008C18DC" w:rsidRPr="00FB37EC">
        <w:rPr>
          <w:rFonts w:ascii="Arial" w:hAnsi="Arial" w:cs="Arial"/>
          <w:b/>
          <w:color w:val="auto"/>
          <w:lang w:val="en-US"/>
        </w:rPr>
        <w:t xml:space="preserve"> </w:t>
      </w:r>
      <w:r w:rsidRPr="00FB37EC">
        <w:rPr>
          <w:rFonts w:ascii="Arial" w:hAnsi="Arial" w:cs="Arial"/>
          <w:b/>
          <w:color w:val="auto"/>
          <w:lang w:val="en-US"/>
        </w:rPr>
        <w:t>Gillian Calvert AO</w:t>
      </w:r>
      <w:bookmarkEnd w:id="10"/>
    </w:p>
    <w:p w:rsidR="00F54655" w:rsidRPr="00FB37EC" w:rsidRDefault="00F54655" w:rsidP="00F54655">
      <w:pPr>
        <w:spacing w:after="0"/>
        <w:rPr>
          <w:lang w:val="en-US"/>
        </w:rPr>
      </w:pPr>
    </w:p>
    <w:p w:rsidR="002B2021" w:rsidRPr="00FB37EC" w:rsidRDefault="00977B1B" w:rsidP="002926D0">
      <w:pPr>
        <w:rPr>
          <w:rFonts w:ascii="Arial" w:hAnsi="Arial" w:cs="Arial"/>
          <w:lang w:val="en-US"/>
        </w:rPr>
      </w:pPr>
      <w:r w:rsidRPr="00FB37EC">
        <w:rPr>
          <w:rFonts w:ascii="Arial" w:hAnsi="Arial" w:cs="Arial"/>
          <w:lang w:val="en-US"/>
        </w:rPr>
        <w:t xml:space="preserve">Gillian Calvert AO is an advocate for children and their families with 40 </w:t>
      </w:r>
      <w:r w:rsidR="00207923" w:rsidRPr="00FB37EC">
        <w:rPr>
          <w:rFonts w:ascii="Arial" w:hAnsi="Arial" w:cs="Arial"/>
          <w:lang w:val="en-US"/>
        </w:rPr>
        <w:t>years’ experience</w:t>
      </w:r>
      <w:r w:rsidRPr="00FB37EC">
        <w:rPr>
          <w:rFonts w:ascii="Arial" w:hAnsi="Arial" w:cs="Arial"/>
          <w:lang w:val="en-US"/>
        </w:rPr>
        <w:t xml:space="preserve">. She was the inaugural NSW Commissioner for Children and Young People and established it as one of Australia's leading children’s policy and research </w:t>
      </w:r>
      <w:proofErr w:type="spellStart"/>
      <w:r w:rsidRPr="00FB37EC">
        <w:rPr>
          <w:rFonts w:ascii="Arial" w:hAnsi="Arial" w:cs="Arial"/>
          <w:lang w:val="en-US"/>
        </w:rPr>
        <w:t>centres</w:t>
      </w:r>
      <w:proofErr w:type="spellEnd"/>
      <w:r w:rsidRPr="00FB37EC">
        <w:rPr>
          <w:rFonts w:ascii="Arial" w:hAnsi="Arial" w:cs="Arial"/>
          <w:lang w:val="en-US"/>
        </w:rPr>
        <w:t xml:space="preserve">, one which was built on being child </w:t>
      </w:r>
      <w:proofErr w:type="spellStart"/>
      <w:r w:rsidRPr="00FB37EC">
        <w:rPr>
          <w:rFonts w:ascii="Arial" w:hAnsi="Arial" w:cs="Arial"/>
          <w:lang w:val="en-US"/>
        </w:rPr>
        <w:t>centred</w:t>
      </w:r>
      <w:proofErr w:type="spellEnd"/>
      <w:r w:rsidRPr="00FB37EC">
        <w:rPr>
          <w:rFonts w:ascii="Arial" w:hAnsi="Arial" w:cs="Arial"/>
          <w:lang w:val="en-US"/>
        </w:rPr>
        <w:t xml:space="preserve"> and child inclusive. </w:t>
      </w:r>
      <w:proofErr w:type="gramStart"/>
      <w:r w:rsidRPr="00FB37EC">
        <w:rPr>
          <w:rFonts w:ascii="Arial" w:hAnsi="Arial" w:cs="Arial"/>
          <w:lang w:val="en-US"/>
        </w:rPr>
        <w:t>Prior to that she was the Director of the Office for Children and Young People in NSW Cabinet Office, responsible for coordinating government action for children and young people.</w:t>
      </w:r>
      <w:proofErr w:type="gramEnd"/>
      <w:r w:rsidRPr="00FB37EC">
        <w:rPr>
          <w:rFonts w:ascii="Arial" w:hAnsi="Arial" w:cs="Arial"/>
          <w:lang w:val="en-US"/>
        </w:rPr>
        <w:t xml:space="preserve"> During this time she was instrumental in refocusing government attention on the importance of the early years. Her leadership at the NSW Child Protection Council established NSW’s collaborative and comprehensive approach to tackling child abuse and neglect. She started her career as a family therapist with troubled children and their families and the importance of listening to and observing children and families experience has underpinned her lifelong commitment to promoting children’s wellbeing. Currently she </w:t>
      </w:r>
      <w:r w:rsidR="00207923" w:rsidRPr="00FB37EC">
        <w:rPr>
          <w:rFonts w:ascii="Arial" w:hAnsi="Arial" w:cs="Arial"/>
          <w:lang w:val="en-US"/>
        </w:rPr>
        <w:t>serves on</w:t>
      </w:r>
      <w:r w:rsidRPr="00FB37EC">
        <w:rPr>
          <w:rFonts w:ascii="Arial" w:hAnsi="Arial" w:cs="Arial"/>
          <w:lang w:val="en-US"/>
        </w:rPr>
        <w:t xml:space="preserve"> a number of Boards and committees.</w:t>
      </w:r>
    </w:p>
    <w:p w:rsidR="00F54655" w:rsidRPr="00FB37EC" w:rsidRDefault="00F54655" w:rsidP="002926D0">
      <w:pPr>
        <w:rPr>
          <w:rFonts w:ascii="Arial" w:hAnsi="Arial" w:cs="Arial"/>
          <w:lang w:val="en-US"/>
        </w:rPr>
      </w:pPr>
    </w:p>
    <w:p w:rsidR="002B2021" w:rsidRPr="00FB37EC" w:rsidRDefault="002B2021" w:rsidP="002B2021">
      <w:pPr>
        <w:pStyle w:val="Heading2"/>
        <w:rPr>
          <w:rFonts w:ascii="Arial" w:hAnsi="Arial" w:cs="Arial"/>
          <w:b/>
          <w:color w:val="auto"/>
          <w:lang w:val="en-US"/>
        </w:rPr>
      </w:pPr>
      <w:bookmarkStart w:id="11" w:name="_Toc476133888"/>
      <w:r w:rsidRPr="00FB37EC">
        <w:rPr>
          <w:rFonts w:ascii="Arial" w:hAnsi="Arial" w:cs="Arial"/>
          <w:b/>
          <w:color w:val="auto"/>
          <w:lang w:val="en-US"/>
        </w:rPr>
        <w:t>Tribunal Secretariat: Leigh Woodgate</w:t>
      </w:r>
      <w:bookmarkEnd w:id="11"/>
    </w:p>
    <w:p w:rsidR="00F54655" w:rsidRPr="00FB37EC" w:rsidRDefault="00F54655" w:rsidP="00F54655">
      <w:pPr>
        <w:spacing w:after="0"/>
        <w:rPr>
          <w:lang w:val="en-US"/>
        </w:rPr>
      </w:pPr>
    </w:p>
    <w:p w:rsidR="002B2021" w:rsidRPr="00FB37EC" w:rsidRDefault="002B2021" w:rsidP="00CF0590">
      <w:pPr>
        <w:rPr>
          <w:rFonts w:ascii="Arial" w:hAnsi="Arial" w:cs="Arial"/>
          <w:lang w:val="en-US"/>
        </w:rPr>
      </w:pPr>
      <w:r w:rsidRPr="00FB37EC">
        <w:rPr>
          <w:rFonts w:ascii="Arial" w:hAnsi="Arial" w:cs="Arial"/>
          <w:lang w:val="en-US"/>
        </w:rPr>
        <w:t xml:space="preserve">Executive Assistant to Executive Director, </w:t>
      </w:r>
      <w:proofErr w:type="spellStart"/>
      <w:r w:rsidRPr="00FB37EC">
        <w:rPr>
          <w:rFonts w:ascii="Arial" w:hAnsi="Arial" w:cs="Arial"/>
          <w:lang w:val="en-US"/>
        </w:rPr>
        <w:t>Dr</w:t>
      </w:r>
      <w:proofErr w:type="spellEnd"/>
      <w:r w:rsidRPr="00FB37EC">
        <w:rPr>
          <w:rFonts w:ascii="Arial" w:hAnsi="Arial" w:cs="Arial"/>
          <w:lang w:val="en-US"/>
        </w:rPr>
        <w:t xml:space="preserve"> Simon </w:t>
      </w:r>
      <w:proofErr w:type="spellStart"/>
      <w:r w:rsidRPr="00FB37EC">
        <w:rPr>
          <w:rFonts w:ascii="Arial" w:hAnsi="Arial" w:cs="Arial"/>
          <w:lang w:val="en-US"/>
        </w:rPr>
        <w:t>Longstaff</w:t>
      </w:r>
      <w:proofErr w:type="spellEnd"/>
      <w:r w:rsidRPr="00FB37EC">
        <w:rPr>
          <w:rFonts w:ascii="Arial" w:hAnsi="Arial" w:cs="Arial"/>
          <w:lang w:val="en-US"/>
        </w:rPr>
        <w:t xml:space="preserve"> </w:t>
      </w:r>
      <w:r w:rsidR="00CF0590" w:rsidRPr="00FB37EC">
        <w:rPr>
          <w:rFonts w:ascii="Arial" w:hAnsi="Arial" w:cs="Arial"/>
          <w:lang w:val="en-US"/>
        </w:rPr>
        <w:t xml:space="preserve">AO </w:t>
      </w:r>
      <w:r w:rsidRPr="00FB37EC">
        <w:rPr>
          <w:rFonts w:ascii="Arial" w:hAnsi="Arial" w:cs="Arial"/>
          <w:lang w:val="en-US"/>
        </w:rPr>
        <w:t>and Executive General Manager, Ed St John of The Ethics Centre</w:t>
      </w:r>
      <w:r w:rsidR="00CF0590" w:rsidRPr="00FB37EC">
        <w:rPr>
          <w:rFonts w:ascii="Arial" w:hAnsi="Arial" w:cs="Arial"/>
          <w:lang w:val="en-US"/>
        </w:rPr>
        <w:t>.</w:t>
      </w:r>
      <w:r w:rsidRPr="00FB37EC">
        <w:rPr>
          <w:rFonts w:ascii="Arial" w:hAnsi="Arial" w:cs="Arial"/>
          <w:lang w:val="en-US"/>
        </w:rPr>
        <w:t xml:space="preserve"> </w:t>
      </w:r>
    </w:p>
    <w:p w:rsidR="00F54655" w:rsidRPr="00FB37EC" w:rsidRDefault="00F54655" w:rsidP="002926D0">
      <w:pPr>
        <w:rPr>
          <w:rStyle w:val="Heading1Char"/>
          <w:rFonts w:ascii="Arial" w:hAnsi="Arial" w:cs="Arial"/>
          <w:color w:val="auto"/>
        </w:rPr>
      </w:pPr>
      <w:bookmarkStart w:id="12" w:name="_Toc476133889"/>
    </w:p>
    <w:p w:rsidR="002926D0" w:rsidRPr="00FB37EC" w:rsidRDefault="0029202F" w:rsidP="00FB37EC">
      <w:pPr>
        <w:pStyle w:val="Heading1"/>
        <w:rPr>
          <w:rStyle w:val="Heading1Char"/>
          <w:rFonts w:ascii="Arial" w:hAnsi="Arial" w:cs="Arial"/>
          <w:b/>
          <w:color w:val="auto"/>
          <w:lang w:val="en-US"/>
        </w:rPr>
      </w:pPr>
      <w:r w:rsidRPr="00FB37EC">
        <w:rPr>
          <w:rStyle w:val="Heading1Char"/>
          <w:rFonts w:ascii="Arial" w:hAnsi="Arial" w:cs="Arial"/>
          <w:b/>
          <w:color w:val="auto"/>
        </w:rPr>
        <w:t xml:space="preserve">Chapter 3: </w:t>
      </w:r>
      <w:r w:rsidR="00053486" w:rsidRPr="00FB37EC">
        <w:rPr>
          <w:rStyle w:val="Heading1Char"/>
          <w:rFonts w:ascii="Arial" w:hAnsi="Arial" w:cs="Arial"/>
          <w:b/>
          <w:color w:val="auto"/>
        </w:rPr>
        <w:t>How complaints are p</w:t>
      </w:r>
      <w:r w:rsidR="00C413B4" w:rsidRPr="00FB37EC">
        <w:rPr>
          <w:rStyle w:val="Heading1Char"/>
          <w:rFonts w:ascii="Arial" w:hAnsi="Arial" w:cs="Arial"/>
          <w:b/>
          <w:color w:val="auto"/>
        </w:rPr>
        <w:t>rocessed</w:t>
      </w:r>
      <w:bookmarkEnd w:id="12"/>
    </w:p>
    <w:p w:rsidR="00C413B4" w:rsidRPr="00FB37EC" w:rsidRDefault="00C413B4" w:rsidP="00C413B4">
      <w:pPr>
        <w:rPr>
          <w:rFonts w:ascii="Arial" w:hAnsi="Arial" w:cs="Arial"/>
          <w:lang w:val="en-US"/>
        </w:rPr>
      </w:pPr>
      <w:r w:rsidRPr="00FB37EC">
        <w:rPr>
          <w:rFonts w:ascii="Arial" w:hAnsi="Arial" w:cs="Arial"/>
          <w:lang w:val="en-US"/>
        </w:rPr>
        <w:t>The MAIF Tribunal relies upon interested parties, such as breastfeeding advocacy groups, health professionals and members of the public, to monitor compliance with the MAIF Agreement. Alleged breaches of the MAIF Agreement are brought to the attention of the MAIF Tribunal by the submission of formal complaints. The Tribunal does not initiate audit compliance with the MAIF agreement.</w:t>
      </w:r>
    </w:p>
    <w:p w:rsidR="00C413B4" w:rsidRPr="00FB37EC" w:rsidRDefault="00C413B4" w:rsidP="00C413B4">
      <w:pPr>
        <w:rPr>
          <w:rFonts w:ascii="Arial" w:hAnsi="Arial" w:cs="Arial"/>
          <w:lang w:val="en-US"/>
        </w:rPr>
      </w:pPr>
      <w:r w:rsidRPr="00FB37EC">
        <w:rPr>
          <w:rFonts w:ascii="Arial" w:hAnsi="Arial" w:cs="Arial"/>
          <w:lang w:val="en-US"/>
        </w:rPr>
        <w:t xml:space="preserve">Information about how to lodge a complaint is available from the </w:t>
      </w:r>
      <w:hyperlink r:id="rId13" w:history="1">
        <w:r w:rsidR="00A66B15" w:rsidRPr="00FB37EC">
          <w:rPr>
            <w:rStyle w:val="Hyperlink"/>
            <w:rFonts w:ascii="Arial" w:hAnsi="Arial" w:cs="Arial"/>
            <w:color w:val="auto"/>
            <w:lang w:val="en-US"/>
          </w:rPr>
          <w:t>Australian</w:t>
        </w:r>
        <w:r w:rsidR="00F25543" w:rsidRPr="00FB37EC">
          <w:rPr>
            <w:rStyle w:val="Hyperlink"/>
            <w:rFonts w:ascii="Arial" w:hAnsi="Arial" w:cs="Arial"/>
            <w:color w:val="auto"/>
            <w:lang w:val="en-US"/>
          </w:rPr>
          <w:t xml:space="preserve"> Government</w:t>
        </w:r>
        <w:r w:rsidR="00A66B15" w:rsidRPr="00FB37EC">
          <w:rPr>
            <w:rStyle w:val="Hyperlink"/>
            <w:rFonts w:ascii="Arial" w:hAnsi="Arial" w:cs="Arial"/>
            <w:color w:val="auto"/>
            <w:lang w:val="en-US"/>
          </w:rPr>
          <w:t xml:space="preserve"> Department of Health website</w:t>
        </w:r>
      </w:hyperlink>
      <w:r w:rsidRPr="00FB37EC">
        <w:rPr>
          <w:rFonts w:ascii="Arial" w:hAnsi="Arial" w:cs="Arial"/>
          <w:lang w:val="en-US"/>
        </w:rPr>
        <w:t>.</w:t>
      </w:r>
    </w:p>
    <w:p w:rsidR="00C413B4" w:rsidRPr="00FB37EC" w:rsidRDefault="00C413B4" w:rsidP="00C413B4">
      <w:pPr>
        <w:rPr>
          <w:rFonts w:ascii="Arial" w:hAnsi="Arial" w:cs="Arial"/>
          <w:lang w:val="en-US"/>
        </w:rPr>
      </w:pPr>
      <w:r w:rsidRPr="00FB37EC">
        <w:rPr>
          <w:rFonts w:ascii="Arial" w:hAnsi="Arial" w:cs="Arial"/>
          <w:lang w:val="en-US"/>
        </w:rPr>
        <w:t xml:space="preserve">Upon receipt, complaints are assessed by the </w:t>
      </w:r>
      <w:r w:rsidR="00A66B15" w:rsidRPr="00FB37EC">
        <w:rPr>
          <w:rFonts w:ascii="Arial" w:hAnsi="Arial" w:cs="Arial"/>
          <w:lang w:val="en-US"/>
        </w:rPr>
        <w:t xml:space="preserve">Australian </w:t>
      </w:r>
      <w:r w:rsidR="00F25543" w:rsidRPr="00FB37EC">
        <w:rPr>
          <w:rFonts w:ascii="Arial" w:hAnsi="Arial" w:cs="Arial"/>
          <w:lang w:val="en-US"/>
        </w:rPr>
        <w:t xml:space="preserve">Government </w:t>
      </w:r>
      <w:r w:rsidRPr="00FB37EC">
        <w:rPr>
          <w:rFonts w:ascii="Arial" w:hAnsi="Arial" w:cs="Arial"/>
          <w:lang w:val="en-US"/>
        </w:rPr>
        <w:t>Department of Health and are classified as being within or outside the scope of the MAIF Agreement. Complaints considered outside the scope of the MAIF Agreement may include, but are not limited to, the following:</w:t>
      </w:r>
    </w:p>
    <w:p w:rsidR="00C413B4" w:rsidRPr="00FB37EC" w:rsidRDefault="00C413B4" w:rsidP="00F54655">
      <w:pPr>
        <w:numPr>
          <w:ilvl w:val="0"/>
          <w:numId w:val="25"/>
        </w:numPr>
        <w:spacing w:line="254" w:lineRule="auto"/>
        <w:rPr>
          <w:rFonts w:ascii="Arial" w:hAnsi="Arial" w:cs="Arial"/>
          <w:lang w:val="en-US"/>
        </w:rPr>
      </w:pPr>
      <w:r w:rsidRPr="00FB37EC">
        <w:rPr>
          <w:rFonts w:ascii="Arial" w:hAnsi="Arial" w:cs="Arial"/>
          <w:lang w:val="en-US"/>
        </w:rPr>
        <w:t>An infant formula manufacturer or importer that is not a current member to the MAIF Agreement or was not a member at the time the complaint was made</w:t>
      </w:r>
    </w:p>
    <w:p w:rsidR="00C413B4" w:rsidRPr="00FB37EC" w:rsidRDefault="00C413B4" w:rsidP="00F54655">
      <w:pPr>
        <w:numPr>
          <w:ilvl w:val="0"/>
          <w:numId w:val="25"/>
        </w:numPr>
        <w:spacing w:line="254" w:lineRule="auto"/>
        <w:rPr>
          <w:rFonts w:ascii="Arial" w:hAnsi="Arial" w:cs="Arial"/>
          <w:lang w:val="en-US"/>
        </w:rPr>
      </w:pPr>
      <w:r w:rsidRPr="00FB37EC">
        <w:rPr>
          <w:rFonts w:ascii="Arial" w:hAnsi="Arial" w:cs="Arial"/>
          <w:lang w:val="en-US"/>
        </w:rPr>
        <w:t>Retailer activity where there is no involvement by the manufacturer/importer (e.g. price promotions in retail catalogues)</w:t>
      </w:r>
    </w:p>
    <w:p w:rsidR="00C413B4" w:rsidRPr="00FB37EC" w:rsidRDefault="00C413B4" w:rsidP="00F54655">
      <w:pPr>
        <w:numPr>
          <w:ilvl w:val="0"/>
          <w:numId w:val="25"/>
        </w:numPr>
        <w:spacing w:line="254" w:lineRule="auto"/>
        <w:rPr>
          <w:rFonts w:ascii="Arial" w:hAnsi="Arial" w:cs="Arial"/>
          <w:lang w:val="en-US"/>
        </w:rPr>
      </w:pPr>
      <w:r w:rsidRPr="00FB37EC">
        <w:rPr>
          <w:rFonts w:ascii="Arial" w:hAnsi="Arial" w:cs="Arial"/>
          <w:lang w:val="en-US"/>
        </w:rPr>
        <w:t>Infant merchandise (e.g. infant feeding bottles, teats</w:t>
      </w:r>
      <w:r w:rsidR="00A66B15" w:rsidRPr="00FB37EC">
        <w:rPr>
          <w:rFonts w:ascii="Arial" w:hAnsi="Arial" w:cs="Arial"/>
          <w:lang w:val="en-US"/>
        </w:rPr>
        <w:t xml:space="preserve"> and</w:t>
      </w:r>
      <w:r w:rsidRPr="00FB37EC">
        <w:rPr>
          <w:rFonts w:ascii="Arial" w:hAnsi="Arial" w:cs="Arial"/>
          <w:lang w:val="en-US"/>
        </w:rPr>
        <w:t xml:space="preserve"> dummies)</w:t>
      </w:r>
    </w:p>
    <w:p w:rsidR="00C413B4" w:rsidRPr="00FB37EC" w:rsidRDefault="00C413B4" w:rsidP="00F54655">
      <w:pPr>
        <w:numPr>
          <w:ilvl w:val="0"/>
          <w:numId w:val="25"/>
        </w:numPr>
        <w:spacing w:line="254" w:lineRule="auto"/>
        <w:rPr>
          <w:rFonts w:ascii="Arial" w:hAnsi="Arial" w:cs="Arial"/>
          <w:lang w:val="en-US"/>
        </w:rPr>
      </w:pPr>
      <w:r w:rsidRPr="00FB37EC">
        <w:rPr>
          <w:rFonts w:ascii="Arial" w:hAnsi="Arial" w:cs="Arial"/>
          <w:lang w:val="en-US"/>
        </w:rPr>
        <w:t>Foods, including milk products formulated for children over 12 months of age (sometimes referred to as “toddler milks”)</w:t>
      </w:r>
    </w:p>
    <w:p w:rsidR="00C413B4" w:rsidRPr="00FB37EC" w:rsidRDefault="00C413B4" w:rsidP="00C413B4">
      <w:pPr>
        <w:spacing w:after="120"/>
        <w:rPr>
          <w:rFonts w:ascii="Arial" w:hAnsi="Arial" w:cs="Arial"/>
          <w:lang w:val="en-US"/>
        </w:rPr>
      </w:pPr>
      <w:r w:rsidRPr="00FB37EC">
        <w:rPr>
          <w:rFonts w:ascii="Arial" w:hAnsi="Arial" w:cs="Arial"/>
          <w:lang w:val="en-US"/>
        </w:rPr>
        <w:t xml:space="preserve">The </w:t>
      </w:r>
      <w:r w:rsidR="00A66B15" w:rsidRPr="00FB37EC">
        <w:rPr>
          <w:rFonts w:ascii="Arial" w:hAnsi="Arial" w:cs="Arial"/>
          <w:lang w:val="en-US"/>
        </w:rPr>
        <w:t xml:space="preserve">Australian </w:t>
      </w:r>
      <w:r w:rsidR="00F25543" w:rsidRPr="00FB37EC">
        <w:rPr>
          <w:rFonts w:ascii="Arial" w:hAnsi="Arial" w:cs="Arial"/>
          <w:lang w:val="en-US"/>
        </w:rPr>
        <w:t xml:space="preserve">Government </w:t>
      </w:r>
      <w:r w:rsidRPr="00FB37EC">
        <w:rPr>
          <w:rFonts w:ascii="Arial" w:hAnsi="Arial" w:cs="Arial"/>
          <w:lang w:val="en-US"/>
        </w:rPr>
        <w:t xml:space="preserve">Department of Health advises complainants in writing if their complaints are </w:t>
      </w:r>
      <w:r w:rsidR="00133104" w:rsidRPr="00FB37EC">
        <w:rPr>
          <w:rFonts w:ascii="Arial" w:hAnsi="Arial" w:cs="Arial"/>
          <w:lang w:val="en-US"/>
        </w:rPr>
        <w:t>considered to be</w:t>
      </w:r>
      <w:r w:rsidRPr="00FB37EC">
        <w:rPr>
          <w:rFonts w:ascii="Arial" w:hAnsi="Arial" w:cs="Arial"/>
          <w:lang w:val="en-US"/>
        </w:rPr>
        <w:t xml:space="preserve"> outside the scope of the MAIF Agreement. All other complaints are forwarded to the Tribunal Secretariat. The Tribunal Secretariat records all complaints received in its complaints register and </w:t>
      </w:r>
      <w:proofErr w:type="gramStart"/>
      <w:r w:rsidRPr="00FB37EC">
        <w:rPr>
          <w:rFonts w:ascii="Arial" w:hAnsi="Arial" w:cs="Arial"/>
          <w:lang w:val="en-US"/>
        </w:rPr>
        <w:t>maintains</w:t>
      </w:r>
      <w:proofErr w:type="gramEnd"/>
      <w:r w:rsidRPr="00FB37EC">
        <w:rPr>
          <w:rFonts w:ascii="Arial" w:hAnsi="Arial" w:cs="Arial"/>
          <w:lang w:val="en-US"/>
        </w:rPr>
        <w:t xml:space="preserve"> confidentiality about the identities of complainants.</w:t>
      </w:r>
    </w:p>
    <w:p w:rsidR="00C413B4" w:rsidRPr="00FB37EC" w:rsidRDefault="00F54655" w:rsidP="00791A40">
      <w:pPr>
        <w:rPr>
          <w:rFonts w:ascii="Arial" w:hAnsi="Arial" w:cs="Arial"/>
          <w:lang w:val="en-US"/>
        </w:rPr>
      </w:pPr>
      <w:r w:rsidRPr="00FB37EC">
        <w:rPr>
          <w:rFonts w:ascii="Arial" w:hAnsi="Arial" w:cs="Arial"/>
          <w:lang w:val="en-US"/>
        </w:rPr>
        <w:br w:type="page"/>
      </w:r>
      <w:r w:rsidR="00C413B4" w:rsidRPr="00FB37EC">
        <w:rPr>
          <w:rFonts w:ascii="Arial" w:hAnsi="Arial" w:cs="Arial"/>
          <w:lang w:val="en-US"/>
        </w:rPr>
        <w:lastRenderedPageBreak/>
        <w:t>The Tribunal Secretariat advises the manufacturer or importer of the product concerned that a complaint has been received alleging a breach of the MAIF Agreement:</w:t>
      </w:r>
    </w:p>
    <w:p w:rsidR="00C413B4" w:rsidRPr="00FB37EC" w:rsidRDefault="00C413B4" w:rsidP="00E12E70">
      <w:pPr>
        <w:numPr>
          <w:ilvl w:val="0"/>
          <w:numId w:val="26"/>
        </w:numPr>
        <w:spacing w:after="120" w:line="240" w:lineRule="auto"/>
        <w:ind w:right="230"/>
        <w:rPr>
          <w:rFonts w:ascii="Arial" w:hAnsi="Arial" w:cs="Arial"/>
          <w:lang w:val="en-US"/>
        </w:rPr>
      </w:pPr>
      <w:r w:rsidRPr="00FB37EC">
        <w:rPr>
          <w:rFonts w:ascii="Arial" w:hAnsi="Arial" w:cs="Arial"/>
          <w:lang w:val="en-US"/>
        </w:rPr>
        <w:t>Where a complaint is considered to be within the scope of the MAIF Agreement</w:t>
      </w:r>
    </w:p>
    <w:p w:rsidR="00C413B4" w:rsidRPr="00FB37EC" w:rsidRDefault="00C413B4" w:rsidP="00E12E70">
      <w:pPr>
        <w:numPr>
          <w:ilvl w:val="0"/>
          <w:numId w:val="26"/>
        </w:numPr>
        <w:spacing w:after="120" w:line="240" w:lineRule="auto"/>
        <w:ind w:right="230"/>
        <w:rPr>
          <w:rFonts w:ascii="Arial" w:hAnsi="Arial" w:cs="Arial"/>
          <w:lang w:val="en-US"/>
        </w:rPr>
      </w:pPr>
      <w:r w:rsidRPr="00FB37EC">
        <w:rPr>
          <w:rFonts w:ascii="Arial" w:hAnsi="Arial" w:cs="Arial"/>
          <w:lang w:val="en-US"/>
        </w:rPr>
        <w:t>If it is unclear whether the complaint is out of scope</w:t>
      </w:r>
    </w:p>
    <w:p w:rsidR="00C413B4" w:rsidRPr="00FB37EC" w:rsidRDefault="00C413B4" w:rsidP="00E12E70">
      <w:pPr>
        <w:numPr>
          <w:ilvl w:val="0"/>
          <w:numId w:val="26"/>
        </w:numPr>
        <w:spacing w:after="120" w:line="240" w:lineRule="auto"/>
        <w:ind w:right="230"/>
        <w:rPr>
          <w:rFonts w:ascii="Arial" w:hAnsi="Arial" w:cs="Arial"/>
          <w:lang w:val="en-US"/>
        </w:rPr>
      </w:pPr>
      <w:r w:rsidRPr="00FB37EC">
        <w:rPr>
          <w:rFonts w:ascii="Arial" w:hAnsi="Arial" w:cs="Arial"/>
          <w:lang w:val="en-US"/>
        </w:rPr>
        <w:t>If more information is required before an assessment can be made</w:t>
      </w:r>
    </w:p>
    <w:p w:rsidR="00C413B4" w:rsidRPr="00FB37EC" w:rsidRDefault="00C413B4" w:rsidP="00E12E70">
      <w:pPr>
        <w:spacing w:after="120"/>
        <w:ind w:right="230"/>
        <w:rPr>
          <w:rFonts w:ascii="Arial" w:hAnsi="Arial" w:cs="Arial"/>
          <w:lang w:val="en-US"/>
        </w:rPr>
      </w:pPr>
      <w:r w:rsidRPr="00FB37EC">
        <w:rPr>
          <w:rFonts w:ascii="Arial" w:hAnsi="Arial" w:cs="Arial"/>
          <w:lang w:val="en-US"/>
        </w:rPr>
        <w:t>The manufacturer or importer is invited to respond with any evidence or other information it wishes to submit for consideration.</w:t>
      </w:r>
    </w:p>
    <w:p w:rsidR="00C413B4" w:rsidRPr="00FB37EC" w:rsidRDefault="00C413B4" w:rsidP="00E12E70">
      <w:pPr>
        <w:spacing w:after="120"/>
        <w:ind w:right="230"/>
        <w:rPr>
          <w:rFonts w:ascii="Arial" w:hAnsi="Arial" w:cs="Arial"/>
          <w:lang w:val="en-US"/>
        </w:rPr>
      </w:pPr>
      <w:r w:rsidRPr="00FB37EC">
        <w:rPr>
          <w:rFonts w:ascii="Arial" w:hAnsi="Arial" w:cs="Arial"/>
          <w:lang w:val="en-US"/>
        </w:rPr>
        <w:t xml:space="preserve">Complaints that are assessed to be within the scope of the MAIF Agreement are then considered by the Tribunal. Complaints requiring consideration by the Tribunal are </w:t>
      </w:r>
      <w:proofErr w:type="spellStart"/>
      <w:r w:rsidRPr="00FB37EC">
        <w:rPr>
          <w:rFonts w:ascii="Arial" w:hAnsi="Arial" w:cs="Arial"/>
          <w:lang w:val="en-US"/>
        </w:rPr>
        <w:t>summarised</w:t>
      </w:r>
      <w:proofErr w:type="spellEnd"/>
      <w:r w:rsidRPr="00FB37EC">
        <w:rPr>
          <w:rFonts w:ascii="Arial" w:hAnsi="Arial" w:cs="Arial"/>
          <w:lang w:val="en-US"/>
        </w:rPr>
        <w:t xml:space="preserve"> by the secretariat prior to being forwarded to the Tribunal. Summaries are prepared using a standard format to present the key information relevant to making a decision.  This includes:</w:t>
      </w:r>
    </w:p>
    <w:p w:rsidR="00C413B4" w:rsidRPr="00FB37EC" w:rsidRDefault="00C413B4" w:rsidP="00E12E70">
      <w:pPr>
        <w:numPr>
          <w:ilvl w:val="0"/>
          <w:numId w:val="27"/>
        </w:numPr>
        <w:spacing w:after="120" w:line="240" w:lineRule="auto"/>
        <w:ind w:right="230"/>
        <w:rPr>
          <w:rFonts w:ascii="Arial" w:hAnsi="Arial" w:cs="Arial"/>
          <w:lang w:val="en-US"/>
        </w:rPr>
      </w:pPr>
      <w:r w:rsidRPr="00FB37EC">
        <w:rPr>
          <w:rFonts w:ascii="Arial" w:hAnsi="Arial" w:cs="Arial"/>
          <w:lang w:val="en-US"/>
        </w:rPr>
        <w:t>How and where the complainant obtained the complaint material</w:t>
      </w:r>
    </w:p>
    <w:p w:rsidR="00C413B4" w:rsidRPr="00FB37EC" w:rsidRDefault="00C413B4" w:rsidP="00E12E70">
      <w:pPr>
        <w:numPr>
          <w:ilvl w:val="0"/>
          <w:numId w:val="27"/>
        </w:numPr>
        <w:spacing w:after="120" w:line="240" w:lineRule="auto"/>
        <w:ind w:right="230"/>
        <w:rPr>
          <w:rFonts w:ascii="Arial" w:hAnsi="Arial" w:cs="Arial"/>
          <w:lang w:val="en-US"/>
        </w:rPr>
      </w:pPr>
      <w:r w:rsidRPr="00FB37EC">
        <w:rPr>
          <w:rFonts w:ascii="Arial" w:hAnsi="Arial" w:cs="Arial"/>
          <w:lang w:val="en-US"/>
        </w:rPr>
        <w:t>The complainant’s concerns regarding the material</w:t>
      </w:r>
    </w:p>
    <w:p w:rsidR="00C413B4" w:rsidRPr="00FB37EC" w:rsidRDefault="00C413B4" w:rsidP="00E12E70">
      <w:pPr>
        <w:numPr>
          <w:ilvl w:val="0"/>
          <w:numId w:val="27"/>
        </w:numPr>
        <w:spacing w:after="120" w:line="240" w:lineRule="auto"/>
        <w:ind w:right="230"/>
        <w:rPr>
          <w:rFonts w:ascii="Arial" w:hAnsi="Arial" w:cs="Arial"/>
          <w:lang w:val="en-US"/>
        </w:rPr>
      </w:pPr>
      <w:r w:rsidRPr="00FB37EC">
        <w:rPr>
          <w:rFonts w:ascii="Arial" w:hAnsi="Arial" w:cs="Arial"/>
          <w:lang w:val="en-US"/>
        </w:rPr>
        <w:t>Relevant clause(s) of the MAIF Agreement</w:t>
      </w:r>
    </w:p>
    <w:p w:rsidR="00C413B4" w:rsidRPr="00FB37EC" w:rsidRDefault="00C413B4" w:rsidP="00E12E70">
      <w:pPr>
        <w:numPr>
          <w:ilvl w:val="0"/>
          <w:numId w:val="27"/>
        </w:numPr>
        <w:spacing w:after="120" w:line="240" w:lineRule="auto"/>
        <w:ind w:right="230"/>
        <w:rPr>
          <w:rFonts w:ascii="Arial" w:hAnsi="Arial" w:cs="Arial"/>
          <w:lang w:val="en-US"/>
        </w:rPr>
      </w:pPr>
      <w:r w:rsidRPr="00FB37EC">
        <w:rPr>
          <w:rFonts w:ascii="Arial" w:hAnsi="Arial" w:cs="Arial"/>
          <w:lang w:val="en-US"/>
        </w:rPr>
        <w:t>Results of any enquiries made by the Tribunal Secretariat (e.g. responses from formula companies or health professionals)</w:t>
      </w:r>
    </w:p>
    <w:p w:rsidR="00C413B4" w:rsidRPr="00FB37EC" w:rsidRDefault="00C413B4" w:rsidP="00E12E70">
      <w:pPr>
        <w:numPr>
          <w:ilvl w:val="0"/>
          <w:numId w:val="27"/>
        </w:numPr>
        <w:spacing w:after="120" w:line="240" w:lineRule="auto"/>
        <w:ind w:right="230"/>
        <w:rPr>
          <w:rFonts w:ascii="Arial" w:hAnsi="Arial" w:cs="Arial"/>
          <w:lang w:val="en-US"/>
        </w:rPr>
      </w:pPr>
      <w:r w:rsidRPr="00FB37EC">
        <w:rPr>
          <w:rFonts w:ascii="Arial" w:hAnsi="Arial" w:cs="Arial"/>
          <w:lang w:val="en-US"/>
        </w:rPr>
        <w:t>Any previous consideration of a similar complaint or relevant guidelines on the interpretation of the MAIF Agreement</w:t>
      </w:r>
    </w:p>
    <w:p w:rsidR="00C413B4" w:rsidRPr="00FB37EC" w:rsidRDefault="00C413B4" w:rsidP="00E12E70">
      <w:pPr>
        <w:spacing w:after="120"/>
        <w:ind w:right="230"/>
        <w:rPr>
          <w:rFonts w:ascii="Arial" w:hAnsi="Arial" w:cs="Arial"/>
          <w:lang w:val="en-US"/>
        </w:rPr>
      </w:pPr>
      <w:r w:rsidRPr="00FB37EC">
        <w:rPr>
          <w:rFonts w:ascii="Arial" w:hAnsi="Arial" w:cs="Arial"/>
          <w:lang w:val="en-US"/>
        </w:rPr>
        <w:t>The Tribunal considers the complaint and may decide that it does not represent a breach of the MAIF Agreement or that further consideration is required before a determination can be made. Where further consideration is required, the manufacturer or importer is notified and is invited to respond with any further relevant information. The Tribunal is able to seek information from other sources, including expert scientific or clinical advice.</w:t>
      </w:r>
    </w:p>
    <w:p w:rsidR="00C413B4" w:rsidRPr="00FB37EC" w:rsidRDefault="00C413B4" w:rsidP="00E12E70">
      <w:pPr>
        <w:spacing w:after="120"/>
        <w:ind w:right="230"/>
        <w:rPr>
          <w:rFonts w:ascii="Arial" w:hAnsi="Arial" w:cs="Arial"/>
          <w:lang w:val="en-US"/>
        </w:rPr>
      </w:pPr>
      <w:r w:rsidRPr="00FB37EC">
        <w:rPr>
          <w:rFonts w:ascii="Arial" w:hAnsi="Arial" w:cs="Arial"/>
          <w:lang w:val="en-US"/>
        </w:rPr>
        <w:t>The Tribunal considers all relevant information provided and makes a decision that the conduct alleged in the complaint is either ‘in breach’ or ‘not in breach’ of the MAIF Agreement.</w:t>
      </w:r>
    </w:p>
    <w:p w:rsidR="00633C99" w:rsidRPr="00FB37EC" w:rsidRDefault="00C413B4" w:rsidP="00E12E70">
      <w:pPr>
        <w:ind w:right="230"/>
        <w:rPr>
          <w:rFonts w:ascii="Arial" w:hAnsi="Arial" w:cs="Arial"/>
          <w:lang w:val="en-US"/>
        </w:rPr>
      </w:pPr>
      <w:r w:rsidRPr="00FB37EC">
        <w:rPr>
          <w:rFonts w:ascii="Arial" w:hAnsi="Arial" w:cs="Arial"/>
          <w:lang w:val="en-US"/>
        </w:rPr>
        <w:t xml:space="preserve">When a decision is made, both the complainant and the subject company are advised of the final outcome of the complaint, including reasons for the decision. Decisions that are ‘in breach’ are reported </w:t>
      </w:r>
      <w:r w:rsidR="001B495D" w:rsidRPr="00FB37EC">
        <w:rPr>
          <w:rFonts w:ascii="Arial" w:hAnsi="Arial" w:cs="Arial"/>
          <w:lang w:val="en-US"/>
        </w:rPr>
        <w:t>via</w:t>
      </w:r>
      <w:r w:rsidRPr="00FB37EC">
        <w:rPr>
          <w:rFonts w:ascii="Arial" w:hAnsi="Arial" w:cs="Arial"/>
          <w:lang w:val="en-US"/>
        </w:rPr>
        <w:t xml:space="preserve"> the Tribunal’s Annual Report.</w:t>
      </w:r>
      <w:r w:rsidR="00633C99" w:rsidRPr="00FB37EC">
        <w:rPr>
          <w:rFonts w:ascii="Arial" w:hAnsi="Arial" w:cs="Arial"/>
          <w:lang w:val="en-US"/>
        </w:rPr>
        <w:br w:type="page"/>
      </w:r>
    </w:p>
    <w:p w:rsidR="00555310" w:rsidRPr="00FB37EC" w:rsidRDefault="00633C99" w:rsidP="00633C99">
      <w:pPr>
        <w:pStyle w:val="Heading1"/>
        <w:rPr>
          <w:rFonts w:ascii="Arial" w:hAnsi="Arial" w:cs="Arial"/>
          <w:b/>
          <w:color w:val="auto"/>
          <w:lang w:val="en-US"/>
        </w:rPr>
      </w:pPr>
      <w:bookmarkStart w:id="13" w:name="_Toc476133890"/>
      <w:r w:rsidRPr="00FB37EC">
        <w:rPr>
          <w:rFonts w:ascii="Arial" w:hAnsi="Arial" w:cs="Arial"/>
          <w:b/>
          <w:color w:val="auto"/>
          <w:lang w:val="en-US"/>
        </w:rPr>
        <w:lastRenderedPageBreak/>
        <w:t xml:space="preserve">Chapter 4: Complaints outcomes </w:t>
      </w:r>
      <w:r w:rsidR="00A858C2" w:rsidRPr="00FB37EC">
        <w:rPr>
          <w:rFonts w:ascii="Arial" w:hAnsi="Arial" w:cs="Arial"/>
          <w:b/>
          <w:color w:val="auto"/>
          <w:lang w:val="en-US"/>
        </w:rPr>
        <w:t>July</w:t>
      </w:r>
      <w:r w:rsidRPr="00FB37EC">
        <w:rPr>
          <w:rFonts w:ascii="Arial" w:hAnsi="Arial" w:cs="Arial"/>
          <w:b/>
          <w:color w:val="auto"/>
          <w:lang w:val="en-US"/>
        </w:rPr>
        <w:t xml:space="preserve"> </w:t>
      </w:r>
      <w:r w:rsidR="00C50C4C" w:rsidRPr="00FB37EC">
        <w:rPr>
          <w:rFonts w:ascii="Arial" w:hAnsi="Arial" w:cs="Arial"/>
          <w:b/>
          <w:color w:val="auto"/>
          <w:lang w:val="en-US"/>
        </w:rPr>
        <w:t xml:space="preserve">2015 </w:t>
      </w:r>
      <w:r w:rsidRPr="00FB37EC">
        <w:rPr>
          <w:rFonts w:ascii="Arial" w:hAnsi="Arial" w:cs="Arial"/>
          <w:b/>
          <w:color w:val="auto"/>
          <w:lang w:val="en-US"/>
        </w:rPr>
        <w:t xml:space="preserve">– </w:t>
      </w:r>
      <w:r w:rsidR="00A858C2" w:rsidRPr="00FB37EC">
        <w:rPr>
          <w:rFonts w:ascii="Arial" w:hAnsi="Arial" w:cs="Arial"/>
          <w:b/>
          <w:color w:val="auto"/>
          <w:lang w:val="en-US"/>
        </w:rPr>
        <w:t>June</w:t>
      </w:r>
      <w:r w:rsidRPr="00FB37EC">
        <w:rPr>
          <w:rFonts w:ascii="Arial" w:hAnsi="Arial" w:cs="Arial"/>
          <w:b/>
          <w:color w:val="auto"/>
          <w:lang w:val="en-US"/>
        </w:rPr>
        <w:t xml:space="preserve"> </w:t>
      </w:r>
      <w:r w:rsidR="00C50C4C" w:rsidRPr="00FB37EC">
        <w:rPr>
          <w:rFonts w:ascii="Arial" w:hAnsi="Arial" w:cs="Arial"/>
          <w:b/>
          <w:color w:val="auto"/>
          <w:lang w:val="en-US"/>
        </w:rPr>
        <w:t>2016</w:t>
      </w:r>
      <w:bookmarkEnd w:id="13"/>
    </w:p>
    <w:p w:rsidR="00AB5AD5" w:rsidRPr="00FB37EC" w:rsidRDefault="00633C99" w:rsidP="00AB5AD5">
      <w:pPr>
        <w:rPr>
          <w:rFonts w:ascii="Arial" w:hAnsi="Arial" w:cs="Arial"/>
        </w:rPr>
      </w:pPr>
      <w:r w:rsidRPr="00FB37EC">
        <w:rPr>
          <w:rFonts w:ascii="Arial" w:hAnsi="Arial" w:cs="Arial"/>
          <w:lang w:val="en-US"/>
        </w:rPr>
        <w:t>In this reporting period the MAIF Tribunal decided</w:t>
      </w:r>
      <w:r w:rsidR="00F101F0" w:rsidRPr="00FB37EC">
        <w:rPr>
          <w:rFonts w:ascii="Arial" w:hAnsi="Arial" w:cs="Arial"/>
          <w:lang w:val="en-US"/>
        </w:rPr>
        <w:t xml:space="preserve"> </w:t>
      </w:r>
      <w:r w:rsidR="00F101F0" w:rsidRPr="00FB37EC">
        <w:rPr>
          <w:rFonts w:ascii="Arial" w:hAnsi="Arial" w:cs="Arial"/>
        </w:rPr>
        <w:t>four complaints, including one complaint lodged and investigated in the preceding period. Three complaints were upheld and one was dismissed.</w:t>
      </w:r>
    </w:p>
    <w:p w:rsidR="00DB3B76" w:rsidRPr="00FB37EC" w:rsidRDefault="00DB3B76" w:rsidP="00DB3B76">
      <w:pPr>
        <w:pStyle w:val="Heading2"/>
        <w:rPr>
          <w:rFonts w:ascii="Arial" w:hAnsi="Arial" w:cs="Arial"/>
          <w:color w:val="auto"/>
          <w:lang w:val="en-US"/>
        </w:rPr>
      </w:pPr>
      <w:bookmarkStart w:id="14" w:name="_Toc476133891"/>
      <w:r w:rsidRPr="00FB37EC">
        <w:rPr>
          <w:rFonts w:ascii="Arial" w:hAnsi="Arial" w:cs="Arial"/>
          <w:color w:val="auto"/>
          <w:lang w:val="en-US"/>
        </w:rPr>
        <w:t>Details of complaints decided</w:t>
      </w:r>
      <w:bookmarkEnd w:id="14"/>
    </w:p>
    <w:p w:rsidR="0037514A" w:rsidRPr="00FB37EC" w:rsidRDefault="0037514A" w:rsidP="0037514A">
      <w:pPr>
        <w:spacing w:after="0"/>
        <w:rPr>
          <w:lang w:val="en-US"/>
        </w:rPr>
      </w:pPr>
    </w:p>
    <w:tbl>
      <w:tblPr>
        <w:tblW w:w="9819"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Caption w:val="Chapter 4: Complaints outcomes July 2015- June 2016"/>
        <w:tblDescription w:val="Complaints table contains 5 column headings: Column 1 - Marketing in Australia of Infant Formula (MAIF) parties and the Complaint number, Column 2: Decision of the complaint, Column 3 - MAIF clause the complaint relates to, Column 4 – Decision summary, Column 5 – Outcome. "/>
      </w:tblPr>
      <w:tblGrid>
        <w:gridCol w:w="1028"/>
        <w:gridCol w:w="1170"/>
        <w:gridCol w:w="810"/>
        <w:gridCol w:w="5580"/>
        <w:gridCol w:w="1231"/>
      </w:tblGrid>
      <w:tr w:rsidR="00FB37EC" w:rsidRPr="00FB37EC" w:rsidTr="0037514A">
        <w:trPr>
          <w:tblHeader/>
          <w:tblCellSpacing w:w="0" w:type="dxa"/>
        </w:trPr>
        <w:tc>
          <w:tcPr>
            <w:tcW w:w="1028" w:type="dxa"/>
            <w:tcBorders>
              <w:top w:val="outset" w:sz="6" w:space="0" w:color="000000"/>
              <w:left w:val="outset" w:sz="6" w:space="0" w:color="000000"/>
              <w:bottom w:val="outset" w:sz="6" w:space="0" w:color="000000"/>
              <w:right w:val="outset" w:sz="6" w:space="0" w:color="000000"/>
            </w:tcBorders>
            <w:shd w:val="clear" w:color="auto" w:fill="000000" w:themeFill="text1"/>
            <w:vAlign w:val="center"/>
            <w:hideMark/>
          </w:tcPr>
          <w:p w:rsidR="00FB37EC" w:rsidRPr="00FB37EC" w:rsidRDefault="00FB37EC" w:rsidP="00FB37EC">
            <w:pPr>
              <w:pStyle w:val="Heading1"/>
              <w:rPr>
                <w:rFonts w:ascii="Arial" w:eastAsia="Times New Roman" w:hAnsi="Arial" w:cs="Arial"/>
                <w:bCs/>
                <w:color w:val="auto"/>
                <w:sz w:val="18"/>
                <w:szCs w:val="22"/>
                <w:lang w:eastAsia="en-AU"/>
              </w:rPr>
            </w:pPr>
            <w:r w:rsidRPr="00FB37EC">
              <w:rPr>
                <w:rFonts w:ascii="Arial" w:eastAsia="Times New Roman" w:hAnsi="Arial" w:cs="Arial"/>
                <w:bCs/>
                <w:color w:val="auto"/>
                <w:sz w:val="18"/>
                <w:szCs w:val="22"/>
                <w:lang w:eastAsia="en-AU"/>
              </w:rPr>
              <w:t>Chapter 4: Complaints outcomes July 2015 – June 2016</w:t>
            </w:r>
          </w:p>
          <w:p w:rsidR="00FB37EC" w:rsidRPr="00FB37EC" w:rsidRDefault="00FB37EC" w:rsidP="0037514A">
            <w:pPr>
              <w:spacing w:after="0" w:line="240" w:lineRule="auto"/>
              <w:rPr>
                <w:rFonts w:ascii="Arial" w:eastAsia="Times New Roman" w:hAnsi="Arial" w:cs="Arial"/>
                <w:b/>
                <w:bCs/>
                <w:lang w:eastAsia="en-AU"/>
              </w:rPr>
            </w:pPr>
          </w:p>
          <w:p w:rsidR="00825068" w:rsidRPr="00FB37EC" w:rsidRDefault="00825068" w:rsidP="0037514A">
            <w:pPr>
              <w:spacing w:after="0" w:line="240" w:lineRule="auto"/>
              <w:rPr>
                <w:rFonts w:ascii="Arial" w:eastAsia="Times New Roman" w:hAnsi="Arial" w:cs="Arial"/>
                <w:b/>
                <w:bCs/>
                <w:lang w:eastAsia="en-AU"/>
              </w:rPr>
            </w:pPr>
            <w:r w:rsidRPr="00FB37EC">
              <w:rPr>
                <w:rFonts w:ascii="Arial" w:eastAsia="Times New Roman" w:hAnsi="Arial" w:cs="Arial"/>
                <w:b/>
                <w:bCs/>
                <w:lang w:eastAsia="en-AU"/>
              </w:rPr>
              <w:t>MAIF Party</w:t>
            </w:r>
          </w:p>
        </w:tc>
        <w:tc>
          <w:tcPr>
            <w:tcW w:w="1170" w:type="dxa"/>
            <w:tcBorders>
              <w:top w:val="outset" w:sz="6" w:space="0" w:color="000000"/>
              <w:left w:val="outset" w:sz="6" w:space="0" w:color="000000"/>
              <w:bottom w:val="outset" w:sz="6" w:space="0" w:color="000000"/>
              <w:right w:val="outset" w:sz="6" w:space="0" w:color="000000"/>
            </w:tcBorders>
            <w:shd w:val="clear" w:color="auto" w:fill="000000" w:themeFill="text1"/>
            <w:vAlign w:val="center"/>
            <w:hideMark/>
          </w:tcPr>
          <w:p w:rsidR="00825068" w:rsidRPr="00FB37EC" w:rsidRDefault="00825068" w:rsidP="0037514A">
            <w:pPr>
              <w:spacing w:after="0" w:line="240" w:lineRule="auto"/>
              <w:rPr>
                <w:rFonts w:ascii="Arial" w:eastAsia="Times New Roman" w:hAnsi="Arial" w:cs="Arial"/>
                <w:b/>
                <w:bCs/>
                <w:lang w:eastAsia="en-AU"/>
              </w:rPr>
            </w:pPr>
            <w:r w:rsidRPr="00FB37EC">
              <w:rPr>
                <w:rFonts w:ascii="Arial" w:eastAsia="Times New Roman" w:hAnsi="Arial" w:cs="Arial"/>
                <w:b/>
                <w:bCs/>
                <w:lang w:eastAsia="en-AU"/>
              </w:rPr>
              <w:t>Decided</w:t>
            </w:r>
          </w:p>
        </w:tc>
        <w:tc>
          <w:tcPr>
            <w:tcW w:w="810" w:type="dxa"/>
            <w:tcBorders>
              <w:top w:val="outset" w:sz="6" w:space="0" w:color="000000"/>
              <w:left w:val="outset" w:sz="6" w:space="0" w:color="000000"/>
              <w:bottom w:val="outset" w:sz="6" w:space="0" w:color="000000"/>
              <w:right w:val="outset" w:sz="6" w:space="0" w:color="000000"/>
            </w:tcBorders>
            <w:shd w:val="clear" w:color="auto" w:fill="000000" w:themeFill="text1"/>
            <w:vAlign w:val="center"/>
            <w:hideMark/>
          </w:tcPr>
          <w:p w:rsidR="00825068" w:rsidRPr="00FB37EC" w:rsidRDefault="00825068" w:rsidP="0037514A">
            <w:pPr>
              <w:spacing w:after="0" w:line="240" w:lineRule="auto"/>
              <w:rPr>
                <w:rFonts w:ascii="Arial" w:eastAsia="Times New Roman" w:hAnsi="Arial" w:cs="Arial"/>
                <w:b/>
                <w:bCs/>
                <w:lang w:eastAsia="en-AU"/>
              </w:rPr>
            </w:pPr>
            <w:r w:rsidRPr="00FB37EC">
              <w:rPr>
                <w:rFonts w:ascii="Arial" w:eastAsia="Times New Roman" w:hAnsi="Arial" w:cs="Arial"/>
                <w:b/>
                <w:bCs/>
                <w:lang w:eastAsia="en-AU"/>
              </w:rPr>
              <w:t>MAIF clause</w:t>
            </w:r>
          </w:p>
        </w:tc>
        <w:tc>
          <w:tcPr>
            <w:tcW w:w="5580" w:type="dxa"/>
            <w:tcBorders>
              <w:top w:val="outset" w:sz="6" w:space="0" w:color="000000"/>
              <w:left w:val="outset" w:sz="6" w:space="0" w:color="000000"/>
              <w:bottom w:val="outset" w:sz="6" w:space="0" w:color="000000"/>
              <w:right w:val="outset" w:sz="6" w:space="0" w:color="000000"/>
            </w:tcBorders>
            <w:shd w:val="clear" w:color="auto" w:fill="000000" w:themeFill="text1"/>
            <w:vAlign w:val="center"/>
            <w:hideMark/>
          </w:tcPr>
          <w:p w:rsidR="00825068" w:rsidRPr="00FB37EC" w:rsidRDefault="00825068" w:rsidP="00F54655">
            <w:pPr>
              <w:spacing w:after="0" w:line="240" w:lineRule="auto"/>
              <w:rPr>
                <w:rFonts w:ascii="Arial" w:eastAsia="Times New Roman" w:hAnsi="Arial" w:cs="Arial"/>
                <w:b/>
                <w:bCs/>
                <w:lang w:eastAsia="en-AU"/>
              </w:rPr>
            </w:pPr>
            <w:r w:rsidRPr="00FB37EC">
              <w:rPr>
                <w:rFonts w:ascii="Arial" w:eastAsia="Times New Roman" w:hAnsi="Arial" w:cs="Arial"/>
                <w:b/>
                <w:bCs/>
                <w:lang w:eastAsia="en-AU"/>
              </w:rPr>
              <w:t>Decision summary</w:t>
            </w:r>
          </w:p>
        </w:tc>
        <w:tc>
          <w:tcPr>
            <w:tcW w:w="1231" w:type="dxa"/>
            <w:tcBorders>
              <w:top w:val="outset" w:sz="6" w:space="0" w:color="000000"/>
              <w:left w:val="outset" w:sz="6" w:space="0" w:color="000000"/>
              <w:bottom w:val="outset" w:sz="6" w:space="0" w:color="000000"/>
              <w:right w:val="outset" w:sz="6" w:space="0" w:color="000000"/>
            </w:tcBorders>
            <w:shd w:val="clear" w:color="auto" w:fill="000000" w:themeFill="text1"/>
            <w:vAlign w:val="center"/>
            <w:hideMark/>
          </w:tcPr>
          <w:p w:rsidR="00825068" w:rsidRPr="00FB37EC" w:rsidRDefault="00825068" w:rsidP="0037514A">
            <w:pPr>
              <w:spacing w:after="0" w:line="240" w:lineRule="auto"/>
              <w:rPr>
                <w:rFonts w:ascii="Arial" w:eastAsia="Times New Roman" w:hAnsi="Arial" w:cs="Arial"/>
                <w:b/>
                <w:bCs/>
                <w:lang w:eastAsia="en-AU"/>
              </w:rPr>
            </w:pPr>
            <w:r w:rsidRPr="00FB37EC">
              <w:rPr>
                <w:rFonts w:ascii="Arial" w:eastAsia="Times New Roman" w:hAnsi="Arial" w:cs="Arial"/>
                <w:b/>
                <w:bCs/>
                <w:lang w:eastAsia="en-AU"/>
              </w:rPr>
              <w:t>Outcome</w:t>
            </w:r>
          </w:p>
        </w:tc>
      </w:tr>
      <w:tr w:rsidR="00FB37EC" w:rsidRPr="00FB37EC" w:rsidTr="0037514A">
        <w:trPr>
          <w:tblCellSpacing w:w="0" w:type="dxa"/>
        </w:trPr>
        <w:tc>
          <w:tcPr>
            <w:tcW w:w="1028" w:type="dxa"/>
            <w:tcBorders>
              <w:top w:val="outset" w:sz="6" w:space="0" w:color="E7E6E6"/>
              <w:left w:val="outset" w:sz="6" w:space="0" w:color="E7E6E6"/>
              <w:bottom w:val="outset" w:sz="6" w:space="0" w:color="E7E6E6"/>
              <w:right w:val="outset" w:sz="6" w:space="0" w:color="E7E6E6"/>
            </w:tcBorders>
            <w:shd w:val="clear" w:color="auto" w:fill="FFFFFF"/>
            <w:hideMark/>
          </w:tcPr>
          <w:p w:rsidR="00825068" w:rsidRPr="00FB37EC" w:rsidRDefault="009E63CF" w:rsidP="0037514A">
            <w:pPr>
              <w:spacing w:after="0" w:line="240" w:lineRule="auto"/>
              <w:rPr>
                <w:rFonts w:ascii="Arial" w:eastAsia="Times New Roman" w:hAnsi="Arial" w:cs="Arial"/>
                <w:lang w:eastAsia="en-AU"/>
              </w:rPr>
            </w:pPr>
            <w:r w:rsidRPr="00FB37EC">
              <w:rPr>
                <w:rFonts w:ascii="Arial" w:eastAsia="Times New Roman" w:hAnsi="Arial" w:cs="Arial"/>
                <w:lang w:eastAsia="en-AU"/>
              </w:rPr>
              <w:t xml:space="preserve">A2 </w:t>
            </w:r>
            <w:r w:rsidR="00034389" w:rsidRPr="00FB37EC">
              <w:rPr>
                <w:rFonts w:ascii="Arial" w:eastAsia="Times New Roman" w:hAnsi="Arial" w:cs="Arial"/>
                <w:lang w:eastAsia="en-AU"/>
              </w:rPr>
              <w:t>Corporation Ltd</w:t>
            </w:r>
          </w:p>
          <w:p w:rsidR="00980624" w:rsidRPr="00FB37EC" w:rsidRDefault="00980624" w:rsidP="0037514A">
            <w:pPr>
              <w:spacing w:after="0" w:line="240" w:lineRule="auto"/>
              <w:rPr>
                <w:rFonts w:ascii="Arial" w:eastAsia="Times New Roman" w:hAnsi="Arial" w:cs="Arial"/>
                <w:lang w:eastAsia="en-AU"/>
              </w:rPr>
            </w:pPr>
          </w:p>
          <w:p w:rsidR="00980624" w:rsidRPr="00FB37EC" w:rsidRDefault="00980624" w:rsidP="0037514A">
            <w:pPr>
              <w:spacing w:after="0" w:line="240" w:lineRule="auto"/>
              <w:rPr>
                <w:rFonts w:ascii="Arial" w:eastAsia="Times New Roman" w:hAnsi="Arial" w:cs="Arial"/>
                <w:lang w:eastAsia="en-AU"/>
              </w:rPr>
            </w:pPr>
          </w:p>
          <w:p w:rsidR="00980624" w:rsidRPr="00FB37EC" w:rsidRDefault="00980624" w:rsidP="0037514A">
            <w:pPr>
              <w:spacing w:after="0" w:line="240" w:lineRule="auto"/>
              <w:rPr>
                <w:rFonts w:ascii="Arial" w:eastAsia="Times New Roman" w:hAnsi="Arial" w:cs="Arial"/>
                <w:lang w:eastAsia="en-AU"/>
              </w:rPr>
            </w:pPr>
            <w:r w:rsidRPr="00FB37EC">
              <w:rPr>
                <w:rFonts w:ascii="Arial" w:eastAsia="Times New Roman" w:hAnsi="Arial" w:cs="Arial"/>
                <w:lang w:eastAsia="en-AU"/>
              </w:rPr>
              <w:t>Tribunal ref: 2015-16_1</w:t>
            </w:r>
          </w:p>
        </w:tc>
        <w:tc>
          <w:tcPr>
            <w:tcW w:w="1170" w:type="dxa"/>
            <w:tcBorders>
              <w:top w:val="outset" w:sz="6" w:space="0" w:color="E7E6E6"/>
              <w:left w:val="outset" w:sz="6" w:space="0" w:color="E7E6E6"/>
              <w:bottom w:val="outset" w:sz="6" w:space="0" w:color="E7E6E6"/>
              <w:right w:val="outset" w:sz="6" w:space="0" w:color="E7E6E6"/>
            </w:tcBorders>
            <w:shd w:val="clear" w:color="auto" w:fill="FFFFFF"/>
          </w:tcPr>
          <w:p w:rsidR="00825068" w:rsidRPr="00FB37EC" w:rsidRDefault="009E63CF" w:rsidP="0037514A">
            <w:pPr>
              <w:spacing w:after="0" w:line="240" w:lineRule="auto"/>
              <w:rPr>
                <w:rFonts w:ascii="Arial" w:eastAsia="Times New Roman" w:hAnsi="Arial" w:cs="Arial"/>
                <w:lang w:eastAsia="en-AU"/>
              </w:rPr>
            </w:pPr>
            <w:r w:rsidRPr="00FB37EC">
              <w:rPr>
                <w:rFonts w:ascii="Arial" w:eastAsia="Times New Roman" w:hAnsi="Arial" w:cs="Arial"/>
                <w:lang w:eastAsia="en-AU"/>
              </w:rPr>
              <w:t>25/08/2015</w:t>
            </w:r>
          </w:p>
        </w:tc>
        <w:tc>
          <w:tcPr>
            <w:tcW w:w="810" w:type="dxa"/>
            <w:tcBorders>
              <w:top w:val="outset" w:sz="6" w:space="0" w:color="E7E6E6"/>
              <w:left w:val="outset" w:sz="6" w:space="0" w:color="E7E6E6"/>
              <w:bottom w:val="outset" w:sz="6" w:space="0" w:color="E7E6E6"/>
              <w:right w:val="outset" w:sz="6" w:space="0" w:color="E7E6E6"/>
            </w:tcBorders>
            <w:shd w:val="clear" w:color="auto" w:fill="FFFFFF"/>
          </w:tcPr>
          <w:p w:rsidR="00825068" w:rsidRPr="00FB37EC" w:rsidRDefault="009E63CF" w:rsidP="0037514A">
            <w:pPr>
              <w:spacing w:after="0" w:line="240" w:lineRule="auto"/>
              <w:rPr>
                <w:rFonts w:ascii="Arial" w:eastAsia="Times New Roman" w:hAnsi="Arial" w:cs="Arial"/>
                <w:lang w:eastAsia="en-AU"/>
              </w:rPr>
            </w:pPr>
            <w:r w:rsidRPr="00FB37EC">
              <w:rPr>
                <w:rFonts w:ascii="Arial" w:eastAsia="Times New Roman" w:hAnsi="Arial" w:cs="Arial"/>
                <w:lang w:eastAsia="en-AU"/>
              </w:rPr>
              <w:t>Sub-clause 5(a)</w:t>
            </w:r>
          </w:p>
        </w:tc>
        <w:tc>
          <w:tcPr>
            <w:tcW w:w="5580" w:type="dxa"/>
            <w:tcBorders>
              <w:top w:val="outset" w:sz="6" w:space="0" w:color="E7E6E6"/>
              <w:left w:val="outset" w:sz="6" w:space="0" w:color="E7E6E6"/>
              <w:bottom w:val="outset" w:sz="6" w:space="0" w:color="E7E6E6"/>
              <w:right w:val="outset" w:sz="6" w:space="0" w:color="E7E6E6"/>
            </w:tcBorders>
            <w:shd w:val="clear" w:color="auto" w:fill="FFFFFF"/>
          </w:tcPr>
          <w:p w:rsidR="00825068" w:rsidRPr="00FB37EC" w:rsidRDefault="009E63CF" w:rsidP="002B2021">
            <w:pPr>
              <w:spacing w:line="240" w:lineRule="auto"/>
              <w:rPr>
                <w:rFonts w:ascii="Arial" w:eastAsia="Times New Roman" w:hAnsi="Arial" w:cs="Arial"/>
                <w:lang w:val="en-US" w:eastAsia="en-AU"/>
              </w:rPr>
            </w:pPr>
            <w:r w:rsidRPr="00FB37EC">
              <w:rPr>
                <w:rFonts w:ascii="Arial" w:eastAsia="Times New Roman" w:hAnsi="Arial" w:cs="Arial"/>
                <w:lang w:eastAsia="en-AU"/>
              </w:rPr>
              <w:t>A photograph of one of the respondent’s products was placed</w:t>
            </w:r>
            <w:r w:rsidR="00E01AED" w:rsidRPr="00FB37EC">
              <w:rPr>
                <w:rFonts w:ascii="Arial" w:eastAsia="Times New Roman" w:hAnsi="Arial" w:cs="Arial"/>
                <w:lang w:eastAsia="en-AU"/>
              </w:rPr>
              <w:t xml:space="preserve"> on another party’s website</w:t>
            </w:r>
            <w:r w:rsidRPr="00FB37EC">
              <w:rPr>
                <w:rFonts w:ascii="Arial" w:eastAsia="Times New Roman" w:hAnsi="Arial" w:cs="Arial"/>
                <w:lang w:eastAsia="en-AU"/>
              </w:rPr>
              <w:t xml:space="preserve"> in an online article about difficulties of breastfeeding</w:t>
            </w:r>
            <w:r w:rsidR="00F5742E" w:rsidRPr="00FB37EC">
              <w:rPr>
                <w:rFonts w:ascii="Arial" w:eastAsia="Times New Roman" w:hAnsi="Arial" w:cs="Arial"/>
                <w:lang w:eastAsia="en-AU"/>
              </w:rPr>
              <w:t xml:space="preserve">, although the product was itself not mentioned in the article. It was alleged material advertising or promoting infant formula had been placed in a manner that breached clause 5(a) of the MAIF Agreement. The respondent submitted that the article was prepared without its knowledge and permission and that when made aware of it they requested removal of the photograph. </w:t>
            </w:r>
            <w:r w:rsidR="008562B5" w:rsidRPr="00FB37EC">
              <w:rPr>
                <w:rFonts w:ascii="Arial" w:eastAsia="Times New Roman" w:hAnsi="Arial" w:cs="Arial"/>
                <w:lang w:eastAsia="en-AU"/>
              </w:rPr>
              <w:t xml:space="preserve">In finding that the respondent was not responsible for a breach of the MAIF Agreement, the Tribunal noted </w:t>
            </w:r>
            <w:r w:rsidR="002B2021" w:rsidRPr="00FB37EC">
              <w:rPr>
                <w:rFonts w:ascii="Arial" w:eastAsia="Times New Roman" w:hAnsi="Arial" w:cs="Arial"/>
                <w:lang w:val="en-US" w:eastAsia="en-AU"/>
              </w:rPr>
              <w:t>that</w:t>
            </w:r>
            <w:r w:rsidR="00735846" w:rsidRPr="00FB37EC">
              <w:rPr>
                <w:rFonts w:ascii="Arial" w:eastAsia="Times New Roman" w:hAnsi="Arial" w:cs="Arial"/>
                <w:lang w:val="en-US" w:eastAsia="en-AU"/>
              </w:rPr>
              <w:t xml:space="preserve"> </w:t>
            </w:r>
            <w:r w:rsidR="00774E9F" w:rsidRPr="00FB37EC">
              <w:rPr>
                <w:rFonts w:ascii="Arial" w:eastAsia="Times New Roman" w:hAnsi="Arial" w:cs="Arial"/>
                <w:lang w:val="en-US" w:eastAsia="en-AU"/>
              </w:rPr>
              <w:t xml:space="preserve">the respondent should be more proactive in the future. </w:t>
            </w:r>
          </w:p>
        </w:tc>
        <w:tc>
          <w:tcPr>
            <w:tcW w:w="1231" w:type="dxa"/>
            <w:tcBorders>
              <w:top w:val="outset" w:sz="6" w:space="0" w:color="E7E6E6"/>
              <w:left w:val="outset" w:sz="6" w:space="0" w:color="E7E6E6"/>
              <w:bottom w:val="outset" w:sz="6" w:space="0" w:color="E7E6E6"/>
              <w:right w:val="outset" w:sz="6" w:space="0" w:color="E7E6E6"/>
            </w:tcBorders>
            <w:shd w:val="clear" w:color="auto" w:fill="FFFFFF"/>
            <w:hideMark/>
          </w:tcPr>
          <w:p w:rsidR="00825068" w:rsidRPr="00FB37EC" w:rsidRDefault="00F101F0" w:rsidP="0037514A">
            <w:pPr>
              <w:spacing w:after="0" w:line="240" w:lineRule="auto"/>
              <w:rPr>
                <w:rFonts w:ascii="Arial" w:eastAsia="Times New Roman" w:hAnsi="Arial" w:cs="Arial"/>
                <w:lang w:eastAsia="en-AU"/>
              </w:rPr>
            </w:pPr>
            <w:r w:rsidRPr="00FB37EC">
              <w:rPr>
                <w:rFonts w:ascii="Arial" w:eastAsia="Times New Roman" w:hAnsi="Arial" w:cs="Arial"/>
                <w:lang w:eastAsia="en-AU"/>
              </w:rPr>
              <w:t>Dismissed</w:t>
            </w:r>
          </w:p>
        </w:tc>
      </w:tr>
      <w:tr w:rsidR="00FB37EC" w:rsidRPr="00FB37EC" w:rsidTr="0037514A">
        <w:trPr>
          <w:tblCellSpacing w:w="0" w:type="dxa"/>
        </w:trPr>
        <w:tc>
          <w:tcPr>
            <w:tcW w:w="1028" w:type="dxa"/>
            <w:tcBorders>
              <w:top w:val="outset" w:sz="6" w:space="0" w:color="E7E6E6"/>
              <w:left w:val="outset" w:sz="6" w:space="0" w:color="E7E6E6"/>
              <w:bottom w:val="outset" w:sz="6" w:space="0" w:color="E7E6E6"/>
              <w:right w:val="outset" w:sz="6" w:space="0" w:color="E7E6E6"/>
            </w:tcBorders>
            <w:shd w:val="clear" w:color="auto" w:fill="FFFFFF"/>
          </w:tcPr>
          <w:p w:rsidR="00034389" w:rsidRPr="00FB37EC" w:rsidRDefault="00034389" w:rsidP="0037514A">
            <w:pPr>
              <w:spacing w:after="0" w:line="240" w:lineRule="auto"/>
              <w:rPr>
                <w:rFonts w:ascii="Arial" w:eastAsia="Times New Roman" w:hAnsi="Arial" w:cs="Arial"/>
                <w:lang w:eastAsia="en-AU"/>
              </w:rPr>
            </w:pPr>
            <w:r w:rsidRPr="00FB37EC">
              <w:rPr>
                <w:rFonts w:ascii="Arial" w:eastAsia="Times New Roman" w:hAnsi="Arial" w:cs="Arial"/>
                <w:lang w:eastAsia="en-AU"/>
              </w:rPr>
              <w:t>Nestlé Australia Ltd</w:t>
            </w:r>
          </w:p>
          <w:p w:rsidR="00980624" w:rsidRPr="00FB37EC" w:rsidRDefault="00980624" w:rsidP="0037514A">
            <w:pPr>
              <w:spacing w:after="0" w:line="240" w:lineRule="auto"/>
              <w:rPr>
                <w:rFonts w:ascii="Arial" w:eastAsia="Times New Roman" w:hAnsi="Arial" w:cs="Arial"/>
                <w:lang w:eastAsia="en-AU"/>
              </w:rPr>
            </w:pPr>
          </w:p>
          <w:p w:rsidR="00CB74B3" w:rsidRPr="00FB37EC" w:rsidRDefault="00CB74B3" w:rsidP="0037514A">
            <w:pPr>
              <w:spacing w:after="0" w:line="240" w:lineRule="auto"/>
              <w:rPr>
                <w:rFonts w:ascii="Arial" w:eastAsia="Times New Roman" w:hAnsi="Arial" w:cs="Arial"/>
                <w:lang w:eastAsia="en-AU"/>
              </w:rPr>
            </w:pPr>
          </w:p>
          <w:p w:rsidR="00CB74B3" w:rsidRPr="00FB37EC" w:rsidRDefault="00CB74B3" w:rsidP="0037514A">
            <w:pPr>
              <w:spacing w:after="0" w:line="240" w:lineRule="auto"/>
              <w:rPr>
                <w:rFonts w:ascii="Arial" w:eastAsia="Times New Roman" w:hAnsi="Arial" w:cs="Arial"/>
                <w:lang w:eastAsia="en-AU"/>
              </w:rPr>
            </w:pPr>
            <w:r w:rsidRPr="00FB37EC">
              <w:rPr>
                <w:rFonts w:ascii="Arial" w:eastAsia="Times New Roman" w:hAnsi="Arial" w:cs="Arial"/>
                <w:lang w:eastAsia="en-AU"/>
              </w:rPr>
              <w:t>Tribunal ref: 2015-16_02</w:t>
            </w:r>
            <w:r w:rsidR="006E3A79" w:rsidRPr="00FB37EC">
              <w:rPr>
                <w:rFonts w:ascii="Arial" w:eastAsia="Times New Roman" w:hAnsi="Arial" w:cs="Arial"/>
                <w:lang w:eastAsia="en-AU"/>
              </w:rPr>
              <w:t>, 2015-16_03</w:t>
            </w:r>
          </w:p>
        </w:tc>
        <w:tc>
          <w:tcPr>
            <w:tcW w:w="1170" w:type="dxa"/>
            <w:tcBorders>
              <w:top w:val="outset" w:sz="6" w:space="0" w:color="E7E6E6"/>
              <w:left w:val="outset" w:sz="6" w:space="0" w:color="E7E6E6"/>
              <w:bottom w:val="outset" w:sz="6" w:space="0" w:color="E7E6E6"/>
              <w:right w:val="outset" w:sz="6" w:space="0" w:color="E7E6E6"/>
            </w:tcBorders>
            <w:shd w:val="clear" w:color="auto" w:fill="FFFFFF"/>
          </w:tcPr>
          <w:p w:rsidR="00034389" w:rsidRPr="00FB37EC" w:rsidRDefault="00BC7BC4" w:rsidP="0037514A">
            <w:pPr>
              <w:spacing w:after="0" w:line="240" w:lineRule="auto"/>
              <w:rPr>
                <w:rFonts w:ascii="Arial" w:eastAsia="Times New Roman" w:hAnsi="Arial" w:cs="Arial"/>
                <w:lang w:eastAsia="en-AU"/>
              </w:rPr>
            </w:pPr>
            <w:r w:rsidRPr="00FB37EC">
              <w:rPr>
                <w:rFonts w:ascii="Arial" w:eastAsia="Times New Roman" w:hAnsi="Arial" w:cs="Arial"/>
                <w:lang w:eastAsia="en-AU"/>
              </w:rPr>
              <w:t>03/06/2016</w:t>
            </w:r>
          </w:p>
        </w:tc>
        <w:tc>
          <w:tcPr>
            <w:tcW w:w="810" w:type="dxa"/>
            <w:tcBorders>
              <w:top w:val="outset" w:sz="6" w:space="0" w:color="E7E6E6"/>
              <w:left w:val="outset" w:sz="6" w:space="0" w:color="E7E6E6"/>
              <w:bottom w:val="outset" w:sz="6" w:space="0" w:color="E7E6E6"/>
              <w:right w:val="outset" w:sz="6" w:space="0" w:color="E7E6E6"/>
            </w:tcBorders>
            <w:shd w:val="clear" w:color="auto" w:fill="FFFFFF"/>
          </w:tcPr>
          <w:p w:rsidR="00034389" w:rsidRPr="00FB37EC" w:rsidRDefault="00BC7BC4" w:rsidP="0037514A">
            <w:pPr>
              <w:spacing w:after="0" w:line="240" w:lineRule="auto"/>
              <w:rPr>
                <w:rFonts w:ascii="Arial" w:eastAsia="Times New Roman" w:hAnsi="Arial" w:cs="Arial"/>
                <w:lang w:eastAsia="en-AU"/>
              </w:rPr>
            </w:pPr>
            <w:r w:rsidRPr="00FB37EC">
              <w:rPr>
                <w:rFonts w:ascii="Arial" w:eastAsia="Times New Roman" w:hAnsi="Arial" w:cs="Arial"/>
                <w:lang w:eastAsia="en-AU"/>
              </w:rPr>
              <w:t>Sub-clauses 4(b) &amp; 5(a)</w:t>
            </w:r>
          </w:p>
        </w:tc>
        <w:tc>
          <w:tcPr>
            <w:tcW w:w="5580" w:type="dxa"/>
            <w:tcBorders>
              <w:top w:val="outset" w:sz="6" w:space="0" w:color="E7E6E6"/>
              <w:left w:val="outset" w:sz="6" w:space="0" w:color="E7E6E6"/>
              <w:bottom w:val="outset" w:sz="6" w:space="0" w:color="E7E6E6"/>
              <w:right w:val="outset" w:sz="6" w:space="0" w:color="E7E6E6"/>
            </w:tcBorders>
            <w:shd w:val="clear" w:color="auto" w:fill="FFFFFF"/>
          </w:tcPr>
          <w:p w:rsidR="00034389" w:rsidRPr="00FB37EC" w:rsidRDefault="00BC7BC4" w:rsidP="00124820">
            <w:pPr>
              <w:spacing w:after="0" w:line="240" w:lineRule="auto"/>
              <w:rPr>
                <w:rFonts w:ascii="Arial" w:eastAsia="Times New Roman" w:hAnsi="Arial" w:cs="Arial"/>
                <w:lang w:eastAsia="en-AU"/>
              </w:rPr>
            </w:pPr>
            <w:r w:rsidRPr="00FB37EC">
              <w:rPr>
                <w:rFonts w:ascii="Arial" w:eastAsia="Times New Roman" w:hAnsi="Arial" w:cs="Arial"/>
                <w:lang w:eastAsia="en-AU"/>
              </w:rPr>
              <w:t>T</w:t>
            </w:r>
            <w:r w:rsidR="006E3A79" w:rsidRPr="00FB37EC">
              <w:rPr>
                <w:rFonts w:ascii="Arial" w:eastAsia="Times New Roman" w:hAnsi="Arial" w:cs="Arial"/>
                <w:lang w:eastAsia="en-AU"/>
              </w:rPr>
              <w:t>wo separate complainants alleged that t</w:t>
            </w:r>
            <w:r w:rsidRPr="00FB37EC">
              <w:rPr>
                <w:rFonts w:ascii="Arial" w:eastAsia="Times New Roman" w:hAnsi="Arial" w:cs="Arial"/>
                <w:lang w:eastAsia="en-AU"/>
              </w:rPr>
              <w:t xml:space="preserve">he Autumn 2015 edition of Australian Family Magazine contained an advertisement for a toddler milk product </w:t>
            </w:r>
            <w:r w:rsidR="006F4F98" w:rsidRPr="00FB37EC">
              <w:rPr>
                <w:rFonts w:ascii="Arial" w:eastAsia="Times New Roman" w:hAnsi="Arial" w:cs="Arial"/>
                <w:lang w:eastAsia="en-AU"/>
              </w:rPr>
              <w:t>featuring an image of a pre-toddler baby, in breach of cl</w:t>
            </w:r>
            <w:r w:rsidR="00124820" w:rsidRPr="00FB37EC">
              <w:rPr>
                <w:rFonts w:ascii="Arial" w:eastAsia="Times New Roman" w:hAnsi="Arial" w:cs="Arial"/>
                <w:lang w:eastAsia="en-AU"/>
              </w:rPr>
              <w:t>a</w:t>
            </w:r>
            <w:r w:rsidR="006F4F98" w:rsidRPr="00FB37EC">
              <w:rPr>
                <w:rFonts w:ascii="Arial" w:eastAsia="Times New Roman" w:hAnsi="Arial" w:cs="Arial"/>
                <w:lang w:eastAsia="en-AU"/>
              </w:rPr>
              <w:t>use 5(a) of the MAIF Agreement.</w:t>
            </w:r>
            <w:r w:rsidRPr="00FB37EC">
              <w:rPr>
                <w:rFonts w:ascii="Arial" w:eastAsia="Times New Roman" w:hAnsi="Arial" w:cs="Arial"/>
                <w:lang w:eastAsia="en-AU"/>
              </w:rPr>
              <w:t xml:space="preserve"> </w:t>
            </w:r>
            <w:r w:rsidR="006F4F98" w:rsidRPr="00FB37EC">
              <w:rPr>
                <w:rFonts w:ascii="Arial" w:eastAsia="Times New Roman" w:hAnsi="Arial" w:cs="Arial"/>
                <w:lang w:eastAsia="en-AU"/>
              </w:rPr>
              <w:t xml:space="preserve">The same publication was also alleged to contain wording expressing approval by the pre-toddler baby of toddler milk as being “It’s yummy, like you Mummy” thus </w:t>
            </w:r>
            <w:r w:rsidR="00124820" w:rsidRPr="00FB37EC">
              <w:rPr>
                <w:rFonts w:ascii="Arial" w:eastAsia="Times New Roman" w:hAnsi="Arial" w:cs="Arial"/>
                <w:lang w:eastAsia="en-AU"/>
              </w:rPr>
              <w:t>implying that the product is</w:t>
            </w:r>
            <w:r w:rsidR="006F4F98" w:rsidRPr="00FB37EC">
              <w:rPr>
                <w:rFonts w:ascii="Arial" w:eastAsia="Times New Roman" w:hAnsi="Arial" w:cs="Arial"/>
                <w:lang w:eastAsia="en-AU"/>
              </w:rPr>
              <w:t xml:space="preserve"> infant formula </w:t>
            </w:r>
            <w:r w:rsidR="00216FCA" w:rsidRPr="00FB37EC">
              <w:rPr>
                <w:rFonts w:ascii="Arial" w:eastAsia="Times New Roman" w:hAnsi="Arial" w:cs="Arial"/>
                <w:lang w:eastAsia="en-AU"/>
              </w:rPr>
              <w:t>and idealising it contrary to clause (b). Notwithstanding the respondent’s admission of error and claim of inadvertence, the Tribunal determined the MAIF Agreement had been breached and cautioned the respondent to put in place procedures that guard against recurrence.</w:t>
            </w:r>
          </w:p>
        </w:tc>
        <w:tc>
          <w:tcPr>
            <w:tcW w:w="1231" w:type="dxa"/>
            <w:tcBorders>
              <w:top w:val="outset" w:sz="6" w:space="0" w:color="E7E6E6"/>
              <w:left w:val="outset" w:sz="6" w:space="0" w:color="E7E6E6"/>
              <w:bottom w:val="outset" w:sz="6" w:space="0" w:color="E7E6E6"/>
              <w:right w:val="outset" w:sz="6" w:space="0" w:color="E7E6E6"/>
            </w:tcBorders>
            <w:shd w:val="clear" w:color="auto" w:fill="FFFFFF"/>
          </w:tcPr>
          <w:p w:rsidR="00034389" w:rsidRPr="00FB37EC" w:rsidRDefault="00BC7BC4" w:rsidP="0037514A">
            <w:pPr>
              <w:spacing w:after="0" w:line="240" w:lineRule="auto"/>
              <w:rPr>
                <w:rFonts w:ascii="Arial" w:eastAsia="Times New Roman" w:hAnsi="Arial" w:cs="Arial"/>
                <w:lang w:eastAsia="en-AU"/>
              </w:rPr>
            </w:pPr>
            <w:r w:rsidRPr="00FB37EC">
              <w:rPr>
                <w:rFonts w:ascii="Arial" w:eastAsia="Times New Roman" w:hAnsi="Arial" w:cs="Arial"/>
                <w:lang w:eastAsia="en-AU"/>
              </w:rPr>
              <w:t>Upheld</w:t>
            </w:r>
          </w:p>
        </w:tc>
      </w:tr>
      <w:tr w:rsidR="00FB37EC" w:rsidRPr="00FB37EC" w:rsidTr="0037514A">
        <w:trPr>
          <w:tblCellSpacing w:w="0" w:type="dxa"/>
        </w:trPr>
        <w:tc>
          <w:tcPr>
            <w:tcW w:w="1028" w:type="dxa"/>
            <w:tcBorders>
              <w:top w:val="outset" w:sz="6" w:space="0" w:color="E7E6E6"/>
              <w:left w:val="outset" w:sz="6" w:space="0" w:color="E7E6E6"/>
              <w:bottom w:val="outset" w:sz="6" w:space="0" w:color="E7E6E6"/>
              <w:right w:val="outset" w:sz="6" w:space="0" w:color="E7E6E6"/>
            </w:tcBorders>
            <w:shd w:val="clear" w:color="auto" w:fill="FFFFFF"/>
          </w:tcPr>
          <w:p w:rsidR="00C53990" w:rsidRPr="00FB37EC" w:rsidRDefault="00C53990" w:rsidP="0037514A">
            <w:pPr>
              <w:spacing w:after="0" w:line="240" w:lineRule="auto"/>
              <w:rPr>
                <w:rFonts w:ascii="Arial" w:eastAsia="Times New Roman" w:hAnsi="Arial" w:cs="Arial"/>
                <w:lang w:eastAsia="en-AU"/>
              </w:rPr>
            </w:pPr>
            <w:r w:rsidRPr="00FB37EC">
              <w:rPr>
                <w:rFonts w:ascii="Arial" w:eastAsia="Times New Roman" w:hAnsi="Arial" w:cs="Arial"/>
                <w:lang w:eastAsia="en-AU"/>
              </w:rPr>
              <w:t>A2 Corporation Ltd</w:t>
            </w:r>
          </w:p>
          <w:p w:rsidR="00F101F0" w:rsidRPr="00FB37EC" w:rsidRDefault="00F101F0" w:rsidP="0037514A">
            <w:pPr>
              <w:spacing w:after="0" w:line="240" w:lineRule="auto"/>
              <w:rPr>
                <w:rFonts w:ascii="Arial" w:eastAsia="Times New Roman" w:hAnsi="Arial" w:cs="Arial"/>
                <w:lang w:eastAsia="en-AU"/>
              </w:rPr>
            </w:pPr>
          </w:p>
          <w:p w:rsidR="00F101F0" w:rsidRPr="00FB37EC" w:rsidRDefault="00F101F0" w:rsidP="0037514A">
            <w:pPr>
              <w:spacing w:after="0" w:line="240" w:lineRule="auto"/>
              <w:rPr>
                <w:rFonts w:ascii="Arial" w:eastAsia="Times New Roman" w:hAnsi="Arial" w:cs="Arial"/>
                <w:lang w:eastAsia="en-AU"/>
              </w:rPr>
            </w:pPr>
          </w:p>
          <w:p w:rsidR="00F101F0" w:rsidRPr="00FB37EC" w:rsidRDefault="00F101F0" w:rsidP="0037514A">
            <w:pPr>
              <w:spacing w:after="0" w:line="240" w:lineRule="auto"/>
              <w:rPr>
                <w:rFonts w:ascii="Arial" w:eastAsia="Times New Roman" w:hAnsi="Arial" w:cs="Arial"/>
                <w:lang w:eastAsia="en-AU"/>
              </w:rPr>
            </w:pPr>
            <w:r w:rsidRPr="00FB37EC">
              <w:rPr>
                <w:rFonts w:ascii="Arial" w:eastAsia="Times New Roman" w:hAnsi="Arial" w:cs="Arial"/>
                <w:lang w:eastAsia="en-AU"/>
              </w:rPr>
              <w:t>Tribunal ref</w:t>
            </w:r>
            <w:r w:rsidR="006E3A79" w:rsidRPr="00FB37EC">
              <w:rPr>
                <w:rFonts w:ascii="Arial" w:eastAsia="Times New Roman" w:hAnsi="Arial" w:cs="Arial"/>
                <w:lang w:eastAsia="en-AU"/>
              </w:rPr>
              <w:t>: 2015-16_04</w:t>
            </w:r>
          </w:p>
        </w:tc>
        <w:tc>
          <w:tcPr>
            <w:tcW w:w="1170" w:type="dxa"/>
            <w:tcBorders>
              <w:top w:val="outset" w:sz="6" w:space="0" w:color="E7E6E6"/>
              <w:left w:val="outset" w:sz="6" w:space="0" w:color="E7E6E6"/>
              <w:bottom w:val="outset" w:sz="6" w:space="0" w:color="E7E6E6"/>
              <w:right w:val="outset" w:sz="6" w:space="0" w:color="E7E6E6"/>
            </w:tcBorders>
            <w:shd w:val="clear" w:color="auto" w:fill="FFFFFF"/>
          </w:tcPr>
          <w:p w:rsidR="00C53990" w:rsidRPr="00FB37EC" w:rsidRDefault="00C53990" w:rsidP="0037514A">
            <w:pPr>
              <w:spacing w:after="0" w:line="240" w:lineRule="auto"/>
              <w:rPr>
                <w:rFonts w:ascii="Arial" w:eastAsia="Times New Roman" w:hAnsi="Arial" w:cs="Arial"/>
                <w:lang w:eastAsia="en-AU"/>
              </w:rPr>
            </w:pPr>
            <w:r w:rsidRPr="00FB37EC">
              <w:rPr>
                <w:rFonts w:ascii="Arial" w:eastAsia="Times New Roman" w:hAnsi="Arial" w:cs="Arial"/>
                <w:lang w:eastAsia="en-AU"/>
              </w:rPr>
              <w:t>03/06/2016</w:t>
            </w:r>
          </w:p>
        </w:tc>
        <w:tc>
          <w:tcPr>
            <w:tcW w:w="810" w:type="dxa"/>
            <w:tcBorders>
              <w:top w:val="outset" w:sz="6" w:space="0" w:color="E7E6E6"/>
              <w:left w:val="outset" w:sz="6" w:space="0" w:color="E7E6E6"/>
              <w:bottom w:val="outset" w:sz="6" w:space="0" w:color="E7E6E6"/>
              <w:right w:val="outset" w:sz="6" w:space="0" w:color="E7E6E6"/>
            </w:tcBorders>
            <w:shd w:val="clear" w:color="auto" w:fill="FFFFFF"/>
          </w:tcPr>
          <w:p w:rsidR="00C53990" w:rsidRPr="00FB37EC" w:rsidRDefault="00C53990" w:rsidP="0037514A">
            <w:pPr>
              <w:spacing w:after="0" w:line="240" w:lineRule="auto"/>
              <w:rPr>
                <w:rFonts w:ascii="Arial" w:eastAsia="Times New Roman" w:hAnsi="Arial" w:cs="Arial"/>
                <w:lang w:eastAsia="en-AU"/>
              </w:rPr>
            </w:pPr>
            <w:r w:rsidRPr="00FB37EC">
              <w:rPr>
                <w:rFonts w:ascii="Arial" w:eastAsia="Times New Roman" w:hAnsi="Arial" w:cs="Arial"/>
                <w:lang w:eastAsia="en-AU"/>
              </w:rPr>
              <w:t>Sub-clause 5(a)</w:t>
            </w:r>
          </w:p>
        </w:tc>
        <w:tc>
          <w:tcPr>
            <w:tcW w:w="5580" w:type="dxa"/>
            <w:tcBorders>
              <w:top w:val="outset" w:sz="6" w:space="0" w:color="E7E6E6"/>
              <w:left w:val="outset" w:sz="6" w:space="0" w:color="E7E6E6"/>
              <w:bottom w:val="outset" w:sz="6" w:space="0" w:color="E7E6E6"/>
              <w:right w:val="outset" w:sz="6" w:space="0" w:color="E7E6E6"/>
            </w:tcBorders>
            <w:shd w:val="clear" w:color="auto" w:fill="FFFFFF"/>
          </w:tcPr>
          <w:p w:rsidR="00C53990" w:rsidRPr="00FB37EC" w:rsidRDefault="00C53990" w:rsidP="00C53990">
            <w:pPr>
              <w:spacing w:after="0" w:line="240" w:lineRule="auto"/>
              <w:rPr>
                <w:rFonts w:ascii="Arial" w:eastAsia="Times New Roman" w:hAnsi="Arial" w:cs="Arial"/>
                <w:lang w:eastAsia="en-AU"/>
              </w:rPr>
            </w:pPr>
            <w:r w:rsidRPr="00FB37EC">
              <w:rPr>
                <w:rFonts w:ascii="Arial" w:eastAsia="Times New Roman" w:hAnsi="Arial" w:cs="Arial"/>
                <w:lang w:eastAsia="en-AU"/>
              </w:rPr>
              <w:t>A photograph of one of the respondent’s products was placed in an online article on another party’s website as part of an advertisement for toddler milk. The photograph was of a baby and likely to mislead a viewer to believe that the product was infant formula. The respondent caused the photograph to be removed, admitted the error and gave an assurance that it had instituted procedures to prevent recurrence.</w:t>
            </w:r>
          </w:p>
        </w:tc>
        <w:tc>
          <w:tcPr>
            <w:tcW w:w="1231" w:type="dxa"/>
            <w:tcBorders>
              <w:top w:val="outset" w:sz="6" w:space="0" w:color="E7E6E6"/>
              <w:left w:val="outset" w:sz="6" w:space="0" w:color="E7E6E6"/>
              <w:bottom w:val="outset" w:sz="6" w:space="0" w:color="E7E6E6"/>
              <w:right w:val="outset" w:sz="6" w:space="0" w:color="E7E6E6"/>
            </w:tcBorders>
            <w:shd w:val="clear" w:color="auto" w:fill="FFFFFF"/>
          </w:tcPr>
          <w:p w:rsidR="00C53990" w:rsidRPr="00FB37EC" w:rsidRDefault="00C53990" w:rsidP="0037514A">
            <w:pPr>
              <w:spacing w:after="0" w:line="240" w:lineRule="auto"/>
              <w:rPr>
                <w:rFonts w:ascii="Arial" w:eastAsia="Times New Roman" w:hAnsi="Arial" w:cs="Arial"/>
                <w:lang w:eastAsia="en-AU"/>
              </w:rPr>
            </w:pPr>
            <w:r w:rsidRPr="00FB37EC">
              <w:rPr>
                <w:rFonts w:ascii="Arial" w:eastAsia="Times New Roman" w:hAnsi="Arial" w:cs="Arial"/>
                <w:lang w:eastAsia="en-AU"/>
              </w:rPr>
              <w:t>Upheld</w:t>
            </w:r>
          </w:p>
        </w:tc>
      </w:tr>
    </w:tbl>
    <w:p w:rsidR="00633C99" w:rsidRPr="00FB37EC" w:rsidRDefault="00633C99">
      <w:pPr>
        <w:rPr>
          <w:rFonts w:ascii="Arial" w:hAnsi="Arial" w:cs="Arial"/>
          <w:lang w:val="en-US"/>
        </w:rPr>
      </w:pPr>
      <w:r w:rsidRPr="00FB37EC">
        <w:rPr>
          <w:rFonts w:ascii="Arial" w:hAnsi="Arial" w:cs="Arial"/>
          <w:lang w:val="en-US"/>
        </w:rPr>
        <w:br w:type="page"/>
      </w:r>
    </w:p>
    <w:p w:rsidR="00774EAA" w:rsidRPr="00FB37EC" w:rsidRDefault="00E84769" w:rsidP="00C15BE3">
      <w:pPr>
        <w:pStyle w:val="Heading1"/>
        <w:rPr>
          <w:rFonts w:ascii="Arial" w:hAnsi="Arial" w:cs="Arial"/>
          <w:color w:val="auto"/>
        </w:rPr>
      </w:pPr>
      <w:bookmarkStart w:id="15" w:name="_Toc476133892"/>
      <w:r w:rsidRPr="00FB37EC">
        <w:rPr>
          <w:rFonts w:ascii="Arial" w:hAnsi="Arial" w:cs="Arial"/>
          <w:color w:val="auto"/>
        </w:rPr>
        <w:lastRenderedPageBreak/>
        <w:t>Appendix A</w:t>
      </w:r>
      <w:r w:rsidR="00C15BE3" w:rsidRPr="00FB37EC">
        <w:rPr>
          <w:rFonts w:ascii="Arial" w:hAnsi="Arial" w:cs="Arial"/>
          <w:color w:val="auto"/>
        </w:rPr>
        <w:t xml:space="preserve">: </w:t>
      </w:r>
      <w:r w:rsidR="00774EAA" w:rsidRPr="00FB37EC">
        <w:rPr>
          <w:rFonts w:ascii="Arial" w:hAnsi="Arial" w:cs="Arial"/>
          <w:color w:val="auto"/>
        </w:rPr>
        <w:t>Marketing in Australia of Infant Formulas: Manufacturers and Importers Agreement</w:t>
      </w:r>
      <w:bookmarkEnd w:id="15"/>
    </w:p>
    <w:p w:rsidR="00774EAA" w:rsidRPr="00FB37EC" w:rsidRDefault="00774EAA" w:rsidP="00FB37EC">
      <w:pPr>
        <w:pStyle w:val="Heading2"/>
        <w:rPr>
          <w:color w:val="auto"/>
        </w:rPr>
      </w:pPr>
      <w:r w:rsidRPr="00FB37EC">
        <w:rPr>
          <w:color w:val="auto"/>
        </w:rPr>
        <w:t>Preamble</w:t>
      </w:r>
    </w:p>
    <w:p w:rsidR="00774EAA" w:rsidRPr="00FB37EC" w:rsidRDefault="00774EAA" w:rsidP="00207923">
      <w:pPr>
        <w:rPr>
          <w:rFonts w:ascii="Arial" w:hAnsi="Arial" w:cs="Arial"/>
        </w:rPr>
      </w:pPr>
      <w:r w:rsidRPr="00FB37EC">
        <w:rPr>
          <w:rFonts w:ascii="Arial" w:hAnsi="Arial" w:cs="Arial"/>
        </w:rPr>
        <w:t xml:space="preserve">This document sets out the obligations of manufacturers in and importers to Australia of infant formulas and gives effect in Australia to the principles of the </w:t>
      </w:r>
      <w:r w:rsidRPr="00FB37EC">
        <w:rPr>
          <w:rFonts w:ascii="Arial" w:hAnsi="Arial" w:cs="Arial"/>
          <w:i/>
        </w:rPr>
        <w:t xml:space="preserve">World Health Organization’s International Code of Marketing of Breast Milk Substitutes </w:t>
      </w:r>
      <w:r w:rsidRPr="00FB37EC">
        <w:rPr>
          <w:rFonts w:ascii="Arial" w:hAnsi="Arial" w:cs="Arial"/>
        </w:rPr>
        <w:t>(WHO Code)</w:t>
      </w:r>
      <w:r w:rsidR="00207923" w:rsidRPr="00FB37EC">
        <w:rPr>
          <w:rFonts w:ascii="Arial" w:hAnsi="Arial" w:cs="Arial"/>
          <w:sz w:val="16"/>
        </w:rPr>
        <w:t xml:space="preserve"> </w:t>
      </w:r>
      <w:r w:rsidR="00207923" w:rsidRPr="00FB37EC">
        <w:rPr>
          <w:rFonts w:ascii="Arial" w:hAnsi="Arial" w:cs="Arial"/>
        </w:rPr>
        <w:t xml:space="preserve">Where applicable, clauses in this document are cross-referenced to the relevant articles from the World Health Organization (1981) </w:t>
      </w:r>
      <w:r w:rsidRPr="00FB37EC">
        <w:rPr>
          <w:rFonts w:ascii="Arial" w:hAnsi="Arial" w:cs="Arial"/>
          <w:i/>
        </w:rPr>
        <w:t>International Code of Marketing of Breast-milk Substitutes</w:t>
      </w:r>
      <w:r w:rsidRPr="00FB37EC">
        <w:rPr>
          <w:rFonts w:ascii="Arial" w:hAnsi="Arial" w:cs="Arial"/>
        </w:rPr>
        <w:t>, Geneva (WHO Code).</w:t>
      </w:r>
    </w:p>
    <w:p w:rsidR="00774EAA" w:rsidRPr="00FB37EC" w:rsidRDefault="00774EAA" w:rsidP="00FB37EC">
      <w:pPr>
        <w:pStyle w:val="Heading2"/>
        <w:rPr>
          <w:color w:val="auto"/>
        </w:rPr>
      </w:pPr>
      <w:r w:rsidRPr="00FB37EC">
        <w:rPr>
          <w:color w:val="auto"/>
        </w:rPr>
        <w:t>Clause 1: Aim</w:t>
      </w:r>
    </w:p>
    <w:p w:rsidR="00207923" w:rsidRPr="00FB37EC" w:rsidRDefault="00774EAA" w:rsidP="00207923">
      <w:pPr>
        <w:rPr>
          <w:rFonts w:ascii="Arial" w:hAnsi="Arial" w:cs="Arial"/>
        </w:rPr>
      </w:pPr>
      <w:r w:rsidRPr="00FB37EC">
        <w:rPr>
          <w:rFonts w:ascii="Arial" w:hAnsi="Arial" w:cs="Arial"/>
        </w:rPr>
        <w:t>The aim is to contribute to the provision of safe and adequate nutrition for infants, by the protection and promotion of breastfeeding and by ensuring the proper use of breast milk substitutes, when they are necessar</w:t>
      </w:r>
      <w:r w:rsidR="00C436F7" w:rsidRPr="00FB37EC">
        <w:rPr>
          <w:rFonts w:ascii="Arial" w:hAnsi="Arial" w:cs="Arial"/>
        </w:rPr>
        <w:t>y</w:t>
      </w:r>
      <w:r w:rsidRPr="00FB37EC">
        <w:rPr>
          <w:rFonts w:ascii="Arial" w:hAnsi="Arial" w:cs="Arial"/>
        </w:rPr>
        <w:t>, on the basis of adequate information and through appropriate marketing and distribution. (WHO Code Article 1)</w:t>
      </w:r>
      <w:r w:rsidR="00207923" w:rsidRPr="00FB37EC">
        <w:rPr>
          <w:rFonts w:ascii="Arial" w:hAnsi="Arial" w:cs="Arial"/>
          <w:spacing w:val="-2"/>
          <w:sz w:val="16"/>
        </w:rPr>
        <w:t xml:space="preserve"> </w:t>
      </w:r>
      <w:r w:rsidR="000652E5" w:rsidRPr="00FB37EC">
        <w:rPr>
          <w:rFonts w:ascii="Arial" w:hAnsi="Arial" w:cs="Arial"/>
          <w:spacing w:val="-2"/>
          <w:sz w:val="16"/>
        </w:rPr>
        <w:t xml:space="preserve"> </w:t>
      </w:r>
      <w:r w:rsidR="00207923" w:rsidRPr="00FB37EC">
        <w:rPr>
          <w:rFonts w:ascii="Arial" w:hAnsi="Arial" w:cs="Arial"/>
        </w:rPr>
        <w:t>For the purposes of the Aim, ‘necessary’ includes mothers who make an informed choice to use breast milk substitutes.</w:t>
      </w:r>
    </w:p>
    <w:p w:rsidR="00774EAA" w:rsidRPr="00FB37EC" w:rsidRDefault="00774EAA" w:rsidP="00FB37EC">
      <w:pPr>
        <w:pStyle w:val="Heading2"/>
        <w:rPr>
          <w:color w:val="auto"/>
        </w:rPr>
      </w:pPr>
      <w:r w:rsidRPr="00FB37EC">
        <w:rPr>
          <w:color w:val="auto"/>
        </w:rPr>
        <w:t>Clause 2: Scope</w:t>
      </w:r>
    </w:p>
    <w:p w:rsidR="00774EAA" w:rsidRPr="00FB37EC" w:rsidRDefault="00774EAA" w:rsidP="00C15BE3">
      <w:pPr>
        <w:rPr>
          <w:rFonts w:ascii="Arial" w:hAnsi="Arial" w:cs="Arial"/>
        </w:rPr>
      </w:pPr>
      <w:r w:rsidRPr="00FB37EC">
        <w:rPr>
          <w:rFonts w:ascii="Arial" w:hAnsi="Arial" w:cs="Arial"/>
        </w:rPr>
        <w:t>This document applies to the marketing in Australia of infant formulas when such products are marketed or otherwise represented to be suitable, with or without modification, for use as a partial or total replacement for breast milk. It also applies to their quality and availability, and to information concerning their use. (WHO Code Article 2)</w:t>
      </w:r>
    </w:p>
    <w:p w:rsidR="00774EAA" w:rsidRPr="00FB37EC" w:rsidRDefault="00774EAA" w:rsidP="00FB37EC">
      <w:pPr>
        <w:pStyle w:val="Heading2"/>
        <w:rPr>
          <w:color w:val="auto"/>
        </w:rPr>
      </w:pPr>
      <w:r w:rsidRPr="00FB37EC">
        <w:rPr>
          <w:color w:val="auto"/>
        </w:rPr>
        <w:t>Clause 3: Definitions</w:t>
      </w:r>
    </w:p>
    <w:p w:rsidR="00774EAA" w:rsidRPr="00FB37EC" w:rsidRDefault="00774EAA" w:rsidP="00C15BE3">
      <w:pPr>
        <w:rPr>
          <w:rFonts w:ascii="Arial" w:hAnsi="Arial" w:cs="Arial"/>
        </w:rPr>
      </w:pPr>
      <w:r w:rsidRPr="00FB37EC">
        <w:rPr>
          <w:rFonts w:ascii="Arial" w:hAnsi="Arial" w:cs="Arial"/>
        </w:rPr>
        <w:t>‘Breast milk substitute’ - any food marketed or otherwise represented as a partial or total replacement for breast milk, whether or not suitable for that purpose.</w:t>
      </w:r>
    </w:p>
    <w:p w:rsidR="00774EAA" w:rsidRPr="00FB37EC" w:rsidRDefault="00774EAA" w:rsidP="00C15BE3">
      <w:pPr>
        <w:rPr>
          <w:rFonts w:ascii="Arial" w:hAnsi="Arial" w:cs="Arial"/>
        </w:rPr>
      </w:pPr>
      <w:r w:rsidRPr="00FB37EC">
        <w:rPr>
          <w:rFonts w:ascii="Arial" w:hAnsi="Arial" w:cs="Arial"/>
        </w:rPr>
        <w:t>‘Container’ - any form of packaging of infant formulas for sale as a normal retail unit, including wrappers.</w:t>
      </w:r>
    </w:p>
    <w:p w:rsidR="00774EAA" w:rsidRPr="00FB37EC" w:rsidRDefault="00774EAA" w:rsidP="00C15BE3">
      <w:pPr>
        <w:rPr>
          <w:rFonts w:ascii="Arial" w:hAnsi="Arial" w:cs="Arial"/>
        </w:rPr>
      </w:pPr>
      <w:r w:rsidRPr="00FB37EC">
        <w:rPr>
          <w:rFonts w:ascii="Arial" w:hAnsi="Arial" w:cs="Arial"/>
        </w:rPr>
        <w:t>‘Health care system’ - governmental, non-governmental or private institutions engaged, directly or indirectly, in health care for mothers, infants and pregnant women and nurseries or child-care institutions. It also includes health workers in private practice. For the purposes of this document, the health care system does not include pharmacies or other retail outlets.</w:t>
      </w:r>
    </w:p>
    <w:p w:rsidR="00774EAA" w:rsidRPr="00FB37EC" w:rsidRDefault="00774EAA" w:rsidP="00C15BE3">
      <w:pPr>
        <w:rPr>
          <w:rFonts w:ascii="Arial" w:hAnsi="Arial" w:cs="Arial"/>
        </w:rPr>
      </w:pPr>
      <w:proofErr w:type="gramStart"/>
      <w:r w:rsidRPr="00FB37EC">
        <w:rPr>
          <w:rFonts w:ascii="Arial" w:hAnsi="Arial" w:cs="Arial"/>
        </w:rPr>
        <w:t>‘Health care professional’ - a professional or other appropriately trained person working in a component of the health care system, including pharmacists and voluntary workers.</w:t>
      </w:r>
      <w:proofErr w:type="gramEnd"/>
    </w:p>
    <w:p w:rsidR="00774EAA" w:rsidRPr="00FB37EC" w:rsidRDefault="00774EAA" w:rsidP="00C15BE3">
      <w:pPr>
        <w:rPr>
          <w:rFonts w:ascii="Arial" w:hAnsi="Arial" w:cs="Arial"/>
        </w:rPr>
      </w:pPr>
      <w:r w:rsidRPr="00FB37EC">
        <w:rPr>
          <w:rFonts w:ascii="Arial" w:hAnsi="Arial" w:cs="Arial"/>
        </w:rPr>
        <w:t>‘Infant formula’ - any food described or sold as an alternative for human milk for the feeding of infants up to the age of twelve months and formulated in accordance with Australian Food Standard R7 - Infant Formula.</w:t>
      </w:r>
    </w:p>
    <w:p w:rsidR="00774EAA" w:rsidRPr="00FB37EC" w:rsidRDefault="00774EAA" w:rsidP="00C15BE3">
      <w:pPr>
        <w:rPr>
          <w:rFonts w:ascii="Arial" w:hAnsi="Arial" w:cs="Arial"/>
        </w:rPr>
      </w:pPr>
      <w:r w:rsidRPr="00FB37EC">
        <w:rPr>
          <w:rFonts w:ascii="Arial" w:hAnsi="Arial" w:cs="Arial"/>
        </w:rPr>
        <w:t>‘Label’ - any tag, brand, mark, pictorial or other descriptive matter written, printed, stencilled, marked, embossed or impressed on, or attached to, a container of infant formulas.</w:t>
      </w:r>
    </w:p>
    <w:p w:rsidR="00774EAA" w:rsidRPr="00FB37EC" w:rsidRDefault="00774EAA" w:rsidP="00C15BE3">
      <w:pPr>
        <w:rPr>
          <w:rFonts w:ascii="Arial" w:hAnsi="Arial" w:cs="Arial"/>
        </w:rPr>
      </w:pPr>
      <w:r w:rsidRPr="00FB37EC">
        <w:rPr>
          <w:rFonts w:ascii="Arial" w:hAnsi="Arial" w:cs="Arial"/>
        </w:rPr>
        <w:t>‘Marketing’ - includes the promotion, distribution, selling, advertising, public relations and information services related to infant formulas.</w:t>
      </w:r>
    </w:p>
    <w:p w:rsidR="00774EAA" w:rsidRPr="00FB37EC" w:rsidRDefault="00774EAA" w:rsidP="00C15BE3">
      <w:pPr>
        <w:rPr>
          <w:rFonts w:ascii="Arial" w:hAnsi="Arial" w:cs="Arial"/>
        </w:rPr>
      </w:pPr>
      <w:r w:rsidRPr="00FB37EC">
        <w:rPr>
          <w:rFonts w:ascii="Arial" w:hAnsi="Arial" w:cs="Arial"/>
        </w:rPr>
        <w:t xml:space="preserve">‘Marketing personnel’ - any persons whose functions include the marketing of infant </w:t>
      </w:r>
      <w:proofErr w:type="spellStart"/>
      <w:r w:rsidRPr="00FB37EC">
        <w:rPr>
          <w:rFonts w:ascii="Arial" w:hAnsi="Arial" w:cs="Arial"/>
        </w:rPr>
        <w:t>formulas</w:t>
      </w:r>
      <w:proofErr w:type="gramStart"/>
      <w:r w:rsidRPr="00FB37EC">
        <w:rPr>
          <w:rFonts w:ascii="Arial" w:hAnsi="Arial" w:cs="Arial"/>
        </w:rPr>
        <w:t>.‘</w:t>
      </w:r>
      <w:proofErr w:type="gramEnd"/>
      <w:r w:rsidRPr="00FB37EC">
        <w:rPr>
          <w:rFonts w:ascii="Arial" w:hAnsi="Arial" w:cs="Arial"/>
        </w:rPr>
        <w:t>Samples</w:t>
      </w:r>
      <w:proofErr w:type="spellEnd"/>
      <w:r w:rsidRPr="00FB37EC">
        <w:rPr>
          <w:rFonts w:ascii="Arial" w:hAnsi="Arial" w:cs="Arial"/>
        </w:rPr>
        <w:t>’ - single or small quantities of an infant formula provided without cost. (WHO Code Article 3)</w:t>
      </w:r>
    </w:p>
    <w:p w:rsidR="00791A40" w:rsidRPr="00FB37EC" w:rsidRDefault="00791A40">
      <w:pPr>
        <w:rPr>
          <w:rFonts w:ascii="Arial" w:eastAsiaTheme="majorEastAsia" w:hAnsi="Arial" w:cs="Arial"/>
          <w:b/>
          <w:i/>
          <w:iCs/>
        </w:rPr>
      </w:pPr>
      <w:r w:rsidRPr="00FB37EC">
        <w:rPr>
          <w:rFonts w:ascii="Arial" w:hAnsi="Arial" w:cs="Arial"/>
          <w:b/>
        </w:rPr>
        <w:br w:type="page"/>
      </w:r>
    </w:p>
    <w:p w:rsidR="00774EAA" w:rsidRPr="00FB37EC" w:rsidRDefault="00774EAA" w:rsidP="00FB37EC">
      <w:pPr>
        <w:pStyle w:val="Heading2"/>
        <w:rPr>
          <w:color w:val="auto"/>
        </w:rPr>
      </w:pPr>
      <w:r w:rsidRPr="00FB37EC">
        <w:rPr>
          <w:color w:val="auto"/>
        </w:rPr>
        <w:lastRenderedPageBreak/>
        <w:t>Clause 4: Information and Education</w:t>
      </w:r>
    </w:p>
    <w:p w:rsidR="00774EAA" w:rsidRPr="00FB37EC" w:rsidRDefault="00774EAA" w:rsidP="00C15BE3">
      <w:pPr>
        <w:rPr>
          <w:rFonts w:ascii="Arial" w:hAnsi="Arial" w:cs="Arial"/>
        </w:rPr>
      </w:pPr>
      <w:r w:rsidRPr="00FB37EC">
        <w:rPr>
          <w:rFonts w:ascii="Arial" w:hAnsi="Arial" w:cs="Arial"/>
        </w:rPr>
        <w:t>4(a) Manufacturers and importers of infant formulas in Australia agree that informational and educational materials, whether written, audio or visual, dealing with the feeding of infants and intended to reach pregnant women and parents of infants and young children, should always include clear information on all the following points:</w:t>
      </w:r>
    </w:p>
    <w:p w:rsidR="00774EAA" w:rsidRPr="00FB37EC" w:rsidRDefault="00774EAA" w:rsidP="00207923">
      <w:pPr>
        <w:numPr>
          <w:ilvl w:val="0"/>
          <w:numId w:val="21"/>
        </w:numPr>
        <w:rPr>
          <w:rFonts w:ascii="Arial" w:hAnsi="Arial" w:cs="Arial"/>
        </w:rPr>
      </w:pPr>
      <w:r w:rsidRPr="00FB37EC">
        <w:rPr>
          <w:rFonts w:ascii="Arial" w:hAnsi="Arial" w:cs="Arial"/>
        </w:rPr>
        <w:t>the benefits and superiority of breastfeeding;</w:t>
      </w:r>
    </w:p>
    <w:p w:rsidR="00774EAA" w:rsidRPr="00FB37EC" w:rsidRDefault="00774EAA" w:rsidP="00207923">
      <w:pPr>
        <w:numPr>
          <w:ilvl w:val="0"/>
          <w:numId w:val="21"/>
        </w:numPr>
        <w:rPr>
          <w:rFonts w:ascii="Arial" w:hAnsi="Arial" w:cs="Arial"/>
        </w:rPr>
      </w:pPr>
      <w:r w:rsidRPr="00FB37EC">
        <w:rPr>
          <w:rFonts w:ascii="Arial" w:hAnsi="Arial" w:cs="Arial"/>
        </w:rPr>
        <w:t>maternal nutrition, and the preparation for and maintenance of breastfeeding;</w:t>
      </w:r>
    </w:p>
    <w:p w:rsidR="00774EAA" w:rsidRPr="00FB37EC" w:rsidRDefault="00774EAA" w:rsidP="00207923">
      <w:pPr>
        <w:numPr>
          <w:ilvl w:val="0"/>
          <w:numId w:val="21"/>
        </w:numPr>
        <w:rPr>
          <w:rFonts w:ascii="Arial" w:hAnsi="Arial" w:cs="Arial"/>
        </w:rPr>
      </w:pPr>
      <w:r w:rsidRPr="00FB37EC">
        <w:rPr>
          <w:rFonts w:ascii="Arial" w:hAnsi="Arial" w:cs="Arial"/>
        </w:rPr>
        <w:t>the negative effect on breastfeeding of introducing partial bottle-feeding;</w:t>
      </w:r>
    </w:p>
    <w:p w:rsidR="00774EAA" w:rsidRPr="00FB37EC" w:rsidRDefault="00774EAA" w:rsidP="00207923">
      <w:pPr>
        <w:numPr>
          <w:ilvl w:val="0"/>
          <w:numId w:val="21"/>
        </w:numPr>
        <w:rPr>
          <w:rFonts w:ascii="Arial" w:hAnsi="Arial" w:cs="Arial"/>
        </w:rPr>
      </w:pPr>
      <w:r w:rsidRPr="00FB37EC">
        <w:rPr>
          <w:rFonts w:ascii="Arial" w:hAnsi="Arial" w:cs="Arial"/>
        </w:rPr>
        <w:t>the difficulty of reversing the decision not to breastfeed; and</w:t>
      </w:r>
    </w:p>
    <w:p w:rsidR="00774EAA" w:rsidRPr="00FB37EC" w:rsidRDefault="00774EAA" w:rsidP="00207923">
      <w:pPr>
        <w:numPr>
          <w:ilvl w:val="0"/>
          <w:numId w:val="21"/>
        </w:numPr>
        <w:rPr>
          <w:rFonts w:ascii="Arial" w:hAnsi="Arial" w:cs="Arial"/>
        </w:rPr>
      </w:pPr>
      <w:proofErr w:type="gramStart"/>
      <w:r w:rsidRPr="00FB37EC">
        <w:rPr>
          <w:rFonts w:ascii="Arial" w:hAnsi="Arial" w:cs="Arial"/>
        </w:rPr>
        <w:t>where</w:t>
      </w:r>
      <w:proofErr w:type="gramEnd"/>
      <w:r w:rsidRPr="00FB37EC">
        <w:rPr>
          <w:rFonts w:ascii="Arial" w:hAnsi="Arial" w:cs="Arial"/>
        </w:rPr>
        <w:t xml:space="preserve"> needed, the proper use of infant formula, whether manufactured industrially or home </w:t>
      </w:r>
      <w:r w:rsidR="00E84769" w:rsidRPr="00FB37EC">
        <w:rPr>
          <w:rFonts w:ascii="Arial" w:hAnsi="Arial" w:cs="Arial"/>
        </w:rPr>
        <w:t>p</w:t>
      </w:r>
      <w:r w:rsidRPr="00FB37EC">
        <w:rPr>
          <w:rFonts w:ascii="Arial" w:hAnsi="Arial" w:cs="Arial"/>
        </w:rPr>
        <w:t>repared. (WHO Code Article 4.2)</w:t>
      </w:r>
    </w:p>
    <w:p w:rsidR="00774EAA" w:rsidRPr="00FB37EC" w:rsidRDefault="00774EAA" w:rsidP="00C15BE3">
      <w:pPr>
        <w:rPr>
          <w:rFonts w:ascii="Arial" w:hAnsi="Arial" w:cs="Arial"/>
        </w:rPr>
      </w:pPr>
      <w:r w:rsidRPr="00FB37EC">
        <w:rPr>
          <w:rFonts w:ascii="Arial" w:hAnsi="Arial" w:cs="Arial"/>
        </w:rPr>
        <w:t xml:space="preserve">4(b) </w:t>
      </w:r>
      <w:proofErr w:type="gramStart"/>
      <w:r w:rsidRPr="00FB37EC">
        <w:rPr>
          <w:rFonts w:ascii="Arial" w:hAnsi="Arial" w:cs="Arial"/>
        </w:rPr>
        <w:t>When</w:t>
      </w:r>
      <w:proofErr w:type="gramEnd"/>
      <w:r w:rsidRPr="00FB37EC">
        <w:rPr>
          <w:rFonts w:ascii="Arial" w:hAnsi="Arial" w:cs="Arial"/>
        </w:rPr>
        <w:t xml:space="preserve"> such materials contain information about the use of infant formulas, they should include the social and financial implications of its use, the health hazards of inappropriate foods or feeding methods and, in particular, the health hazards of unnecessary or improper use of infant formulas. Such materials should not use any pictures or text which may idealise the use of infant formulas. (WHO Code Article 4.2)</w:t>
      </w:r>
    </w:p>
    <w:p w:rsidR="00774EAA" w:rsidRPr="00FB37EC" w:rsidRDefault="00774EAA" w:rsidP="00C15BE3">
      <w:pPr>
        <w:rPr>
          <w:rFonts w:ascii="Arial" w:hAnsi="Arial" w:cs="Arial"/>
        </w:rPr>
      </w:pPr>
      <w:r w:rsidRPr="00FB37EC">
        <w:rPr>
          <w:rFonts w:ascii="Arial" w:hAnsi="Arial" w:cs="Arial"/>
        </w:rPr>
        <w:t>4(c) Manufacturers and importers of infant formulas should not donate informational or educational equipment or materials unless it is at the request of, and with the written approval of, the appropriate government authority or within guidelines given by the Commonwealth, State or Territory Governments for this purpose. Such equipment or materials may bear the donating company’s name or logo, but should not refer to a proprietary infant formula, and should be distributed only through the health care system. (WHO Code Article 4.3)</w:t>
      </w:r>
    </w:p>
    <w:p w:rsidR="00774EAA" w:rsidRPr="00FB37EC" w:rsidRDefault="00774EAA" w:rsidP="00FB37EC">
      <w:pPr>
        <w:pStyle w:val="Heading2"/>
        <w:rPr>
          <w:color w:val="auto"/>
        </w:rPr>
      </w:pPr>
      <w:r w:rsidRPr="00FB37EC">
        <w:rPr>
          <w:color w:val="auto"/>
        </w:rPr>
        <w:t>Clause 5: The general public and mothers</w:t>
      </w:r>
    </w:p>
    <w:p w:rsidR="00774EAA" w:rsidRPr="00FB37EC" w:rsidRDefault="00774EAA" w:rsidP="00C15BE3">
      <w:pPr>
        <w:rPr>
          <w:rFonts w:ascii="Arial" w:hAnsi="Arial" w:cs="Arial"/>
        </w:rPr>
      </w:pPr>
      <w:r w:rsidRPr="00FB37EC">
        <w:rPr>
          <w:rFonts w:ascii="Arial" w:hAnsi="Arial" w:cs="Arial"/>
        </w:rPr>
        <w:t>5(a) Manufacturers and importers of infant formulas should not advertise or in any other way promote infant formulas to the general public. (WHO Code Article 5.1)</w:t>
      </w:r>
    </w:p>
    <w:p w:rsidR="00774EAA" w:rsidRPr="00FB37EC" w:rsidRDefault="00774EAA" w:rsidP="00C15BE3">
      <w:pPr>
        <w:rPr>
          <w:rFonts w:ascii="Arial" w:hAnsi="Arial" w:cs="Arial"/>
        </w:rPr>
      </w:pPr>
      <w:r w:rsidRPr="00FB37EC">
        <w:rPr>
          <w:rFonts w:ascii="Arial" w:hAnsi="Arial" w:cs="Arial"/>
        </w:rPr>
        <w:t>5(b) Manufacturers and importers of infant formulas should not provide samples of infant formulas to the general public, pregnant women, parents or members of their families. (WHO Code Article 5.2)</w:t>
      </w:r>
    </w:p>
    <w:p w:rsidR="00774EAA" w:rsidRPr="00FB37EC" w:rsidRDefault="00774EAA" w:rsidP="00C15BE3">
      <w:pPr>
        <w:rPr>
          <w:rFonts w:ascii="Arial" w:hAnsi="Arial" w:cs="Arial"/>
        </w:rPr>
      </w:pPr>
      <w:r w:rsidRPr="00FB37EC">
        <w:rPr>
          <w:rFonts w:ascii="Arial" w:hAnsi="Arial" w:cs="Arial"/>
        </w:rPr>
        <w:t>5(c) Manufacturers and importers of infant formulas should not distribute to pregnant women, or parents of infants and young children, any gifts of articles or utensils which may promote the use of breast milk substitutes or bottle-feeding. (WHO Code Article 5.4)</w:t>
      </w:r>
    </w:p>
    <w:p w:rsidR="00774EAA" w:rsidRPr="00FB37EC" w:rsidRDefault="00774EAA" w:rsidP="00C15BE3">
      <w:pPr>
        <w:rPr>
          <w:rFonts w:ascii="Arial" w:hAnsi="Arial" w:cs="Arial"/>
        </w:rPr>
      </w:pPr>
      <w:r w:rsidRPr="00FB37EC">
        <w:rPr>
          <w:rFonts w:ascii="Arial" w:hAnsi="Arial" w:cs="Arial"/>
        </w:rPr>
        <w:t>5(d) Marketing personnel, in their business capacity, should not seek direct or indirect contact with pregnant women or with parents of infants and young children. This does not prevent appropriately qualified personnel from responding to complaints or unsolicited requests for information. For these requests, parents should be referred to a health care professional whenever health advice is required. (WHO Code Article 5.5)</w:t>
      </w:r>
    </w:p>
    <w:p w:rsidR="00774EAA" w:rsidRPr="00FB37EC" w:rsidRDefault="00774EAA" w:rsidP="00FB37EC">
      <w:pPr>
        <w:pStyle w:val="Heading2"/>
        <w:rPr>
          <w:color w:val="auto"/>
        </w:rPr>
      </w:pPr>
      <w:r w:rsidRPr="00FB37EC">
        <w:rPr>
          <w:color w:val="auto"/>
        </w:rPr>
        <w:t>Clause 6: Health care system</w:t>
      </w:r>
    </w:p>
    <w:p w:rsidR="00774EAA" w:rsidRPr="00FB37EC" w:rsidRDefault="00774EAA" w:rsidP="00E12E70">
      <w:pPr>
        <w:rPr>
          <w:rFonts w:ascii="Arial" w:hAnsi="Arial" w:cs="Arial"/>
        </w:rPr>
      </w:pPr>
      <w:r w:rsidRPr="00FB37EC">
        <w:rPr>
          <w:rFonts w:ascii="Arial" w:hAnsi="Arial" w:cs="Arial"/>
        </w:rPr>
        <w:t>6(a) Manufacturers and importers of infant formulas should not use any facility of the health care system for the purpose of promoting infant formulas. This does not, however, preclude the dissemination of information to health care professionals as provided in clause 7(a). (WHO Code Article 6.2)</w:t>
      </w:r>
    </w:p>
    <w:p w:rsidR="00B8380D" w:rsidRPr="00FB37EC" w:rsidRDefault="00B8380D">
      <w:pPr>
        <w:rPr>
          <w:rFonts w:ascii="Arial" w:hAnsi="Arial" w:cs="Arial"/>
        </w:rPr>
      </w:pPr>
      <w:r w:rsidRPr="00FB37EC">
        <w:rPr>
          <w:rFonts w:ascii="Arial" w:hAnsi="Arial" w:cs="Arial"/>
        </w:rPr>
        <w:br w:type="page"/>
      </w:r>
    </w:p>
    <w:p w:rsidR="00774EAA" w:rsidRPr="00FB37EC" w:rsidRDefault="00774EAA" w:rsidP="00C15BE3">
      <w:pPr>
        <w:rPr>
          <w:rFonts w:ascii="Arial" w:hAnsi="Arial" w:cs="Arial"/>
        </w:rPr>
      </w:pPr>
      <w:r w:rsidRPr="00FB37EC">
        <w:rPr>
          <w:rFonts w:ascii="Arial" w:hAnsi="Arial" w:cs="Arial"/>
        </w:rPr>
        <w:lastRenderedPageBreak/>
        <w:t>6(b) Manufacturers and importers of infant formulas should be aware that facilities of health care systems should not be used for the display of products within the scope of this document, for placards or</w:t>
      </w:r>
      <w:r w:rsidR="001030CE" w:rsidRPr="00FB37EC">
        <w:rPr>
          <w:rFonts w:ascii="Arial" w:hAnsi="Arial" w:cs="Arial"/>
        </w:rPr>
        <w:t xml:space="preserve"> </w:t>
      </w:r>
      <w:r w:rsidRPr="00FB37EC">
        <w:rPr>
          <w:rFonts w:ascii="Arial" w:hAnsi="Arial" w:cs="Arial"/>
        </w:rPr>
        <w:t>posters concerning such products, or for the distribution of material provided by a manufacturer or distributor other than that specified in clause 4(c) above. (WHO Code Article 6.3)</w:t>
      </w:r>
    </w:p>
    <w:p w:rsidR="00774EAA" w:rsidRPr="00FB37EC" w:rsidRDefault="00774EAA" w:rsidP="00C15BE3">
      <w:pPr>
        <w:rPr>
          <w:rFonts w:ascii="Arial" w:hAnsi="Arial" w:cs="Arial"/>
        </w:rPr>
      </w:pPr>
      <w:r w:rsidRPr="00FB37EC">
        <w:rPr>
          <w:rFonts w:ascii="Arial" w:hAnsi="Arial" w:cs="Arial"/>
        </w:rPr>
        <w:t>6(c) The use by the health care system of pharmacies or retail outlets, ‘professional service representatives’, ‘mothercraft nurses’, or similar personnel, provided or paid for by manufacturers or importers of infant formulas is not permitted. (WHO Code Article 6.4)</w:t>
      </w:r>
    </w:p>
    <w:p w:rsidR="00774EAA" w:rsidRPr="00FB37EC" w:rsidRDefault="00774EAA" w:rsidP="00C15BE3">
      <w:pPr>
        <w:rPr>
          <w:rFonts w:ascii="Arial" w:hAnsi="Arial" w:cs="Arial"/>
        </w:rPr>
      </w:pPr>
      <w:r w:rsidRPr="00FB37EC">
        <w:rPr>
          <w:rFonts w:ascii="Arial" w:hAnsi="Arial" w:cs="Arial"/>
        </w:rPr>
        <w:t>6(d) Manufacturers and importers of infant formulas should be aware that feeding with infant formulas, whether manufactured or home prepared, should be demonstrated only by health care professionals. Such demonstrations should be made only to the parents or other persons who need to use it, and the information given should include a clear explanation of the hazards of improper use. (WHO Code Article 6.5)</w:t>
      </w:r>
    </w:p>
    <w:p w:rsidR="00774EAA" w:rsidRPr="00FB37EC" w:rsidRDefault="00774EAA" w:rsidP="00C15BE3">
      <w:pPr>
        <w:rPr>
          <w:rFonts w:ascii="Arial" w:hAnsi="Arial" w:cs="Arial"/>
        </w:rPr>
      </w:pPr>
      <w:r w:rsidRPr="00FB37EC">
        <w:rPr>
          <w:rFonts w:ascii="Arial" w:hAnsi="Arial" w:cs="Arial"/>
        </w:rPr>
        <w:t>6(e) Manufacturers and importers of infant formulas may make donations, or low-priced sales, of infant formulas to institutions or organisations, whether for use in the institutions or for distribution outside them. Such provisions should only be used or distributed for infants who have to be fed on breast milk substitutes. If these provisions are distributed for use outside the institutions, this should be done only by the institutions or organisations concerned. Manufacturers or importers should not use such donations or low-price sales as a sales inducement. (WHO Code Article 6.6)</w:t>
      </w:r>
    </w:p>
    <w:p w:rsidR="00774EAA" w:rsidRPr="00FB37EC" w:rsidRDefault="008F49BC" w:rsidP="00C15BE3">
      <w:pPr>
        <w:rPr>
          <w:rFonts w:ascii="Arial" w:hAnsi="Arial" w:cs="Arial"/>
        </w:rPr>
      </w:pPr>
      <w:r w:rsidRPr="00FB37EC">
        <w:rPr>
          <w:rFonts w:ascii="Arial" w:hAnsi="Arial" w:cs="Arial"/>
        </w:rPr>
        <w:t xml:space="preserve">6(f) Manufacturers and importers of infant formulas should note that, where donated infant formulas are distributed outside an institution, the institution or organisation should take steps to ensure that these provisions can be continued as long as the infants concerned need them. </w:t>
      </w:r>
      <w:r w:rsidR="00774EAA" w:rsidRPr="00FB37EC">
        <w:rPr>
          <w:rFonts w:ascii="Arial" w:hAnsi="Arial" w:cs="Arial"/>
        </w:rPr>
        <w:t>Donors, as well as the institutions or organisations concerned should bear in mind this responsibility. (WHO Code Article 6.7)</w:t>
      </w:r>
    </w:p>
    <w:p w:rsidR="00774EAA" w:rsidRPr="00FB37EC" w:rsidRDefault="00774EAA" w:rsidP="00C15BE3">
      <w:pPr>
        <w:rPr>
          <w:rFonts w:ascii="Arial" w:hAnsi="Arial" w:cs="Arial"/>
        </w:rPr>
      </w:pPr>
      <w:r w:rsidRPr="00FB37EC">
        <w:rPr>
          <w:rFonts w:ascii="Arial" w:hAnsi="Arial" w:cs="Arial"/>
        </w:rPr>
        <w:t>6(g) Equipment and materials, in addition to those referred to in clause 4(c), donated to a health care system may bear a company’s name or logo, but should not refer to any proprietary infant formulas. (WHO Code Article 6.8)</w:t>
      </w:r>
    </w:p>
    <w:p w:rsidR="00774EAA" w:rsidRPr="00FB37EC" w:rsidRDefault="00774EAA" w:rsidP="00FB37EC">
      <w:pPr>
        <w:pStyle w:val="Heading2"/>
        <w:rPr>
          <w:color w:val="auto"/>
        </w:rPr>
      </w:pPr>
      <w:r w:rsidRPr="00FB37EC">
        <w:rPr>
          <w:color w:val="auto"/>
        </w:rPr>
        <w:t>Clause 7: Health Care Professionals</w:t>
      </w:r>
    </w:p>
    <w:p w:rsidR="00774EAA" w:rsidRPr="00FB37EC" w:rsidRDefault="00774EAA" w:rsidP="00C15BE3">
      <w:pPr>
        <w:rPr>
          <w:rFonts w:ascii="Arial" w:hAnsi="Arial" w:cs="Arial"/>
        </w:rPr>
      </w:pPr>
      <w:r w:rsidRPr="00FB37EC">
        <w:rPr>
          <w:rFonts w:ascii="Arial" w:hAnsi="Arial" w:cs="Arial"/>
        </w:rPr>
        <w:t>7(a) Manufacturers and importers of infant formulas providing information about the formulas to health care professionals should restrict the information to scientific and factual matters. Such information should not imply or create a belief that bottle-feeding is equivalent or superior to breastfeeding. It should also include the information specified in clause 4(a) above. (WHO Code Article 7.2)</w:t>
      </w:r>
    </w:p>
    <w:p w:rsidR="00774EAA" w:rsidRPr="00FB37EC" w:rsidRDefault="00774EAA" w:rsidP="00C15BE3">
      <w:pPr>
        <w:rPr>
          <w:rFonts w:ascii="Arial" w:hAnsi="Arial" w:cs="Arial"/>
        </w:rPr>
      </w:pPr>
      <w:r w:rsidRPr="00FB37EC">
        <w:rPr>
          <w:rFonts w:ascii="Arial" w:hAnsi="Arial" w:cs="Arial"/>
        </w:rPr>
        <w:t>7(b) Manufacturers and importers of infant formulas should provide members of the medical profession and related health care professionals with information about the products, and this information should accurately reflect current knowledge and responsible opinion. Such material should be clearly identified with the name of the manufacturer or importer, the brand names of the infant formulas, and the date of publication.</w:t>
      </w:r>
    </w:p>
    <w:p w:rsidR="00774EAA" w:rsidRPr="00FB37EC" w:rsidRDefault="00774EAA" w:rsidP="00C15BE3">
      <w:pPr>
        <w:rPr>
          <w:rFonts w:ascii="Arial" w:hAnsi="Arial" w:cs="Arial"/>
        </w:rPr>
      </w:pPr>
      <w:r w:rsidRPr="00FB37EC">
        <w:rPr>
          <w:rFonts w:ascii="Arial" w:hAnsi="Arial" w:cs="Arial"/>
        </w:rPr>
        <w:t>7(c) Manufacturers and importers of infant formulas should not offer any financial or material inducement to health care professionals or members of their families to promote infant formulas, nor should such inducements be accepted by health care professionals or members of their families. (WHO Code Article 7.3)</w:t>
      </w:r>
    </w:p>
    <w:p w:rsidR="00890E11" w:rsidRPr="00FB37EC" w:rsidRDefault="00890E11">
      <w:pPr>
        <w:rPr>
          <w:rFonts w:ascii="Arial" w:hAnsi="Arial" w:cs="Arial"/>
        </w:rPr>
      </w:pPr>
      <w:r w:rsidRPr="00FB37EC">
        <w:rPr>
          <w:rFonts w:ascii="Arial" w:hAnsi="Arial" w:cs="Arial"/>
        </w:rPr>
        <w:br w:type="page"/>
      </w:r>
    </w:p>
    <w:p w:rsidR="00774EAA" w:rsidRPr="00FB37EC" w:rsidRDefault="00774EAA" w:rsidP="00C15BE3">
      <w:pPr>
        <w:rPr>
          <w:rFonts w:ascii="Arial" w:hAnsi="Arial" w:cs="Arial"/>
        </w:rPr>
      </w:pPr>
      <w:r w:rsidRPr="00FB37EC">
        <w:rPr>
          <w:rFonts w:ascii="Arial" w:hAnsi="Arial" w:cs="Arial"/>
        </w:rPr>
        <w:lastRenderedPageBreak/>
        <w:t>7(d) Manufacturers and importers of infant formulas should not provide samples of infant formulas, or of equipment or utensils for their preparation or use, to health care professionals except when necessary for the purpose of professional evaluation or research at the institutional level. (WHO Code Article 7.4)</w:t>
      </w:r>
    </w:p>
    <w:p w:rsidR="00774EAA" w:rsidRPr="00FB37EC" w:rsidRDefault="00774EAA" w:rsidP="00C15BE3">
      <w:pPr>
        <w:rPr>
          <w:rFonts w:ascii="Arial" w:hAnsi="Arial" w:cs="Arial"/>
        </w:rPr>
      </w:pPr>
      <w:r w:rsidRPr="00FB37EC">
        <w:rPr>
          <w:rFonts w:ascii="Arial" w:hAnsi="Arial" w:cs="Arial"/>
        </w:rPr>
        <w:t>7(e) Manufacturers and importers of infant formulas should disclose to institutions, to which a recipient health care professional is affiliated, any contribution made to him/ her, or on his/her behalf, for fellowships, study tours, research grants, attendance at professional conferences, or the like. (WHO Code Article 7.5)</w:t>
      </w:r>
    </w:p>
    <w:p w:rsidR="00774EAA" w:rsidRPr="00FB37EC" w:rsidRDefault="00774EAA" w:rsidP="00FB37EC">
      <w:pPr>
        <w:pStyle w:val="Heading2"/>
        <w:rPr>
          <w:color w:val="auto"/>
        </w:rPr>
      </w:pPr>
      <w:r w:rsidRPr="00FB37EC">
        <w:rPr>
          <w:color w:val="auto"/>
        </w:rPr>
        <w:t>Clause 8: Persons employed by manufacturers and importers</w:t>
      </w:r>
    </w:p>
    <w:p w:rsidR="00774EAA" w:rsidRPr="00FB37EC" w:rsidRDefault="00774EAA" w:rsidP="00C15BE3">
      <w:pPr>
        <w:rPr>
          <w:rFonts w:ascii="Arial" w:hAnsi="Arial" w:cs="Arial"/>
        </w:rPr>
      </w:pPr>
      <w:r w:rsidRPr="00FB37EC">
        <w:rPr>
          <w:rFonts w:ascii="Arial" w:hAnsi="Arial" w:cs="Arial"/>
        </w:rPr>
        <w:t xml:space="preserve">8(a) </w:t>
      </w:r>
      <w:proofErr w:type="gramStart"/>
      <w:r w:rsidRPr="00FB37EC">
        <w:rPr>
          <w:rFonts w:ascii="Arial" w:hAnsi="Arial" w:cs="Arial"/>
        </w:rPr>
        <w:t>In</w:t>
      </w:r>
      <w:proofErr w:type="gramEnd"/>
      <w:r w:rsidRPr="00FB37EC">
        <w:rPr>
          <w:rFonts w:ascii="Arial" w:hAnsi="Arial" w:cs="Arial"/>
        </w:rPr>
        <w:t xml:space="preserve"> systems of sales incentives for marketing personnel, the volume of sales of infant formulas should not be included in the calculation of bonuses, nor should quotas be set specifically for sales of these</w:t>
      </w:r>
      <w:r w:rsidR="001030CE" w:rsidRPr="00FB37EC">
        <w:rPr>
          <w:rFonts w:ascii="Arial" w:hAnsi="Arial" w:cs="Arial"/>
        </w:rPr>
        <w:t xml:space="preserve"> </w:t>
      </w:r>
      <w:r w:rsidRPr="00FB37EC">
        <w:rPr>
          <w:rFonts w:ascii="Arial" w:hAnsi="Arial" w:cs="Arial"/>
        </w:rPr>
        <w:t>products. This should not be understood to prevent the payment of bonuses based on the overall sales by a company of other products marketed by it. (WHO Code Article 8.1)</w:t>
      </w:r>
    </w:p>
    <w:p w:rsidR="00774EAA" w:rsidRPr="00FB37EC" w:rsidRDefault="00774EAA" w:rsidP="00C15BE3">
      <w:pPr>
        <w:rPr>
          <w:rFonts w:ascii="Arial" w:hAnsi="Arial" w:cs="Arial"/>
        </w:rPr>
      </w:pPr>
      <w:r w:rsidRPr="00FB37EC">
        <w:rPr>
          <w:rFonts w:ascii="Arial" w:hAnsi="Arial" w:cs="Arial"/>
        </w:rPr>
        <w:t>8(b) Personnel employed in marketing infant formulas should not, as part of their job responsibilities, perform educational functions in relation to pregnant women or parents of infants and young children. This does not prevent such personnel from being used for other functions by the health care system. (WHO Code Article 8.2)</w:t>
      </w:r>
    </w:p>
    <w:p w:rsidR="00774EAA" w:rsidRPr="00FB37EC" w:rsidRDefault="00774EAA" w:rsidP="00FB37EC">
      <w:pPr>
        <w:pStyle w:val="Heading2"/>
        <w:rPr>
          <w:color w:val="auto"/>
        </w:rPr>
      </w:pPr>
      <w:r w:rsidRPr="00FB37EC">
        <w:rPr>
          <w:color w:val="auto"/>
        </w:rPr>
        <w:t>Clause 9: Quality and Labelling</w:t>
      </w:r>
    </w:p>
    <w:p w:rsidR="00774EAA" w:rsidRPr="00FB37EC" w:rsidRDefault="00774EAA" w:rsidP="00C15BE3">
      <w:pPr>
        <w:rPr>
          <w:rFonts w:ascii="Arial" w:hAnsi="Arial" w:cs="Arial"/>
        </w:rPr>
      </w:pPr>
      <w:r w:rsidRPr="00FB37EC">
        <w:rPr>
          <w:rFonts w:ascii="Arial" w:hAnsi="Arial" w:cs="Arial"/>
        </w:rPr>
        <w:t>9(a) Manufacturers and importers of infant formulas must ensure that infant formulas sold in Australia conform to Australian Food Standard R7 - Infant Formula. (WHO Code Articles 9.2, 9.4, 10.1 and 10.2)</w:t>
      </w:r>
    </w:p>
    <w:p w:rsidR="00774EAA" w:rsidRPr="00FB37EC" w:rsidRDefault="00774EAA" w:rsidP="00C15BE3">
      <w:pPr>
        <w:rPr>
          <w:rFonts w:ascii="Arial" w:hAnsi="Arial" w:cs="Arial"/>
        </w:rPr>
      </w:pPr>
      <w:r w:rsidRPr="00FB37EC">
        <w:rPr>
          <w:rFonts w:ascii="Arial" w:hAnsi="Arial" w:cs="Arial"/>
        </w:rPr>
        <w:t>9(b) Manufacturers and importers of infant formulas must ensure that labels provide the information required to be provided by the Australian Food Standard A1 - Labelling and Advertising and Standard R7</w:t>
      </w:r>
      <w:r w:rsidR="001030CE" w:rsidRPr="00FB37EC">
        <w:rPr>
          <w:rFonts w:ascii="Arial" w:hAnsi="Arial" w:cs="Arial"/>
        </w:rPr>
        <w:t xml:space="preserve"> - </w:t>
      </w:r>
      <w:r w:rsidRPr="00FB37EC">
        <w:rPr>
          <w:rFonts w:ascii="Arial" w:hAnsi="Arial" w:cs="Arial"/>
        </w:rPr>
        <w:t>Infant Formula, and also provide the necessary information about the appropriate use of infant formula and should not discourage breastfeeding. (WHO Code Article 9.1)</w:t>
      </w:r>
    </w:p>
    <w:p w:rsidR="00774EAA" w:rsidRPr="00FB37EC" w:rsidRDefault="00774EAA" w:rsidP="00FB37EC">
      <w:pPr>
        <w:pStyle w:val="Heading2"/>
        <w:rPr>
          <w:color w:val="auto"/>
        </w:rPr>
      </w:pPr>
      <w:r w:rsidRPr="00FB37EC">
        <w:rPr>
          <w:color w:val="auto"/>
        </w:rPr>
        <w:t>Clause 10: Implementation and monitoring</w:t>
      </w:r>
    </w:p>
    <w:p w:rsidR="00774EAA" w:rsidRPr="00FB37EC" w:rsidRDefault="00774EAA" w:rsidP="00C15BE3">
      <w:pPr>
        <w:rPr>
          <w:rFonts w:ascii="Arial" w:hAnsi="Arial" w:cs="Arial"/>
        </w:rPr>
      </w:pPr>
      <w:r w:rsidRPr="00FB37EC">
        <w:rPr>
          <w:rFonts w:ascii="Arial" w:hAnsi="Arial" w:cs="Arial"/>
        </w:rPr>
        <w:t>10(a) Independently of any other measures taken to implement their obligations under this document, each manufacturer and importer of infant formulas should regard itself as responsible for monitoring its marketing practices according to the principles and aim of this document, and for taking steps to ensure that its conduct at every level conforms to those principles and aims. (WHO Code Article 11.3)</w:t>
      </w:r>
    </w:p>
    <w:p w:rsidR="00774EAA" w:rsidRPr="00FB37EC" w:rsidRDefault="00774EAA" w:rsidP="00C15BE3">
      <w:pPr>
        <w:rPr>
          <w:rFonts w:ascii="Arial" w:hAnsi="Arial" w:cs="Arial"/>
        </w:rPr>
      </w:pPr>
      <w:r w:rsidRPr="00FB37EC">
        <w:rPr>
          <w:rFonts w:ascii="Arial" w:hAnsi="Arial" w:cs="Arial"/>
        </w:rPr>
        <w:t>10(b) Manufacturers and importers of infant formulas agree to be represented on the APMAIF and to participate fully in the work of the Advisory Panel.</w:t>
      </w:r>
    </w:p>
    <w:p w:rsidR="00774EAA" w:rsidRPr="00FB37EC" w:rsidRDefault="00774EAA" w:rsidP="00C15BE3">
      <w:pPr>
        <w:rPr>
          <w:rFonts w:ascii="Arial" w:hAnsi="Arial" w:cs="Arial"/>
        </w:rPr>
      </w:pPr>
      <w:r w:rsidRPr="00FB37EC">
        <w:rPr>
          <w:rFonts w:ascii="Arial" w:hAnsi="Arial" w:cs="Arial"/>
        </w:rPr>
        <w:t>10(c) Each manufacturer and importer of infant formulas should apprise its personnel of the existence of this document and of their responsibilities under it. (WHO Code Article 11.5)</w:t>
      </w:r>
    </w:p>
    <w:p w:rsidR="00B55C98" w:rsidRPr="00FB37EC" w:rsidRDefault="00F952EA" w:rsidP="00105A3D">
      <w:pPr>
        <w:pStyle w:val="Heading1"/>
        <w:rPr>
          <w:rFonts w:ascii="Arial" w:hAnsi="Arial" w:cs="Arial"/>
          <w:b/>
          <w:color w:val="auto"/>
        </w:rPr>
      </w:pPr>
      <w:r w:rsidRPr="00FB37EC">
        <w:rPr>
          <w:rFonts w:ascii="Arial" w:hAnsi="Arial" w:cs="Arial"/>
          <w:color w:val="auto"/>
          <w:lang w:val="en-US"/>
        </w:rPr>
        <w:br w:type="page"/>
      </w:r>
      <w:bookmarkStart w:id="16" w:name="_Toc476133893"/>
      <w:r w:rsidR="00B55C98" w:rsidRPr="00FB37EC">
        <w:rPr>
          <w:rFonts w:ascii="Arial" w:hAnsi="Arial" w:cs="Arial"/>
          <w:b/>
          <w:color w:val="auto"/>
        </w:rPr>
        <w:lastRenderedPageBreak/>
        <w:t>Appendix B:</w:t>
      </w:r>
      <w:r w:rsidR="00105A3D" w:rsidRPr="00FB37EC">
        <w:rPr>
          <w:rFonts w:ascii="Arial" w:hAnsi="Arial" w:cs="Arial"/>
          <w:b/>
          <w:color w:val="auto"/>
        </w:rPr>
        <w:t xml:space="preserve"> </w:t>
      </w:r>
      <w:r w:rsidR="00B55C98" w:rsidRPr="00FB37EC">
        <w:rPr>
          <w:rFonts w:ascii="Arial" w:hAnsi="Arial" w:cs="Arial"/>
          <w:b/>
          <w:color w:val="auto"/>
        </w:rPr>
        <w:t>Guidelines concerning interactions with health care professionals for the purpose of interpreting the MAIF Agreement</w:t>
      </w:r>
      <w:bookmarkEnd w:id="16"/>
    </w:p>
    <w:p w:rsidR="00B55C98" w:rsidRPr="00FB37EC" w:rsidRDefault="00B55C98" w:rsidP="00105A3D">
      <w:pPr>
        <w:rPr>
          <w:rFonts w:ascii="Arial" w:hAnsi="Arial" w:cs="Arial"/>
        </w:rPr>
      </w:pPr>
      <w:r w:rsidRPr="00FB37EC">
        <w:rPr>
          <w:rFonts w:ascii="Arial" w:hAnsi="Arial" w:cs="Arial"/>
        </w:rPr>
        <w:t>This document provides guidance for the MAIF Tribunal to assist in interpreting the MAIF Agreement where a complaint received concerns interactions between infant formula manufacturers &amp; importers and healthcare professionals.</w:t>
      </w:r>
    </w:p>
    <w:p w:rsidR="00B55C98" w:rsidRPr="00FB37EC" w:rsidRDefault="00B55C98" w:rsidP="00FB37EC">
      <w:pPr>
        <w:pStyle w:val="Heading2"/>
        <w:rPr>
          <w:color w:val="auto"/>
        </w:rPr>
      </w:pPr>
      <w:r w:rsidRPr="00FB37EC">
        <w:rPr>
          <w:color w:val="auto"/>
        </w:rPr>
        <w:t>Interpretative approach</w:t>
      </w:r>
    </w:p>
    <w:p w:rsidR="00B55C98" w:rsidRPr="00FB37EC" w:rsidRDefault="00B55C98" w:rsidP="00105A3D">
      <w:pPr>
        <w:rPr>
          <w:rFonts w:ascii="Arial" w:hAnsi="Arial" w:cs="Arial"/>
        </w:rPr>
      </w:pPr>
      <w:r w:rsidRPr="00FB37EC">
        <w:rPr>
          <w:rFonts w:ascii="Arial" w:hAnsi="Arial" w:cs="Arial"/>
        </w:rPr>
        <w:t>It is recognised that modern marketing environments are complex. In that respect, matters appropriate for the Panel to consider in reviewing the interactions between infant formula manufacturers &amp; importers and healthcare professionals include:</w:t>
      </w:r>
    </w:p>
    <w:p w:rsidR="00B55C98" w:rsidRPr="00FB37EC" w:rsidRDefault="00B55C98" w:rsidP="003C7930">
      <w:pPr>
        <w:numPr>
          <w:ilvl w:val="0"/>
          <w:numId w:val="28"/>
        </w:numPr>
        <w:rPr>
          <w:rFonts w:ascii="Arial" w:hAnsi="Arial" w:cs="Arial"/>
        </w:rPr>
      </w:pPr>
      <w:r w:rsidRPr="00FB37EC">
        <w:rPr>
          <w:rFonts w:ascii="Arial" w:hAnsi="Arial" w:cs="Arial"/>
        </w:rPr>
        <w:t>the scope and purpose of the MAIF</w:t>
      </w:r>
      <w:r w:rsidRPr="00FB37EC">
        <w:rPr>
          <w:rFonts w:ascii="Arial" w:hAnsi="Arial" w:cs="Arial"/>
          <w:spacing w:val="-27"/>
        </w:rPr>
        <w:t xml:space="preserve"> </w:t>
      </w:r>
      <w:r w:rsidRPr="00FB37EC">
        <w:rPr>
          <w:rFonts w:ascii="Arial" w:hAnsi="Arial" w:cs="Arial"/>
        </w:rPr>
        <w:t>Agreement;</w:t>
      </w:r>
    </w:p>
    <w:p w:rsidR="00B55C98" w:rsidRPr="00FB37EC" w:rsidRDefault="00B55C98" w:rsidP="003C7930">
      <w:pPr>
        <w:numPr>
          <w:ilvl w:val="0"/>
          <w:numId w:val="28"/>
        </w:numPr>
        <w:rPr>
          <w:rFonts w:ascii="Arial" w:hAnsi="Arial" w:cs="Arial"/>
        </w:rPr>
      </w:pPr>
      <w:r w:rsidRPr="00FB37EC">
        <w:rPr>
          <w:rFonts w:ascii="Arial" w:hAnsi="Arial" w:cs="Arial"/>
        </w:rPr>
        <w:t>the purpose or intention of the activity and</w:t>
      </w:r>
      <w:r w:rsidRPr="00FB37EC">
        <w:rPr>
          <w:rFonts w:ascii="Arial" w:hAnsi="Arial" w:cs="Arial"/>
          <w:spacing w:val="-10"/>
        </w:rPr>
        <w:t xml:space="preserve"> </w:t>
      </w:r>
      <w:r w:rsidRPr="00FB37EC">
        <w:rPr>
          <w:rFonts w:ascii="Arial" w:hAnsi="Arial" w:cs="Arial"/>
        </w:rPr>
        <w:t>interaction;</w:t>
      </w:r>
    </w:p>
    <w:p w:rsidR="00B55C98" w:rsidRPr="00FB37EC" w:rsidRDefault="00B55C98" w:rsidP="003C7930">
      <w:pPr>
        <w:numPr>
          <w:ilvl w:val="0"/>
          <w:numId w:val="28"/>
        </w:numPr>
        <w:rPr>
          <w:rFonts w:ascii="Arial" w:hAnsi="Arial" w:cs="Arial"/>
        </w:rPr>
      </w:pPr>
      <w:r w:rsidRPr="00FB37EC">
        <w:rPr>
          <w:rFonts w:ascii="Arial" w:hAnsi="Arial" w:cs="Arial"/>
        </w:rPr>
        <w:t>the environment or context in which the activity and interaction occurred;</w:t>
      </w:r>
      <w:r w:rsidRPr="00FB37EC">
        <w:rPr>
          <w:rFonts w:ascii="Arial" w:hAnsi="Arial" w:cs="Arial"/>
          <w:spacing w:val="-16"/>
        </w:rPr>
        <w:t xml:space="preserve"> </w:t>
      </w:r>
      <w:r w:rsidRPr="00FB37EC">
        <w:rPr>
          <w:rFonts w:ascii="Arial" w:hAnsi="Arial" w:cs="Arial"/>
        </w:rPr>
        <w:t>and</w:t>
      </w:r>
    </w:p>
    <w:p w:rsidR="00B55C98" w:rsidRPr="00FB37EC" w:rsidRDefault="00B55C98" w:rsidP="003C7930">
      <w:pPr>
        <w:numPr>
          <w:ilvl w:val="0"/>
          <w:numId w:val="28"/>
        </w:numPr>
        <w:rPr>
          <w:rFonts w:ascii="Arial" w:hAnsi="Arial" w:cs="Arial"/>
        </w:rPr>
      </w:pPr>
      <w:proofErr w:type="gramStart"/>
      <w:r w:rsidRPr="00FB37EC">
        <w:rPr>
          <w:rFonts w:ascii="Arial" w:hAnsi="Arial" w:cs="Arial"/>
        </w:rPr>
        <w:t>the</w:t>
      </w:r>
      <w:proofErr w:type="gramEnd"/>
      <w:r w:rsidRPr="00FB37EC">
        <w:rPr>
          <w:rFonts w:ascii="Arial" w:hAnsi="Arial" w:cs="Arial"/>
        </w:rPr>
        <w:t xml:space="preserve"> outcome of the activity and</w:t>
      </w:r>
      <w:r w:rsidRPr="00FB37EC">
        <w:rPr>
          <w:rFonts w:ascii="Arial" w:hAnsi="Arial" w:cs="Arial"/>
          <w:spacing w:val="-12"/>
        </w:rPr>
        <w:t xml:space="preserve"> </w:t>
      </w:r>
      <w:r w:rsidRPr="00FB37EC">
        <w:rPr>
          <w:rFonts w:ascii="Arial" w:hAnsi="Arial" w:cs="Arial"/>
        </w:rPr>
        <w:t>interaction.</w:t>
      </w:r>
    </w:p>
    <w:p w:rsidR="00B55C98" w:rsidRPr="00FB37EC" w:rsidRDefault="00B55C98" w:rsidP="00105A3D">
      <w:pPr>
        <w:rPr>
          <w:rFonts w:ascii="Arial" w:hAnsi="Arial" w:cs="Arial"/>
        </w:rPr>
      </w:pPr>
      <w:r w:rsidRPr="00FB37EC">
        <w:rPr>
          <w:rFonts w:ascii="Arial" w:hAnsi="Arial" w:cs="Arial"/>
        </w:rPr>
        <w:t xml:space="preserve">Although interpretations may differ, depending on the circumstances of the interaction, this approach should ultimately result in an interpretation </w:t>
      </w:r>
      <w:proofErr w:type="gramStart"/>
      <w:r w:rsidRPr="00FB37EC">
        <w:rPr>
          <w:rFonts w:ascii="Arial" w:hAnsi="Arial" w:cs="Arial"/>
        </w:rPr>
        <w:t>that accords</w:t>
      </w:r>
      <w:proofErr w:type="gramEnd"/>
      <w:r w:rsidRPr="00FB37EC">
        <w:rPr>
          <w:rFonts w:ascii="Arial" w:hAnsi="Arial" w:cs="Arial"/>
        </w:rPr>
        <w:t xml:space="preserve"> with the scope and purpose of the MAIF Agreement.</w:t>
      </w:r>
    </w:p>
    <w:p w:rsidR="00B55C98" w:rsidRPr="00FB37EC" w:rsidRDefault="00B55C98" w:rsidP="00FB37EC">
      <w:pPr>
        <w:pStyle w:val="Heading2"/>
        <w:rPr>
          <w:color w:val="auto"/>
        </w:rPr>
      </w:pPr>
      <w:r w:rsidRPr="00FB37EC">
        <w:rPr>
          <w:color w:val="auto"/>
        </w:rPr>
        <w:t>General</w:t>
      </w:r>
    </w:p>
    <w:p w:rsidR="00B55C98" w:rsidRPr="00FB37EC" w:rsidRDefault="00B55C98" w:rsidP="00105A3D">
      <w:pPr>
        <w:rPr>
          <w:rFonts w:ascii="Arial" w:hAnsi="Arial" w:cs="Arial"/>
        </w:rPr>
      </w:pPr>
      <w:r w:rsidRPr="00FB37EC">
        <w:rPr>
          <w:rFonts w:ascii="Arial" w:hAnsi="Arial" w:cs="Arial"/>
        </w:rPr>
        <w:t>All interactions between infant formula manufacturers &amp; importers and healthcare professionals should:</w:t>
      </w:r>
    </w:p>
    <w:p w:rsidR="00B55C98" w:rsidRPr="00FB37EC" w:rsidRDefault="00B55C98" w:rsidP="00B8380D">
      <w:pPr>
        <w:numPr>
          <w:ilvl w:val="0"/>
          <w:numId w:val="29"/>
        </w:numPr>
        <w:rPr>
          <w:rFonts w:ascii="Arial" w:hAnsi="Arial" w:cs="Arial"/>
        </w:rPr>
      </w:pPr>
      <w:r w:rsidRPr="00FB37EC">
        <w:rPr>
          <w:rFonts w:ascii="Arial" w:hAnsi="Arial" w:cs="Arial"/>
        </w:rPr>
        <w:t>be transparent and capable of public and professional</w:t>
      </w:r>
      <w:r w:rsidRPr="00FB37EC">
        <w:rPr>
          <w:rFonts w:ascii="Arial" w:hAnsi="Arial" w:cs="Arial"/>
          <w:spacing w:val="-19"/>
        </w:rPr>
        <w:t xml:space="preserve"> </w:t>
      </w:r>
      <w:r w:rsidRPr="00FB37EC">
        <w:rPr>
          <w:rFonts w:ascii="Arial" w:hAnsi="Arial" w:cs="Arial"/>
        </w:rPr>
        <w:t>scrutiny;</w:t>
      </w:r>
    </w:p>
    <w:p w:rsidR="00B55C98" w:rsidRPr="00FB37EC" w:rsidRDefault="00B55C98" w:rsidP="00B8380D">
      <w:pPr>
        <w:numPr>
          <w:ilvl w:val="0"/>
          <w:numId w:val="29"/>
        </w:numPr>
        <w:rPr>
          <w:rFonts w:ascii="Arial" w:hAnsi="Arial" w:cs="Arial"/>
        </w:rPr>
      </w:pPr>
      <w:r w:rsidRPr="00FB37EC">
        <w:rPr>
          <w:rFonts w:ascii="Arial" w:hAnsi="Arial" w:cs="Arial"/>
        </w:rPr>
        <w:t>be based on an awareness by the representatives of infant formula manufacturers &amp; importers of the obligations of the MAIF Agreement;</w:t>
      </w:r>
      <w:r w:rsidRPr="00FB37EC">
        <w:rPr>
          <w:rFonts w:ascii="Arial" w:hAnsi="Arial" w:cs="Arial"/>
          <w:spacing w:val="-29"/>
        </w:rPr>
        <w:t xml:space="preserve"> </w:t>
      </w:r>
      <w:r w:rsidRPr="00FB37EC">
        <w:rPr>
          <w:rFonts w:ascii="Arial" w:hAnsi="Arial" w:cs="Arial"/>
        </w:rPr>
        <w:t>and</w:t>
      </w:r>
    </w:p>
    <w:p w:rsidR="00B55C98" w:rsidRPr="00FB37EC" w:rsidRDefault="00B55C98" w:rsidP="00B8380D">
      <w:pPr>
        <w:numPr>
          <w:ilvl w:val="0"/>
          <w:numId w:val="29"/>
        </w:numPr>
        <w:rPr>
          <w:rFonts w:ascii="Arial" w:hAnsi="Arial" w:cs="Arial"/>
        </w:rPr>
      </w:pPr>
      <w:proofErr w:type="gramStart"/>
      <w:r w:rsidRPr="00FB37EC">
        <w:rPr>
          <w:rFonts w:ascii="Arial" w:hAnsi="Arial" w:cs="Arial"/>
        </w:rPr>
        <w:t>have</w:t>
      </w:r>
      <w:proofErr w:type="gramEnd"/>
      <w:r w:rsidRPr="00FB37EC">
        <w:rPr>
          <w:rFonts w:ascii="Arial" w:hAnsi="Arial" w:cs="Arial"/>
        </w:rPr>
        <w:t xml:space="preserve"> the primary objective of providing medical and/or scientific knowledge</w:t>
      </w:r>
      <w:r w:rsidRPr="00FB37EC">
        <w:rPr>
          <w:rFonts w:ascii="Arial" w:hAnsi="Arial" w:cs="Arial"/>
          <w:spacing w:val="-15"/>
        </w:rPr>
        <w:t xml:space="preserve"> </w:t>
      </w:r>
      <w:r w:rsidRPr="00FB37EC">
        <w:rPr>
          <w:rFonts w:ascii="Arial" w:hAnsi="Arial" w:cs="Arial"/>
        </w:rPr>
        <w:t>and/or providing factual information about the</w:t>
      </w:r>
      <w:r w:rsidRPr="00FB37EC">
        <w:rPr>
          <w:rFonts w:ascii="Arial" w:hAnsi="Arial" w:cs="Arial"/>
          <w:spacing w:val="-11"/>
        </w:rPr>
        <w:t xml:space="preserve"> </w:t>
      </w:r>
      <w:r w:rsidRPr="00FB37EC">
        <w:rPr>
          <w:rFonts w:ascii="Arial" w:hAnsi="Arial" w:cs="Arial"/>
        </w:rPr>
        <w:t>product.</w:t>
      </w:r>
    </w:p>
    <w:p w:rsidR="00B55C98" w:rsidRPr="00FB37EC" w:rsidRDefault="00B55C98" w:rsidP="00FB37EC">
      <w:pPr>
        <w:pStyle w:val="Heading2"/>
        <w:rPr>
          <w:color w:val="auto"/>
        </w:rPr>
      </w:pPr>
      <w:r w:rsidRPr="00FB37EC">
        <w:rPr>
          <w:color w:val="auto"/>
        </w:rPr>
        <w:t>Specific matters</w:t>
      </w:r>
    </w:p>
    <w:p w:rsidR="00B55C98" w:rsidRPr="00FB37EC" w:rsidRDefault="00B55C98" w:rsidP="00105A3D">
      <w:pPr>
        <w:rPr>
          <w:rFonts w:ascii="Arial" w:hAnsi="Arial" w:cs="Arial"/>
        </w:rPr>
      </w:pPr>
      <w:r w:rsidRPr="00FB37EC">
        <w:rPr>
          <w:rFonts w:ascii="Arial" w:hAnsi="Arial" w:cs="Arial"/>
        </w:rPr>
        <w:t>In addition to the above, the following points are intended to provide guidance concerning specific activities and interactions.</w:t>
      </w:r>
    </w:p>
    <w:p w:rsidR="00BB71FA" w:rsidRPr="00FB37EC" w:rsidRDefault="00B55C98" w:rsidP="00105A3D">
      <w:pPr>
        <w:rPr>
          <w:rFonts w:ascii="Arial" w:hAnsi="Arial" w:cs="Arial"/>
        </w:rPr>
      </w:pPr>
      <w:r w:rsidRPr="00FB37EC">
        <w:rPr>
          <w:rFonts w:ascii="Arial" w:hAnsi="Arial" w:cs="Arial"/>
        </w:rPr>
        <w:t xml:space="preserve">1(a) </w:t>
      </w:r>
      <w:proofErr w:type="gramStart"/>
      <w:r w:rsidRPr="00FB37EC">
        <w:rPr>
          <w:rFonts w:ascii="Arial" w:hAnsi="Arial" w:cs="Arial"/>
        </w:rPr>
        <w:t>It</w:t>
      </w:r>
      <w:proofErr w:type="gramEnd"/>
      <w:r w:rsidRPr="00FB37EC">
        <w:rPr>
          <w:rFonts w:ascii="Arial" w:hAnsi="Arial" w:cs="Arial"/>
        </w:rPr>
        <w:t xml:space="preserve"> should be obvious and apparent that the primary purpose of interactions between importers &amp; manufacturers and health professionals should be the enhancement of medical and/or scientific knowledge and/or the provision of product information including the correct use of infant formula in accordance with Clauses</w:t>
      </w:r>
      <w:r w:rsidR="00BB71FA" w:rsidRPr="00FB37EC">
        <w:rPr>
          <w:rFonts w:ascii="Arial" w:hAnsi="Arial" w:cs="Arial"/>
        </w:rPr>
        <w:t xml:space="preserve"> 4 and 7 of the MAIF Agreement.</w:t>
      </w:r>
    </w:p>
    <w:p w:rsidR="00B55C98" w:rsidRPr="00FB37EC" w:rsidRDefault="00B55C98" w:rsidP="00105A3D">
      <w:pPr>
        <w:rPr>
          <w:rFonts w:ascii="Arial" w:hAnsi="Arial" w:cs="Arial"/>
        </w:rPr>
      </w:pPr>
      <w:r w:rsidRPr="00FB37EC">
        <w:rPr>
          <w:rFonts w:ascii="Arial" w:hAnsi="Arial" w:cs="Arial"/>
        </w:rPr>
        <w:t xml:space="preserve">1(b) The extent to which such interactions accord with the primary purpose may be determined by taking account of a number of factors including the </w:t>
      </w:r>
      <w:r w:rsidRPr="00FB37EC">
        <w:rPr>
          <w:rFonts w:ascii="Arial" w:hAnsi="Arial" w:cs="Arial"/>
          <w:i/>
        </w:rPr>
        <w:t xml:space="preserve">time </w:t>
      </w:r>
      <w:r w:rsidRPr="00FB37EC">
        <w:rPr>
          <w:rFonts w:ascii="Arial" w:hAnsi="Arial" w:cs="Arial"/>
        </w:rPr>
        <w:t>allocation of the interaction and</w:t>
      </w:r>
      <w:r w:rsidR="00105A3D" w:rsidRPr="00FB37EC">
        <w:rPr>
          <w:rFonts w:ascii="Arial" w:hAnsi="Arial" w:cs="Arial"/>
        </w:rPr>
        <w:t xml:space="preserve"> </w:t>
      </w:r>
      <w:r w:rsidRPr="00FB37EC">
        <w:rPr>
          <w:rFonts w:ascii="Arial" w:hAnsi="Arial" w:cs="Arial"/>
        </w:rPr>
        <w:t xml:space="preserve">the </w:t>
      </w:r>
      <w:r w:rsidRPr="00FB37EC">
        <w:rPr>
          <w:rFonts w:ascii="Arial" w:hAnsi="Arial" w:cs="Arial"/>
          <w:i/>
        </w:rPr>
        <w:t xml:space="preserve">content </w:t>
      </w:r>
      <w:r w:rsidRPr="00FB37EC">
        <w:rPr>
          <w:rFonts w:ascii="Arial" w:hAnsi="Arial" w:cs="Arial"/>
        </w:rPr>
        <w:t>of the interaction.</w:t>
      </w:r>
    </w:p>
    <w:p w:rsidR="00B55C98" w:rsidRPr="00FB37EC" w:rsidRDefault="00B55C98" w:rsidP="00105A3D">
      <w:pPr>
        <w:rPr>
          <w:rFonts w:ascii="Arial" w:hAnsi="Arial" w:cs="Arial"/>
        </w:rPr>
      </w:pPr>
      <w:r w:rsidRPr="00FB37EC">
        <w:rPr>
          <w:rFonts w:ascii="Arial" w:hAnsi="Arial" w:cs="Arial"/>
          <w:b/>
          <w:i/>
        </w:rPr>
        <w:t>Time Allocation:</w:t>
      </w:r>
      <w:r w:rsidRPr="00FB37EC">
        <w:rPr>
          <w:rFonts w:ascii="Arial" w:hAnsi="Arial" w:cs="Arial"/>
          <w:i/>
        </w:rPr>
        <w:t xml:space="preserve"> </w:t>
      </w:r>
      <w:r w:rsidRPr="00FB37EC">
        <w:rPr>
          <w:rFonts w:ascii="Arial" w:hAnsi="Arial" w:cs="Arial"/>
        </w:rPr>
        <w:t>It should be obvious and apparent that the scheduled time allocation for the interaction between importers and manufacturers and health professionals is the major proportion</w:t>
      </w:r>
      <w:r w:rsidR="00105A3D" w:rsidRPr="00FB37EC">
        <w:rPr>
          <w:rFonts w:ascii="Arial" w:hAnsi="Arial" w:cs="Arial"/>
        </w:rPr>
        <w:t xml:space="preserve"> </w:t>
      </w:r>
      <w:r w:rsidRPr="00FB37EC">
        <w:rPr>
          <w:rFonts w:ascii="Arial" w:hAnsi="Arial" w:cs="Arial"/>
        </w:rPr>
        <w:t>of the total time allocated. This proportional analysis may be applied to all events involving an entertainment or hospitality component and/or travel and accommodation.</w:t>
      </w:r>
    </w:p>
    <w:p w:rsidR="00791A40" w:rsidRPr="00FB37EC" w:rsidRDefault="00791A40">
      <w:pPr>
        <w:rPr>
          <w:rFonts w:ascii="Arial" w:hAnsi="Arial" w:cs="Arial"/>
          <w:b/>
          <w:i/>
        </w:rPr>
      </w:pPr>
      <w:r w:rsidRPr="00FB37EC">
        <w:rPr>
          <w:rFonts w:ascii="Arial" w:hAnsi="Arial" w:cs="Arial"/>
          <w:b/>
          <w:i/>
        </w:rPr>
        <w:br w:type="page"/>
      </w:r>
    </w:p>
    <w:p w:rsidR="00B55C98" w:rsidRPr="00FB37EC" w:rsidRDefault="00B55C98" w:rsidP="00BB71FA">
      <w:pPr>
        <w:rPr>
          <w:rFonts w:ascii="Arial" w:hAnsi="Arial" w:cs="Arial"/>
        </w:rPr>
      </w:pPr>
      <w:r w:rsidRPr="00FB37EC">
        <w:rPr>
          <w:rFonts w:ascii="Arial" w:hAnsi="Arial" w:cs="Arial"/>
          <w:b/>
          <w:i/>
        </w:rPr>
        <w:lastRenderedPageBreak/>
        <w:t xml:space="preserve">Content of the interaction: </w:t>
      </w:r>
      <w:r w:rsidRPr="00FB37EC">
        <w:rPr>
          <w:rFonts w:ascii="Arial" w:hAnsi="Arial" w:cs="Arial"/>
        </w:rPr>
        <w:t>It is recognised that educational events are important for the dissemination of scientific knowledge and experience to healthcare professionals. Such events should have a clear objective of providing current, accurate and balanced medical and scientific education in an ethical and professional manner. It should be obvious and apparent that the content itself is the major reason that health professionals attend any particular event rather than entertainment or hospitality.</w:t>
      </w:r>
    </w:p>
    <w:p w:rsidR="00B55C98" w:rsidRPr="00FB37EC" w:rsidRDefault="00B55C98" w:rsidP="00BB71FA">
      <w:pPr>
        <w:rPr>
          <w:rFonts w:ascii="Arial" w:hAnsi="Arial" w:cs="Arial"/>
        </w:rPr>
      </w:pPr>
      <w:r w:rsidRPr="00FB37EC">
        <w:rPr>
          <w:rFonts w:ascii="Arial" w:hAnsi="Arial" w:cs="Arial"/>
        </w:rPr>
        <w:t>Similarly, scientific sponsorship of educational events by infant formula manufacturers and importers should have as the primary objective the enhancement of medical and/or scientific knowledge.</w:t>
      </w:r>
    </w:p>
    <w:p w:rsidR="00B55C98" w:rsidRPr="00FB37EC" w:rsidRDefault="00B55C98" w:rsidP="00BB71FA">
      <w:pPr>
        <w:rPr>
          <w:rFonts w:ascii="Arial" w:hAnsi="Arial" w:cs="Arial"/>
          <w:i/>
        </w:rPr>
      </w:pPr>
      <w:r w:rsidRPr="00FB37EC">
        <w:rPr>
          <w:rFonts w:ascii="Arial" w:hAnsi="Arial" w:cs="Arial"/>
          <w:i/>
        </w:rPr>
        <w:t>Example: A short educational presentation, of 30 mins would normally be expected to be accompanied by only light or no refreshments. It may be reasonable for a longer presentation to be accompanied by a meal. A proportional time analysis would place the provision of hospitality as the majority of the total time allocated</w:t>
      </w:r>
      <w:r w:rsidR="00BB71FA" w:rsidRPr="00FB37EC">
        <w:rPr>
          <w:rFonts w:ascii="Arial" w:hAnsi="Arial" w:cs="Arial"/>
          <w:i/>
        </w:rPr>
        <w:t>.</w:t>
      </w:r>
    </w:p>
    <w:p w:rsidR="00B55C98" w:rsidRPr="00FB37EC" w:rsidRDefault="00B55C98" w:rsidP="00BB71FA">
      <w:pPr>
        <w:rPr>
          <w:rFonts w:ascii="Arial" w:hAnsi="Arial" w:cs="Arial"/>
        </w:rPr>
      </w:pPr>
      <w:r w:rsidRPr="00FB37EC">
        <w:rPr>
          <w:rFonts w:ascii="Arial" w:hAnsi="Arial" w:cs="Arial"/>
        </w:rPr>
        <w:t>2: The optimum ‘best practice’ approach for manufacturers &amp; importers when interacting with health care professionals is that no gifts, benefits, competitions, incentives, give-aways or items of any value, whether tangible or in kind, should be given or offered to health care professionals – whether at conferences, seminars, educational/information sessions, trade shows or comparable events.</w:t>
      </w:r>
    </w:p>
    <w:p w:rsidR="00B55C98" w:rsidRPr="00FB37EC" w:rsidRDefault="00B55C98" w:rsidP="00BB71FA">
      <w:pPr>
        <w:rPr>
          <w:rFonts w:ascii="Arial" w:hAnsi="Arial" w:cs="Arial"/>
        </w:rPr>
      </w:pPr>
      <w:r w:rsidRPr="00FB37EC">
        <w:rPr>
          <w:rFonts w:ascii="Arial" w:hAnsi="Arial" w:cs="Arial"/>
        </w:rPr>
        <w:t>However, it is recognised that certain matters, such as the common practice of providing free pens and paper to attendees at a seminar or conference are not, in themselves, inconsistent with what should be the primary purpose of the interaction. Situations may be determined on a case-by-case basis based on an assessment which includes consideration of one or all of the following elements:</w:t>
      </w:r>
    </w:p>
    <w:p w:rsidR="00B55C98" w:rsidRPr="00FB37EC" w:rsidRDefault="00B55C98" w:rsidP="00B8380D">
      <w:pPr>
        <w:numPr>
          <w:ilvl w:val="0"/>
          <w:numId w:val="30"/>
        </w:numPr>
        <w:rPr>
          <w:rFonts w:ascii="Arial" w:hAnsi="Arial" w:cs="Arial"/>
        </w:rPr>
      </w:pPr>
      <w:proofErr w:type="gramStart"/>
      <w:r w:rsidRPr="00FB37EC">
        <w:rPr>
          <w:rFonts w:ascii="Arial" w:hAnsi="Arial" w:cs="Arial"/>
        </w:rPr>
        <w:t>the</w:t>
      </w:r>
      <w:proofErr w:type="gramEnd"/>
      <w:r w:rsidRPr="00FB37EC">
        <w:rPr>
          <w:rFonts w:ascii="Arial" w:hAnsi="Arial" w:cs="Arial"/>
          <w:spacing w:val="-3"/>
        </w:rPr>
        <w:t xml:space="preserve"> </w:t>
      </w:r>
      <w:r w:rsidRPr="00FB37EC">
        <w:rPr>
          <w:rFonts w:ascii="Arial" w:hAnsi="Arial" w:cs="Arial"/>
        </w:rPr>
        <w:t>purpose</w:t>
      </w:r>
      <w:r w:rsidRPr="00FB37EC">
        <w:rPr>
          <w:rFonts w:ascii="Arial" w:hAnsi="Arial" w:cs="Arial"/>
          <w:spacing w:val="-2"/>
        </w:rPr>
        <w:t xml:space="preserve"> </w:t>
      </w:r>
      <w:r w:rsidRPr="00FB37EC">
        <w:rPr>
          <w:rFonts w:ascii="Arial" w:hAnsi="Arial" w:cs="Arial"/>
        </w:rPr>
        <w:t>or</w:t>
      </w:r>
      <w:r w:rsidRPr="00FB37EC">
        <w:rPr>
          <w:rFonts w:ascii="Arial" w:hAnsi="Arial" w:cs="Arial"/>
          <w:spacing w:val="-8"/>
        </w:rPr>
        <w:t xml:space="preserve"> </w:t>
      </w:r>
      <w:r w:rsidRPr="00FB37EC">
        <w:rPr>
          <w:rFonts w:ascii="Arial" w:hAnsi="Arial" w:cs="Arial"/>
        </w:rPr>
        <w:t>intention</w:t>
      </w:r>
      <w:r w:rsidRPr="00FB37EC">
        <w:rPr>
          <w:rFonts w:ascii="Arial" w:hAnsi="Arial" w:cs="Arial"/>
          <w:spacing w:val="-2"/>
        </w:rPr>
        <w:t xml:space="preserve"> </w:t>
      </w:r>
      <w:r w:rsidRPr="00FB37EC">
        <w:rPr>
          <w:rFonts w:ascii="Arial" w:hAnsi="Arial" w:cs="Arial"/>
        </w:rPr>
        <w:t>of</w:t>
      </w:r>
      <w:r w:rsidRPr="00FB37EC">
        <w:rPr>
          <w:rFonts w:ascii="Arial" w:hAnsi="Arial" w:cs="Arial"/>
          <w:spacing w:val="-1"/>
        </w:rPr>
        <w:t xml:space="preserve"> </w:t>
      </w:r>
      <w:r w:rsidRPr="00FB37EC">
        <w:rPr>
          <w:rFonts w:ascii="Arial" w:hAnsi="Arial" w:cs="Arial"/>
        </w:rPr>
        <w:t>providing</w:t>
      </w:r>
      <w:r w:rsidRPr="00FB37EC">
        <w:rPr>
          <w:rFonts w:ascii="Arial" w:hAnsi="Arial" w:cs="Arial"/>
          <w:spacing w:val="-2"/>
        </w:rPr>
        <w:t xml:space="preserve"> </w:t>
      </w:r>
      <w:r w:rsidRPr="00FB37EC">
        <w:rPr>
          <w:rFonts w:ascii="Arial" w:hAnsi="Arial" w:cs="Arial"/>
        </w:rPr>
        <w:t>the</w:t>
      </w:r>
      <w:r w:rsidRPr="00FB37EC">
        <w:rPr>
          <w:rFonts w:ascii="Arial" w:hAnsi="Arial" w:cs="Arial"/>
          <w:spacing w:val="-3"/>
        </w:rPr>
        <w:t xml:space="preserve"> </w:t>
      </w:r>
      <w:r w:rsidRPr="00FB37EC">
        <w:rPr>
          <w:rFonts w:ascii="Arial" w:hAnsi="Arial" w:cs="Arial"/>
        </w:rPr>
        <w:t>items</w:t>
      </w:r>
      <w:r w:rsidRPr="00FB37EC">
        <w:rPr>
          <w:rFonts w:ascii="Arial" w:hAnsi="Arial" w:cs="Arial"/>
          <w:spacing w:val="-2"/>
        </w:rPr>
        <w:t xml:space="preserve"> </w:t>
      </w:r>
      <w:r w:rsidRPr="00FB37EC">
        <w:rPr>
          <w:rFonts w:ascii="Arial" w:hAnsi="Arial" w:cs="Arial"/>
        </w:rPr>
        <w:t>or</w:t>
      </w:r>
      <w:r w:rsidRPr="00FB37EC">
        <w:rPr>
          <w:rFonts w:ascii="Arial" w:hAnsi="Arial" w:cs="Arial"/>
          <w:spacing w:val="-8"/>
        </w:rPr>
        <w:t xml:space="preserve"> </w:t>
      </w:r>
      <w:r w:rsidRPr="00FB37EC">
        <w:rPr>
          <w:rFonts w:ascii="Arial" w:hAnsi="Arial" w:cs="Arial"/>
        </w:rPr>
        <w:t>‘in</w:t>
      </w:r>
      <w:r w:rsidRPr="00FB37EC">
        <w:rPr>
          <w:rFonts w:ascii="Arial" w:hAnsi="Arial" w:cs="Arial"/>
          <w:spacing w:val="-1"/>
        </w:rPr>
        <w:t xml:space="preserve"> </w:t>
      </w:r>
      <w:r w:rsidRPr="00FB37EC">
        <w:rPr>
          <w:rFonts w:ascii="Arial" w:hAnsi="Arial" w:cs="Arial"/>
        </w:rPr>
        <w:t>kind’</w:t>
      </w:r>
      <w:r w:rsidRPr="00FB37EC">
        <w:rPr>
          <w:rFonts w:ascii="Arial" w:hAnsi="Arial" w:cs="Arial"/>
          <w:spacing w:val="-21"/>
        </w:rPr>
        <w:t xml:space="preserve"> </w:t>
      </w:r>
      <w:r w:rsidRPr="00FB37EC">
        <w:rPr>
          <w:rFonts w:ascii="Arial" w:hAnsi="Arial" w:cs="Arial"/>
        </w:rPr>
        <w:t>benefit</w:t>
      </w:r>
      <w:r w:rsidRPr="00FB37EC">
        <w:rPr>
          <w:rFonts w:ascii="Arial" w:hAnsi="Arial" w:cs="Arial"/>
          <w:spacing w:val="-2"/>
        </w:rPr>
        <w:t xml:space="preserve"> </w:t>
      </w:r>
      <w:r w:rsidRPr="00FB37EC">
        <w:rPr>
          <w:rFonts w:ascii="Arial" w:hAnsi="Arial" w:cs="Arial"/>
        </w:rPr>
        <w:t>(i.e.</w:t>
      </w:r>
      <w:r w:rsidRPr="00FB37EC">
        <w:rPr>
          <w:rFonts w:ascii="Arial" w:hAnsi="Arial" w:cs="Arial"/>
          <w:spacing w:val="-2"/>
        </w:rPr>
        <w:t xml:space="preserve"> </w:t>
      </w:r>
      <w:r w:rsidRPr="00FB37EC">
        <w:rPr>
          <w:rFonts w:ascii="Arial" w:hAnsi="Arial" w:cs="Arial"/>
        </w:rPr>
        <w:t>what</w:t>
      </w:r>
      <w:r w:rsidRPr="00FB37EC">
        <w:rPr>
          <w:rFonts w:ascii="Arial" w:hAnsi="Arial" w:cs="Arial"/>
          <w:spacing w:val="-3"/>
        </w:rPr>
        <w:t xml:space="preserve"> </w:t>
      </w:r>
      <w:r w:rsidRPr="00FB37EC">
        <w:rPr>
          <w:rFonts w:ascii="Arial" w:hAnsi="Arial" w:cs="Arial"/>
        </w:rPr>
        <w:t>are</w:t>
      </w:r>
      <w:r w:rsidRPr="00FB37EC">
        <w:rPr>
          <w:rFonts w:ascii="Arial" w:hAnsi="Arial" w:cs="Arial"/>
          <w:spacing w:val="-3"/>
        </w:rPr>
        <w:t xml:space="preserve"> </w:t>
      </w:r>
      <w:r w:rsidRPr="00FB37EC">
        <w:rPr>
          <w:rFonts w:ascii="Arial" w:hAnsi="Arial" w:cs="Arial"/>
        </w:rPr>
        <w:t xml:space="preserve">the gifts or benefits being provided </w:t>
      </w:r>
      <w:r w:rsidRPr="00FB37EC">
        <w:rPr>
          <w:rFonts w:ascii="Arial" w:hAnsi="Arial" w:cs="Arial"/>
          <w:spacing w:val="-6"/>
        </w:rPr>
        <w:t xml:space="preserve">for, </w:t>
      </w:r>
      <w:r w:rsidRPr="00FB37EC">
        <w:rPr>
          <w:rFonts w:ascii="Arial" w:hAnsi="Arial" w:cs="Arial"/>
        </w:rPr>
        <w:t>does it have a</w:t>
      </w:r>
      <w:r w:rsidRPr="00FB37EC">
        <w:rPr>
          <w:rFonts w:ascii="Arial" w:hAnsi="Arial" w:cs="Arial"/>
          <w:spacing w:val="-16"/>
        </w:rPr>
        <w:t xml:space="preserve"> </w:t>
      </w:r>
      <w:r w:rsidRPr="00FB37EC">
        <w:rPr>
          <w:rFonts w:ascii="Arial" w:hAnsi="Arial" w:cs="Arial"/>
        </w:rPr>
        <w:t>function?);</w:t>
      </w:r>
    </w:p>
    <w:p w:rsidR="00B55C98" w:rsidRPr="00FB37EC" w:rsidRDefault="00B55C98" w:rsidP="00B8380D">
      <w:pPr>
        <w:numPr>
          <w:ilvl w:val="0"/>
          <w:numId w:val="30"/>
        </w:numPr>
        <w:rPr>
          <w:rFonts w:ascii="Arial" w:hAnsi="Arial" w:cs="Arial"/>
        </w:rPr>
      </w:pPr>
      <w:r w:rsidRPr="00FB37EC">
        <w:rPr>
          <w:rFonts w:ascii="Arial" w:hAnsi="Arial" w:cs="Arial"/>
        </w:rPr>
        <w:t>the value of the item or ‘in kind’ benefit;</w:t>
      </w:r>
      <w:r w:rsidRPr="00FB37EC">
        <w:rPr>
          <w:rFonts w:ascii="Arial" w:hAnsi="Arial" w:cs="Arial"/>
          <w:spacing w:val="-28"/>
        </w:rPr>
        <w:t xml:space="preserve"> </w:t>
      </w:r>
      <w:r w:rsidRPr="00FB37EC">
        <w:rPr>
          <w:rFonts w:ascii="Arial" w:hAnsi="Arial" w:cs="Arial"/>
        </w:rPr>
        <w:t>and</w:t>
      </w:r>
    </w:p>
    <w:p w:rsidR="00B55C98" w:rsidRPr="00FB37EC" w:rsidRDefault="00B55C98" w:rsidP="00B8380D">
      <w:pPr>
        <w:numPr>
          <w:ilvl w:val="0"/>
          <w:numId w:val="30"/>
        </w:numPr>
        <w:rPr>
          <w:rFonts w:ascii="Arial" w:hAnsi="Arial" w:cs="Arial"/>
        </w:rPr>
      </w:pPr>
      <w:proofErr w:type="gramStart"/>
      <w:r w:rsidRPr="00FB37EC">
        <w:rPr>
          <w:rFonts w:ascii="Arial" w:hAnsi="Arial" w:cs="Arial"/>
        </w:rPr>
        <w:t>any</w:t>
      </w:r>
      <w:proofErr w:type="gramEnd"/>
      <w:r w:rsidRPr="00FB37EC">
        <w:rPr>
          <w:rFonts w:ascii="Arial" w:hAnsi="Arial" w:cs="Arial"/>
        </w:rPr>
        <w:t xml:space="preserve"> targeting of the item or ‘in </w:t>
      </w:r>
      <w:r w:rsidR="00207923" w:rsidRPr="00FB37EC">
        <w:rPr>
          <w:rFonts w:ascii="Arial" w:hAnsi="Arial" w:cs="Arial"/>
        </w:rPr>
        <w:t>kind’ benefit</w:t>
      </w:r>
      <w:r w:rsidRPr="00FB37EC">
        <w:rPr>
          <w:rFonts w:ascii="Arial" w:hAnsi="Arial" w:cs="Arial"/>
        </w:rPr>
        <w:t>.</w:t>
      </w:r>
    </w:p>
    <w:p w:rsidR="00B55C98" w:rsidRPr="00FB37EC" w:rsidRDefault="00B55C98" w:rsidP="00BB71FA">
      <w:pPr>
        <w:rPr>
          <w:rFonts w:ascii="Arial" w:hAnsi="Arial" w:cs="Arial"/>
          <w:i/>
        </w:rPr>
      </w:pPr>
      <w:r w:rsidRPr="00FB37EC">
        <w:rPr>
          <w:rFonts w:ascii="Arial" w:hAnsi="Arial" w:cs="Arial"/>
          <w:i/>
        </w:rPr>
        <w:t>Example: It is recognised that providing free pens and paper to attendees of conferences and seminars is intended for the purpose of enabling participants to take notes or exchange details. However, if the pens were relatively valuable – for example made of prec</w:t>
      </w:r>
      <w:r w:rsidR="00BB71FA" w:rsidRPr="00FB37EC">
        <w:rPr>
          <w:rFonts w:ascii="Arial" w:hAnsi="Arial" w:cs="Arial"/>
          <w:i/>
        </w:rPr>
        <w:t>ious metals rather than plastic</w:t>
      </w:r>
      <w:r w:rsidRPr="00FB37EC">
        <w:rPr>
          <w:rFonts w:ascii="Arial" w:hAnsi="Arial" w:cs="Arial"/>
          <w:i/>
        </w:rPr>
        <w:t xml:space="preserve"> </w:t>
      </w:r>
      <w:r w:rsidR="00BB71FA" w:rsidRPr="00FB37EC">
        <w:rPr>
          <w:rFonts w:ascii="Arial" w:hAnsi="Arial" w:cs="Arial"/>
          <w:i/>
        </w:rPr>
        <w:t xml:space="preserve">– </w:t>
      </w:r>
      <w:r w:rsidRPr="00FB37EC">
        <w:rPr>
          <w:rFonts w:ascii="Arial" w:hAnsi="Arial" w:cs="Arial"/>
          <w:i/>
        </w:rPr>
        <w:t>then the practice may well be viewed as exceeding that required for the intended purpose.</w:t>
      </w:r>
    </w:p>
    <w:p w:rsidR="00B55C98" w:rsidRPr="00FB37EC" w:rsidRDefault="00B55C98" w:rsidP="00BB71FA">
      <w:pPr>
        <w:rPr>
          <w:rFonts w:ascii="Arial" w:hAnsi="Arial" w:cs="Arial"/>
        </w:rPr>
      </w:pPr>
      <w:r w:rsidRPr="00FB37EC">
        <w:rPr>
          <w:rFonts w:ascii="Arial" w:hAnsi="Arial" w:cs="Arial"/>
        </w:rPr>
        <w:t>As well as this, if, in a similar situation, such free gifts were only given to certain groups of health care professionals and not others, then this could be viewed as conferring a benefit or gift to that particular group.</w:t>
      </w:r>
    </w:p>
    <w:p w:rsidR="00B55C98" w:rsidRPr="00FB37EC" w:rsidRDefault="00B55C98" w:rsidP="00BB71FA">
      <w:pPr>
        <w:rPr>
          <w:rFonts w:ascii="Arial" w:hAnsi="Arial" w:cs="Arial"/>
        </w:rPr>
      </w:pPr>
      <w:r w:rsidRPr="00FB37EC">
        <w:rPr>
          <w:rFonts w:ascii="Arial" w:hAnsi="Arial" w:cs="Arial"/>
        </w:rPr>
        <w:t>It is also recognised that in some circumstances it is culturally respectful and appropriate to adopt practices such as mutual gift exchange or the provision of a certain standard of hospitality.</w:t>
      </w:r>
    </w:p>
    <w:p w:rsidR="00B55C98" w:rsidRPr="00FB37EC" w:rsidRDefault="00B55C98" w:rsidP="00BB71FA">
      <w:pPr>
        <w:rPr>
          <w:rFonts w:ascii="Arial" w:hAnsi="Arial" w:cs="Arial"/>
        </w:rPr>
      </w:pPr>
      <w:r w:rsidRPr="00FB37EC">
        <w:rPr>
          <w:rFonts w:ascii="Arial" w:hAnsi="Arial" w:cs="Arial"/>
        </w:rPr>
        <w:t>However, these should not be regarded as 'blanket exceptions.' It remains important for the panel to consider each situation as it arises.</w:t>
      </w:r>
    </w:p>
    <w:p w:rsidR="0032508D" w:rsidRPr="00FB37EC" w:rsidRDefault="0032508D">
      <w:pPr>
        <w:rPr>
          <w:rFonts w:ascii="Arial" w:hAnsi="Arial" w:cs="Arial"/>
          <w:i/>
        </w:rPr>
      </w:pPr>
      <w:r w:rsidRPr="00FB37EC">
        <w:rPr>
          <w:rFonts w:ascii="Arial" w:hAnsi="Arial" w:cs="Arial"/>
          <w:i/>
        </w:rPr>
        <w:br w:type="page"/>
      </w:r>
    </w:p>
    <w:p w:rsidR="00B55C98" w:rsidRPr="00FB37EC" w:rsidRDefault="00B55C98" w:rsidP="00BB71FA">
      <w:pPr>
        <w:rPr>
          <w:rFonts w:ascii="Arial" w:hAnsi="Arial" w:cs="Arial"/>
          <w:i/>
        </w:rPr>
      </w:pPr>
      <w:r w:rsidRPr="00FB37EC">
        <w:rPr>
          <w:rFonts w:ascii="Arial" w:hAnsi="Arial" w:cs="Arial"/>
          <w:i/>
        </w:rPr>
        <w:lastRenderedPageBreak/>
        <w:t>Example: Tradeshows are an increasingly common way of showcasing products and innovations, and small gifts and free give-a-ways are commonly distributed.  To determine</w:t>
      </w:r>
      <w:r w:rsidR="00140664" w:rsidRPr="00FB37EC">
        <w:rPr>
          <w:rFonts w:ascii="Arial" w:hAnsi="Arial" w:cs="Arial"/>
          <w:i/>
        </w:rPr>
        <w:t xml:space="preserve"> </w:t>
      </w:r>
      <w:r w:rsidRPr="00FB37EC">
        <w:rPr>
          <w:rFonts w:ascii="Arial" w:hAnsi="Arial" w:cs="Arial"/>
          <w:i/>
        </w:rPr>
        <w:t>whether the</w:t>
      </w:r>
      <w:r w:rsidR="00BB71FA" w:rsidRPr="00FB37EC">
        <w:rPr>
          <w:rFonts w:ascii="Arial" w:hAnsi="Arial" w:cs="Arial"/>
          <w:i/>
        </w:rPr>
        <w:t xml:space="preserve"> </w:t>
      </w:r>
      <w:r w:rsidRPr="00FB37EC">
        <w:rPr>
          <w:rFonts w:ascii="Arial" w:hAnsi="Arial" w:cs="Arial"/>
          <w:i/>
        </w:rPr>
        <w:t>provision of items in this context would constitute a breach of the MAIF Agreement, the intention, value and targeting of the items would need to be considered.</w:t>
      </w:r>
    </w:p>
    <w:p w:rsidR="00B55C98" w:rsidRPr="00FB37EC" w:rsidRDefault="00B55C98" w:rsidP="00BB71FA">
      <w:pPr>
        <w:rPr>
          <w:rFonts w:ascii="Arial" w:hAnsi="Arial" w:cs="Arial"/>
        </w:rPr>
      </w:pPr>
      <w:r w:rsidRPr="00FB37EC">
        <w:rPr>
          <w:rFonts w:ascii="Arial" w:hAnsi="Arial" w:cs="Arial"/>
        </w:rPr>
        <w:t xml:space="preserve">3: Any assistance provided to health professionals to attend an event sponsored by or involving importers &amp; manufacturers - such as a conference or seminar, must be </w:t>
      </w:r>
      <w:r w:rsidRPr="00FB37EC">
        <w:rPr>
          <w:rFonts w:ascii="Arial" w:hAnsi="Arial" w:cs="Arial"/>
          <w:i/>
        </w:rPr>
        <w:t>appropriate and practical</w:t>
      </w:r>
      <w:r w:rsidRPr="00FB37EC">
        <w:rPr>
          <w:rFonts w:ascii="Arial" w:hAnsi="Arial" w:cs="Arial"/>
        </w:rPr>
        <w:t>.</w:t>
      </w:r>
    </w:p>
    <w:p w:rsidR="00B55C98" w:rsidRPr="00FB37EC" w:rsidRDefault="00B55C98" w:rsidP="00BB71FA">
      <w:pPr>
        <w:rPr>
          <w:rFonts w:ascii="Arial" w:hAnsi="Arial" w:cs="Arial"/>
        </w:rPr>
      </w:pPr>
      <w:r w:rsidRPr="00FB37EC">
        <w:rPr>
          <w:rFonts w:ascii="Arial" w:hAnsi="Arial" w:cs="Arial"/>
        </w:rPr>
        <w:t>Any assistance for travel and/or accommodation expenses offered by importers &amp;</w:t>
      </w:r>
      <w:r w:rsidRPr="00FB37EC">
        <w:rPr>
          <w:rFonts w:ascii="Arial" w:hAnsi="Arial" w:cs="Arial"/>
          <w:spacing w:val="-31"/>
        </w:rPr>
        <w:t xml:space="preserve"> </w:t>
      </w:r>
      <w:r w:rsidRPr="00FB37EC">
        <w:rPr>
          <w:rFonts w:ascii="Arial" w:hAnsi="Arial" w:cs="Arial"/>
        </w:rPr>
        <w:t>manufacturers should be confined to the purpose of providing practical assistance to attend, rather than being a reason in itself to</w:t>
      </w:r>
      <w:r w:rsidRPr="00FB37EC">
        <w:rPr>
          <w:rFonts w:ascii="Arial" w:hAnsi="Arial" w:cs="Arial"/>
          <w:spacing w:val="-11"/>
        </w:rPr>
        <w:t xml:space="preserve"> </w:t>
      </w:r>
      <w:r w:rsidRPr="00FB37EC">
        <w:rPr>
          <w:rFonts w:ascii="Arial" w:hAnsi="Arial" w:cs="Arial"/>
        </w:rPr>
        <w:t>attend.</w:t>
      </w:r>
    </w:p>
    <w:p w:rsidR="00B55C98" w:rsidRPr="00FB37EC" w:rsidRDefault="00B55C98" w:rsidP="00BB71FA">
      <w:pPr>
        <w:rPr>
          <w:rFonts w:ascii="Arial" w:hAnsi="Arial" w:cs="Arial"/>
        </w:rPr>
      </w:pPr>
      <w:r w:rsidRPr="00FB37EC">
        <w:rPr>
          <w:rFonts w:ascii="Arial" w:hAnsi="Arial" w:cs="Arial"/>
        </w:rPr>
        <w:t>Any travel expenses offered or provided should be justifiable by reference to the educational content and the origin of the delegates and should meet the proportionality test outlined in 1 (above).</w:t>
      </w:r>
    </w:p>
    <w:p w:rsidR="00B55C98" w:rsidRPr="00FB37EC" w:rsidRDefault="00B55C98" w:rsidP="00BB71FA">
      <w:pPr>
        <w:rPr>
          <w:rFonts w:ascii="Arial" w:hAnsi="Arial" w:cs="Arial"/>
        </w:rPr>
      </w:pPr>
      <w:r w:rsidRPr="00FB37EC">
        <w:rPr>
          <w:rFonts w:ascii="Arial" w:hAnsi="Arial" w:cs="Arial"/>
        </w:rPr>
        <w:t>Sponsorship provided to a healthcare professional to attend an educational event should only be provided where the event is directly related to the healthcare professional’s area of expertise.</w:t>
      </w:r>
    </w:p>
    <w:p w:rsidR="002C18CF" w:rsidRPr="00F54655" w:rsidRDefault="00B55C98" w:rsidP="00BB71FA">
      <w:pPr>
        <w:rPr>
          <w:rFonts w:ascii="Arial" w:hAnsi="Arial" w:cs="Arial"/>
          <w:i/>
        </w:rPr>
      </w:pPr>
      <w:r w:rsidRPr="00FB37EC">
        <w:rPr>
          <w:rFonts w:ascii="Arial" w:hAnsi="Arial" w:cs="Arial"/>
          <w:i/>
        </w:rPr>
        <w:t>Example: Accommodation and travel offered or provided to delegates’ family members would not generally be regarded as appropriate and confined to the purpose of providing practical assistance to the health care professional to attend the event. This information should be made clear in all invitations to healthcare professionals for educational events</w:t>
      </w:r>
      <w:r w:rsidRPr="00F54655">
        <w:rPr>
          <w:rFonts w:ascii="Arial" w:hAnsi="Arial" w:cs="Arial"/>
          <w:i/>
        </w:rPr>
        <w:t>.</w:t>
      </w:r>
    </w:p>
    <w:sectPr w:rsidR="002C18CF" w:rsidRPr="00F54655" w:rsidSect="00791A40">
      <w:pgSz w:w="11906" w:h="16838"/>
      <w:pgMar w:top="1440" w:right="1106" w:bottom="990" w:left="1440" w:header="708" w:footer="4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1CD" w:rsidRDefault="001501CD" w:rsidP="00486A02">
      <w:pPr>
        <w:spacing w:after="0" w:line="240" w:lineRule="auto"/>
      </w:pPr>
      <w:r>
        <w:separator/>
      </w:r>
    </w:p>
  </w:endnote>
  <w:endnote w:type="continuationSeparator" w:id="0">
    <w:p w:rsidR="001501CD" w:rsidRDefault="001501CD" w:rsidP="00486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AED" w:rsidRPr="008656DC" w:rsidRDefault="008656DC" w:rsidP="008656DC">
    <w:pPr>
      <w:pStyle w:val="Footer"/>
      <w:rPr>
        <w:rFonts w:ascii="Arial" w:hAnsi="Arial" w:cs="Arial"/>
        <w:sz w:val="14"/>
        <w:szCs w:val="14"/>
      </w:rPr>
    </w:pPr>
    <w:r w:rsidRPr="008656DC">
      <w:rPr>
        <w:rFonts w:ascii="Arial" w:hAnsi="Arial" w:cs="Arial"/>
        <w:sz w:val="14"/>
        <w:szCs w:val="14"/>
      </w:rPr>
      <w:t>2015-16 ANNUAL REPORT: MARKETING IN AUSTRALIA OF INFANT FORMULA</w:t>
    </w:r>
    <w:sdt>
      <w:sdtPr>
        <w:rPr>
          <w:rFonts w:ascii="Arial" w:hAnsi="Arial" w:cs="Arial"/>
          <w:sz w:val="14"/>
          <w:szCs w:val="14"/>
        </w:rPr>
        <w:id w:val="233280398"/>
        <w:docPartObj>
          <w:docPartGallery w:val="Page Numbers (Bottom of Page)"/>
          <w:docPartUnique/>
        </w:docPartObj>
      </w:sdtPr>
      <w:sdtEndPr>
        <w:rPr>
          <w:noProof/>
        </w:rPr>
      </w:sdtEndPr>
      <w:sdtContent>
        <w:r w:rsidRPr="008656DC">
          <w:rPr>
            <w:rFonts w:ascii="Arial" w:hAnsi="Arial" w:cs="Arial"/>
            <w:sz w:val="14"/>
            <w:szCs w:val="14"/>
          </w:rPr>
          <w:t xml:space="preserve">    </w:t>
        </w:r>
        <w:r w:rsidR="00890E11">
          <w:rPr>
            <w:rFonts w:ascii="Arial" w:hAnsi="Arial" w:cs="Arial"/>
            <w:sz w:val="14"/>
            <w:szCs w:val="14"/>
          </w:rPr>
          <w:t xml:space="preserve"> </w:t>
        </w:r>
        <w:r w:rsidRPr="008656DC">
          <w:rPr>
            <w:rFonts w:ascii="Arial" w:hAnsi="Arial" w:cs="Arial"/>
            <w:sz w:val="14"/>
            <w:szCs w:val="14"/>
          </w:rPr>
          <w:t xml:space="preserve">  </w:t>
        </w:r>
        <w:r w:rsidR="00D92D84">
          <w:rPr>
            <w:rFonts w:ascii="Arial" w:hAnsi="Arial" w:cs="Arial"/>
            <w:sz w:val="14"/>
            <w:szCs w:val="14"/>
          </w:rPr>
          <w:t xml:space="preserve">          </w:t>
        </w:r>
        <w:r w:rsidRPr="008656DC">
          <w:rPr>
            <w:rFonts w:ascii="Arial" w:hAnsi="Arial" w:cs="Arial"/>
            <w:sz w:val="14"/>
            <w:szCs w:val="14"/>
          </w:rPr>
          <w:t xml:space="preserve">                                                                 </w:t>
        </w:r>
        <w:r w:rsidR="00E12E70">
          <w:rPr>
            <w:rFonts w:ascii="Arial" w:hAnsi="Arial" w:cs="Arial"/>
            <w:sz w:val="14"/>
            <w:szCs w:val="14"/>
          </w:rPr>
          <w:t xml:space="preserve">                 </w:t>
        </w:r>
        <w:r w:rsidRPr="008656DC">
          <w:rPr>
            <w:rFonts w:ascii="Arial" w:hAnsi="Arial" w:cs="Arial"/>
            <w:sz w:val="14"/>
            <w:szCs w:val="14"/>
          </w:rPr>
          <w:t xml:space="preserve">     </w:t>
        </w:r>
        <w:r w:rsidR="00B0676F" w:rsidRPr="008656DC">
          <w:rPr>
            <w:rFonts w:ascii="Arial" w:hAnsi="Arial" w:cs="Arial"/>
            <w:sz w:val="14"/>
            <w:szCs w:val="14"/>
          </w:rPr>
          <w:fldChar w:fldCharType="begin"/>
        </w:r>
        <w:r w:rsidR="00E01AED" w:rsidRPr="008656DC">
          <w:rPr>
            <w:rFonts w:ascii="Arial" w:hAnsi="Arial" w:cs="Arial"/>
            <w:sz w:val="14"/>
            <w:szCs w:val="14"/>
          </w:rPr>
          <w:instrText xml:space="preserve"> PAGE   \* MERGEFORMAT </w:instrText>
        </w:r>
        <w:r w:rsidR="00B0676F" w:rsidRPr="008656DC">
          <w:rPr>
            <w:rFonts w:ascii="Arial" w:hAnsi="Arial" w:cs="Arial"/>
            <w:sz w:val="14"/>
            <w:szCs w:val="14"/>
          </w:rPr>
          <w:fldChar w:fldCharType="separate"/>
        </w:r>
        <w:r w:rsidR="00DA1108">
          <w:rPr>
            <w:rFonts w:ascii="Arial" w:hAnsi="Arial" w:cs="Arial"/>
            <w:noProof/>
            <w:sz w:val="14"/>
            <w:szCs w:val="14"/>
          </w:rPr>
          <w:t>1</w:t>
        </w:r>
        <w:r w:rsidR="00B0676F" w:rsidRPr="008656DC">
          <w:rPr>
            <w:rFonts w:ascii="Arial" w:hAnsi="Arial" w:cs="Arial"/>
            <w:noProof/>
            <w:sz w:val="14"/>
            <w:szCs w:val="1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1CD" w:rsidRDefault="001501CD" w:rsidP="00486A02">
      <w:pPr>
        <w:spacing w:after="0" w:line="240" w:lineRule="auto"/>
      </w:pPr>
      <w:r>
        <w:separator/>
      </w:r>
    </w:p>
  </w:footnote>
  <w:footnote w:type="continuationSeparator" w:id="0">
    <w:p w:rsidR="001501CD" w:rsidRDefault="001501CD" w:rsidP="00486A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D6D"/>
    <w:multiLevelType w:val="hybridMultilevel"/>
    <w:tmpl w:val="3E9C4AFE"/>
    <w:lvl w:ilvl="0" w:tplc="371A3F50">
      <w:start w:val="1"/>
      <w:numFmt w:val="bullet"/>
      <w:lvlText w:val="+"/>
      <w:lvlJc w:val="left"/>
      <w:pPr>
        <w:ind w:left="720" w:hanging="360"/>
      </w:pPr>
      <w:rPr>
        <w:rFonts w:ascii="Arial" w:hAnsi="Arial" w:hint="default"/>
        <w:b w:val="0"/>
        <w:i w:val="0"/>
        <w:color w:val="auto"/>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543EB"/>
    <w:multiLevelType w:val="hybridMultilevel"/>
    <w:tmpl w:val="B568C4DA"/>
    <w:lvl w:ilvl="0" w:tplc="780249C4">
      <w:start w:val="1"/>
      <w:numFmt w:val="bullet"/>
      <w:lvlText w:val=""/>
      <w:lvlJc w:val="left"/>
      <w:pPr>
        <w:ind w:left="476" w:hanging="360"/>
      </w:pPr>
      <w:rPr>
        <w:rFonts w:ascii="Symbol" w:eastAsia="Symbol" w:hAnsi="Symbol" w:cs="Symbol" w:hint="default"/>
        <w:w w:val="100"/>
        <w:sz w:val="22"/>
        <w:szCs w:val="22"/>
      </w:rPr>
    </w:lvl>
    <w:lvl w:ilvl="1" w:tplc="3F367DA4">
      <w:start w:val="1"/>
      <w:numFmt w:val="bullet"/>
      <w:lvlText w:val=""/>
      <w:lvlJc w:val="left"/>
      <w:pPr>
        <w:ind w:left="685" w:hanging="207"/>
      </w:pPr>
      <w:rPr>
        <w:rFonts w:ascii="Symbol" w:eastAsia="Symbol" w:hAnsi="Symbol" w:cs="Symbol" w:hint="default"/>
        <w:w w:val="100"/>
      </w:rPr>
    </w:lvl>
    <w:lvl w:ilvl="2" w:tplc="7826B1C8">
      <w:start w:val="1"/>
      <w:numFmt w:val="bullet"/>
      <w:lvlText w:val="•"/>
      <w:lvlJc w:val="left"/>
      <w:pPr>
        <w:ind w:left="1711" w:hanging="207"/>
      </w:pPr>
      <w:rPr>
        <w:rFonts w:hint="default"/>
      </w:rPr>
    </w:lvl>
    <w:lvl w:ilvl="3" w:tplc="E0ACB018">
      <w:start w:val="1"/>
      <w:numFmt w:val="bullet"/>
      <w:lvlText w:val="•"/>
      <w:lvlJc w:val="left"/>
      <w:pPr>
        <w:ind w:left="2743" w:hanging="207"/>
      </w:pPr>
      <w:rPr>
        <w:rFonts w:hint="default"/>
      </w:rPr>
    </w:lvl>
    <w:lvl w:ilvl="4" w:tplc="192C163A">
      <w:start w:val="1"/>
      <w:numFmt w:val="bullet"/>
      <w:lvlText w:val="•"/>
      <w:lvlJc w:val="left"/>
      <w:pPr>
        <w:ind w:left="3775" w:hanging="207"/>
      </w:pPr>
      <w:rPr>
        <w:rFonts w:hint="default"/>
      </w:rPr>
    </w:lvl>
    <w:lvl w:ilvl="5" w:tplc="37C27E3C">
      <w:start w:val="1"/>
      <w:numFmt w:val="bullet"/>
      <w:lvlText w:val="•"/>
      <w:lvlJc w:val="left"/>
      <w:pPr>
        <w:ind w:left="4807" w:hanging="207"/>
      </w:pPr>
      <w:rPr>
        <w:rFonts w:hint="default"/>
      </w:rPr>
    </w:lvl>
    <w:lvl w:ilvl="6" w:tplc="5D62E678">
      <w:start w:val="1"/>
      <w:numFmt w:val="bullet"/>
      <w:lvlText w:val="•"/>
      <w:lvlJc w:val="left"/>
      <w:pPr>
        <w:ind w:left="5839" w:hanging="207"/>
      </w:pPr>
      <w:rPr>
        <w:rFonts w:hint="default"/>
      </w:rPr>
    </w:lvl>
    <w:lvl w:ilvl="7" w:tplc="488CB936">
      <w:start w:val="1"/>
      <w:numFmt w:val="bullet"/>
      <w:lvlText w:val="•"/>
      <w:lvlJc w:val="left"/>
      <w:pPr>
        <w:ind w:left="6870" w:hanging="207"/>
      </w:pPr>
      <w:rPr>
        <w:rFonts w:hint="default"/>
      </w:rPr>
    </w:lvl>
    <w:lvl w:ilvl="8" w:tplc="DDD867B4">
      <w:start w:val="1"/>
      <w:numFmt w:val="bullet"/>
      <w:lvlText w:val="•"/>
      <w:lvlJc w:val="left"/>
      <w:pPr>
        <w:ind w:left="7902" w:hanging="207"/>
      </w:pPr>
      <w:rPr>
        <w:rFonts w:hint="default"/>
      </w:rPr>
    </w:lvl>
  </w:abstractNum>
  <w:abstractNum w:abstractNumId="2">
    <w:nsid w:val="05BA67C1"/>
    <w:multiLevelType w:val="hybridMultilevel"/>
    <w:tmpl w:val="31645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712C8E"/>
    <w:multiLevelType w:val="hybridMultilevel"/>
    <w:tmpl w:val="F17A8CE2"/>
    <w:lvl w:ilvl="0" w:tplc="31667690">
      <w:start w:val="1"/>
      <w:numFmt w:val="bullet"/>
      <w:lvlText w:val=""/>
      <w:lvlJc w:val="left"/>
      <w:pPr>
        <w:ind w:left="981" w:hanging="202"/>
      </w:pPr>
      <w:rPr>
        <w:rFonts w:ascii="Wingdings" w:eastAsia="Wingdings" w:hAnsi="Wingdings" w:cs="Wingdings" w:hint="default"/>
        <w:w w:val="100"/>
        <w:sz w:val="24"/>
        <w:szCs w:val="24"/>
      </w:rPr>
    </w:lvl>
    <w:lvl w:ilvl="1" w:tplc="069E316C">
      <w:start w:val="1"/>
      <w:numFmt w:val="bullet"/>
      <w:lvlText w:val="•"/>
      <w:lvlJc w:val="left"/>
      <w:pPr>
        <w:ind w:left="1852" w:hanging="202"/>
      </w:pPr>
      <w:rPr>
        <w:rFonts w:hint="default"/>
      </w:rPr>
    </w:lvl>
    <w:lvl w:ilvl="2" w:tplc="5FD8418E">
      <w:start w:val="1"/>
      <w:numFmt w:val="bullet"/>
      <w:lvlText w:val="•"/>
      <w:lvlJc w:val="left"/>
      <w:pPr>
        <w:ind w:left="2725" w:hanging="202"/>
      </w:pPr>
      <w:rPr>
        <w:rFonts w:hint="default"/>
      </w:rPr>
    </w:lvl>
    <w:lvl w:ilvl="3" w:tplc="346EABEA">
      <w:start w:val="1"/>
      <w:numFmt w:val="bullet"/>
      <w:lvlText w:val="•"/>
      <w:lvlJc w:val="left"/>
      <w:pPr>
        <w:ind w:left="3597" w:hanging="202"/>
      </w:pPr>
      <w:rPr>
        <w:rFonts w:hint="default"/>
      </w:rPr>
    </w:lvl>
    <w:lvl w:ilvl="4" w:tplc="CD083D32">
      <w:start w:val="1"/>
      <w:numFmt w:val="bullet"/>
      <w:lvlText w:val="•"/>
      <w:lvlJc w:val="left"/>
      <w:pPr>
        <w:ind w:left="4470" w:hanging="202"/>
      </w:pPr>
      <w:rPr>
        <w:rFonts w:hint="default"/>
      </w:rPr>
    </w:lvl>
    <w:lvl w:ilvl="5" w:tplc="FDCE62B4">
      <w:start w:val="1"/>
      <w:numFmt w:val="bullet"/>
      <w:lvlText w:val="•"/>
      <w:lvlJc w:val="left"/>
      <w:pPr>
        <w:ind w:left="5343" w:hanging="202"/>
      </w:pPr>
      <w:rPr>
        <w:rFonts w:hint="default"/>
      </w:rPr>
    </w:lvl>
    <w:lvl w:ilvl="6" w:tplc="EC0E53EA">
      <w:start w:val="1"/>
      <w:numFmt w:val="bullet"/>
      <w:lvlText w:val="•"/>
      <w:lvlJc w:val="left"/>
      <w:pPr>
        <w:ind w:left="6215" w:hanging="202"/>
      </w:pPr>
      <w:rPr>
        <w:rFonts w:hint="default"/>
      </w:rPr>
    </w:lvl>
    <w:lvl w:ilvl="7" w:tplc="A1C6C1AA">
      <w:start w:val="1"/>
      <w:numFmt w:val="bullet"/>
      <w:lvlText w:val="•"/>
      <w:lvlJc w:val="left"/>
      <w:pPr>
        <w:ind w:left="7088" w:hanging="202"/>
      </w:pPr>
      <w:rPr>
        <w:rFonts w:hint="default"/>
      </w:rPr>
    </w:lvl>
    <w:lvl w:ilvl="8" w:tplc="37426D90">
      <w:start w:val="1"/>
      <w:numFmt w:val="bullet"/>
      <w:lvlText w:val="•"/>
      <w:lvlJc w:val="left"/>
      <w:pPr>
        <w:ind w:left="7961" w:hanging="202"/>
      </w:pPr>
      <w:rPr>
        <w:rFonts w:hint="default"/>
      </w:rPr>
    </w:lvl>
  </w:abstractNum>
  <w:abstractNum w:abstractNumId="4">
    <w:nsid w:val="0F2B1ECD"/>
    <w:multiLevelType w:val="hybridMultilevel"/>
    <w:tmpl w:val="96162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6C5A59"/>
    <w:multiLevelType w:val="hybridMultilevel"/>
    <w:tmpl w:val="A38CA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F075AA"/>
    <w:multiLevelType w:val="hybridMultilevel"/>
    <w:tmpl w:val="A2D438C0"/>
    <w:lvl w:ilvl="0" w:tplc="371A3F50">
      <w:start w:val="1"/>
      <w:numFmt w:val="bullet"/>
      <w:lvlText w:val="+"/>
      <w:lvlJc w:val="left"/>
      <w:pPr>
        <w:ind w:left="476" w:hanging="360"/>
      </w:pPr>
      <w:rPr>
        <w:rFonts w:ascii="Arial" w:hAnsi="Arial" w:hint="default"/>
        <w:b w:val="0"/>
        <w:i w:val="0"/>
        <w:color w:val="auto"/>
        <w:w w:val="100"/>
        <w:sz w:val="28"/>
        <w:szCs w:val="22"/>
      </w:rPr>
    </w:lvl>
    <w:lvl w:ilvl="1" w:tplc="3F367DA4">
      <w:start w:val="1"/>
      <w:numFmt w:val="bullet"/>
      <w:lvlText w:val=""/>
      <w:lvlJc w:val="left"/>
      <w:pPr>
        <w:ind w:left="685" w:hanging="207"/>
      </w:pPr>
      <w:rPr>
        <w:rFonts w:ascii="Symbol" w:eastAsia="Symbol" w:hAnsi="Symbol" w:cs="Symbol" w:hint="default"/>
        <w:w w:val="100"/>
      </w:rPr>
    </w:lvl>
    <w:lvl w:ilvl="2" w:tplc="7826B1C8">
      <w:start w:val="1"/>
      <w:numFmt w:val="bullet"/>
      <w:lvlText w:val="•"/>
      <w:lvlJc w:val="left"/>
      <w:pPr>
        <w:ind w:left="1711" w:hanging="207"/>
      </w:pPr>
      <w:rPr>
        <w:rFonts w:hint="default"/>
      </w:rPr>
    </w:lvl>
    <w:lvl w:ilvl="3" w:tplc="E0ACB018">
      <w:start w:val="1"/>
      <w:numFmt w:val="bullet"/>
      <w:lvlText w:val="•"/>
      <w:lvlJc w:val="left"/>
      <w:pPr>
        <w:ind w:left="2743" w:hanging="207"/>
      </w:pPr>
      <w:rPr>
        <w:rFonts w:hint="default"/>
      </w:rPr>
    </w:lvl>
    <w:lvl w:ilvl="4" w:tplc="192C163A">
      <w:start w:val="1"/>
      <w:numFmt w:val="bullet"/>
      <w:lvlText w:val="•"/>
      <w:lvlJc w:val="left"/>
      <w:pPr>
        <w:ind w:left="3775" w:hanging="207"/>
      </w:pPr>
      <w:rPr>
        <w:rFonts w:hint="default"/>
      </w:rPr>
    </w:lvl>
    <w:lvl w:ilvl="5" w:tplc="37C27E3C">
      <w:start w:val="1"/>
      <w:numFmt w:val="bullet"/>
      <w:lvlText w:val="•"/>
      <w:lvlJc w:val="left"/>
      <w:pPr>
        <w:ind w:left="4807" w:hanging="207"/>
      </w:pPr>
      <w:rPr>
        <w:rFonts w:hint="default"/>
      </w:rPr>
    </w:lvl>
    <w:lvl w:ilvl="6" w:tplc="5D62E678">
      <w:start w:val="1"/>
      <w:numFmt w:val="bullet"/>
      <w:lvlText w:val="•"/>
      <w:lvlJc w:val="left"/>
      <w:pPr>
        <w:ind w:left="5839" w:hanging="207"/>
      </w:pPr>
      <w:rPr>
        <w:rFonts w:hint="default"/>
      </w:rPr>
    </w:lvl>
    <w:lvl w:ilvl="7" w:tplc="488CB936">
      <w:start w:val="1"/>
      <w:numFmt w:val="bullet"/>
      <w:lvlText w:val="•"/>
      <w:lvlJc w:val="left"/>
      <w:pPr>
        <w:ind w:left="6870" w:hanging="207"/>
      </w:pPr>
      <w:rPr>
        <w:rFonts w:hint="default"/>
      </w:rPr>
    </w:lvl>
    <w:lvl w:ilvl="8" w:tplc="DDD867B4">
      <w:start w:val="1"/>
      <w:numFmt w:val="bullet"/>
      <w:lvlText w:val="•"/>
      <w:lvlJc w:val="left"/>
      <w:pPr>
        <w:ind w:left="7902" w:hanging="207"/>
      </w:pPr>
      <w:rPr>
        <w:rFonts w:hint="default"/>
      </w:rPr>
    </w:lvl>
  </w:abstractNum>
  <w:abstractNum w:abstractNumId="7">
    <w:nsid w:val="15230E29"/>
    <w:multiLevelType w:val="hybridMultilevel"/>
    <w:tmpl w:val="F67A6BBE"/>
    <w:lvl w:ilvl="0" w:tplc="371A3F50">
      <w:start w:val="1"/>
      <w:numFmt w:val="bullet"/>
      <w:lvlText w:val="+"/>
      <w:lvlJc w:val="left"/>
      <w:pPr>
        <w:ind w:left="720" w:hanging="360"/>
      </w:pPr>
      <w:rPr>
        <w:rFonts w:ascii="Arial" w:hAnsi="Arial" w:hint="default"/>
        <w:b w:val="0"/>
        <w:i w:val="0"/>
        <w:color w:val="auto"/>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8A80ECB"/>
    <w:multiLevelType w:val="hybridMultilevel"/>
    <w:tmpl w:val="7C1E2BDC"/>
    <w:lvl w:ilvl="0" w:tplc="371A3F50">
      <w:start w:val="1"/>
      <w:numFmt w:val="bullet"/>
      <w:lvlText w:val="+"/>
      <w:lvlJc w:val="left"/>
      <w:pPr>
        <w:ind w:left="720" w:hanging="360"/>
      </w:pPr>
      <w:rPr>
        <w:rFonts w:ascii="Arial" w:hAnsi="Arial" w:hint="default"/>
        <w:b w:val="0"/>
        <w:i w:val="0"/>
        <w:color w:val="auto"/>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A4F09E4"/>
    <w:multiLevelType w:val="hybridMultilevel"/>
    <w:tmpl w:val="54907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340142A"/>
    <w:multiLevelType w:val="hybridMultilevel"/>
    <w:tmpl w:val="9C62E078"/>
    <w:lvl w:ilvl="0" w:tplc="371A3F50">
      <w:start w:val="1"/>
      <w:numFmt w:val="bullet"/>
      <w:lvlText w:val="+"/>
      <w:lvlJc w:val="left"/>
      <w:pPr>
        <w:ind w:left="720" w:hanging="360"/>
      </w:pPr>
      <w:rPr>
        <w:rFonts w:ascii="Arial" w:hAnsi="Arial" w:hint="default"/>
        <w:b w:val="0"/>
        <w:i w:val="0"/>
        <w:color w:val="auto"/>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CBA2281"/>
    <w:multiLevelType w:val="hybridMultilevel"/>
    <w:tmpl w:val="AE208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3C66405"/>
    <w:multiLevelType w:val="hybridMultilevel"/>
    <w:tmpl w:val="D3A29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3124F76"/>
    <w:multiLevelType w:val="multilevel"/>
    <w:tmpl w:val="5A14192C"/>
    <w:lvl w:ilvl="0">
      <w:start w:val="1"/>
      <w:numFmt w:val="decimal"/>
      <w:pStyle w:val="Hyperlinkref"/>
      <w:lvlText w:val="%1."/>
      <w:lvlJc w:val="left"/>
      <w:pPr>
        <w:tabs>
          <w:tab w:val="num" w:pos="720"/>
        </w:tabs>
        <w:ind w:left="720" w:hanging="720"/>
      </w:pPr>
    </w:lvl>
    <w:lvl w:ilvl="1">
      <w:start w:val="1"/>
      <w:numFmt w:val="decimal"/>
      <w:pStyle w:val="Hyperlinkref"/>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4DC40E40"/>
    <w:multiLevelType w:val="hybridMultilevel"/>
    <w:tmpl w:val="A470E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19C0138"/>
    <w:multiLevelType w:val="hybridMultilevel"/>
    <w:tmpl w:val="FD101D38"/>
    <w:lvl w:ilvl="0" w:tplc="371A3F50">
      <w:start w:val="1"/>
      <w:numFmt w:val="bullet"/>
      <w:lvlText w:val="+"/>
      <w:lvlJc w:val="left"/>
      <w:pPr>
        <w:ind w:left="720" w:hanging="360"/>
      </w:pPr>
      <w:rPr>
        <w:rFonts w:ascii="Arial" w:hAnsi="Arial" w:hint="default"/>
        <w:b w:val="0"/>
        <w:i w:val="0"/>
        <w:color w:val="auto"/>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28A3526"/>
    <w:multiLevelType w:val="hybridMultilevel"/>
    <w:tmpl w:val="6C183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33301A5"/>
    <w:multiLevelType w:val="multilevel"/>
    <w:tmpl w:val="64E65E30"/>
    <w:lvl w:ilvl="0">
      <w:start w:val="1"/>
      <w:numFmt w:val="decimal"/>
      <w:isLg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lowerLetter"/>
      <w:lvlText w:val="%3."/>
      <w:lvlJc w:val="left"/>
      <w:pPr>
        <w:ind w:left="1361" w:hanging="454"/>
      </w:pPr>
      <w:rPr>
        <w:rFonts w:hint="default"/>
      </w:rPr>
    </w:lvl>
    <w:lvl w:ilvl="3">
      <w:start w:val="1"/>
      <w:numFmt w:val="none"/>
      <w:lvlText w:val=""/>
      <w:lvlJc w:val="left"/>
      <w:pPr>
        <w:ind w:left="1247" w:hanging="1247"/>
      </w:pPr>
      <w:rPr>
        <w:rFonts w:hint="default"/>
      </w:rPr>
    </w:lvl>
    <w:lvl w:ilvl="4">
      <w:start w:val="1"/>
      <w:numFmt w:val="none"/>
      <w:lvlText w:val=""/>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4BC762A"/>
    <w:multiLevelType w:val="hybridMultilevel"/>
    <w:tmpl w:val="FC84D674"/>
    <w:lvl w:ilvl="0" w:tplc="371A3F50">
      <w:start w:val="1"/>
      <w:numFmt w:val="bullet"/>
      <w:lvlText w:val="+"/>
      <w:lvlJc w:val="left"/>
      <w:pPr>
        <w:ind w:left="720" w:hanging="360"/>
      </w:pPr>
      <w:rPr>
        <w:rFonts w:ascii="Arial" w:hAnsi="Arial" w:hint="default"/>
        <w:b w:val="0"/>
        <w:i w:val="0"/>
        <w:color w:val="auto"/>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5387E40"/>
    <w:multiLevelType w:val="multilevel"/>
    <w:tmpl w:val="C91E06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59AD18FD"/>
    <w:multiLevelType w:val="hybridMultilevel"/>
    <w:tmpl w:val="C8920A86"/>
    <w:lvl w:ilvl="0" w:tplc="18AE1DD0">
      <w:start w:val="1"/>
      <w:numFmt w:val="bullet"/>
      <w:lvlText w:val="-"/>
      <w:lvlJc w:val="left"/>
      <w:pPr>
        <w:ind w:left="618" w:hanging="128"/>
      </w:pPr>
      <w:rPr>
        <w:rFonts w:ascii="Times New Roman" w:eastAsia="Times New Roman" w:hAnsi="Times New Roman" w:cs="Times New Roman" w:hint="default"/>
        <w:w w:val="100"/>
        <w:sz w:val="22"/>
        <w:szCs w:val="22"/>
      </w:rPr>
    </w:lvl>
    <w:lvl w:ilvl="1" w:tplc="190085C0">
      <w:start w:val="1"/>
      <w:numFmt w:val="bullet"/>
      <w:lvlText w:val=""/>
      <w:lvlJc w:val="left"/>
      <w:pPr>
        <w:ind w:left="914" w:hanging="212"/>
      </w:pPr>
      <w:rPr>
        <w:rFonts w:ascii="Symbol" w:eastAsia="Symbol" w:hAnsi="Symbol" w:cs="Symbol" w:hint="default"/>
        <w:w w:val="100"/>
        <w:sz w:val="24"/>
        <w:szCs w:val="24"/>
      </w:rPr>
    </w:lvl>
    <w:lvl w:ilvl="2" w:tplc="A63E15FA">
      <w:start w:val="1"/>
      <w:numFmt w:val="bullet"/>
      <w:lvlText w:val="•"/>
      <w:lvlJc w:val="left"/>
      <w:pPr>
        <w:ind w:left="1891" w:hanging="212"/>
      </w:pPr>
      <w:rPr>
        <w:rFonts w:hint="default"/>
      </w:rPr>
    </w:lvl>
    <w:lvl w:ilvl="3" w:tplc="814495B4">
      <w:start w:val="1"/>
      <w:numFmt w:val="bullet"/>
      <w:lvlText w:val="•"/>
      <w:lvlJc w:val="left"/>
      <w:pPr>
        <w:ind w:left="2863" w:hanging="212"/>
      </w:pPr>
      <w:rPr>
        <w:rFonts w:hint="default"/>
      </w:rPr>
    </w:lvl>
    <w:lvl w:ilvl="4" w:tplc="8C44B880">
      <w:start w:val="1"/>
      <w:numFmt w:val="bullet"/>
      <w:lvlText w:val="•"/>
      <w:lvlJc w:val="left"/>
      <w:pPr>
        <w:ind w:left="3835" w:hanging="212"/>
      </w:pPr>
      <w:rPr>
        <w:rFonts w:hint="default"/>
      </w:rPr>
    </w:lvl>
    <w:lvl w:ilvl="5" w:tplc="A6160948">
      <w:start w:val="1"/>
      <w:numFmt w:val="bullet"/>
      <w:lvlText w:val="•"/>
      <w:lvlJc w:val="left"/>
      <w:pPr>
        <w:ind w:left="4807" w:hanging="212"/>
      </w:pPr>
      <w:rPr>
        <w:rFonts w:hint="default"/>
      </w:rPr>
    </w:lvl>
    <w:lvl w:ilvl="6" w:tplc="7A02FC5E">
      <w:start w:val="1"/>
      <w:numFmt w:val="bullet"/>
      <w:lvlText w:val="•"/>
      <w:lvlJc w:val="left"/>
      <w:pPr>
        <w:ind w:left="5779" w:hanging="212"/>
      </w:pPr>
      <w:rPr>
        <w:rFonts w:hint="default"/>
      </w:rPr>
    </w:lvl>
    <w:lvl w:ilvl="7" w:tplc="3C342B20">
      <w:start w:val="1"/>
      <w:numFmt w:val="bullet"/>
      <w:lvlText w:val="•"/>
      <w:lvlJc w:val="left"/>
      <w:pPr>
        <w:ind w:left="6750" w:hanging="212"/>
      </w:pPr>
      <w:rPr>
        <w:rFonts w:hint="default"/>
      </w:rPr>
    </w:lvl>
    <w:lvl w:ilvl="8" w:tplc="BC7441F4">
      <w:start w:val="1"/>
      <w:numFmt w:val="bullet"/>
      <w:lvlText w:val="•"/>
      <w:lvlJc w:val="left"/>
      <w:pPr>
        <w:ind w:left="7722" w:hanging="212"/>
      </w:pPr>
      <w:rPr>
        <w:rFonts w:hint="default"/>
      </w:rPr>
    </w:lvl>
  </w:abstractNum>
  <w:abstractNum w:abstractNumId="21">
    <w:nsid w:val="5E4D734C"/>
    <w:multiLevelType w:val="hybridMultilevel"/>
    <w:tmpl w:val="7CE49832"/>
    <w:lvl w:ilvl="0" w:tplc="F98C0170">
      <w:start w:val="1"/>
      <w:numFmt w:val="lowerRoman"/>
      <w:lvlText w:val="(%1)"/>
      <w:lvlJc w:val="left"/>
      <w:pPr>
        <w:ind w:left="851" w:hanging="360"/>
      </w:pPr>
      <w:rPr>
        <w:rFonts w:ascii="Calibri" w:hAnsi="Calibri" w:cs="Times New Roman" w:hint="default"/>
        <w:b w:val="0"/>
        <w:i w:val="0"/>
        <w:spacing w:val="-2"/>
        <w:w w:val="100"/>
        <w:sz w:val="22"/>
        <w:szCs w:val="22"/>
      </w:rPr>
    </w:lvl>
    <w:lvl w:ilvl="1" w:tplc="0C090019" w:tentative="1">
      <w:start w:val="1"/>
      <w:numFmt w:val="lowerLetter"/>
      <w:lvlText w:val="%2."/>
      <w:lvlJc w:val="left"/>
      <w:pPr>
        <w:ind w:left="1571" w:hanging="360"/>
      </w:pPr>
    </w:lvl>
    <w:lvl w:ilvl="2" w:tplc="0C09001B" w:tentative="1">
      <w:start w:val="1"/>
      <w:numFmt w:val="lowerRoman"/>
      <w:lvlText w:val="%3."/>
      <w:lvlJc w:val="right"/>
      <w:pPr>
        <w:ind w:left="2291" w:hanging="180"/>
      </w:pPr>
    </w:lvl>
    <w:lvl w:ilvl="3" w:tplc="0C09000F" w:tentative="1">
      <w:start w:val="1"/>
      <w:numFmt w:val="decimal"/>
      <w:lvlText w:val="%4."/>
      <w:lvlJc w:val="left"/>
      <w:pPr>
        <w:ind w:left="3011" w:hanging="360"/>
      </w:pPr>
    </w:lvl>
    <w:lvl w:ilvl="4" w:tplc="0C090019" w:tentative="1">
      <w:start w:val="1"/>
      <w:numFmt w:val="lowerLetter"/>
      <w:lvlText w:val="%5."/>
      <w:lvlJc w:val="left"/>
      <w:pPr>
        <w:ind w:left="3731" w:hanging="360"/>
      </w:pPr>
    </w:lvl>
    <w:lvl w:ilvl="5" w:tplc="0C09001B" w:tentative="1">
      <w:start w:val="1"/>
      <w:numFmt w:val="lowerRoman"/>
      <w:lvlText w:val="%6."/>
      <w:lvlJc w:val="right"/>
      <w:pPr>
        <w:ind w:left="4451" w:hanging="180"/>
      </w:pPr>
    </w:lvl>
    <w:lvl w:ilvl="6" w:tplc="0C09000F" w:tentative="1">
      <w:start w:val="1"/>
      <w:numFmt w:val="decimal"/>
      <w:lvlText w:val="%7."/>
      <w:lvlJc w:val="left"/>
      <w:pPr>
        <w:ind w:left="5171" w:hanging="360"/>
      </w:pPr>
    </w:lvl>
    <w:lvl w:ilvl="7" w:tplc="0C090019" w:tentative="1">
      <w:start w:val="1"/>
      <w:numFmt w:val="lowerLetter"/>
      <w:lvlText w:val="%8."/>
      <w:lvlJc w:val="left"/>
      <w:pPr>
        <w:ind w:left="5891" w:hanging="360"/>
      </w:pPr>
    </w:lvl>
    <w:lvl w:ilvl="8" w:tplc="0C09001B" w:tentative="1">
      <w:start w:val="1"/>
      <w:numFmt w:val="lowerRoman"/>
      <w:lvlText w:val="%9."/>
      <w:lvlJc w:val="right"/>
      <w:pPr>
        <w:ind w:left="6611" w:hanging="180"/>
      </w:pPr>
    </w:lvl>
  </w:abstractNum>
  <w:abstractNum w:abstractNumId="22">
    <w:nsid w:val="6511108B"/>
    <w:multiLevelType w:val="hybridMultilevel"/>
    <w:tmpl w:val="B588AC06"/>
    <w:lvl w:ilvl="0" w:tplc="0B422D22">
      <w:start w:val="1"/>
      <w:numFmt w:val="decimal"/>
      <w:lvlText w:val="%1."/>
      <w:lvlJc w:val="left"/>
      <w:pPr>
        <w:ind w:left="975" w:hanging="569"/>
      </w:pPr>
      <w:rPr>
        <w:rFonts w:ascii="Times New Roman" w:eastAsia="Times New Roman" w:hAnsi="Times New Roman" w:cs="Times New Roman" w:hint="default"/>
        <w:w w:val="100"/>
        <w:sz w:val="22"/>
        <w:szCs w:val="22"/>
      </w:rPr>
    </w:lvl>
    <w:lvl w:ilvl="1" w:tplc="EF74CA38">
      <w:start w:val="1"/>
      <w:numFmt w:val="decimal"/>
      <w:lvlText w:val="%2"/>
      <w:lvlJc w:val="left"/>
      <w:pPr>
        <w:ind w:left="737" w:hanging="120"/>
      </w:pPr>
      <w:rPr>
        <w:rFonts w:ascii="Times New Roman" w:eastAsia="Times New Roman" w:hAnsi="Times New Roman" w:cs="Times New Roman" w:hint="default"/>
        <w:w w:val="100"/>
        <w:sz w:val="16"/>
        <w:szCs w:val="16"/>
      </w:rPr>
    </w:lvl>
    <w:lvl w:ilvl="2" w:tplc="7F1E4164">
      <w:start w:val="1"/>
      <w:numFmt w:val="lowerRoman"/>
      <w:lvlText w:val="(%3)"/>
      <w:lvlJc w:val="left"/>
      <w:pPr>
        <w:ind w:left="1280" w:hanging="262"/>
      </w:pPr>
      <w:rPr>
        <w:rFonts w:ascii="Times New Roman" w:eastAsia="Times New Roman" w:hAnsi="Times New Roman" w:cs="Times New Roman" w:hint="default"/>
        <w:i/>
        <w:spacing w:val="-2"/>
        <w:w w:val="100"/>
        <w:sz w:val="22"/>
        <w:szCs w:val="22"/>
      </w:rPr>
    </w:lvl>
    <w:lvl w:ilvl="3" w:tplc="0888BB12">
      <w:start w:val="1"/>
      <w:numFmt w:val="bullet"/>
      <w:lvlText w:val="•"/>
      <w:lvlJc w:val="left"/>
      <w:pPr>
        <w:ind w:left="2365" w:hanging="262"/>
      </w:pPr>
      <w:rPr>
        <w:rFonts w:hint="default"/>
      </w:rPr>
    </w:lvl>
    <w:lvl w:ilvl="4" w:tplc="357ADD3C">
      <w:start w:val="1"/>
      <w:numFmt w:val="bullet"/>
      <w:lvlText w:val="•"/>
      <w:lvlJc w:val="left"/>
      <w:pPr>
        <w:ind w:left="3451" w:hanging="262"/>
      </w:pPr>
      <w:rPr>
        <w:rFonts w:hint="default"/>
      </w:rPr>
    </w:lvl>
    <w:lvl w:ilvl="5" w:tplc="CA90803A">
      <w:start w:val="1"/>
      <w:numFmt w:val="bullet"/>
      <w:lvlText w:val="•"/>
      <w:lvlJc w:val="left"/>
      <w:pPr>
        <w:ind w:left="4537" w:hanging="262"/>
      </w:pPr>
      <w:rPr>
        <w:rFonts w:hint="default"/>
      </w:rPr>
    </w:lvl>
    <w:lvl w:ilvl="6" w:tplc="CF5ECF1E">
      <w:start w:val="1"/>
      <w:numFmt w:val="bullet"/>
      <w:lvlText w:val="•"/>
      <w:lvlJc w:val="left"/>
      <w:pPr>
        <w:ind w:left="5623" w:hanging="262"/>
      </w:pPr>
      <w:rPr>
        <w:rFonts w:hint="default"/>
      </w:rPr>
    </w:lvl>
    <w:lvl w:ilvl="7" w:tplc="3BBE618C">
      <w:start w:val="1"/>
      <w:numFmt w:val="bullet"/>
      <w:lvlText w:val="•"/>
      <w:lvlJc w:val="left"/>
      <w:pPr>
        <w:ind w:left="6709" w:hanging="262"/>
      </w:pPr>
      <w:rPr>
        <w:rFonts w:hint="default"/>
      </w:rPr>
    </w:lvl>
    <w:lvl w:ilvl="8" w:tplc="A998969E">
      <w:start w:val="1"/>
      <w:numFmt w:val="bullet"/>
      <w:lvlText w:val="•"/>
      <w:lvlJc w:val="left"/>
      <w:pPr>
        <w:ind w:left="7794" w:hanging="262"/>
      </w:pPr>
      <w:rPr>
        <w:rFonts w:hint="default"/>
      </w:rPr>
    </w:lvl>
  </w:abstractNum>
  <w:abstractNum w:abstractNumId="23">
    <w:nsid w:val="6BF42E90"/>
    <w:multiLevelType w:val="hybridMultilevel"/>
    <w:tmpl w:val="1FA09A94"/>
    <w:lvl w:ilvl="0" w:tplc="371A3F50">
      <w:start w:val="1"/>
      <w:numFmt w:val="bullet"/>
      <w:lvlText w:val="+"/>
      <w:lvlJc w:val="left"/>
      <w:pPr>
        <w:ind w:left="720" w:hanging="360"/>
      </w:pPr>
      <w:rPr>
        <w:rFonts w:ascii="Arial" w:hAnsi="Arial" w:hint="default"/>
        <w:b w:val="0"/>
        <w:i w:val="0"/>
        <w:color w:val="auto"/>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3AE2651"/>
    <w:multiLevelType w:val="hybridMultilevel"/>
    <w:tmpl w:val="57748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6DE046B"/>
    <w:multiLevelType w:val="hybridMultilevel"/>
    <w:tmpl w:val="65E45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DEC14FA"/>
    <w:multiLevelType w:val="hybridMultilevel"/>
    <w:tmpl w:val="F4B8DA74"/>
    <w:lvl w:ilvl="0" w:tplc="371A3F50">
      <w:start w:val="1"/>
      <w:numFmt w:val="bullet"/>
      <w:lvlText w:val="+"/>
      <w:lvlJc w:val="left"/>
      <w:pPr>
        <w:ind w:left="720" w:hanging="360"/>
      </w:pPr>
      <w:rPr>
        <w:rFonts w:ascii="Arial" w:hAnsi="Arial" w:hint="default"/>
        <w:b w:val="0"/>
        <w:i w:val="0"/>
        <w:color w:val="auto"/>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ED508A1"/>
    <w:multiLevelType w:val="hybridMultilevel"/>
    <w:tmpl w:val="5CBC1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17"/>
  </w:num>
  <w:num w:numId="4">
    <w:abstractNumId w:val="17"/>
  </w:num>
  <w:num w:numId="5">
    <w:abstractNumId w:val="13"/>
  </w:num>
  <w:num w:numId="6">
    <w:abstractNumId w:val="14"/>
  </w:num>
  <w:num w:numId="7">
    <w:abstractNumId w:val="12"/>
  </w:num>
  <w:num w:numId="8">
    <w:abstractNumId w:val="2"/>
  </w:num>
  <w:num w:numId="9">
    <w:abstractNumId w:val="24"/>
  </w:num>
  <w:num w:numId="10">
    <w:abstractNumId w:val="3"/>
  </w:num>
  <w:num w:numId="11">
    <w:abstractNumId w:val="20"/>
  </w:num>
  <w:num w:numId="12">
    <w:abstractNumId w:val="1"/>
  </w:num>
  <w:num w:numId="13">
    <w:abstractNumId w:val="22"/>
  </w:num>
  <w:num w:numId="14">
    <w:abstractNumId w:val="16"/>
  </w:num>
  <w:num w:numId="15">
    <w:abstractNumId w:val="11"/>
  </w:num>
  <w:num w:numId="16">
    <w:abstractNumId w:val="4"/>
  </w:num>
  <w:num w:numId="17">
    <w:abstractNumId w:val="21"/>
  </w:num>
  <w:num w:numId="18">
    <w:abstractNumId w:val="9"/>
  </w:num>
  <w:num w:numId="19">
    <w:abstractNumId w:val="25"/>
  </w:num>
  <w:num w:numId="20">
    <w:abstractNumId w:val="5"/>
  </w:num>
  <w:num w:numId="21">
    <w:abstractNumId w:val="27"/>
  </w:num>
  <w:num w:numId="22">
    <w:abstractNumId w:val="8"/>
  </w:num>
  <w:num w:numId="23">
    <w:abstractNumId w:val="26"/>
  </w:num>
  <w:num w:numId="24">
    <w:abstractNumId w:val="7"/>
  </w:num>
  <w:num w:numId="25">
    <w:abstractNumId w:val="6"/>
  </w:num>
  <w:num w:numId="26">
    <w:abstractNumId w:val="0"/>
  </w:num>
  <w:num w:numId="27">
    <w:abstractNumId w:val="15"/>
  </w:num>
  <w:num w:numId="28">
    <w:abstractNumId w:val="18"/>
  </w:num>
  <w:num w:numId="29">
    <w:abstractNumId w:val="23"/>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321"/>
    <w:rsid w:val="00011CD5"/>
    <w:rsid w:val="00016224"/>
    <w:rsid w:val="00017D65"/>
    <w:rsid w:val="00034389"/>
    <w:rsid w:val="00046798"/>
    <w:rsid w:val="00053486"/>
    <w:rsid w:val="000652E5"/>
    <w:rsid w:val="0009215F"/>
    <w:rsid w:val="000A131E"/>
    <w:rsid w:val="000A554D"/>
    <w:rsid w:val="000A7F44"/>
    <w:rsid w:val="000C1321"/>
    <w:rsid w:val="000E0CDF"/>
    <w:rsid w:val="001030CE"/>
    <w:rsid w:val="00105A3D"/>
    <w:rsid w:val="001128EC"/>
    <w:rsid w:val="00124820"/>
    <w:rsid w:val="00133104"/>
    <w:rsid w:val="00133926"/>
    <w:rsid w:val="001368BB"/>
    <w:rsid w:val="00140664"/>
    <w:rsid w:val="001446F6"/>
    <w:rsid w:val="001501CD"/>
    <w:rsid w:val="0015377A"/>
    <w:rsid w:val="0019155C"/>
    <w:rsid w:val="001B495D"/>
    <w:rsid w:val="001C0D78"/>
    <w:rsid w:val="001D0948"/>
    <w:rsid w:val="001E067E"/>
    <w:rsid w:val="001F7104"/>
    <w:rsid w:val="00207923"/>
    <w:rsid w:val="00213862"/>
    <w:rsid w:val="00216FCA"/>
    <w:rsid w:val="00252478"/>
    <w:rsid w:val="0026750E"/>
    <w:rsid w:val="0029202F"/>
    <w:rsid w:val="002926D0"/>
    <w:rsid w:val="00294C4D"/>
    <w:rsid w:val="002A0FE3"/>
    <w:rsid w:val="002B2021"/>
    <w:rsid w:val="002B701C"/>
    <w:rsid w:val="002C18CF"/>
    <w:rsid w:val="002D634D"/>
    <w:rsid w:val="003003B6"/>
    <w:rsid w:val="00303CF2"/>
    <w:rsid w:val="003065F3"/>
    <w:rsid w:val="00311A69"/>
    <w:rsid w:val="00313DF9"/>
    <w:rsid w:val="0032508D"/>
    <w:rsid w:val="00353389"/>
    <w:rsid w:val="00364088"/>
    <w:rsid w:val="0037283C"/>
    <w:rsid w:val="0037514A"/>
    <w:rsid w:val="00375BE3"/>
    <w:rsid w:val="003A5408"/>
    <w:rsid w:val="003C7930"/>
    <w:rsid w:val="003D0E8B"/>
    <w:rsid w:val="003F1456"/>
    <w:rsid w:val="003F2F40"/>
    <w:rsid w:val="003F38E6"/>
    <w:rsid w:val="00401143"/>
    <w:rsid w:val="0041073A"/>
    <w:rsid w:val="00414AEB"/>
    <w:rsid w:val="004232BF"/>
    <w:rsid w:val="00447B09"/>
    <w:rsid w:val="00450640"/>
    <w:rsid w:val="00464995"/>
    <w:rsid w:val="00472AE4"/>
    <w:rsid w:val="004779A6"/>
    <w:rsid w:val="0048022C"/>
    <w:rsid w:val="00486A02"/>
    <w:rsid w:val="004A7588"/>
    <w:rsid w:val="004C1F00"/>
    <w:rsid w:val="004E2BB1"/>
    <w:rsid w:val="00510DA1"/>
    <w:rsid w:val="00523E29"/>
    <w:rsid w:val="00534CDA"/>
    <w:rsid w:val="005359B9"/>
    <w:rsid w:val="005511B3"/>
    <w:rsid w:val="00551EA8"/>
    <w:rsid w:val="00555310"/>
    <w:rsid w:val="00565E53"/>
    <w:rsid w:val="005700BD"/>
    <w:rsid w:val="00597BBF"/>
    <w:rsid w:val="005E5508"/>
    <w:rsid w:val="00633C99"/>
    <w:rsid w:val="006701C3"/>
    <w:rsid w:val="006725D9"/>
    <w:rsid w:val="00692580"/>
    <w:rsid w:val="006D5695"/>
    <w:rsid w:val="006E3A79"/>
    <w:rsid w:val="006E6BF8"/>
    <w:rsid w:val="006F383B"/>
    <w:rsid w:val="006F4F98"/>
    <w:rsid w:val="007154F7"/>
    <w:rsid w:val="00734626"/>
    <w:rsid w:val="00735846"/>
    <w:rsid w:val="0076019F"/>
    <w:rsid w:val="00774E9F"/>
    <w:rsid w:val="00774EAA"/>
    <w:rsid w:val="007756B6"/>
    <w:rsid w:val="00791A40"/>
    <w:rsid w:val="007A6C9C"/>
    <w:rsid w:val="007B0C10"/>
    <w:rsid w:val="007B0D23"/>
    <w:rsid w:val="007D5F68"/>
    <w:rsid w:val="007D6351"/>
    <w:rsid w:val="007F2DB2"/>
    <w:rsid w:val="008057E7"/>
    <w:rsid w:val="00807482"/>
    <w:rsid w:val="00825068"/>
    <w:rsid w:val="00832922"/>
    <w:rsid w:val="008359A7"/>
    <w:rsid w:val="00854C64"/>
    <w:rsid w:val="008562B5"/>
    <w:rsid w:val="008656DC"/>
    <w:rsid w:val="00865C75"/>
    <w:rsid w:val="00873682"/>
    <w:rsid w:val="00890E11"/>
    <w:rsid w:val="008A13FF"/>
    <w:rsid w:val="008A4C5A"/>
    <w:rsid w:val="008C18DC"/>
    <w:rsid w:val="008D7F1B"/>
    <w:rsid w:val="008F49BC"/>
    <w:rsid w:val="008F6AE7"/>
    <w:rsid w:val="00917023"/>
    <w:rsid w:val="00921016"/>
    <w:rsid w:val="009277CE"/>
    <w:rsid w:val="009531A7"/>
    <w:rsid w:val="00960B56"/>
    <w:rsid w:val="00977B1B"/>
    <w:rsid w:val="00980624"/>
    <w:rsid w:val="009A1B7A"/>
    <w:rsid w:val="009C49C1"/>
    <w:rsid w:val="009C55CE"/>
    <w:rsid w:val="009C6027"/>
    <w:rsid w:val="009D4F69"/>
    <w:rsid w:val="009D7872"/>
    <w:rsid w:val="009E63CF"/>
    <w:rsid w:val="009F5965"/>
    <w:rsid w:val="009F6C07"/>
    <w:rsid w:val="00A4099F"/>
    <w:rsid w:val="00A60032"/>
    <w:rsid w:val="00A66B15"/>
    <w:rsid w:val="00A701E9"/>
    <w:rsid w:val="00A82480"/>
    <w:rsid w:val="00A84218"/>
    <w:rsid w:val="00A858C2"/>
    <w:rsid w:val="00A948BE"/>
    <w:rsid w:val="00A94D19"/>
    <w:rsid w:val="00AA565B"/>
    <w:rsid w:val="00AA6BAF"/>
    <w:rsid w:val="00AB5AD5"/>
    <w:rsid w:val="00AC051B"/>
    <w:rsid w:val="00AC19C8"/>
    <w:rsid w:val="00AC2408"/>
    <w:rsid w:val="00AC2E9F"/>
    <w:rsid w:val="00AD524C"/>
    <w:rsid w:val="00AE163E"/>
    <w:rsid w:val="00AE3DA5"/>
    <w:rsid w:val="00AE413B"/>
    <w:rsid w:val="00AE7036"/>
    <w:rsid w:val="00B0676F"/>
    <w:rsid w:val="00B23E30"/>
    <w:rsid w:val="00B24ACD"/>
    <w:rsid w:val="00B46FD1"/>
    <w:rsid w:val="00B55C98"/>
    <w:rsid w:val="00B8380D"/>
    <w:rsid w:val="00BA2BD8"/>
    <w:rsid w:val="00BB39F5"/>
    <w:rsid w:val="00BB64D2"/>
    <w:rsid w:val="00BB71FA"/>
    <w:rsid w:val="00BC7BC4"/>
    <w:rsid w:val="00BD097B"/>
    <w:rsid w:val="00BD1A5A"/>
    <w:rsid w:val="00BD542F"/>
    <w:rsid w:val="00BF404A"/>
    <w:rsid w:val="00C13CE1"/>
    <w:rsid w:val="00C15BE3"/>
    <w:rsid w:val="00C413B4"/>
    <w:rsid w:val="00C436F7"/>
    <w:rsid w:val="00C50C4C"/>
    <w:rsid w:val="00C53990"/>
    <w:rsid w:val="00C67F8A"/>
    <w:rsid w:val="00C77DA4"/>
    <w:rsid w:val="00C77DE6"/>
    <w:rsid w:val="00C86C25"/>
    <w:rsid w:val="00CB74B3"/>
    <w:rsid w:val="00CC1F7A"/>
    <w:rsid w:val="00CD4A7A"/>
    <w:rsid w:val="00CF0590"/>
    <w:rsid w:val="00CF44EC"/>
    <w:rsid w:val="00CF478E"/>
    <w:rsid w:val="00D10AC2"/>
    <w:rsid w:val="00D30B1A"/>
    <w:rsid w:val="00D31CEC"/>
    <w:rsid w:val="00D41887"/>
    <w:rsid w:val="00D47B28"/>
    <w:rsid w:val="00D54463"/>
    <w:rsid w:val="00D92D84"/>
    <w:rsid w:val="00D93E64"/>
    <w:rsid w:val="00DA1108"/>
    <w:rsid w:val="00DA162B"/>
    <w:rsid w:val="00DB3B76"/>
    <w:rsid w:val="00DB430E"/>
    <w:rsid w:val="00DB7F00"/>
    <w:rsid w:val="00DC248F"/>
    <w:rsid w:val="00DF7E86"/>
    <w:rsid w:val="00E01AED"/>
    <w:rsid w:val="00E05D12"/>
    <w:rsid w:val="00E12E70"/>
    <w:rsid w:val="00E269AD"/>
    <w:rsid w:val="00E501DE"/>
    <w:rsid w:val="00E55B87"/>
    <w:rsid w:val="00E607A3"/>
    <w:rsid w:val="00E6496C"/>
    <w:rsid w:val="00E84769"/>
    <w:rsid w:val="00ED0F88"/>
    <w:rsid w:val="00ED44EF"/>
    <w:rsid w:val="00F101F0"/>
    <w:rsid w:val="00F16E99"/>
    <w:rsid w:val="00F25543"/>
    <w:rsid w:val="00F50C73"/>
    <w:rsid w:val="00F54655"/>
    <w:rsid w:val="00F5742E"/>
    <w:rsid w:val="00F9336E"/>
    <w:rsid w:val="00F952EA"/>
    <w:rsid w:val="00F97543"/>
    <w:rsid w:val="00FA2434"/>
    <w:rsid w:val="00FB1CA1"/>
    <w:rsid w:val="00FB37EC"/>
    <w:rsid w:val="00FC0909"/>
    <w:rsid w:val="00FC2F06"/>
    <w:rsid w:val="00FD38A9"/>
    <w:rsid w:val="00FD5DC4"/>
    <w:rsid w:val="00FE0AC9"/>
    <w:rsid w:val="00FE0C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321"/>
  </w:style>
  <w:style w:type="paragraph" w:styleId="Heading1">
    <w:name w:val="heading 1"/>
    <w:basedOn w:val="Heading2"/>
    <w:link w:val="Heading1Char"/>
    <w:uiPriority w:val="1"/>
    <w:qFormat/>
    <w:rsid w:val="0029202F"/>
    <w:pPr>
      <w:outlineLvl w:val="0"/>
    </w:pPr>
    <w:rPr>
      <w:sz w:val="28"/>
      <w:szCs w:val="28"/>
    </w:rPr>
  </w:style>
  <w:style w:type="paragraph" w:styleId="Heading2">
    <w:name w:val="heading 2"/>
    <w:basedOn w:val="Normal"/>
    <w:next w:val="Normal"/>
    <w:link w:val="Heading2Char"/>
    <w:uiPriority w:val="9"/>
    <w:unhideWhenUsed/>
    <w:qFormat/>
    <w:rsid w:val="0029202F"/>
    <w:pPr>
      <w:keepNext/>
      <w:keepLines/>
      <w:spacing w:before="40" w:after="0"/>
      <w:outlineLvl w:val="1"/>
    </w:pPr>
    <w:rPr>
      <w:rFonts w:asciiTheme="majorHAnsi" w:eastAsiaTheme="majorEastAsia" w:hAnsiTheme="majorHAnsi" w:cstheme="majorBidi"/>
      <w:color w:val="2E74B5" w:themeColor="accent1" w:themeShade="BF"/>
    </w:rPr>
  </w:style>
  <w:style w:type="paragraph" w:styleId="Heading3">
    <w:name w:val="heading 3"/>
    <w:basedOn w:val="Heading4"/>
    <w:next w:val="Normal"/>
    <w:link w:val="Heading3Char"/>
    <w:uiPriority w:val="9"/>
    <w:unhideWhenUsed/>
    <w:qFormat/>
    <w:rsid w:val="00D47B28"/>
    <w:pPr>
      <w:ind w:right="289"/>
      <w:outlineLvl w:val="2"/>
    </w:pPr>
  </w:style>
  <w:style w:type="paragraph" w:styleId="Heading4">
    <w:name w:val="heading 4"/>
    <w:basedOn w:val="Normal"/>
    <w:next w:val="Normal"/>
    <w:link w:val="Heading4Char"/>
    <w:uiPriority w:val="9"/>
    <w:semiHidden/>
    <w:unhideWhenUsed/>
    <w:qFormat/>
    <w:rsid w:val="00774EA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B55C9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E269AD"/>
    <w:pPr>
      <w:numPr>
        <w:ilvl w:val="3"/>
      </w:numPr>
      <w:spacing w:before="200"/>
      <w:ind w:right="864"/>
    </w:pPr>
    <w:rPr>
      <w:iCs/>
      <w:color w:val="404040" w:themeColor="text1" w:themeTint="BF"/>
    </w:rPr>
  </w:style>
  <w:style w:type="character" w:customStyle="1" w:styleId="QuoteChar">
    <w:name w:val="Quote Char"/>
    <w:basedOn w:val="DefaultParagraphFont"/>
    <w:link w:val="Quote"/>
    <w:uiPriority w:val="29"/>
    <w:rsid w:val="008A4C5A"/>
    <w:rPr>
      <w:iCs/>
      <w:color w:val="404040" w:themeColor="text1" w:themeTint="BF"/>
    </w:rPr>
  </w:style>
  <w:style w:type="paragraph" w:customStyle="1" w:styleId="Hyperlinkref">
    <w:name w:val="Hyperlinkref"/>
    <w:basedOn w:val="Normal"/>
    <w:link w:val="HyperlinkrefChar"/>
    <w:qFormat/>
    <w:rsid w:val="00E269AD"/>
    <w:pPr>
      <w:numPr>
        <w:numId w:val="5"/>
      </w:numPr>
    </w:pPr>
    <w:rPr>
      <w:color w:val="5B9BD5" w:themeColor="accent1"/>
      <w:u w:val="words" w:color="5B9BD5" w:themeColor="accent1"/>
    </w:rPr>
  </w:style>
  <w:style w:type="character" w:customStyle="1" w:styleId="HyperlinkrefChar">
    <w:name w:val="Hyperlinkref Char"/>
    <w:basedOn w:val="DefaultParagraphFont"/>
    <w:link w:val="Hyperlinkref"/>
    <w:rsid w:val="00E269AD"/>
    <w:rPr>
      <w:color w:val="5B9BD5" w:themeColor="accent1"/>
      <w:u w:val="words" w:color="5B9BD5" w:themeColor="accent1"/>
    </w:rPr>
  </w:style>
  <w:style w:type="paragraph" w:styleId="ListParagraph">
    <w:name w:val="List Paragraph"/>
    <w:basedOn w:val="Normal"/>
    <w:uiPriority w:val="1"/>
    <w:qFormat/>
    <w:rsid w:val="000C1321"/>
    <w:pPr>
      <w:ind w:left="720"/>
      <w:contextualSpacing/>
    </w:pPr>
  </w:style>
  <w:style w:type="paragraph" w:customStyle="1" w:styleId="Pa2">
    <w:name w:val="Pa2"/>
    <w:basedOn w:val="Normal"/>
    <w:next w:val="Normal"/>
    <w:uiPriority w:val="99"/>
    <w:rsid w:val="000C1321"/>
    <w:pPr>
      <w:autoSpaceDE w:val="0"/>
      <w:autoSpaceDN w:val="0"/>
      <w:adjustRightInd w:val="0"/>
      <w:spacing w:after="0" w:line="261" w:lineRule="atLeast"/>
    </w:pPr>
    <w:rPr>
      <w:rFonts w:ascii="Myriad Pro" w:hAnsi="Myriad Pro"/>
      <w:sz w:val="24"/>
      <w:szCs w:val="24"/>
    </w:rPr>
  </w:style>
  <w:style w:type="paragraph" w:customStyle="1" w:styleId="Pa4">
    <w:name w:val="Pa4"/>
    <w:basedOn w:val="Normal"/>
    <w:next w:val="Normal"/>
    <w:uiPriority w:val="99"/>
    <w:rsid w:val="000C1321"/>
    <w:pPr>
      <w:autoSpaceDE w:val="0"/>
      <w:autoSpaceDN w:val="0"/>
      <w:adjustRightInd w:val="0"/>
      <w:spacing w:after="0" w:line="221" w:lineRule="atLeast"/>
    </w:pPr>
    <w:rPr>
      <w:rFonts w:ascii="Myriad Pro" w:hAnsi="Myriad Pro"/>
      <w:sz w:val="24"/>
      <w:szCs w:val="24"/>
    </w:rPr>
  </w:style>
  <w:style w:type="paragraph" w:customStyle="1" w:styleId="Pa11">
    <w:name w:val="Pa11"/>
    <w:basedOn w:val="Normal"/>
    <w:next w:val="Normal"/>
    <w:uiPriority w:val="99"/>
    <w:rsid w:val="000C1321"/>
    <w:pPr>
      <w:autoSpaceDE w:val="0"/>
      <w:autoSpaceDN w:val="0"/>
      <w:adjustRightInd w:val="0"/>
      <w:spacing w:after="0" w:line="221" w:lineRule="atLeast"/>
    </w:pPr>
    <w:rPr>
      <w:rFonts w:ascii="Myriad Pro" w:hAnsi="Myriad Pro"/>
      <w:sz w:val="24"/>
      <w:szCs w:val="24"/>
    </w:rPr>
  </w:style>
  <w:style w:type="character" w:customStyle="1" w:styleId="A9">
    <w:name w:val="A9"/>
    <w:uiPriority w:val="99"/>
    <w:rsid w:val="000C1321"/>
    <w:rPr>
      <w:rFonts w:cs="Myriad Pro"/>
      <w:b/>
      <w:bCs/>
      <w:color w:val="000000"/>
    </w:rPr>
  </w:style>
  <w:style w:type="character" w:customStyle="1" w:styleId="Heading1Char">
    <w:name w:val="Heading 1 Char"/>
    <w:basedOn w:val="DefaultParagraphFont"/>
    <w:link w:val="Heading1"/>
    <w:uiPriority w:val="1"/>
    <w:rsid w:val="0029202F"/>
    <w:rPr>
      <w:rFonts w:asciiTheme="majorHAnsi" w:eastAsiaTheme="majorEastAsia" w:hAnsiTheme="majorHAnsi" w:cstheme="majorBidi"/>
      <w:color w:val="2E74B5" w:themeColor="accent1" w:themeShade="BF"/>
      <w:sz w:val="28"/>
      <w:szCs w:val="28"/>
    </w:rPr>
  </w:style>
  <w:style w:type="paragraph" w:styleId="BodyText">
    <w:name w:val="Body Text"/>
    <w:basedOn w:val="Normal"/>
    <w:link w:val="BodyTextChar"/>
    <w:uiPriority w:val="1"/>
    <w:qFormat/>
    <w:rsid w:val="00977B1B"/>
    <w:pPr>
      <w:widowControl w:val="0"/>
      <w:spacing w:after="0" w:line="240" w:lineRule="auto"/>
      <w:ind w:left="131"/>
    </w:pPr>
    <w:rPr>
      <w:rFonts w:ascii="Century Gothic" w:eastAsia="Century Gothic" w:hAnsi="Century Gothic"/>
      <w:sz w:val="17"/>
      <w:szCs w:val="17"/>
      <w:lang w:val="en-US"/>
    </w:rPr>
  </w:style>
  <w:style w:type="character" w:customStyle="1" w:styleId="BodyTextChar">
    <w:name w:val="Body Text Char"/>
    <w:basedOn w:val="DefaultParagraphFont"/>
    <w:link w:val="BodyText"/>
    <w:uiPriority w:val="1"/>
    <w:rsid w:val="00977B1B"/>
    <w:rPr>
      <w:rFonts w:ascii="Century Gothic" w:eastAsia="Century Gothic" w:hAnsi="Century Gothic"/>
      <w:sz w:val="17"/>
      <w:szCs w:val="17"/>
      <w:lang w:val="en-US"/>
    </w:rPr>
  </w:style>
  <w:style w:type="paragraph" w:customStyle="1" w:styleId="TableParagraph">
    <w:name w:val="Table Paragraph"/>
    <w:basedOn w:val="Normal"/>
    <w:uiPriority w:val="1"/>
    <w:qFormat/>
    <w:rsid w:val="00977B1B"/>
    <w:pPr>
      <w:widowControl w:val="0"/>
      <w:spacing w:after="0" w:line="240" w:lineRule="auto"/>
    </w:pPr>
    <w:rPr>
      <w:lang w:val="en-US"/>
    </w:rPr>
  </w:style>
  <w:style w:type="character" w:customStyle="1" w:styleId="Heading2Char">
    <w:name w:val="Heading 2 Char"/>
    <w:basedOn w:val="DefaultParagraphFont"/>
    <w:link w:val="Heading2"/>
    <w:uiPriority w:val="9"/>
    <w:rsid w:val="0029202F"/>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F952EA"/>
    <w:rPr>
      <w:color w:val="0563C1" w:themeColor="hyperlink"/>
      <w:u w:val="single"/>
    </w:rPr>
  </w:style>
  <w:style w:type="character" w:customStyle="1" w:styleId="Heading3Char">
    <w:name w:val="Heading 3 Char"/>
    <w:basedOn w:val="DefaultParagraphFont"/>
    <w:link w:val="Heading3"/>
    <w:uiPriority w:val="9"/>
    <w:rsid w:val="00D47B28"/>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uiPriority w:val="9"/>
    <w:semiHidden/>
    <w:rsid w:val="00B55C98"/>
    <w:rPr>
      <w:rFonts w:asciiTheme="majorHAnsi" w:eastAsiaTheme="majorEastAsia" w:hAnsiTheme="majorHAnsi" w:cstheme="majorBidi"/>
      <w:i/>
      <w:iCs/>
      <w:color w:val="1F4D78" w:themeColor="accent1" w:themeShade="7F"/>
    </w:rPr>
  </w:style>
  <w:style w:type="character" w:customStyle="1" w:styleId="Heading4Char">
    <w:name w:val="Heading 4 Char"/>
    <w:basedOn w:val="DefaultParagraphFont"/>
    <w:link w:val="Heading4"/>
    <w:uiPriority w:val="9"/>
    <w:semiHidden/>
    <w:rsid w:val="00774EAA"/>
    <w:rPr>
      <w:rFonts w:asciiTheme="majorHAnsi" w:eastAsiaTheme="majorEastAsia" w:hAnsiTheme="majorHAnsi" w:cstheme="majorBidi"/>
      <w:i/>
      <w:iCs/>
      <w:color w:val="2E74B5" w:themeColor="accent1" w:themeShade="BF"/>
    </w:rPr>
  </w:style>
  <w:style w:type="paragraph" w:styleId="Title">
    <w:name w:val="Title"/>
    <w:basedOn w:val="Normal"/>
    <w:next w:val="Normal"/>
    <w:link w:val="TitleChar"/>
    <w:uiPriority w:val="10"/>
    <w:qFormat/>
    <w:rsid w:val="004107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073A"/>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4232BF"/>
    <w:rPr>
      <w:color w:val="954F72" w:themeColor="followedHyperlink"/>
      <w:u w:val="single"/>
    </w:rPr>
  </w:style>
  <w:style w:type="paragraph" w:styleId="Header">
    <w:name w:val="header"/>
    <w:basedOn w:val="Normal"/>
    <w:link w:val="HeaderChar"/>
    <w:uiPriority w:val="99"/>
    <w:unhideWhenUsed/>
    <w:rsid w:val="00486A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A02"/>
  </w:style>
  <w:style w:type="paragraph" w:styleId="Footer">
    <w:name w:val="footer"/>
    <w:basedOn w:val="Normal"/>
    <w:link w:val="FooterChar"/>
    <w:uiPriority w:val="99"/>
    <w:unhideWhenUsed/>
    <w:rsid w:val="00486A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A02"/>
  </w:style>
  <w:style w:type="paragraph" w:styleId="TOCHeading">
    <w:name w:val="TOC Heading"/>
    <w:basedOn w:val="Heading1"/>
    <w:next w:val="Normal"/>
    <w:uiPriority w:val="39"/>
    <w:unhideWhenUsed/>
    <w:qFormat/>
    <w:rsid w:val="00DB3B76"/>
    <w:pPr>
      <w:spacing w:before="240"/>
      <w:outlineLvl w:val="9"/>
    </w:pPr>
    <w:rPr>
      <w:sz w:val="32"/>
      <w:szCs w:val="32"/>
      <w:lang w:val="en-US"/>
    </w:rPr>
  </w:style>
  <w:style w:type="paragraph" w:styleId="TOC1">
    <w:name w:val="toc 1"/>
    <w:basedOn w:val="Normal"/>
    <w:next w:val="Normal"/>
    <w:autoRedefine/>
    <w:uiPriority w:val="39"/>
    <w:unhideWhenUsed/>
    <w:rsid w:val="006701C3"/>
    <w:pPr>
      <w:tabs>
        <w:tab w:val="right" w:leader="dot" w:pos="9540"/>
      </w:tabs>
      <w:spacing w:after="100"/>
    </w:pPr>
  </w:style>
  <w:style w:type="paragraph" w:styleId="TOC2">
    <w:name w:val="toc 2"/>
    <w:basedOn w:val="Normal"/>
    <w:next w:val="Normal"/>
    <w:autoRedefine/>
    <w:uiPriority w:val="39"/>
    <w:unhideWhenUsed/>
    <w:rsid w:val="006701C3"/>
    <w:pPr>
      <w:tabs>
        <w:tab w:val="right" w:leader="dot" w:pos="9540"/>
      </w:tabs>
      <w:spacing w:after="100"/>
      <w:ind w:left="220"/>
    </w:pPr>
  </w:style>
  <w:style w:type="paragraph" w:styleId="TOC3">
    <w:name w:val="toc 3"/>
    <w:basedOn w:val="Normal"/>
    <w:next w:val="Normal"/>
    <w:autoRedefine/>
    <w:uiPriority w:val="39"/>
    <w:unhideWhenUsed/>
    <w:rsid w:val="00DB3B76"/>
    <w:pPr>
      <w:spacing w:after="100"/>
      <w:ind w:left="440"/>
    </w:pPr>
  </w:style>
  <w:style w:type="paragraph" w:styleId="BalloonText">
    <w:name w:val="Balloon Text"/>
    <w:basedOn w:val="Normal"/>
    <w:link w:val="BalloonTextChar"/>
    <w:uiPriority w:val="99"/>
    <w:semiHidden/>
    <w:unhideWhenUsed/>
    <w:rsid w:val="00BB3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9F5"/>
    <w:rPr>
      <w:rFonts w:ascii="Tahoma" w:hAnsi="Tahoma" w:cs="Tahoma"/>
      <w:sz w:val="16"/>
      <w:szCs w:val="16"/>
    </w:rPr>
  </w:style>
  <w:style w:type="paragraph" w:styleId="Revision">
    <w:name w:val="Revision"/>
    <w:hidden/>
    <w:uiPriority w:val="99"/>
    <w:semiHidden/>
    <w:rsid w:val="00921016"/>
    <w:pPr>
      <w:spacing w:after="0" w:line="240" w:lineRule="auto"/>
    </w:pPr>
  </w:style>
  <w:style w:type="character" w:styleId="CommentReference">
    <w:name w:val="annotation reference"/>
    <w:basedOn w:val="DefaultParagraphFont"/>
    <w:uiPriority w:val="99"/>
    <w:semiHidden/>
    <w:unhideWhenUsed/>
    <w:rsid w:val="008A13FF"/>
    <w:rPr>
      <w:sz w:val="16"/>
      <w:szCs w:val="16"/>
    </w:rPr>
  </w:style>
  <w:style w:type="paragraph" w:styleId="CommentText">
    <w:name w:val="annotation text"/>
    <w:basedOn w:val="Normal"/>
    <w:link w:val="CommentTextChar"/>
    <w:uiPriority w:val="99"/>
    <w:semiHidden/>
    <w:unhideWhenUsed/>
    <w:rsid w:val="008A13FF"/>
    <w:pPr>
      <w:spacing w:line="240" w:lineRule="auto"/>
    </w:pPr>
    <w:rPr>
      <w:sz w:val="20"/>
      <w:szCs w:val="20"/>
    </w:rPr>
  </w:style>
  <w:style w:type="character" w:customStyle="1" w:styleId="CommentTextChar">
    <w:name w:val="Comment Text Char"/>
    <w:basedOn w:val="DefaultParagraphFont"/>
    <w:link w:val="CommentText"/>
    <w:uiPriority w:val="99"/>
    <w:semiHidden/>
    <w:rsid w:val="008A13FF"/>
    <w:rPr>
      <w:sz w:val="20"/>
      <w:szCs w:val="20"/>
    </w:rPr>
  </w:style>
  <w:style w:type="paragraph" w:styleId="CommentSubject">
    <w:name w:val="annotation subject"/>
    <w:basedOn w:val="CommentText"/>
    <w:next w:val="CommentText"/>
    <w:link w:val="CommentSubjectChar"/>
    <w:uiPriority w:val="99"/>
    <w:semiHidden/>
    <w:unhideWhenUsed/>
    <w:rsid w:val="008A13FF"/>
    <w:rPr>
      <w:b/>
      <w:bCs/>
    </w:rPr>
  </w:style>
  <w:style w:type="character" w:customStyle="1" w:styleId="CommentSubjectChar">
    <w:name w:val="Comment Subject Char"/>
    <w:basedOn w:val="CommentTextChar"/>
    <w:link w:val="CommentSubject"/>
    <w:uiPriority w:val="99"/>
    <w:semiHidden/>
    <w:rsid w:val="008A13F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321"/>
  </w:style>
  <w:style w:type="paragraph" w:styleId="Heading1">
    <w:name w:val="heading 1"/>
    <w:basedOn w:val="Heading2"/>
    <w:link w:val="Heading1Char"/>
    <w:uiPriority w:val="1"/>
    <w:qFormat/>
    <w:rsid w:val="0029202F"/>
    <w:pPr>
      <w:outlineLvl w:val="0"/>
    </w:pPr>
    <w:rPr>
      <w:sz w:val="28"/>
      <w:szCs w:val="28"/>
    </w:rPr>
  </w:style>
  <w:style w:type="paragraph" w:styleId="Heading2">
    <w:name w:val="heading 2"/>
    <w:basedOn w:val="Normal"/>
    <w:next w:val="Normal"/>
    <w:link w:val="Heading2Char"/>
    <w:uiPriority w:val="9"/>
    <w:unhideWhenUsed/>
    <w:qFormat/>
    <w:rsid w:val="0029202F"/>
    <w:pPr>
      <w:keepNext/>
      <w:keepLines/>
      <w:spacing w:before="40" w:after="0"/>
      <w:outlineLvl w:val="1"/>
    </w:pPr>
    <w:rPr>
      <w:rFonts w:asciiTheme="majorHAnsi" w:eastAsiaTheme="majorEastAsia" w:hAnsiTheme="majorHAnsi" w:cstheme="majorBidi"/>
      <w:color w:val="2E74B5" w:themeColor="accent1" w:themeShade="BF"/>
    </w:rPr>
  </w:style>
  <w:style w:type="paragraph" w:styleId="Heading3">
    <w:name w:val="heading 3"/>
    <w:basedOn w:val="Heading4"/>
    <w:next w:val="Normal"/>
    <w:link w:val="Heading3Char"/>
    <w:uiPriority w:val="9"/>
    <w:unhideWhenUsed/>
    <w:qFormat/>
    <w:rsid w:val="00D47B28"/>
    <w:pPr>
      <w:ind w:right="289"/>
      <w:outlineLvl w:val="2"/>
    </w:pPr>
  </w:style>
  <w:style w:type="paragraph" w:styleId="Heading4">
    <w:name w:val="heading 4"/>
    <w:basedOn w:val="Normal"/>
    <w:next w:val="Normal"/>
    <w:link w:val="Heading4Char"/>
    <w:uiPriority w:val="9"/>
    <w:semiHidden/>
    <w:unhideWhenUsed/>
    <w:qFormat/>
    <w:rsid w:val="00774EA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B55C9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E269AD"/>
    <w:pPr>
      <w:numPr>
        <w:ilvl w:val="3"/>
      </w:numPr>
      <w:spacing w:before="200"/>
      <w:ind w:right="864"/>
    </w:pPr>
    <w:rPr>
      <w:iCs/>
      <w:color w:val="404040" w:themeColor="text1" w:themeTint="BF"/>
    </w:rPr>
  </w:style>
  <w:style w:type="character" w:customStyle="1" w:styleId="QuoteChar">
    <w:name w:val="Quote Char"/>
    <w:basedOn w:val="DefaultParagraphFont"/>
    <w:link w:val="Quote"/>
    <w:uiPriority w:val="29"/>
    <w:rsid w:val="008A4C5A"/>
    <w:rPr>
      <w:iCs/>
      <w:color w:val="404040" w:themeColor="text1" w:themeTint="BF"/>
    </w:rPr>
  </w:style>
  <w:style w:type="paragraph" w:customStyle="1" w:styleId="Hyperlinkref">
    <w:name w:val="Hyperlinkref"/>
    <w:basedOn w:val="Normal"/>
    <w:link w:val="HyperlinkrefChar"/>
    <w:qFormat/>
    <w:rsid w:val="00E269AD"/>
    <w:pPr>
      <w:numPr>
        <w:numId w:val="5"/>
      </w:numPr>
    </w:pPr>
    <w:rPr>
      <w:color w:val="5B9BD5" w:themeColor="accent1"/>
      <w:u w:val="words" w:color="5B9BD5" w:themeColor="accent1"/>
    </w:rPr>
  </w:style>
  <w:style w:type="character" w:customStyle="1" w:styleId="HyperlinkrefChar">
    <w:name w:val="Hyperlinkref Char"/>
    <w:basedOn w:val="DefaultParagraphFont"/>
    <w:link w:val="Hyperlinkref"/>
    <w:rsid w:val="00E269AD"/>
    <w:rPr>
      <w:color w:val="5B9BD5" w:themeColor="accent1"/>
      <w:u w:val="words" w:color="5B9BD5" w:themeColor="accent1"/>
    </w:rPr>
  </w:style>
  <w:style w:type="paragraph" w:styleId="ListParagraph">
    <w:name w:val="List Paragraph"/>
    <w:basedOn w:val="Normal"/>
    <w:uiPriority w:val="1"/>
    <w:qFormat/>
    <w:rsid w:val="000C1321"/>
    <w:pPr>
      <w:ind w:left="720"/>
      <w:contextualSpacing/>
    </w:pPr>
  </w:style>
  <w:style w:type="paragraph" w:customStyle="1" w:styleId="Pa2">
    <w:name w:val="Pa2"/>
    <w:basedOn w:val="Normal"/>
    <w:next w:val="Normal"/>
    <w:uiPriority w:val="99"/>
    <w:rsid w:val="000C1321"/>
    <w:pPr>
      <w:autoSpaceDE w:val="0"/>
      <w:autoSpaceDN w:val="0"/>
      <w:adjustRightInd w:val="0"/>
      <w:spacing w:after="0" w:line="261" w:lineRule="atLeast"/>
    </w:pPr>
    <w:rPr>
      <w:rFonts w:ascii="Myriad Pro" w:hAnsi="Myriad Pro"/>
      <w:sz w:val="24"/>
      <w:szCs w:val="24"/>
    </w:rPr>
  </w:style>
  <w:style w:type="paragraph" w:customStyle="1" w:styleId="Pa4">
    <w:name w:val="Pa4"/>
    <w:basedOn w:val="Normal"/>
    <w:next w:val="Normal"/>
    <w:uiPriority w:val="99"/>
    <w:rsid w:val="000C1321"/>
    <w:pPr>
      <w:autoSpaceDE w:val="0"/>
      <w:autoSpaceDN w:val="0"/>
      <w:adjustRightInd w:val="0"/>
      <w:spacing w:after="0" w:line="221" w:lineRule="atLeast"/>
    </w:pPr>
    <w:rPr>
      <w:rFonts w:ascii="Myriad Pro" w:hAnsi="Myriad Pro"/>
      <w:sz w:val="24"/>
      <w:szCs w:val="24"/>
    </w:rPr>
  </w:style>
  <w:style w:type="paragraph" w:customStyle="1" w:styleId="Pa11">
    <w:name w:val="Pa11"/>
    <w:basedOn w:val="Normal"/>
    <w:next w:val="Normal"/>
    <w:uiPriority w:val="99"/>
    <w:rsid w:val="000C1321"/>
    <w:pPr>
      <w:autoSpaceDE w:val="0"/>
      <w:autoSpaceDN w:val="0"/>
      <w:adjustRightInd w:val="0"/>
      <w:spacing w:after="0" w:line="221" w:lineRule="atLeast"/>
    </w:pPr>
    <w:rPr>
      <w:rFonts w:ascii="Myriad Pro" w:hAnsi="Myriad Pro"/>
      <w:sz w:val="24"/>
      <w:szCs w:val="24"/>
    </w:rPr>
  </w:style>
  <w:style w:type="character" w:customStyle="1" w:styleId="A9">
    <w:name w:val="A9"/>
    <w:uiPriority w:val="99"/>
    <w:rsid w:val="000C1321"/>
    <w:rPr>
      <w:rFonts w:cs="Myriad Pro"/>
      <w:b/>
      <w:bCs/>
      <w:color w:val="000000"/>
    </w:rPr>
  </w:style>
  <w:style w:type="character" w:customStyle="1" w:styleId="Heading1Char">
    <w:name w:val="Heading 1 Char"/>
    <w:basedOn w:val="DefaultParagraphFont"/>
    <w:link w:val="Heading1"/>
    <w:uiPriority w:val="1"/>
    <w:rsid w:val="0029202F"/>
    <w:rPr>
      <w:rFonts w:asciiTheme="majorHAnsi" w:eastAsiaTheme="majorEastAsia" w:hAnsiTheme="majorHAnsi" w:cstheme="majorBidi"/>
      <w:color w:val="2E74B5" w:themeColor="accent1" w:themeShade="BF"/>
      <w:sz w:val="28"/>
      <w:szCs w:val="28"/>
    </w:rPr>
  </w:style>
  <w:style w:type="paragraph" w:styleId="BodyText">
    <w:name w:val="Body Text"/>
    <w:basedOn w:val="Normal"/>
    <w:link w:val="BodyTextChar"/>
    <w:uiPriority w:val="1"/>
    <w:qFormat/>
    <w:rsid w:val="00977B1B"/>
    <w:pPr>
      <w:widowControl w:val="0"/>
      <w:spacing w:after="0" w:line="240" w:lineRule="auto"/>
      <w:ind w:left="131"/>
    </w:pPr>
    <w:rPr>
      <w:rFonts w:ascii="Century Gothic" w:eastAsia="Century Gothic" w:hAnsi="Century Gothic"/>
      <w:sz w:val="17"/>
      <w:szCs w:val="17"/>
      <w:lang w:val="en-US"/>
    </w:rPr>
  </w:style>
  <w:style w:type="character" w:customStyle="1" w:styleId="BodyTextChar">
    <w:name w:val="Body Text Char"/>
    <w:basedOn w:val="DefaultParagraphFont"/>
    <w:link w:val="BodyText"/>
    <w:uiPriority w:val="1"/>
    <w:rsid w:val="00977B1B"/>
    <w:rPr>
      <w:rFonts w:ascii="Century Gothic" w:eastAsia="Century Gothic" w:hAnsi="Century Gothic"/>
      <w:sz w:val="17"/>
      <w:szCs w:val="17"/>
      <w:lang w:val="en-US"/>
    </w:rPr>
  </w:style>
  <w:style w:type="paragraph" w:customStyle="1" w:styleId="TableParagraph">
    <w:name w:val="Table Paragraph"/>
    <w:basedOn w:val="Normal"/>
    <w:uiPriority w:val="1"/>
    <w:qFormat/>
    <w:rsid w:val="00977B1B"/>
    <w:pPr>
      <w:widowControl w:val="0"/>
      <w:spacing w:after="0" w:line="240" w:lineRule="auto"/>
    </w:pPr>
    <w:rPr>
      <w:lang w:val="en-US"/>
    </w:rPr>
  </w:style>
  <w:style w:type="character" w:customStyle="1" w:styleId="Heading2Char">
    <w:name w:val="Heading 2 Char"/>
    <w:basedOn w:val="DefaultParagraphFont"/>
    <w:link w:val="Heading2"/>
    <w:uiPriority w:val="9"/>
    <w:rsid w:val="0029202F"/>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F952EA"/>
    <w:rPr>
      <w:color w:val="0563C1" w:themeColor="hyperlink"/>
      <w:u w:val="single"/>
    </w:rPr>
  </w:style>
  <w:style w:type="character" w:customStyle="1" w:styleId="Heading3Char">
    <w:name w:val="Heading 3 Char"/>
    <w:basedOn w:val="DefaultParagraphFont"/>
    <w:link w:val="Heading3"/>
    <w:uiPriority w:val="9"/>
    <w:rsid w:val="00D47B28"/>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uiPriority w:val="9"/>
    <w:semiHidden/>
    <w:rsid w:val="00B55C98"/>
    <w:rPr>
      <w:rFonts w:asciiTheme="majorHAnsi" w:eastAsiaTheme="majorEastAsia" w:hAnsiTheme="majorHAnsi" w:cstheme="majorBidi"/>
      <w:i/>
      <w:iCs/>
      <w:color w:val="1F4D78" w:themeColor="accent1" w:themeShade="7F"/>
    </w:rPr>
  </w:style>
  <w:style w:type="character" w:customStyle="1" w:styleId="Heading4Char">
    <w:name w:val="Heading 4 Char"/>
    <w:basedOn w:val="DefaultParagraphFont"/>
    <w:link w:val="Heading4"/>
    <w:uiPriority w:val="9"/>
    <w:semiHidden/>
    <w:rsid w:val="00774EAA"/>
    <w:rPr>
      <w:rFonts w:asciiTheme="majorHAnsi" w:eastAsiaTheme="majorEastAsia" w:hAnsiTheme="majorHAnsi" w:cstheme="majorBidi"/>
      <w:i/>
      <w:iCs/>
      <w:color w:val="2E74B5" w:themeColor="accent1" w:themeShade="BF"/>
    </w:rPr>
  </w:style>
  <w:style w:type="paragraph" w:styleId="Title">
    <w:name w:val="Title"/>
    <w:basedOn w:val="Normal"/>
    <w:next w:val="Normal"/>
    <w:link w:val="TitleChar"/>
    <w:uiPriority w:val="10"/>
    <w:qFormat/>
    <w:rsid w:val="004107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073A"/>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4232BF"/>
    <w:rPr>
      <w:color w:val="954F72" w:themeColor="followedHyperlink"/>
      <w:u w:val="single"/>
    </w:rPr>
  </w:style>
  <w:style w:type="paragraph" w:styleId="Header">
    <w:name w:val="header"/>
    <w:basedOn w:val="Normal"/>
    <w:link w:val="HeaderChar"/>
    <w:uiPriority w:val="99"/>
    <w:unhideWhenUsed/>
    <w:rsid w:val="00486A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A02"/>
  </w:style>
  <w:style w:type="paragraph" w:styleId="Footer">
    <w:name w:val="footer"/>
    <w:basedOn w:val="Normal"/>
    <w:link w:val="FooterChar"/>
    <w:uiPriority w:val="99"/>
    <w:unhideWhenUsed/>
    <w:rsid w:val="00486A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A02"/>
  </w:style>
  <w:style w:type="paragraph" w:styleId="TOCHeading">
    <w:name w:val="TOC Heading"/>
    <w:basedOn w:val="Heading1"/>
    <w:next w:val="Normal"/>
    <w:uiPriority w:val="39"/>
    <w:unhideWhenUsed/>
    <w:qFormat/>
    <w:rsid w:val="00DB3B76"/>
    <w:pPr>
      <w:spacing w:before="240"/>
      <w:outlineLvl w:val="9"/>
    </w:pPr>
    <w:rPr>
      <w:sz w:val="32"/>
      <w:szCs w:val="32"/>
      <w:lang w:val="en-US"/>
    </w:rPr>
  </w:style>
  <w:style w:type="paragraph" w:styleId="TOC1">
    <w:name w:val="toc 1"/>
    <w:basedOn w:val="Normal"/>
    <w:next w:val="Normal"/>
    <w:autoRedefine/>
    <w:uiPriority w:val="39"/>
    <w:unhideWhenUsed/>
    <w:rsid w:val="006701C3"/>
    <w:pPr>
      <w:tabs>
        <w:tab w:val="right" w:leader="dot" w:pos="9540"/>
      </w:tabs>
      <w:spacing w:after="100"/>
    </w:pPr>
  </w:style>
  <w:style w:type="paragraph" w:styleId="TOC2">
    <w:name w:val="toc 2"/>
    <w:basedOn w:val="Normal"/>
    <w:next w:val="Normal"/>
    <w:autoRedefine/>
    <w:uiPriority w:val="39"/>
    <w:unhideWhenUsed/>
    <w:rsid w:val="006701C3"/>
    <w:pPr>
      <w:tabs>
        <w:tab w:val="right" w:leader="dot" w:pos="9540"/>
      </w:tabs>
      <w:spacing w:after="100"/>
      <w:ind w:left="220"/>
    </w:pPr>
  </w:style>
  <w:style w:type="paragraph" w:styleId="TOC3">
    <w:name w:val="toc 3"/>
    <w:basedOn w:val="Normal"/>
    <w:next w:val="Normal"/>
    <w:autoRedefine/>
    <w:uiPriority w:val="39"/>
    <w:unhideWhenUsed/>
    <w:rsid w:val="00DB3B76"/>
    <w:pPr>
      <w:spacing w:after="100"/>
      <w:ind w:left="440"/>
    </w:pPr>
  </w:style>
  <w:style w:type="paragraph" w:styleId="BalloonText">
    <w:name w:val="Balloon Text"/>
    <w:basedOn w:val="Normal"/>
    <w:link w:val="BalloonTextChar"/>
    <w:uiPriority w:val="99"/>
    <w:semiHidden/>
    <w:unhideWhenUsed/>
    <w:rsid w:val="00BB3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9F5"/>
    <w:rPr>
      <w:rFonts w:ascii="Tahoma" w:hAnsi="Tahoma" w:cs="Tahoma"/>
      <w:sz w:val="16"/>
      <w:szCs w:val="16"/>
    </w:rPr>
  </w:style>
  <w:style w:type="paragraph" w:styleId="Revision">
    <w:name w:val="Revision"/>
    <w:hidden/>
    <w:uiPriority w:val="99"/>
    <w:semiHidden/>
    <w:rsid w:val="00921016"/>
    <w:pPr>
      <w:spacing w:after="0" w:line="240" w:lineRule="auto"/>
    </w:pPr>
  </w:style>
  <w:style w:type="character" w:styleId="CommentReference">
    <w:name w:val="annotation reference"/>
    <w:basedOn w:val="DefaultParagraphFont"/>
    <w:uiPriority w:val="99"/>
    <w:semiHidden/>
    <w:unhideWhenUsed/>
    <w:rsid w:val="008A13FF"/>
    <w:rPr>
      <w:sz w:val="16"/>
      <w:szCs w:val="16"/>
    </w:rPr>
  </w:style>
  <w:style w:type="paragraph" w:styleId="CommentText">
    <w:name w:val="annotation text"/>
    <w:basedOn w:val="Normal"/>
    <w:link w:val="CommentTextChar"/>
    <w:uiPriority w:val="99"/>
    <w:semiHidden/>
    <w:unhideWhenUsed/>
    <w:rsid w:val="008A13FF"/>
    <w:pPr>
      <w:spacing w:line="240" w:lineRule="auto"/>
    </w:pPr>
    <w:rPr>
      <w:sz w:val="20"/>
      <w:szCs w:val="20"/>
    </w:rPr>
  </w:style>
  <w:style w:type="character" w:customStyle="1" w:styleId="CommentTextChar">
    <w:name w:val="Comment Text Char"/>
    <w:basedOn w:val="DefaultParagraphFont"/>
    <w:link w:val="CommentText"/>
    <w:uiPriority w:val="99"/>
    <w:semiHidden/>
    <w:rsid w:val="008A13FF"/>
    <w:rPr>
      <w:sz w:val="20"/>
      <w:szCs w:val="20"/>
    </w:rPr>
  </w:style>
  <w:style w:type="paragraph" w:styleId="CommentSubject">
    <w:name w:val="annotation subject"/>
    <w:basedOn w:val="CommentText"/>
    <w:next w:val="CommentText"/>
    <w:link w:val="CommentSubjectChar"/>
    <w:uiPriority w:val="99"/>
    <w:semiHidden/>
    <w:unhideWhenUsed/>
    <w:rsid w:val="008A13FF"/>
    <w:rPr>
      <w:b/>
      <w:bCs/>
    </w:rPr>
  </w:style>
  <w:style w:type="character" w:customStyle="1" w:styleId="CommentSubjectChar">
    <w:name w:val="Comment Subject Char"/>
    <w:basedOn w:val="CommentTextChar"/>
    <w:link w:val="CommentSubject"/>
    <w:uiPriority w:val="99"/>
    <w:semiHidden/>
    <w:rsid w:val="008A13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16210">
      <w:bodyDiv w:val="1"/>
      <w:marLeft w:val="0"/>
      <w:marRight w:val="0"/>
      <w:marTop w:val="0"/>
      <w:marBottom w:val="0"/>
      <w:divBdr>
        <w:top w:val="none" w:sz="0" w:space="0" w:color="auto"/>
        <w:left w:val="none" w:sz="0" w:space="0" w:color="auto"/>
        <w:bottom w:val="none" w:sz="0" w:space="0" w:color="auto"/>
        <w:right w:val="none" w:sz="0" w:space="0" w:color="auto"/>
      </w:divBdr>
    </w:div>
    <w:div w:id="657197099">
      <w:bodyDiv w:val="1"/>
      <w:marLeft w:val="0"/>
      <w:marRight w:val="0"/>
      <w:marTop w:val="0"/>
      <w:marBottom w:val="0"/>
      <w:divBdr>
        <w:top w:val="none" w:sz="0" w:space="0" w:color="auto"/>
        <w:left w:val="none" w:sz="0" w:space="0" w:color="auto"/>
        <w:bottom w:val="none" w:sz="0" w:space="0" w:color="auto"/>
        <w:right w:val="none" w:sz="0" w:space="0" w:color="auto"/>
      </w:divBdr>
    </w:div>
    <w:div w:id="684476154">
      <w:bodyDiv w:val="1"/>
      <w:marLeft w:val="0"/>
      <w:marRight w:val="0"/>
      <w:marTop w:val="0"/>
      <w:marBottom w:val="0"/>
      <w:divBdr>
        <w:top w:val="none" w:sz="0" w:space="0" w:color="auto"/>
        <w:left w:val="none" w:sz="0" w:space="0" w:color="auto"/>
        <w:bottom w:val="none" w:sz="0" w:space="0" w:color="auto"/>
        <w:right w:val="none" w:sz="0" w:space="0" w:color="auto"/>
      </w:divBdr>
    </w:div>
    <w:div w:id="844436442">
      <w:bodyDiv w:val="1"/>
      <w:marLeft w:val="0"/>
      <w:marRight w:val="0"/>
      <w:marTop w:val="0"/>
      <w:marBottom w:val="0"/>
      <w:divBdr>
        <w:top w:val="none" w:sz="0" w:space="0" w:color="auto"/>
        <w:left w:val="none" w:sz="0" w:space="0" w:color="auto"/>
        <w:bottom w:val="none" w:sz="0" w:space="0" w:color="auto"/>
        <w:right w:val="none" w:sz="0" w:space="0" w:color="auto"/>
      </w:divBdr>
    </w:div>
    <w:div w:id="890313921">
      <w:bodyDiv w:val="1"/>
      <w:marLeft w:val="0"/>
      <w:marRight w:val="0"/>
      <w:marTop w:val="0"/>
      <w:marBottom w:val="0"/>
      <w:divBdr>
        <w:top w:val="none" w:sz="0" w:space="0" w:color="auto"/>
        <w:left w:val="none" w:sz="0" w:space="0" w:color="auto"/>
        <w:bottom w:val="none" w:sz="0" w:space="0" w:color="auto"/>
        <w:right w:val="none" w:sz="0" w:space="0" w:color="auto"/>
      </w:divBdr>
    </w:div>
    <w:div w:id="981809292">
      <w:bodyDiv w:val="1"/>
      <w:marLeft w:val="0"/>
      <w:marRight w:val="0"/>
      <w:marTop w:val="0"/>
      <w:marBottom w:val="0"/>
      <w:divBdr>
        <w:top w:val="none" w:sz="0" w:space="0" w:color="auto"/>
        <w:left w:val="none" w:sz="0" w:space="0" w:color="auto"/>
        <w:bottom w:val="none" w:sz="0" w:space="0" w:color="auto"/>
        <w:right w:val="none" w:sz="0" w:space="0" w:color="auto"/>
      </w:divBdr>
    </w:div>
    <w:div w:id="1070035048">
      <w:bodyDiv w:val="1"/>
      <w:marLeft w:val="0"/>
      <w:marRight w:val="0"/>
      <w:marTop w:val="0"/>
      <w:marBottom w:val="0"/>
      <w:divBdr>
        <w:top w:val="none" w:sz="0" w:space="0" w:color="auto"/>
        <w:left w:val="none" w:sz="0" w:space="0" w:color="auto"/>
        <w:bottom w:val="none" w:sz="0" w:space="0" w:color="auto"/>
        <w:right w:val="none" w:sz="0" w:space="0" w:color="auto"/>
      </w:divBdr>
    </w:div>
    <w:div w:id="1213738660">
      <w:bodyDiv w:val="1"/>
      <w:marLeft w:val="0"/>
      <w:marRight w:val="0"/>
      <w:marTop w:val="0"/>
      <w:marBottom w:val="0"/>
      <w:divBdr>
        <w:top w:val="none" w:sz="0" w:space="0" w:color="auto"/>
        <w:left w:val="none" w:sz="0" w:space="0" w:color="auto"/>
        <w:bottom w:val="none" w:sz="0" w:space="0" w:color="auto"/>
        <w:right w:val="none" w:sz="0" w:space="0" w:color="auto"/>
      </w:divBdr>
    </w:div>
    <w:div w:id="1519662730">
      <w:bodyDiv w:val="1"/>
      <w:marLeft w:val="0"/>
      <w:marRight w:val="0"/>
      <w:marTop w:val="0"/>
      <w:marBottom w:val="0"/>
      <w:divBdr>
        <w:top w:val="none" w:sz="0" w:space="0" w:color="auto"/>
        <w:left w:val="none" w:sz="0" w:space="0" w:color="auto"/>
        <w:bottom w:val="none" w:sz="0" w:space="0" w:color="auto"/>
        <w:right w:val="none" w:sz="0" w:space="0" w:color="auto"/>
      </w:divBdr>
    </w:div>
    <w:div w:id="1841431564">
      <w:bodyDiv w:val="1"/>
      <w:marLeft w:val="0"/>
      <w:marRight w:val="0"/>
      <w:marTop w:val="0"/>
      <w:marBottom w:val="0"/>
      <w:divBdr>
        <w:top w:val="none" w:sz="0" w:space="0" w:color="auto"/>
        <w:left w:val="none" w:sz="0" w:space="0" w:color="auto"/>
        <w:bottom w:val="none" w:sz="0" w:space="0" w:color="auto"/>
        <w:right w:val="none" w:sz="0" w:space="0" w:color="auto"/>
      </w:divBdr>
    </w:div>
    <w:div w:id="1991713628">
      <w:bodyDiv w:val="1"/>
      <w:marLeft w:val="0"/>
      <w:marRight w:val="0"/>
      <w:marTop w:val="0"/>
      <w:marBottom w:val="0"/>
      <w:divBdr>
        <w:top w:val="none" w:sz="0" w:space="0" w:color="auto"/>
        <w:left w:val="none" w:sz="0" w:space="0" w:color="auto"/>
        <w:bottom w:val="none" w:sz="0" w:space="0" w:color="auto"/>
        <w:right w:val="none" w:sz="0" w:space="0" w:color="auto"/>
      </w:divBdr>
    </w:div>
    <w:div w:id="2094037947">
      <w:bodyDiv w:val="1"/>
      <w:marLeft w:val="0"/>
      <w:marRight w:val="0"/>
      <w:marTop w:val="0"/>
      <w:marBottom w:val="0"/>
      <w:divBdr>
        <w:top w:val="none" w:sz="0" w:space="0" w:color="auto"/>
        <w:left w:val="none" w:sz="0" w:space="0" w:color="auto"/>
        <w:bottom w:val="none" w:sz="0" w:space="0" w:color="auto"/>
        <w:right w:val="none" w:sz="0" w:space="0" w:color="auto"/>
      </w:divBdr>
    </w:div>
    <w:div w:id="213891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doNotUseLongFileName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ealth.gov.au/internet/main/publishing.nsf/Content/maif-c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thics.org.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aif@health.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15E87-0FF6-4058-A19A-C2A947238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5598</Words>
  <Characters>31915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St James Ethics Centre</Company>
  <LinksUpToDate>false</LinksUpToDate>
  <CharactersWithSpaces>37439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of the Marketing in Australia of Infant Formula Tribunal 2015-2016</dc:title>
  <dc:creator>The Ethics Centre</dc:creator>
  <cp:lastModifiedBy>Adams James</cp:lastModifiedBy>
  <cp:revision>3</cp:revision>
  <cp:lastPrinted>2016-04-26T11:56:00Z</cp:lastPrinted>
  <dcterms:created xsi:type="dcterms:W3CDTF">2017-06-08T06:21:00Z</dcterms:created>
  <dcterms:modified xsi:type="dcterms:W3CDTF">2017-06-08T06:24:00Z</dcterms:modified>
</cp:coreProperties>
</file>