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902712415"/>
        <w:docPartObj>
          <w:docPartGallery w:val="Table of Contents"/>
          <w:docPartUnique/>
        </w:docPartObj>
      </w:sdtPr>
      <w:sdtEndPr>
        <w:rPr>
          <w:b/>
          <w:bCs/>
          <w:noProof/>
        </w:rPr>
      </w:sdtEndPr>
      <w:sdtContent>
        <w:p w14:paraId="76ACAA49" w14:textId="7E1E4A9C" w:rsidR="004B2D48" w:rsidRPr="00486377" w:rsidRDefault="004B2D48" w:rsidP="004B2D48">
          <w:pPr>
            <w:pStyle w:val="Footer"/>
            <w:rPr>
              <w:rStyle w:val="TitleChar"/>
            </w:rPr>
          </w:pPr>
          <w:r w:rsidRPr="008C4FEA">
            <w:rPr>
              <w:rStyle w:val="TitleChar"/>
              <w:b/>
            </w:rPr>
            <w:t>Appendices:</w:t>
          </w:r>
          <w:r w:rsidRPr="00486377">
            <w:rPr>
              <w:rStyle w:val="TitleChar"/>
            </w:rPr>
            <w:t xml:space="preserve"> </w:t>
          </w:r>
          <w:sdt>
            <w:sdtPr>
              <w:rPr>
                <w:rStyle w:val="TitleChar"/>
              </w:rPr>
              <w:id w:val="1552187207"/>
              <w:docPartObj>
                <w:docPartGallery w:val="Page Numbers (Top of Page)"/>
                <w:docPartUnique/>
              </w:docPartObj>
            </w:sdtPr>
            <w:sdtEndPr>
              <w:rPr>
                <w:rStyle w:val="TitleChar"/>
              </w:rPr>
            </w:sdtEndPr>
            <w:sdtContent>
              <w:r w:rsidRPr="00486377">
                <w:rPr>
                  <w:rStyle w:val="TitleChar"/>
                </w:rPr>
                <w:t>Impact Analysis – Alternative models for allocating residential aged care places</w:t>
              </w:r>
              <w:r w:rsidRPr="00486377">
                <w:rPr>
                  <w:rStyle w:val="TitleChar"/>
                </w:rPr>
                <w:tab/>
              </w:r>
            </w:sdtContent>
          </w:sdt>
        </w:p>
        <w:p w14:paraId="590DB019" w14:textId="5ECB7716" w:rsidR="004B2D48" w:rsidRPr="00340489" w:rsidRDefault="004B2D48" w:rsidP="004B2D48">
          <w:pPr>
            <w:pStyle w:val="TOC1"/>
            <w:rPr>
              <w:rFonts w:asciiTheme="minorHAnsi" w:hAnsiTheme="minorHAnsi" w:cstheme="minorHAnsi"/>
              <w:sz w:val="24"/>
              <w:szCs w:val="24"/>
            </w:rPr>
          </w:pPr>
          <w:r>
            <w:fldChar w:fldCharType="begin"/>
          </w:r>
          <w:r>
            <w:instrText xml:space="preserve"> TOC \o "1-3" \h \z \u </w:instrText>
          </w:r>
          <w:r>
            <w:fldChar w:fldCharType="separate"/>
          </w:r>
          <w:hyperlink w:anchor="_Toc31294047" w:history="1">
            <w:r w:rsidRPr="00340489">
              <w:rPr>
                <w:rStyle w:val="Hyperlink"/>
                <w:rFonts w:asciiTheme="minorHAnsi" w:hAnsiTheme="minorHAnsi" w:cstheme="minorHAnsi"/>
                <w:sz w:val="24"/>
                <w:szCs w:val="24"/>
                <w:lang w:eastAsia="en-US"/>
              </w:rPr>
              <w:t>Appendix A: Project inception note for informal discussions</w:t>
            </w:r>
            <w:r w:rsidRPr="00340489">
              <w:rPr>
                <w:rFonts w:asciiTheme="minorHAnsi" w:hAnsiTheme="minorHAnsi" w:cstheme="minorHAnsi"/>
                <w:webHidden/>
                <w:sz w:val="24"/>
                <w:szCs w:val="24"/>
              </w:rPr>
              <w:tab/>
              <w:t>2</w:t>
            </w:r>
          </w:hyperlink>
        </w:p>
        <w:p w14:paraId="7D299967" w14:textId="402CE4C7" w:rsidR="004B2D48" w:rsidRPr="00340489" w:rsidRDefault="00F14E8A" w:rsidP="004B2D48">
          <w:pPr>
            <w:pStyle w:val="TOC1"/>
            <w:rPr>
              <w:rFonts w:asciiTheme="minorHAnsi" w:hAnsiTheme="minorHAnsi" w:cstheme="minorHAnsi"/>
              <w:sz w:val="24"/>
              <w:szCs w:val="24"/>
            </w:rPr>
          </w:pPr>
          <w:hyperlink w:anchor="_Toc31294048" w:history="1">
            <w:r w:rsidR="004B2D48" w:rsidRPr="00340489">
              <w:rPr>
                <w:rStyle w:val="Hyperlink"/>
                <w:rFonts w:asciiTheme="minorHAnsi" w:hAnsiTheme="minorHAnsi" w:cstheme="minorHAnsi"/>
                <w:sz w:val="24"/>
                <w:szCs w:val="24"/>
                <w:lang w:eastAsia="en-US"/>
              </w:rPr>
              <w:t>Appendix B: Public discussion paper</w:t>
            </w:r>
            <w:r w:rsidR="004B2D48" w:rsidRPr="00340489">
              <w:rPr>
                <w:rFonts w:asciiTheme="minorHAnsi" w:hAnsiTheme="minorHAnsi" w:cstheme="minorHAnsi"/>
                <w:webHidden/>
                <w:sz w:val="24"/>
                <w:szCs w:val="24"/>
              </w:rPr>
              <w:tab/>
              <w:t>7</w:t>
            </w:r>
          </w:hyperlink>
        </w:p>
        <w:p w14:paraId="3FEEFAF4" w14:textId="4D1E7DEF" w:rsidR="004B2D48" w:rsidRPr="00340489" w:rsidRDefault="00F14E8A" w:rsidP="004B2D48">
          <w:pPr>
            <w:pStyle w:val="TOC1"/>
            <w:rPr>
              <w:rFonts w:asciiTheme="minorHAnsi" w:hAnsiTheme="minorHAnsi" w:cstheme="minorHAnsi"/>
              <w:sz w:val="24"/>
              <w:szCs w:val="24"/>
            </w:rPr>
          </w:pPr>
          <w:hyperlink w:anchor="_Toc31294049" w:history="1">
            <w:r w:rsidR="004B2D48" w:rsidRPr="00340489">
              <w:rPr>
                <w:rStyle w:val="Hyperlink"/>
                <w:rFonts w:asciiTheme="minorHAnsi" w:hAnsiTheme="minorHAnsi" w:cstheme="minorHAnsi"/>
                <w:sz w:val="24"/>
                <w:szCs w:val="24"/>
              </w:rPr>
              <w:t>Appendix C: Submissions to public discussion paper</w:t>
            </w:r>
            <w:r w:rsidR="004B2D48" w:rsidRPr="00340489">
              <w:rPr>
                <w:rFonts w:asciiTheme="minorHAnsi" w:hAnsiTheme="minorHAnsi" w:cstheme="minorHAnsi"/>
                <w:webHidden/>
                <w:sz w:val="24"/>
                <w:szCs w:val="24"/>
              </w:rPr>
              <w:tab/>
              <w:t>39</w:t>
            </w:r>
          </w:hyperlink>
        </w:p>
        <w:p w14:paraId="4E1E4A44" w14:textId="10031C39" w:rsidR="004B2D48" w:rsidRPr="00340489" w:rsidRDefault="00F14E8A" w:rsidP="004B2D48">
          <w:pPr>
            <w:pStyle w:val="TOC1"/>
            <w:rPr>
              <w:rStyle w:val="Hyperlink"/>
              <w:rFonts w:asciiTheme="minorHAnsi" w:hAnsiTheme="minorHAnsi" w:cstheme="minorHAnsi"/>
              <w:sz w:val="24"/>
              <w:szCs w:val="24"/>
            </w:rPr>
          </w:pPr>
          <w:hyperlink w:anchor="_Toc31294050" w:history="1">
            <w:r w:rsidR="004B2D48" w:rsidRPr="00340489">
              <w:rPr>
                <w:rStyle w:val="Hyperlink"/>
                <w:rFonts w:asciiTheme="minorHAnsi" w:hAnsiTheme="minorHAnsi" w:cstheme="minorHAnsi"/>
                <w:sz w:val="24"/>
                <w:szCs w:val="24"/>
                <w:lang w:eastAsia="en-US"/>
              </w:rPr>
              <w:t>Appendix D: Attendees of consultation forums, teleconferences and bilateral meetings</w:t>
            </w:r>
            <w:r w:rsidR="004B2D48" w:rsidRPr="00340489">
              <w:rPr>
                <w:rFonts w:asciiTheme="minorHAnsi" w:hAnsiTheme="minorHAnsi" w:cstheme="minorHAnsi"/>
                <w:webHidden/>
                <w:sz w:val="24"/>
                <w:szCs w:val="24"/>
              </w:rPr>
              <w:tab/>
              <w:t>41</w:t>
            </w:r>
          </w:hyperlink>
        </w:p>
        <w:p w14:paraId="009506C0" w14:textId="6FBC58E7" w:rsidR="004B2D48" w:rsidRPr="00340489" w:rsidRDefault="00F14E8A" w:rsidP="004B2D48">
          <w:pPr>
            <w:pStyle w:val="TOC1"/>
            <w:rPr>
              <w:rFonts w:asciiTheme="minorHAnsi" w:eastAsiaTheme="minorEastAsia" w:hAnsiTheme="minorHAnsi" w:cstheme="minorHAnsi"/>
              <w:sz w:val="24"/>
              <w:szCs w:val="24"/>
            </w:rPr>
          </w:pPr>
          <w:hyperlink w:anchor="_Toc31294170" w:history="1">
            <w:r w:rsidR="004B2D48" w:rsidRPr="00340489">
              <w:rPr>
                <w:rStyle w:val="Hyperlink"/>
                <w:rFonts w:asciiTheme="minorHAnsi" w:hAnsiTheme="minorHAnsi" w:cstheme="minorHAnsi"/>
                <w:sz w:val="24"/>
                <w:szCs w:val="24"/>
                <w:lang w:eastAsia="en-US"/>
              </w:rPr>
              <w:t>Appendix E: StewartBrown’s analysis of occupancy rates</w:t>
            </w:r>
            <w:r w:rsidR="004B2D48" w:rsidRPr="00340489">
              <w:rPr>
                <w:rFonts w:asciiTheme="minorHAnsi" w:hAnsiTheme="minorHAnsi" w:cstheme="minorHAnsi"/>
                <w:webHidden/>
                <w:sz w:val="24"/>
                <w:szCs w:val="24"/>
              </w:rPr>
              <w:tab/>
              <w:t>5</w:t>
            </w:r>
            <w:r w:rsidR="007F2E09">
              <w:rPr>
                <w:rFonts w:asciiTheme="minorHAnsi" w:hAnsiTheme="minorHAnsi" w:cstheme="minorHAnsi"/>
                <w:webHidden/>
                <w:sz w:val="24"/>
                <w:szCs w:val="24"/>
              </w:rPr>
              <w:t>1</w:t>
            </w:r>
          </w:hyperlink>
        </w:p>
        <w:p w14:paraId="625E64B6" w14:textId="77777777" w:rsidR="004B2D48" w:rsidRPr="004B2D48" w:rsidRDefault="004B2D48" w:rsidP="004B2D48"/>
        <w:p w14:paraId="7B13F48E" w14:textId="627C1945" w:rsidR="004B2D48" w:rsidRDefault="004B2D48" w:rsidP="004B2D48">
          <w:pPr>
            <w:spacing w:after="160" w:line="259" w:lineRule="auto"/>
            <w:rPr>
              <w:b/>
              <w:bCs/>
              <w:noProof/>
            </w:rPr>
          </w:pPr>
          <w:r>
            <w:rPr>
              <w:b/>
              <w:bCs/>
              <w:noProof/>
            </w:rPr>
            <w:fldChar w:fldCharType="end"/>
          </w:r>
        </w:p>
      </w:sdtContent>
    </w:sdt>
    <w:p w14:paraId="39E0775B" w14:textId="77777777" w:rsidR="004B2D48" w:rsidRDefault="004B2D48">
      <w:pPr>
        <w:rPr>
          <w:rFonts w:ascii="Helvetica" w:eastAsiaTheme="majorEastAsia" w:hAnsi="Helvetica" w:cstheme="majorBidi"/>
          <w:b/>
          <w:color w:val="2F5496" w:themeColor="accent1" w:themeShade="BF"/>
          <w:sz w:val="32"/>
          <w:szCs w:val="32"/>
          <w:lang w:eastAsia="en-US"/>
        </w:rPr>
      </w:pPr>
    </w:p>
    <w:p w14:paraId="77203D72" w14:textId="77777777" w:rsidR="004B2D48" w:rsidRDefault="004B2D48">
      <w:pPr>
        <w:rPr>
          <w:rFonts w:ascii="Helvetica" w:eastAsiaTheme="majorEastAsia" w:hAnsi="Helvetica" w:cstheme="majorBidi"/>
          <w:b/>
          <w:color w:val="2F5496" w:themeColor="accent1" w:themeShade="BF"/>
          <w:sz w:val="32"/>
          <w:szCs w:val="32"/>
          <w:lang w:eastAsia="en-US"/>
        </w:rPr>
      </w:pPr>
    </w:p>
    <w:p w14:paraId="0B0206D3" w14:textId="77777777" w:rsidR="004B2D48" w:rsidRDefault="004B2D48">
      <w:pPr>
        <w:rPr>
          <w:rFonts w:ascii="Helvetica" w:eastAsiaTheme="majorEastAsia" w:hAnsi="Helvetica" w:cstheme="majorBidi"/>
          <w:b/>
          <w:color w:val="2F5496" w:themeColor="accent1" w:themeShade="BF"/>
          <w:sz w:val="32"/>
          <w:szCs w:val="32"/>
          <w:lang w:eastAsia="en-US"/>
        </w:rPr>
      </w:pPr>
      <w:r>
        <w:rPr>
          <w:lang w:eastAsia="en-US"/>
        </w:rPr>
        <w:br w:type="page"/>
      </w:r>
    </w:p>
    <w:p w14:paraId="72B4DD6B" w14:textId="452DD99C" w:rsidR="00E9326E" w:rsidRPr="00E9326E" w:rsidRDefault="00E9326E" w:rsidP="004B2D48">
      <w:pPr>
        <w:pStyle w:val="Heading1"/>
        <w:rPr>
          <w:lang w:eastAsia="en-US"/>
        </w:rPr>
      </w:pPr>
      <w:r w:rsidRPr="00E9326E">
        <w:rPr>
          <w:lang w:eastAsia="en-US"/>
        </w:rPr>
        <w:lastRenderedPageBreak/>
        <w:t>Appendix A: Project inception note for informal discussions</w:t>
      </w:r>
    </w:p>
    <w:p w14:paraId="1F9F44D0" w14:textId="77777777" w:rsidR="00E9326E" w:rsidRPr="00E9326E" w:rsidRDefault="00E9326E" w:rsidP="00E9326E">
      <w:pPr>
        <w:pBdr>
          <w:top w:val="single" w:sz="4" w:space="1" w:color="auto"/>
          <w:left w:val="single" w:sz="4" w:space="4" w:color="auto"/>
          <w:bottom w:val="single" w:sz="4" w:space="1" w:color="auto"/>
          <w:right w:val="single" w:sz="4" w:space="4" w:color="auto"/>
        </w:pBdr>
        <w:snapToGrid w:val="0"/>
        <w:spacing w:after="120"/>
        <w:rPr>
          <w:rFonts w:ascii="Calibri" w:hAnsi="Calibri" w:cs="Calibri"/>
          <w:color w:val="000000"/>
          <w:sz w:val="22"/>
          <w:szCs w:val="20"/>
          <w:lang w:eastAsia="en-US"/>
        </w:rPr>
      </w:pPr>
      <w:r w:rsidRPr="00E9326E">
        <w:rPr>
          <w:rFonts w:ascii="Calibri" w:hAnsi="Calibri" w:cs="Calibri"/>
          <w:color w:val="000000"/>
          <w:sz w:val="22"/>
          <w:szCs w:val="20"/>
          <w:lang w:eastAsia="en-US"/>
        </w:rPr>
        <w:t xml:space="preserve">This projection inception note was provided to participants of the initial informal discussions, led by Professor Michael Woods and Grant Corderoy. </w:t>
      </w:r>
    </w:p>
    <w:p w14:paraId="3C1FAB9E" w14:textId="77777777" w:rsidR="00E9326E" w:rsidRPr="00E9326E" w:rsidRDefault="00E9326E" w:rsidP="00E9326E">
      <w:pPr>
        <w:pBdr>
          <w:top w:val="single" w:sz="4" w:space="1" w:color="auto"/>
          <w:left w:val="single" w:sz="4" w:space="4" w:color="auto"/>
          <w:bottom w:val="single" w:sz="4" w:space="1" w:color="auto"/>
          <w:right w:val="single" w:sz="4" w:space="4" w:color="auto"/>
        </w:pBdr>
        <w:snapToGrid w:val="0"/>
        <w:spacing w:after="120"/>
        <w:rPr>
          <w:rFonts w:ascii="Calibri" w:hAnsi="Calibri" w:cs="Calibri"/>
          <w:color w:val="000000"/>
          <w:sz w:val="22"/>
          <w:szCs w:val="20"/>
          <w:lang w:eastAsia="en-US"/>
        </w:rPr>
      </w:pPr>
      <w:r w:rsidRPr="00E9326E">
        <w:rPr>
          <w:rFonts w:ascii="Calibri" w:hAnsi="Calibri" w:cs="Calibri"/>
          <w:color w:val="000000"/>
          <w:sz w:val="22"/>
          <w:szCs w:val="20"/>
          <w:lang w:eastAsia="en-US"/>
        </w:rPr>
        <w:t>The discussions were held with a cross-section of attendees from an earlier scoping workshop undertaken by the department in September 2018, where participants were nominated by members of the Aged Care Sector Committee and the Aged Care Guild.</w:t>
      </w:r>
    </w:p>
    <w:p w14:paraId="26078DE3" w14:textId="77777777" w:rsidR="00E9326E" w:rsidRPr="00E9326E" w:rsidRDefault="00E9326E" w:rsidP="00E9326E">
      <w:pPr>
        <w:pBdr>
          <w:top w:val="single" w:sz="4" w:space="1" w:color="auto"/>
          <w:left w:val="single" w:sz="4" w:space="4" w:color="auto"/>
          <w:bottom w:val="single" w:sz="4" w:space="1" w:color="auto"/>
          <w:right w:val="single" w:sz="4" w:space="4" w:color="auto"/>
        </w:pBdr>
        <w:snapToGrid w:val="0"/>
        <w:spacing w:after="120"/>
        <w:rPr>
          <w:rFonts w:ascii="Calibri" w:hAnsi="Calibri" w:cs="Calibri"/>
          <w:color w:val="000000"/>
          <w:sz w:val="22"/>
          <w:szCs w:val="20"/>
          <w:lang w:eastAsia="en-US"/>
        </w:rPr>
      </w:pPr>
      <w:r w:rsidRPr="00E9326E">
        <w:rPr>
          <w:rFonts w:ascii="Calibri" w:hAnsi="Calibri" w:cs="Calibri"/>
          <w:color w:val="000000"/>
          <w:sz w:val="22"/>
          <w:szCs w:val="20"/>
          <w:lang w:eastAsia="en-US"/>
        </w:rPr>
        <w:t xml:space="preserve">The departmental secretariat also attended. </w:t>
      </w:r>
    </w:p>
    <w:p w14:paraId="0ADB0DDE" w14:textId="77777777" w:rsidR="00E9326E" w:rsidRPr="00E9326E" w:rsidRDefault="00E9326E" w:rsidP="00E9326E">
      <w:pPr>
        <w:keepNext/>
        <w:keepLines/>
        <w:snapToGrid w:val="0"/>
        <w:spacing w:before="240" w:after="120" w:line="259" w:lineRule="auto"/>
        <w:outlineLvl w:val="0"/>
        <w:rPr>
          <w:rFonts w:ascii="Calibri Light" w:hAnsi="Calibri Light"/>
          <w:color w:val="2E74B5"/>
          <w:sz w:val="32"/>
          <w:szCs w:val="32"/>
          <w:lang w:val="en-US" w:eastAsia="en-US"/>
        </w:rPr>
      </w:pPr>
      <w:bookmarkStart w:id="0" w:name="_Toc31293631"/>
      <w:r w:rsidRPr="00E9326E">
        <w:rPr>
          <w:rFonts w:ascii="Calibri Light" w:hAnsi="Calibri Light"/>
          <w:color w:val="2E74B5"/>
          <w:sz w:val="32"/>
          <w:szCs w:val="32"/>
          <w:lang w:val="en-US" w:eastAsia="en-US"/>
        </w:rPr>
        <w:t>Introduction</w:t>
      </w:r>
      <w:bookmarkEnd w:id="0"/>
    </w:p>
    <w:p w14:paraId="10AFAD4E"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The Department of Health has commissioned an analysis of the potential impact of changes to the allocation of residential aged care places to provide greater consumer choice.</w:t>
      </w:r>
    </w:p>
    <w:p w14:paraId="3E9850E5" w14:textId="77777777" w:rsidR="00E9326E" w:rsidRPr="00E9326E" w:rsidRDefault="00E9326E" w:rsidP="00E9326E">
      <w:pPr>
        <w:snapToGrid w:val="0"/>
        <w:spacing w:after="120"/>
        <w:rPr>
          <w:rFonts w:ascii="Calibri" w:hAnsi="Calibri" w:cs="Calibri"/>
          <w:color w:val="000000"/>
          <w:sz w:val="22"/>
          <w:szCs w:val="22"/>
          <w:u w:val="double"/>
          <w:lang w:eastAsia="en-US"/>
        </w:rPr>
      </w:pPr>
      <w:r w:rsidRPr="00E9326E">
        <w:rPr>
          <w:rFonts w:ascii="Calibri" w:hAnsi="Calibri" w:cs="Calibri"/>
          <w:color w:val="000000"/>
          <w:sz w:val="22"/>
          <w:szCs w:val="22"/>
          <w:lang w:eastAsia="en-US"/>
        </w:rPr>
        <w:t>The Centre for Health Economics Research and Evaluation (CHERE) at the University of Technology Sydney is leading the Project Team with the support of the aged care accounting and business advisory firm StewartBrown, and staff from the Department.</w:t>
      </w:r>
    </w:p>
    <w:p w14:paraId="74642692"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This Project Inception Note is being made available to stakeholders who attended the Department’s ACAR Impact Analysis policy workshop in Sydney in September last year. It provides a foundation for follow-up discussions with those stakeholders under Stage 1 of the Project (see below) as input into the development of a detailed Discussion Paper. </w:t>
      </w:r>
      <w:bookmarkStart w:id="1" w:name="_GoBack"/>
      <w:bookmarkEnd w:id="1"/>
      <w:r w:rsidRPr="00E9326E">
        <w:rPr>
          <w:rFonts w:ascii="Calibri" w:hAnsi="Calibri" w:cs="Calibri"/>
          <w:color w:val="000000"/>
          <w:sz w:val="22"/>
          <w:szCs w:val="22"/>
          <w:lang w:eastAsia="en-US"/>
        </w:rPr>
        <w:t>This Note sets out the background to the impact analysis project, its proposed scope, approach, timeframes and contact details.</w:t>
      </w:r>
    </w:p>
    <w:p w14:paraId="4128B6E2" w14:textId="47E9B044" w:rsidR="00E9326E" w:rsidRPr="00E9326E" w:rsidRDefault="00E9326E" w:rsidP="00E9326E">
      <w:pPr>
        <w:keepNext/>
        <w:keepLines/>
        <w:snapToGrid w:val="0"/>
        <w:spacing w:before="240" w:after="120" w:line="259" w:lineRule="auto"/>
        <w:outlineLvl w:val="0"/>
        <w:rPr>
          <w:rFonts w:ascii="Calibri Light" w:hAnsi="Calibri Light"/>
          <w:color w:val="2E74B5"/>
          <w:sz w:val="32"/>
          <w:szCs w:val="32"/>
          <w:lang w:val="en-US" w:eastAsia="en-US"/>
        </w:rPr>
      </w:pPr>
      <w:bookmarkStart w:id="2" w:name="_Toc31293632"/>
      <w:r w:rsidRPr="00E9326E">
        <w:rPr>
          <w:rFonts w:ascii="Calibri Light" w:hAnsi="Calibri Light"/>
          <w:color w:val="2E74B5"/>
          <w:sz w:val="32"/>
          <w:szCs w:val="32"/>
          <w:lang w:val="en-US" w:eastAsia="en-US"/>
        </w:rPr>
        <w:t>Background</w:t>
      </w:r>
      <w:bookmarkEnd w:id="2"/>
    </w:p>
    <w:p w14:paraId="51FCE214"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The process for planning the allocation and distribution of new residential aged care places and capital grants is established under the </w:t>
      </w:r>
      <w:r w:rsidRPr="00E9326E">
        <w:rPr>
          <w:rFonts w:ascii="Calibri" w:hAnsi="Calibri" w:cs="Calibri"/>
          <w:i/>
          <w:color w:val="000000"/>
          <w:sz w:val="22"/>
          <w:szCs w:val="22"/>
          <w:lang w:eastAsia="en-US"/>
        </w:rPr>
        <w:t>Aged Care Act 1997</w:t>
      </w:r>
      <w:r w:rsidRPr="00E9326E">
        <w:rPr>
          <w:rFonts w:ascii="Calibri" w:hAnsi="Calibri" w:cs="Calibri"/>
          <w:color w:val="000000"/>
          <w:sz w:val="22"/>
          <w:szCs w:val="22"/>
          <w:lang w:eastAsia="en-US"/>
        </w:rPr>
        <w:t>. It is implemented through Aged Care Approval Rounds (ACAR) which enable new and existing approved providers to apply for new subsidised residential aged care places and capital grants in open competition.</w:t>
      </w:r>
    </w:p>
    <w:p w14:paraId="6D79FB45"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In the 2018-19 Budget the Government announced in-principle support for the transition of residential aged care places to consumers through alternative arrangements that provide greater consumer choice. The Government’s support is subject to</w:t>
      </w:r>
      <w:r w:rsidRPr="00E9326E">
        <w:rPr>
          <w:rFonts w:ascii="Calibri" w:hAnsi="Calibri" w:cs="Calibri"/>
          <w:iCs/>
          <w:color w:val="000000"/>
          <w:sz w:val="22"/>
          <w:szCs w:val="22"/>
          <w:lang w:eastAsia="en-US"/>
        </w:rPr>
        <w:t xml:space="preserve"> a detailed analysis of the impacts of such an arrangement.</w:t>
      </w:r>
      <w:r w:rsidRPr="00E9326E">
        <w:rPr>
          <w:rFonts w:ascii="Calibri" w:hAnsi="Calibri" w:cs="Calibri"/>
          <w:color w:val="000000"/>
          <w:sz w:val="22"/>
          <w:szCs w:val="22"/>
          <w:lang w:eastAsia="en-US"/>
        </w:rPr>
        <w:t xml:space="preserve"> </w:t>
      </w:r>
    </w:p>
    <w:p w14:paraId="7BA97661"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The Budget measure responds to recommendations in the Aged Care Legislated Review (Tune Review). The Tune Review made three recommendations in this area:</w:t>
      </w:r>
    </w:p>
    <w:p w14:paraId="2F2F723B" w14:textId="77777777" w:rsidR="00E9326E" w:rsidRPr="00E9326E" w:rsidRDefault="00E9326E" w:rsidP="00E9326E">
      <w:pPr>
        <w:numPr>
          <w:ilvl w:val="0"/>
          <w:numId w:val="44"/>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Recommendation 3: Discontinue the ACAR for residential care places, instead assign places directly to consumers within the residential care cap, with changes to take effect two years after announcement.</w:t>
      </w:r>
    </w:p>
    <w:p w14:paraId="4A3E192D" w14:textId="77777777" w:rsidR="00E9326E" w:rsidRPr="00E9326E" w:rsidRDefault="00E9326E" w:rsidP="00E9326E">
      <w:pPr>
        <w:numPr>
          <w:ilvl w:val="0"/>
          <w:numId w:val="44"/>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Recommendation 4: Announcement on ACAR discontinuation be accompanied by appropriate provisions to ensure continuing supply of residential care services in areas with limited choice and competition.</w:t>
      </w:r>
    </w:p>
    <w:p w14:paraId="4B58A1B9" w14:textId="77777777" w:rsidR="00E9326E" w:rsidRPr="00E9326E" w:rsidRDefault="00E9326E" w:rsidP="00E9326E">
      <w:pPr>
        <w:numPr>
          <w:ilvl w:val="0"/>
          <w:numId w:val="44"/>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Recommendation 8b: In discontinuing the ACAR for residential care, review how best to ensure adequate supply and equitable access to residential respite care.</w:t>
      </w:r>
    </w:p>
    <w:p w14:paraId="22410FE6" w14:textId="4A1FEFF2" w:rsidR="00E9326E" w:rsidRPr="00E9326E" w:rsidRDefault="00E9326E" w:rsidP="00E9326E">
      <w:pPr>
        <w:keepNext/>
        <w:keepLines/>
        <w:snapToGrid w:val="0"/>
        <w:spacing w:before="240" w:after="120" w:line="259" w:lineRule="auto"/>
        <w:outlineLvl w:val="0"/>
        <w:rPr>
          <w:rFonts w:ascii="Calibri Light" w:hAnsi="Calibri Light"/>
          <w:color w:val="2E74B5"/>
          <w:sz w:val="32"/>
          <w:szCs w:val="32"/>
          <w:lang w:val="en-US" w:eastAsia="en-US"/>
        </w:rPr>
      </w:pPr>
      <w:bookmarkStart w:id="3" w:name="_Toc534201534"/>
      <w:bookmarkStart w:id="4" w:name="_Toc31293633"/>
      <w:r w:rsidRPr="00E9326E">
        <w:rPr>
          <w:rFonts w:ascii="Calibri Light" w:hAnsi="Calibri Light"/>
          <w:color w:val="2E74B5"/>
          <w:sz w:val="32"/>
          <w:szCs w:val="32"/>
          <w:lang w:val="en-US" w:eastAsia="en-US"/>
        </w:rPr>
        <w:t>Scope of the project</w:t>
      </w:r>
      <w:bookmarkEnd w:id="3"/>
      <w:bookmarkEnd w:id="4"/>
    </w:p>
    <w:p w14:paraId="350BAE4A"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The scope of the project involves: the development of alternative allocation models that provide greater consumer choice; consultation with stakeholders; analysis of model impacts on affected stakeholders and related issues; and identification of appropriate implementation and transition arrangements. Specifically, the Project Team will: </w:t>
      </w:r>
    </w:p>
    <w:p w14:paraId="1C2A2E84" w14:textId="77777777" w:rsidR="00E9326E" w:rsidRPr="00E9326E" w:rsidRDefault="00E9326E" w:rsidP="00E9326E">
      <w:pPr>
        <w:numPr>
          <w:ilvl w:val="0"/>
          <w:numId w:val="47"/>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 xml:space="preserve">Develop alternative model/s for allocating residential aged care places that provide greater consumer choice within a more consumer driven market in residential aged care while maintaining </w:t>
      </w:r>
      <w:r w:rsidRPr="00E9326E">
        <w:rPr>
          <w:rFonts w:ascii="Calibri" w:eastAsia="Calibri" w:hAnsi="Calibri"/>
          <w:color w:val="000000"/>
          <w:sz w:val="22"/>
          <w:szCs w:val="22"/>
          <w:lang w:eastAsia="en-US"/>
        </w:rPr>
        <w:lastRenderedPageBreak/>
        <w:t>or improving access to residential aged care, including in regional, rural and remote areas, thin markets and for vulnerable consumer cohorts and those requiring residential respite care. The Project Team will identify the key problems and strengths of the current arrangements and develop models that operate within the funding envelope and existing program scope and structure.</w:t>
      </w:r>
    </w:p>
    <w:p w14:paraId="19474B6F" w14:textId="77777777" w:rsidR="00E9326E" w:rsidRPr="00E9326E" w:rsidRDefault="00E9326E" w:rsidP="00E9326E">
      <w:pPr>
        <w:numPr>
          <w:ilvl w:val="0"/>
          <w:numId w:val="47"/>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 xml:space="preserve">Comprehensively assess the potential impacts of the alternative allocation models for various stakeholder groups, including but not limited to issues such as: consumer choice and access; safe, high quality service delivery; financial viability and sustainability of the sector; sector growth and investment; market structure; and consumer and government funding. Flow-on effects and linkages with other programs, processes, work or reforms underway that are materially related to the allocation of residential aged care places will also be assessed. </w:t>
      </w:r>
    </w:p>
    <w:p w14:paraId="5F258DC1" w14:textId="77777777" w:rsidR="00E9326E" w:rsidRPr="00E9326E" w:rsidRDefault="00E9326E" w:rsidP="00E9326E">
      <w:pPr>
        <w:numPr>
          <w:ilvl w:val="0"/>
          <w:numId w:val="47"/>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Identify appropriate implementation and transition arrangements for the alternative model/s, including strategies to manage and mitigate risks and potential market disruptions.</w:t>
      </w:r>
    </w:p>
    <w:p w14:paraId="3EBC1A4D" w14:textId="0C7B69F9" w:rsidR="00E9326E" w:rsidRPr="00E9326E" w:rsidRDefault="00E9326E" w:rsidP="00E9326E">
      <w:pPr>
        <w:keepNext/>
        <w:keepLines/>
        <w:snapToGrid w:val="0"/>
        <w:spacing w:before="240" w:after="120"/>
        <w:outlineLvl w:val="1"/>
        <w:rPr>
          <w:rFonts w:ascii="Helvetica" w:hAnsi="Helvetica"/>
          <w:color w:val="2E74B5"/>
          <w:sz w:val="26"/>
          <w:szCs w:val="26"/>
        </w:rPr>
      </w:pPr>
      <w:bookmarkStart w:id="5" w:name="_Toc534201536"/>
      <w:bookmarkStart w:id="6" w:name="_Toc31293634"/>
      <w:r w:rsidRPr="00E9326E">
        <w:rPr>
          <w:rFonts w:ascii="Helvetica" w:hAnsi="Helvetica"/>
          <w:color w:val="2E74B5"/>
          <w:sz w:val="26"/>
          <w:szCs w:val="26"/>
        </w:rPr>
        <w:t>Out-of-scope</w:t>
      </w:r>
      <w:bookmarkEnd w:id="5"/>
      <w:bookmarkEnd w:id="6"/>
    </w:p>
    <w:p w14:paraId="5149D91C"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Although the scope of the project is broad, all interested parties should note that there are various related matters that are out of scope.</w:t>
      </w:r>
    </w:p>
    <w:p w14:paraId="191AD88C" w14:textId="77777777" w:rsidR="00E9326E" w:rsidRPr="00E9326E" w:rsidRDefault="00E9326E" w:rsidP="00E9326E">
      <w:pPr>
        <w:numPr>
          <w:ilvl w:val="0"/>
          <w:numId w:val="48"/>
        </w:numPr>
        <w:snapToGrid w:val="0"/>
        <w:spacing w:after="120"/>
        <w:contextualSpacing/>
        <w:rPr>
          <w:rFonts w:ascii="Calibri" w:eastAsia="Calibri" w:hAnsi="Calibri" w:cs="Calibri"/>
          <w:color w:val="000000"/>
          <w:sz w:val="22"/>
          <w:szCs w:val="22"/>
          <w:lang w:val="en-US" w:eastAsia="en-US"/>
        </w:rPr>
      </w:pPr>
      <w:r w:rsidRPr="00E9326E">
        <w:rPr>
          <w:rFonts w:ascii="Calibri" w:eastAsia="Calibri" w:hAnsi="Calibri" w:cs="Calibri"/>
          <w:color w:val="000000"/>
          <w:sz w:val="22"/>
          <w:szCs w:val="22"/>
          <w:lang w:val="en-US" w:eastAsia="en-US"/>
        </w:rPr>
        <w:t>Uncapping the supply of residential aged care places (i.e. caps will remain on the number people receiving residential aged care, but not on the number of beds that providers can offer).</w:t>
      </w:r>
    </w:p>
    <w:p w14:paraId="35F23060" w14:textId="77777777" w:rsidR="00E9326E" w:rsidRPr="00E9326E" w:rsidRDefault="00E9326E" w:rsidP="00E9326E">
      <w:pPr>
        <w:numPr>
          <w:ilvl w:val="0"/>
          <w:numId w:val="48"/>
        </w:numPr>
        <w:snapToGrid w:val="0"/>
        <w:spacing w:after="120"/>
        <w:contextualSpacing/>
        <w:rPr>
          <w:rFonts w:ascii="Calibri" w:eastAsia="Calibri" w:hAnsi="Calibri" w:cs="Calibri"/>
          <w:color w:val="000000"/>
          <w:sz w:val="22"/>
          <w:szCs w:val="22"/>
          <w:lang w:val="en-US" w:eastAsia="en-US"/>
        </w:rPr>
      </w:pPr>
      <w:r w:rsidRPr="00E9326E">
        <w:rPr>
          <w:rFonts w:ascii="Calibri" w:eastAsia="Calibri" w:hAnsi="Calibri" w:cs="Calibri"/>
          <w:color w:val="000000"/>
          <w:sz w:val="22"/>
          <w:szCs w:val="22"/>
          <w:lang w:val="en-US" w:eastAsia="en-US"/>
        </w:rPr>
        <w:t xml:space="preserve">Introducing individualised budgets (as per home care) into residential aged care. This relates to the funding model, which is not within the remit of this project. </w:t>
      </w:r>
    </w:p>
    <w:p w14:paraId="2736B196" w14:textId="77777777" w:rsidR="00E9326E" w:rsidRPr="00E9326E" w:rsidRDefault="00E9326E" w:rsidP="00E9326E">
      <w:pPr>
        <w:numPr>
          <w:ilvl w:val="0"/>
          <w:numId w:val="48"/>
        </w:numPr>
        <w:snapToGrid w:val="0"/>
        <w:spacing w:after="120"/>
        <w:contextualSpacing/>
        <w:rPr>
          <w:rFonts w:ascii="Calibri" w:eastAsia="Calibri" w:hAnsi="Calibri" w:cs="Calibri"/>
          <w:color w:val="000000"/>
          <w:sz w:val="22"/>
          <w:szCs w:val="22"/>
          <w:lang w:val="en-US" w:eastAsia="en-US"/>
        </w:rPr>
      </w:pPr>
      <w:r w:rsidRPr="00E9326E">
        <w:rPr>
          <w:rFonts w:ascii="Calibri" w:eastAsia="Calibri" w:hAnsi="Calibri" w:cs="Calibri"/>
          <w:color w:val="000000"/>
          <w:sz w:val="22"/>
          <w:szCs w:val="22"/>
          <w:lang w:val="en-US" w:eastAsia="en-US"/>
        </w:rPr>
        <w:t xml:space="preserve">Introducing a consumer directed care (CDC) model of service delivery (as per home care) into residential aged care. </w:t>
      </w:r>
      <w:r w:rsidRPr="00E9326E">
        <w:rPr>
          <w:rFonts w:ascii="Calibri" w:eastAsia="Calibri" w:hAnsi="Calibri" w:cs="Calibri"/>
          <w:color w:val="000000"/>
          <w:sz w:val="22"/>
          <w:szCs w:val="22"/>
          <w:lang w:eastAsia="en-US"/>
        </w:rPr>
        <w:t xml:space="preserve">It is important not to conflate empowering consumer choice of a provider (and therefore the provider’s care and services) </w:t>
      </w:r>
      <w:r w:rsidRPr="00E9326E">
        <w:rPr>
          <w:rFonts w:ascii="Calibri" w:eastAsia="Calibri" w:hAnsi="Calibri" w:cs="Calibri"/>
          <w:color w:val="000000"/>
          <w:sz w:val="22"/>
          <w:szCs w:val="22"/>
          <w:lang w:val="en-US" w:eastAsia="en-US"/>
        </w:rPr>
        <w:t xml:space="preserve">with a fully developed CDC model where consumers exercise extensive direction over what care and services are delivered and how they are delivered. </w:t>
      </w:r>
    </w:p>
    <w:p w14:paraId="784791BE" w14:textId="77777777" w:rsidR="00E9326E" w:rsidRPr="00E9326E" w:rsidRDefault="00E9326E" w:rsidP="00E9326E">
      <w:pPr>
        <w:numPr>
          <w:ilvl w:val="0"/>
          <w:numId w:val="48"/>
        </w:numPr>
        <w:snapToGrid w:val="0"/>
        <w:spacing w:after="120"/>
        <w:contextualSpacing/>
        <w:rPr>
          <w:rFonts w:ascii="Calibri" w:eastAsia="Calibri" w:hAnsi="Calibri" w:cs="Calibri"/>
          <w:color w:val="000000"/>
          <w:sz w:val="22"/>
          <w:szCs w:val="22"/>
          <w:lang w:eastAsia="en-US"/>
        </w:rPr>
      </w:pPr>
      <w:r w:rsidRPr="00E9326E">
        <w:rPr>
          <w:rFonts w:ascii="Calibri" w:eastAsia="Calibri" w:hAnsi="Calibri" w:cs="Calibri"/>
          <w:color w:val="000000"/>
          <w:sz w:val="22"/>
          <w:szCs w:val="22"/>
          <w:lang w:val="en-US" w:eastAsia="en-US"/>
        </w:rPr>
        <w:t>Alternative allocation arrangements for flexible care places (this does not preclude consideration of the applicability of the alternative model/s to flexible care).</w:t>
      </w:r>
    </w:p>
    <w:p w14:paraId="6CAF2673" w14:textId="399E4634" w:rsidR="00E9326E" w:rsidRPr="00E9326E" w:rsidRDefault="00E9326E" w:rsidP="00E9326E">
      <w:pPr>
        <w:keepNext/>
        <w:keepLines/>
        <w:snapToGrid w:val="0"/>
        <w:spacing w:before="240" w:after="120" w:line="259" w:lineRule="auto"/>
        <w:outlineLvl w:val="0"/>
        <w:rPr>
          <w:rFonts w:ascii="Calibri Light" w:hAnsi="Calibri Light"/>
          <w:color w:val="2E74B5"/>
          <w:sz w:val="32"/>
          <w:szCs w:val="32"/>
          <w:lang w:val="en-US" w:eastAsia="en-US"/>
        </w:rPr>
      </w:pPr>
      <w:bookmarkStart w:id="7" w:name="_Toc31293635"/>
      <w:r w:rsidRPr="00E9326E">
        <w:rPr>
          <w:rFonts w:ascii="Calibri Light" w:hAnsi="Calibri Light"/>
          <w:color w:val="2E74B5"/>
          <w:sz w:val="32"/>
          <w:szCs w:val="32"/>
          <w:lang w:val="en-US" w:eastAsia="en-US"/>
        </w:rPr>
        <w:t>Key linkages to other reforms</w:t>
      </w:r>
      <w:bookmarkEnd w:id="7"/>
    </w:p>
    <w:p w14:paraId="1662F082"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Key linkages between reform in this area and other reforms underway or in the future will also be considered, including precursors for this reform, sequencing and how the reforms are coordinated and fit together. The Project Team will also be monitoring the progress of the Royal Commission into Aged Care Quality and Safety. In addition, evidence and lessons from prior reforms in aged care (e.g. February 2017 Increasing Choice reforms to home care) or other sectors (e.g. disability reforms) will be taken into account.</w:t>
      </w:r>
    </w:p>
    <w:p w14:paraId="6CB15FE6"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br w:type="page"/>
      </w:r>
    </w:p>
    <w:p w14:paraId="6BB8EEFE" w14:textId="77777777" w:rsidR="00E9326E" w:rsidRPr="00E9326E" w:rsidRDefault="00E9326E" w:rsidP="00E9326E">
      <w:pPr>
        <w:snapToGrid w:val="0"/>
        <w:spacing w:after="120"/>
        <w:rPr>
          <w:rFonts w:ascii="Calibri" w:hAnsi="Calibri" w:cs="Calibri"/>
          <w:color w:val="000000"/>
          <w:sz w:val="22"/>
          <w:szCs w:val="22"/>
          <w:lang w:eastAsia="en-US"/>
        </w:rPr>
      </w:pPr>
    </w:p>
    <w:tbl>
      <w:tblPr>
        <w:tblW w:w="9351" w:type="dxa"/>
        <w:tblLook w:val="04A0" w:firstRow="1" w:lastRow="0" w:firstColumn="1" w:lastColumn="0" w:noHBand="0" w:noVBand="1"/>
      </w:tblPr>
      <w:tblGrid>
        <w:gridCol w:w="9351"/>
      </w:tblGrid>
      <w:tr w:rsidR="00E9326E" w:rsidRPr="00E9326E" w14:paraId="3AC7782D" w14:textId="77777777" w:rsidTr="00E9326E">
        <w:trPr>
          <w:trHeight w:val="181"/>
        </w:trPr>
        <w:tc>
          <w:tcPr>
            <w:tcW w:w="9351" w:type="dxa"/>
            <w:shd w:val="clear" w:color="auto" w:fill="404040"/>
          </w:tcPr>
          <w:p w14:paraId="30B56A9B"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FFFFFF"/>
                <w:sz w:val="22"/>
                <w:szCs w:val="22"/>
                <w:lang w:eastAsia="en-US"/>
              </w:rPr>
              <w:t>Key reform linkages to be considered</w:t>
            </w:r>
          </w:p>
        </w:tc>
      </w:tr>
      <w:tr w:rsidR="00E9326E" w:rsidRPr="00E9326E" w14:paraId="4CB80A72" w14:textId="77777777" w:rsidTr="00E9326E">
        <w:trPr>
          <w:trHeight w:val="190"/>
        </w:trPr>
        <w:tc>
          <w:tcPr>
            <w:tcW w:w="9351" w:type="dxa"/>
            <w:shd w:val="clear" w:color="auto" w:fill="D9D9D9"/>
          </w:tcPr>
          <w:p w14:paraId="115A3536"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Residential aged care funding model reform</w:t>
            </w:r>
          </w:p>
        </w:tc>
      </w:tr>
      <w:tr w:rsidR="00E9326E" w:rsidRPr="00E9326E" w14:paraId="771EAA1F" w14:textId="77777777" w:rsidTr="00E9326E">
        <w:trPr>
          <w:trHeight w:val="181"/>
        </w:trPr>
        <w:tc>
          <w:tcPr>
            <w:tcW w:w="9351" w:type="dxa"/>
          </w:tcPr>
          <w:p w14:paraId="4B75893C"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Resource Utilisation and Classification Study to determine the drivers of costs in residential aged care and to develop a resident classification system and funding model that reflects these drivers.</w:t>
            </w:r>
          </w:p>
        </w:tc>
      </w:tr>
      <w:tr w:rsidR="00E9326E" w:rsidRPr="00E9326E" w14:paraId="0CA15454" w14:textId="77777777" w:rsidTr="00E9326E">
        <w:trPr>
          <w:trHeight w:val="190"/>
        </w:trPr>
        <w:tc>
          <w:tcPr>
            <w:tcW w:w="9351" w:type="dxa"/>
            <w:shd w:val="clear" w:color="auto" w:fill="D9D9D9"/>
          </w:tcPr>
          <w:p w14:paraId="6E71539B"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Streamlined consumer assessment reform</w:t>
            </w:r>
          </w:p>
        </w:tc>
      </w:tr>
      <w:tr w:rsidR="00E9326E" w:rsidRPr="00E9326E" w14:paraId="64DEE6D7" w14:textId="77777777" w:rsidTr="00E9326E">
        <w:trPr>
          <w:trHeight w:val="181"/>
        </w:trPr>
        <w:tc>
          <w:tcPr>
            <w:tcW w:w="9351" w:type="dxa"/>
          </w:tcPr>
          <w:p w14:paraId="242CC71A"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Development of a new framework for streamlined consumer assessments for all aged care services, to be delivered by a new national assessment workforce from 2020.</w:t>
            </w:r>
          </w:p>
        </w:tc>
      </w:tr>
      <w:tr w:rsidR="00E9326E" w:rsidRPr="00E9326E" w14:paraId="0CE8DEE9" w14:textId="77777777" w:rsidTr="00E9326E">
        <w:trPr>
          <w:trHeight w:val="190"/>
        </w:trPr>
        <w:tc>
          <w:tcPr>
            <w:tcW w:w="9351" w:type="dxa"/>
            <w:shd w:val="clear" w:color="auto" w:fill="D9D9D9"/>
          </w:tcPr>
          <w:p w14:paraId="564AC15D"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Reforms to manage prudential risk in residential aged care</w:t>
            </w:r>
          </w:p>
        </w:tc>
      </w:tr>
      <w:tr w:rsidR="00E9326E" w:rsidRPr="00E9326E" w14:paraId="588C5051" w14:textId="77777777" w:rsidTr="00E9326E">
        <w:trPr>
          <w:trHeight w:val="181"/>
        </w:trPr>
        <w:tc>
          <w:tcPr>
            <w:tcW w:w="9351" w:type="dxa"/>
          </w:tcPr>
          <w:p w14:paraId="5CBC471E" w14:textId="77777777" w:rsidR="00E9326E" w:rsidRPr="00E9326E" w:rsidRDefault="00E9326E" w:rsidP="00E9326E">
            <w:pPr>
              <w:numPr>
                <w:ilvl w:val="0"/>
                <w:numId w:val="16"/>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Compulsory retrospective levy on residential aged care providers where defaults exceed $3 million in any fiscal year</w:t>
            </w:r>
          </w:p>
          <w:p w14:paraId="3E0125C3" w14:textId="77777777" w:rsidR="00E9326E" w:rsidRPr="00E9326E" w:rsidRDefault="00E9326E" w:rsidP="00E9326E">
            <w:pPr>
              <w:numPr>
                <w:ilvl w:val="0"/>
                <w:numId w:val="16"/>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Stronger prudential standards applied to accommodation payments</w:t>
            </w:r>
          </w:p>
          <w:p w14:paraId="4D1277D7" w14:textId="77777777" w:rsidR="00E9326E" w:rsidRPr="00E9326E" w:rsidRDefault="00E9326E" w:rsidP="00E9326E">
            <w:pPr>
              <w:numPr>
                <w:ilvl w:val="0"/>
                <w:numId w:val="16"/>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Strengthening government’s prudential regulatory capability to better protect the pool of accommodation payments and reduce the likelihood of claims on the Guarantee Scheme</w:t>
            </w:r>
          </w:p>
        </w:tc>
      </w:tr>
      <w:tr w:rsidR="00E9326E" w:rsidRPr="00E9326E" w14:paraId="75BA3DF5" w14:textId="77777777" w:rsidTr="00E9326E">
        <w:trPr>
          <w:trHeight w:val="190"/>
        </w:trPr>
        <w:tc>
          <w:tcPr>
            <w:tcW w:w="9351" w:type="dxa"/>
            <w:shd w:val="clear" w:color="auto" w:fill="D9D9D9"/>
          </w:tcPr>
          <w:p w14:paraId="19F20BC5"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Greater protections and transparency of quality reforms</w:t>
            </w:r>
          </w:p>
        </w:tc>
      </w:tr>
      <w:tr w:rsidR="00E9326E" w:rsidRPr="00E9326E" w14:paraId="58398BB4" w14:textId="77777777" w:rsidTr="00E9326E">
        <w:trPr>
          <w:trHeight w:val="181"/>
        </w:trPr>
        <w:tc>
          <w:tcPr>
            <w:tcW w:w="9351" w:type="dxa"/>
          </w:tcPr>
          <w:p w14:paraId="04E7E575" w14:textId="77777777" w:rsidR="00E9326E" w:rsidRPr="00E9326E" w:rsidRDefault="00E9326E" w:rsidP="00E9326E">
            <w:pPr>
              <w:numPr>
                <w:ilvl w:val="0"/>
                <w:numId w:val="16"/>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Enhanced public information on residential aged care provider quality</w:t>
            </w:r>
          </w:p>
          <w:p w14:paraId="4F5A59F2" w14:textId="77777777" w:rsidR="00E9326E" w:rsidRPr="00E9326E" w:rsidRDefault="00E9326E" w:rsidP="00E9326E">
            <w:pPr>
              <w:numPr>
                <w:ilvl w:val="0"/>
                <w:numId w:val="16"/>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New Aged Care Quality and Safety Commission – including improved risk profiling</w:t>
            </w:r>
          </w:p>
        </w:tc>
      </w:tr>
      <w:tr w:rsidR="00E9326E" w:rsidRPr="00E9326E" w14:paraId="593EE100" w14:textId="77777777" w:rsidTr="00E9326E">
        <w:trPr>
          <w:trHeight w:val="190"/>
        </w:trPr>
        <w:tc>
          <w:tcPr>
            <w:tcW w:w="9351" w:type="dxa"/>
            <w:shd w:val="clear" w:color="auto" w:fill="D9D9D9"/>
          </w:tcPr>
          <w:p w14:paraId="32B15CB9"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Review of Multi-Purpose Services Program</w:t>
            </w:r>
          </w:p>
        </w:tc>
      </w:tr>
      <w:tr w:rsidR="00E9326E" w:rsidRPr="00E9326E" w14:paraId="343ECB24" w14:textId="77777777" w:rsidTr="00E9326E">
        <w:trPr>
          <w:trHeight w:val="181"/>
        </w:trPr>
        <w:tc>
          <w:tcPr>
            <w:tcW w:w="9351" w:type="dxa"/>
          </w:tcPr>
          <w:p w14:paraId="5C4A94E4" w14:textId="77777777" w:rsidR="00E9326E" w:rsidRPr="00E9326E" w:rsidRDefault="00E9326E" w:rsidP="00E9326E">
            <w:pPr>
              <w:numPr>
                <w:ilvl w:val="0"/>
                <w:numId w:val="17"/>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Assessment of the appropriateness, effectiveness and efficiency of the MPS program</w:t>
            </w:r>
          </w:p>
        </w:tc>
      </w:tr>
      <w:tr w:rsidR="00E9326E" w:rsidRPr="00E9326E" w14:paraId="7AEF0086" w14:textId="77777777" w:rsidTr="00E9326E">
        <w:trPr>
          <w:trHeight w:val="190"/>
        </w:trPr>
        <w:tc>
          <w:tcPr>
            <w:tcW w:w="9351" w:type="dxa"/>
            <w:shd w:val="clear" w:color="auto" w:fill="D9D9D9"/>
          </w:tcPr>
          <w:p w14:paraId="6803F586"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Review of Transition Care Program</w:t>
            </w:r>
          </w:p>
        </w:tc>
      </w:tr>
      <w:tr w:rsidR="00E9326E" w:rsidRPr="00E9326E" w14:paraId="57EEB28E" w14:textId="77777777" w:rsidTr="00E9326E">
        <w:trPr>
          <w:trHeight w:val="181"/>
        </w:trPr>
        <w:tc>
          <w:tcPr>
            <w:tcW w:w="9351" w:type="dxa"/>
          </w:tcPr>
          <w:p w14:paraId="3DF415A2" w14:textId="77777777" w:rsidR="00E9326E" w:rsidRPr="00E9326E" w:rsidRDefault="00E9326E" w:rsidP="00E9326E">
            <w:pPr>
              <w:numPr>
                <w:ilvl w:val="0"/>
                <w:numId w:val="17"/>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Assessment of the appropriateness, effectiveness and efficiency of the TCP</w:t>
            </w:r>
          </w:p>
        </w:tc>
      </w:tr>
      <w:tr w:rsidR="00E9326E" w:rsidRPr="00E9326E" w14:paraId="19C9BFEF" w14:textId="77777777" w:rsidTr="00E9326E">
        <w:trPr>
          <w:trHeight w:val="190"/>
        </w:trPr>
        <w:tc>
          <w:tcPr>
            <w:tcW w:w="9351" w:type="dxa"/>
            <w:shd w:val="clear" w:color="auto" w:fill="D9D9D9"/>
          </w:tcPr>
          <w:p w14:paraId="7B44CF18"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Aged Care Workforce Strategy</w:t>
            </w:r>
          </w:p>
        </w:tc>
      </w:tr>
      <w:tr w:rsidR="00E9326E" w:rsidRPr="00E9326E" w14:paraId="65E79689" w14:textId="77777777" w:rsidTr="00E9326E">
        <w:trPr>
          <w:trHeight w:val="181"/>
        </w:trPr>
        <w:tc>
          <w:tcPr>
            <w:tcW w:w="9351" w:type="dxa"/>
          </w:tcPr>
          <w:p w14:paraId="6BD5032C" w14:textId="77777777" w:rsidR="00E9326E" w:rsidRPr="00E9326E" w:rsidRDefault="00E9326E" w:rsidP="00E9326E">
            <w:pPr>
              <w:numPr>
                <w:ilvl w:val="0"/>
                <w:numId w:val="17"/>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Strategic actions to boost supply, address demand and improve productivity for the aged care workforce. Sector-led implementation of the Strategy.</w:t>
            </w:r>
          </w:p>
        </w:tc>
      </w:tr>
    </w:tbl>
    <w:p w14:paraId="0086E0D0" w14:textId="285C73B0" w:rsidR="00E9326E" w:rsidRPr="00E9326E" w:rsidRDefault="00E9326E" w:rsidP="00E9326E">
      <w:pPr>
        <w:keepNext/>
        <w:keepLines/>
        <w:snapToGrid w:val="0"/>
        <w:spacing w:before="240" w:after="120" w:line="259" w:lineRule="auto"/>
        <w:outlineLvl w:val="0"/>
        <w:rPr>
          <w:rFonts w:ascii="Calibri Light" w:hAnsi="Calibri Light"/>
          <w:color w:val="2E74B5"/>
          <w:sz w:val="32"/>
          <w:szCs w:val="32"/>
          <w:lang w:val="en-US" w:eastAsia="en-US"/>
        </w:rPr>
      </w:pPr>
      <w:bookmarkStart w:id="8" w:name="_Toc31293636"/>
      <w:r w:rsidRPr="00E9326E">
        <w:rPr>
          <w:rFonts w:ascii="Calibri Light" w:hAnsi="Calibri Light"/>
          <w:color w:val="2E74B5"/>
          <w:sz w:val="32"/>
          <w:szCs w:val="32"/>
          <w:lang w:val="en-US" w:eastAsia="en-US"/>
        </w:rPr>
        <w:t>Project Approach and Timeframes</w:t>
      </w:r>
      <w:bookmarkEnd w:id="8"/>
    </w:p>
    <w:p w14:paraId="516B3346"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The development of alternative allocation models, assessment of potential impacts of a change to current arrangements and the identification of implementation/transition arrangements will draw on detailed consultation and data analysis to be undertaken during the first half of 2019. </w:t>
      </w:r>
    </w:p>
    <w:p w14:paraId="189AE89D" w14:textId="64534690" w:rsidR="00E9326E" w:rsidRPr="00E9326E" w:rsidRDefault="00E9326E" w:rsidP="00E9326E">
      <w:pPr>
        <w:keepNext/>
        <w:keepLines/>
        <w:snapToGrid w:val="0"/>
        <w:spacing w:before="240" w:after="120"/>
        <w:outlineLvl w:val="1"/>
        <w:rPr>
          <w:rFonts w:ascii="Helvetica" w:hAnsi="Helvetica"/>
          <w:color w:val="2E74B5"/>
          <w:sz w:val="26"/>
          <w:szCs w:val="26"/>
        </w:rPr>
      </w:pPr>
      <w:bookmarkStart w:id="9" w:name="_Toc534201543"/>
      <w:bookmarkStart w:id="10" w:name="_Toc31293637"/>
      <w:r w:rsidRPr="00E9326E">
        <w:rPr>
          <w:rFonts w:ascii="Helvetica" w:hAnsi="Helvetica"/>
          <w:color w:val="2E74B5"/>
          <w:sz w:val="26"/>
          <w:szCs w:val="26"/>
        </w:rPr>
        <w:t>Stage 1</w:t>
      </w:r>
      <w:bookmarkEnd w:id="9"/>
      <w:r w:rsidRPr="00E9326E">
        <w:rPr>
          <w:rFonts w:ascii="Helvetica" w:hAnsi="Helvetica"/>
          <w:color w:val="2E74B5"/>
          <w:sz w:val="26"/>
          <w:szCs w:val="26"/>
        </w:rPr>
        <w:t>: January to March</w:t>
      </w:r>
      <w:bookmarkEnd w:id="10"/>
    </w:p>
    <w:p w14:paraId="09DA885C"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Targeted high level discussions will be undertaken in February with key stakeholders who attended the Department’s ACAR Impact Analysis policy workshop in Sydney in September last year. To assist with these discussions some questions are listed below. They are not intended to be exhaustive, rather to help frame a conversation. The information gathered from this phase of consultation will test the topics which should be in scope and out of scope and inform development of a comprehensive Discussion Paper that will seek broadly-based feedback on alternative models. </w:t>
      </w:r>
    </w:p>
    <w:p w14:paraId="1FADE32D"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An initial high level assessment of potential allocation models will be undertaken concurrently to ensure that the alternatives proposed in the Discussion Paper do not have immediately evident unintended consequences. </w:t>
      </w:r>
    </w:p>
    <w:p w14:paraId="6CF10033"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The Discussion Paper will have an intended release date of late March.</w:t>
      </w:r>
    </w:p>
    <w:p w14:paraId="74A18FF9" w14:textId="01C30F01" w:rsidR="00E9326E" w:rsidRPr="00E9326E" w:rsidRDefault="00E9326E" w:rsidP="00E9326E">
      <w:pPr>
        <w:keepNext/>
        <w:keepLines/>
        <w:snapToGrid w:val="0"/>
        <w:spacing w:before="240" w:after="120"/>
        <w:outlineLvl w:val="1"/>
        <w:rPr>
          <w:rFonts w:ascii="Helvetica" w:hAnsi="Helvetica"/>
          <w:color w:val="2E74B5"/>
          <w:sz w:val="26"/>
          <w:szCs w:val="26"/>
        </w:rPr>
      </w:pPr>
      <w:bookmarkStart w:id="11" w:name="_Toc534201546"/>
      <w:bookmarkStart w:id="12" w:name="_Toc31293638"/>
      <w:r w:rsidRPr="00E9326E">
        <w:rPr>
          <w:rFonts w:ascii="Helvetica" w:hAnsi="Helvetica"/>
          <w:color w:val="2E74B5"/>
          <w:sz w:val="26"/>
          <w:szCs w:val="26"/>
        </w:rPr>
        <w:lastRenderedPageBreak/>
        <w:t>Stage 2</w:t>
      </w:r>
      <w:bookmarkEnd w:id="11"/>
      <w:r w:rsidRPr="00E9326E">
        <w:rPr>
          <w:rFonts w:ascii="Helvetica" w:hAnsi="Helvetica"/>
          <w:color w:val="2E74B5"/>
          <w:sz w:val="26"/>
          <w:szCs w:val="26"/>
        </w:rPr>
        <w:t>: April</w:t>
      </w:r>
      <w:bookmarkEnd w:id="12"/>
    </w:p>
    <w:p w14:paraId="751D2F93" w14:textId="2B381A38" w:rsidR="00E9326E" w:rsidRPr="00E9326E" w:rsidRDefault="00E9326E" w:rsidP="00E9326E">
      <w:pPr>
        <w:keepNext/>
        <w:keepLines/>
        <w:snapToGrid w:val="0"/>
        <w:spacing w:before="40" w:after="120" w:line="259" w:lineRule="auto"/>
        <w:outlineLvl w:val="2"/>
        <w:rPr>
          <w:rFonts w:ascii="Calibri Light" w:hAnsi="Calibri Light"/>
          <w:color w:val="1F4D78"/>
          <w:sz w:val="22"/>
          <w:szCs w:val="22"/>
          <w:lang w:val="en-US" w:eastAsia="en-US"/>
        </w:rPr>
      </w:pPr>
      <w:bookmarkStart w:id="13" w:name="_Toc534201547"/>
      <w:bookmarkStart w:id="14" w:name="_Toc31293639"/>
      <w:r w:rsidRPr="00E9326E">
        <w:rPr>
          <w:rFonts w:ascii="Calibri Light" w:hAnsi="Calibri Light"/>
          <w:color w:val="1F4D78"/>
          <w:sz w:val="22"/>
          <w:szCs w:val="22"/>
          <w:lang w:val="en-US" w:eastAsia="en-US"/>
        </w:rPr>
        <w:t>Consultations</w:t>
      </w:r>
      <w:bookmarkEnd w:id="13"/>
      <w:bookmarkEnd w:id="14"/>
    </w:p>
    <w:p w14:paraId="7BB71ECC"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In-depth discussions will be undertaken with all stakeholder groups during April. They will be based on the pre-released Discussion Paper that describes one or more alternative models in detail and outlines key questions and issues relating to potential impacts and implementation/transition arrangements.</w:t>
      </w:r>
    </w:p>
    <w:p w14:paraId="3B2576D0"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This second round of consultations will include:</w:t>
      </w:r>
    </w:p>
    <w:p w14:paraId="274BE966" w14:textId="77777777" w:rsidR="00E9326E" w:rsidRPr="00E9326E" w:rsidRDefault="00E9326E" w:rsidP="00E9326E">
      <w:pPr>
        <w:numPr>
          <w:ilvl w:val="0"/>
          <w:numId w:val="46"/>
        </w:numPr>
        <w:snapToGrid w:val="0"/>
        <w:spacing w:after="120"/>
        <w:contextualSpacing/>
        <w:rPr>
          <w:rFonts w:ascii="Calibri" w:eastAsia="Calibri" w:hAnsi="Calibri"/>
          <w:color w:val="000000"/>
          <w:sz w:val="22"/>
          <w:szCs w:val="22"/>
          <w:lang w:eastAsia="en-US"/>
        </w:rPr>
      </w:pPr>
      <w:r w:rsidRPr="00E9326E">
        <w:rPr>
          <w:rFonts w:ascii="Calibri" w:eastAsia="Calibri" w:hAnsi="Calibri"/>
          <w:color w:val="000000"/>
          <w:sz w:val="22"/>
          <w:szCs w:val="22"/>
          <w:lang w:eastAsia="en-US"/>
        </w:rPr>
        <w:t>Meetings with a broader range of individual stakeholders – either face-to-face in selected cities or by teleconference.</w:t>
      </w:r>
    </w:p>
    <w:p w14:paraId="2645ADBF" w14:textId="77777777" w:rsidR="00E9326E" w:rsidRPr="00E9326E" w:rsidRDefault="00E9326E" w:rsidP="00E9326E">
      <w:pPr>
        <w:numPr>
          <w:ilvl w:val="0"/>
          <w:numId w:val="45"/>
        </w:numPr>
        <w:snapToGrid w:val="0"/>
        <w:spacing w:after="120"/>
        <w:ind w:left="714" w:hanging="357"/>
        <w:rPr>
          <w:rFonts w:ascii="Calibri" w:eastAsia="Calibri" w:hAnsi="Calibri"/>
          <w:color w:val="000000"/>
          <w:sz w:val="22"/>
          <w:szCs w:val="22"/>
          <w:lang w:eastAsia="en-US"/>
        </w:rPr>
      </w:pPr>
      <w:r w:rsidRPr="00E9326E">
        <w:rPr>
          <w:rFonts w:ascii="Calibri" w:eastAsia="Calibri" w:hAnsi="Calibri"/>
          <w:color w:val="000000"/>
          <w:sz w:val="22"/>
          <w:szCs w:val="22"/>
          <w:lang w:eastAsia="en-US"/>
        </w:rPr>
        <w:t>Discussion forums and meetings in each state and territory – involving interested persons and organisations.</w:t>
      </w:r>
    </w:p>
    <w:p w14:paraId="5A273AFF"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The benefits and risks of the potential alternative allocation models will also be quantified to the extent possible given the available data. Throughout the project, advice will be sought from appropriate experts as required to refine and test the feasibility of alternative models. </w:t>
      </w:r>
    </w:p>
    <w:p w14:paraId="2E0F34D6" w14:textId="7C9DE53C" w:rsidR="00E9326E" w:rsidRPr="00E9326E" w:rsidRDefault="00E9326E" w:rsidP="00E9326E">
      <w:pPr>
        <w:keepNext/>
        <w:keepLines/>
        <w:snapToGrid w:val="0"/>
        <w:spacing w:before="240" w:after="120"/>
        <w:outlineLvl w:val="1"/>
        <w:rPr>
          <w:rFonts w:ascii="Helvetica" w:hAnsi="Helvetica"/>
          <w:color w:val="2E74B5"/>
          <w:sz w:val="26"/>
          <w:szCs w:val="26"/>
        </w:rPr>
      </w:pPr>
      <w:bookmarkStart w:id="15" w:name="_Toc534201553"/>
      <w:bookmarkStart w:id="16" w:name="_Toc31293640"/>
      <w:r w:rsidRPr="00E9326E">
        <w:rPr>
          <w:rFonts w:ascii="Helvetica" w:hAnsi="Helvetica"/>
          <w:color w:val="2E74B5"/>
          <w:sz w:val="26"/>
          <w:szCs w:val="26"/>
        </w:rPr>
        <w:t>Final report</w:t>
      </w:r>
      <w:bookmarkEnd w:id="15"/>
      <w:r w:rsidRPr="00E9326E">
        <w:rPr>
          <w:rFonts w:ascii="Helvetica" w:hAnsi="Helvetica"/>
          <w:color w:val="2E74B5"/>
          <w:sz w:val="26"/>
          <w:szCs w:val="26"/>
        </w:rPr>
        <w:t>: June</w:t>
      </w:r>
      <w:bookmarkEnd w:id="16"/>
    </w:p>
    <w:p w14:paraId="186AB44F"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A final report will be presented to the Department by end June. It will present the final alternative models, impact analysis and associated implementation and transition arrangements.</w:t>
      </w:r>
    </w:p>
    <w:p w14:paraId="509407E0" w14:textId="28A6057B" w:rsidR="00E9326E" w:rsidRPr="00E9326E" w:rsidRDefault="00E9326E" w:rsidP="00E9326E">
      <w:pPr>
        <w:keepNext/>
        <w:keepLines/>
        <w:snapToGrid w:val="0"/>
        <w:spacing w:before="240" w:after="120" w:line="259" w:lineRule="auto"/>
        <w:outlineLvl w:val="0"/>
        <w:rPr>
          <w:rFonts w:ascii="Calibri Light" w:hAnsi="Calibri Light"/>
          <w:color w:val="2E74B5"/>
          <w:sz w:val="32"/>
          <w:szCs w:val="32"/>
          <w:lang w:val="en-US" w:eastAsia="en-US"/>
        </w:rPr>
      </w:pPr>
      <w:bookmarkStart w:id="17" w:name="_Toc31293641"/>
      <w:r w:rsidRPr="00E9326E">
        <w:rPr>
          <w:rFonts w:ascii="Calibri Light" w:hAnsi="Calibri Light"/>
          <w:color w:val="2E74B5"/>
          <w:sz w:val="32"/>
          <w:szCs w:val="32"/>
          <w:lang w:val="en-US" w:eastAsia="en-US"/>
        </w:rPr>
        <w:t>Project Team</w:t>
      </w:r>
      <w:bookmarkEnd w:id="17"/>
    </w:p>
    <w:p w14:paraId="59FEF9A9"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The Impact Analysis Project is being undertaken by a Project Team comprising:</w:t>
      </w:r>
    </w:p>
    <w:p w14:paraId="25BCA7B5"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Professor Mike Woods, Centre for Health Economics Research and Evaluation (CHERE), University of Technology Sydney. Mike will lead the Project Team. He will draw on his deep knowledge of aged care and the underlying principles supporting the reforms in undertaking model development, together with his experience in developing policy and operational options as part of policy research. Mike will draw on his own and CHERE’s strong health economics expertise and his long term and close working relationship with many of the key stakeholders to lead the consultations.</w:t>
      </w:r>
    </w:p>
    <w:p w14:paraId="517A8007"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Grant Corderoy, Senior Partner of StewartBrown. Grant will provide support across the scope of the project and take a lead role in the financial impact analysis. He will draw on his national network of peak bodies and aged care sector clients, as well as StewartBrown’s financial and operational data and knowledge base to assist in developing feasible alternative models.</w:t>
      </w:r>
      <w:r w:rsidRPr="00E9326E">
        <w:rPr>
          <w:rFonts w:ascii="Calibri" w:hAnsi="Calibri"/>
          <w:color w:val="000000"/>
        </w:rPr>
        <w:t xml:space="preserve"> </w:t>
      </w:r>
      <w:r w:rsidRPr="00E9326E">
        <w:rPr>
          <w:rFonts w:ascii="Calibri" w:hAnsi="Calibri" w:cs="Calibri"/>
          <w:color w:val="000000"/>
          <w:sz w:val="22"/>
          <w:szCs w:val="22"/>
          <w:lang w:eastAsia="en-US"/>
        </w:rPr>
        <w:t xml:space="preserve">StewartBrown has a strong professional relationship with the Department and other stakeholders involving skills transfer, specific targeted financial analysis and their participation in its regular national Finance Forums. </w:t>
      </w:r>
    </w:p>
    <w:p w14:paraId="638E6C00"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Departmental personnel will be an integral part of the Project Team. Individual staff will be allocated to the Project Team on an as-needed basis.</w:t>
      </w:r>
    </w:p>
    <w:p w14:paraId="69D22592" w14:textId="5F0592D4" w:rsidR="00E9326E" w:rsidRPr="00E9326E" w:rsidRDefault="00E9326E" w:rsidP="00E9326E">
      <w:pPr>
        <w:keepNext/>
        <w:keepLines/>
        <w:snapToGrid w:val="0"/>
        <w:spacing w:before="240" w:after="120" w:line="259" w:lineRule="auto"/>
        <w:outlineLvl w:val="0"/>
        <w:rPr>
          <w:rFonts w:ascii="Calibri Light" w:hAnsi="Calibri Light"/>
          <w:color w:val="2E74B5"/>
          <w:sz w:val="32"/>
          <w:szCs w:val="32"/>
          <w:lang w:val="en-US" w:eastAsia="en-US"/>
        </w:rPr>
      </w:pPr>
      <w:bookmarkStart w:id="18" w:name="_Toc31293642"/>
      <w:r w:rsidRPr="00E9326E">
        <w:rPr>
          <w:rFonts w:ascii="Calibri Light" w:hAnsi="Calibri Light"/>
          <w:color w:val="2E74B5"/>
          <w:sz w:val="32"/>
          <w:szCs w:val="32"/>
          <w:lang w:val="en-US" w:eastAsia="en-US"/>
        </w:rPr>
        <w:t>Contact details</w:t>
      </w:r>
      <w:bookmarkEnd w:id="18"/>
    </w:p>
    <w:p w14:paraId="7A134AB8" w14:textId="6F046390" w:rsidR="00E9326E" w:rsidRPr="00E9326E" w:rsidRDefault="00E9326E" w:rsidP="00AA7201">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A member of the Project Team will contact the stakeholders invited to participate in the Stage 1 consultations to arrange a time convenient to them. If you have any issues, please email the Team at: </w:t>
      </w:r>
      <w:hyperlink r:id="rId11" w:history="1">
        <w:r w:rsidRPr="00E9326E">
          <w:rPr>
            <w:rFonts w:ascii="Calibri" w:hAnsi="Calibri" w:cs="Calibri"/>
            <w:color w:val="0563C1"/>
            <w:sz w:val="22"/>
            <w:szCs w:val="22"/>
            <w:u w:val="single"/>
            <w:lang w:eastAsia="en-US"/>
          </w:rPr>
          <w:t>ACARImpactAnalysis@health.gov.au</w:t>
        </w:r>
      </w:hyperlink>
      <w:r w:rsidRPr="00E9326E">
        <w:rPr>
          <w:rFonts w:ascii="Calibri" w:hAnsi="Calibri" w:cs="Calibri"/>
          <w:color w:val="000000"/>
          <w:sz w:val="22"/>
          <w:szCs w:val="22"/>
          <w:lang w:eastAsia="en-US"/>
        </w:rPr>
        <w:t xml:space="preserve"> </w:t>
      </w:r>
    </w:p>
    <w:p w14:paraId="51266B61" w14:textId="77777777" w:rsidR="00E9326E" w:rsidRPr="00E9326E" w:rsidRDefault="00E9326E" w:rsidP="00E9326E">
      <w:pPr>
        <w:snapToGrid w:val="0"/>
        <w:spacing w:after="120"/>
        <w:rPr>
          <w:rFonts w:ascii="Calibri" w:hAnsi="Calibri" w:cs="Calibri"/>
          <w:color w:val="000000"/>
          <w:sz w:val="22"/>
          <w:szCs w:val="22"/>
          <w:lang w:eastAsia="en-US"/>
        </w:rPr>
      </w:pPr>
    </w:p>
    <w:p w14:paraId="49F24FDD" w14:textId="77777777" w:rsidR="00E9326E" w:rsidRPr="00E9326E" w:rsidRDefault="00E9326E" w:rsidP="00E9326E">
      <w:pPr>
        <w:snapToGrid w:val="0"/>
        <w:spacing w:after="120"/>
        <w:rPr>
          <w:rFonts w:ascii="Calibri Light" w:hAnsi="Calibri Light"/>
          <w:color w:val="2E74B5"/>
          <w:sz w:val="32"/>
          <w:szCs w:val="32"/>
          <w:lang w:eastAsia="en-US"/>
        </w:rPr>
      </w:pPr>
      <w:r w:rsidRPr="00E9326E">
        <w:rPr>
          <w:rFonts w:ascii="Calibri Light" w:hAnsi="Calibri Light"/>
          <w:color w:val="2E74B5"/>
          <w:sz w:val="32"/>
          <w:szCs w:val="32"/>
          <w:lang w:eastAsia="en-US"/>
        </w:rPr>
        <w:br w:type="page"/>
      </w:r>
    </w:p>
    <w:p w14:paraId="6FEEB324" w14:textId="28AA59B9" w:rsidR="00E9326E" w:rsidRPr="00E9326E" w:rsidRDefault="00E9326E" w:rsidP="00E9326E">
      <w:pPr>
        <w:keepNext/>
        <w:keepLines/>
        <w:snapToGrid w:val="0"/>
        <w:spacing w:before="240"/>
        <w:outlineLvl w:val="0"/>
        <w:rPr>
          <w:rFonts w:ascii="Calibri Light" w:hAnsi="Calibri Light"/>
          <w:color w:val="2E74B5"/>
          <w:sz w:val="32"/>
          <w:szCs w:val="32"/>
          <w:lang w:eastAsia="en-US"/>
        </w:rPr>
      </w:pPr>
      <w:bookmarkStart w:id="19" w:name="_Toc31293643"/>
      <w:r w:rsidRPr="00E9326E">
        <w:rPr>
          <w:rFonts w:ascii="Calibri Light" w:hAnsi="Calibri Light"/>
          <w:color w:val="2E74B5"/>
          <w:sz w:val="32"/>
          <w:szCs w:val="32"/>
          <w:lang w:eastAsia="en-US"/>
        </w:rPr>
        <w:lastRenderedPageBreak/>
        <w:t>Questions to help frame the discussion</w:t>
      </w:r>
      <w:bookmarkEnd w:id="19"/>
      <w:r w:rsidRPr="00E9326E">
        <w:rPr>
          <w:rFonts w:ascii="Calibri Light" w:hAnsi="Calibri Light"/>
          <w:color w:val="2E74B5"/>
          <w:sz w:val="32"/>
          <w:szCs w:val="32"/>
          <w:lang w:eastAsia="en-US"/>
        </w:rPr>
        <w:t xml:space="preserve"> </w:t>
      </w:r>
    </w:p>
    <w:p w14:paraId="335B4E76" w14:textId="77777777" w:rsidR="00E9326E" w:rsidRPr="00E9326E" w:rsidRDefault="00E9326E" w:rsidP="00E9326E">
      <w:pPr>
        <w:keepNext/>
        <w:keepLines/>
        <w:snapToGrid w:val="0"/>
        <w:spacing w:before="40"/>
        <w:outlineLvl w:val="1"/>
        <w:rPr>
          <w:rFonts w:ascii="Calibri" w:hAnsi="Calibri" w:cs="Calibri"/>
          <w:color w:val="000000"/>
          <w:sz w:val="22"/>
          <w:szCs w:val="22"/>
          <w:lang w:eastAsia="en-US"/>
        </w:rPr>
      </w:pPr>
    </w:p>
    <w:p w14:paraId="50DDCB60" w14:textId="0BE2B25D" w:rsidR="00E9326E" w:rsidRPr="00E9326E" w:rsidRDefault="00E9326E" w:rsidP="00E9326E">
      <w:pPr>
        <w:keepNext/>
        <w:keepLines/>
        <w:snapToGrid w:val="0"/>
        <w:spacing w:before="40"/>
        <w:outlineLvl w:val="1"/>
        <w:rPr>
          <w:rFonts w:ascii="Calibri Light" w:hAnsi="Calibri Light"/>
          <w:color w:val="2E74B5"/>
          <w:sz w:val="26"/>
          <w:szCs w:val="26"/>
          <w:lang w:val="en-GB" w:eastAsia="en-US"/>
        </w:rPr>
      </w:pPr>
      <w:bookmarkStart w:id="20" w:name="_Toc31293644"/>
      <w:r w:rsidRPr="00E9326E">
        <w:rPr>
          <w:rFonts w:ascii="Calibri Light" w:hAnsi="Calibri Light"/>
          <w:color w:val="2E74B5"/>
          <w:sz w:val="26"/>
          <w:szCs w:val="26"/>
          <w:lang w:val="en-GB" w:eastAsia="en-US"/>
        </w:rPr>
        <w:t>Current context</w:t>
      </w:r>
      <w:bookmarkEnd w:id="20"/>
    </w:p>
    <w:p w14:paraId="67CFF8CA" w14:textId="77777777" w:rsidR="00E9326E" w:rsidRPr="00E9326E" w:rsidRDefault="00E9326E" w:rsidP="00E9326E">
      <w:pPr>
        <w:snapToGrid w:val="0"/>
        <w:spacing w:after="120"/>
        <w:rPr>
          <w:rFonts w:ascii="Calibri" w:hAnsi="Calibri" w:cs="Calibri"/>
          <w:color w:val="000000"/>
          <w:sz w:val="22"/>
          <w:szCs w:val="22"/>
          <w:lang w:val="en-GB" w:eastAsia="en-US"/>
        </w:rPr>
      </w:pPr>
      <w:r w:rsidRPr="00E9326E">
        <w:rPr>
          <w:rFonts w:ascii="Calibri" w:hAnsi="Calibri" w:cs="Calibri"/>
          <w:color w:val="000000"/>
          <w:sz w:val="22"/>
          <w:szCs w:val="22"/>
          <w:lang w:val="en-GB" w:eastAsia="en-US"/>
        </w:rPr>
        <w:t>Unpacking the issues with current arrangements</w:t>
      </w:r>
    </w:p>
    <w:p w14:paraId="30885233" w14:textId="77777777" w:rsidR="00E9326E" w:rsidRPr="00E9326E" w:rsidRDefault="00E9326E" w:rsidP="00E9326E">
      <w:pPr>
        <w:numPr>
          <w:ilvl w:val="0"/>
          <w:numId w:val="45"/>
        </w:numPr>
        <w:snapToGrid w:val="0"/>
        <w:spacing w:after="120"/>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What are the issue/s with the model for the allocation and management of places for residential aged care?</w:t>
      </w:r>
    </w:p>
    <w:p w14:paraId="78C628D2" w14:textId="77777777" w:rsidR="00E9326E" w:rsidRPr="00E9326E" w:rsidRDefault="00E9326E" w:rsidP="00E9326E">
      <w:pPr>
        <w:numPr>
          <w:ilvl w:val="1"/>
          <w:numId w:val="45"/>
        </w:numPr>
        <w:snapToGrid w:val="0"/>
        <w:spacing w:after="120"/>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What is the evidence that these issues are problems that need to be resolved, and what are their key causes?</w:t>
      </w:r>
    </w:p>
    <w:p w14:paraId="6518E644" w14:textId="77777777" w:rsidR="00E9326E" w:rsidRPr="00E9326E" w:rsidRDefault="00E9326E" w:rsidP="00E9326E">
      <w:pPr>
        <w:numPr>
          <w:ilvl w:val="1"/>
          <w:numId w:val="45"/>
        </w:numPr>
        <w:snapToGrid w:val="0"/>
        <w:spacing w:after="120"/>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What are the consumer, provider, financier and government perspectives on these issues?</w:t>
      </w:r>
    </w:p>
    <w:p w14:paraId="0746A0CA" w14:textId="77777777" w:rsidR="00E9326E" w:rsidRPr="00E9326E" w:rsidRDefault="00E9326E" w:rsidP="00E9326E">
      <w:pPr>
        <w:numPr>
          <w:ilvl w:val="0"/>
          <w:numId w:val="45"/>
        </w:numPr>
        <w:snapToGrid w:val="0"/>
        <w:spacing w:after="120"/>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Are these problems occurring at national level, or only for certain areas or consumer groups?</w:t>
      </w:r>
    </w:p>
    <w:p w14:paraId="3B930FF1" w14:textId="77777777" w:rsidR="00E9326E" w:rsidRPr="00E9326E" w:rsidRDefault="00E9326E" w:rsidP="00E9326E">
      <w:pPr>
        <w:snapToGrid w:val="0"/>
        <w:spacing w:after="120"/>
        <w:rPr>
          <w:rFonts w:ascii="Calibri" w:hAnsi="Calibri" w:cs="Calibri"/>
          <w:color w:val="000000"/>
          <w:sz w:val="22"/>
          <w:szCs w:val="22"/>
          <w:lang w:val="en-GB" w:eastAsia="en-US"/>
        </w:rPr>
      </w:pPr>
    </w:p>
    <w:p w14:paraId="13D770FD" w14:textId="77777777" w:rsidR="00E9326E" w:rsidRPr="00E9326E" w:rsidRDefault="00E9326E" w:rsidP="00E9326E">
      <w:pPr>
        <w:snapToGrid w:val="0"/>
        <w:spacing w:after="120"/>
        <w:rPr>
          <w:rFonts w:ascii="Calibri" w:hAnsi="Calibri" w:cs="Calibri"/>
          <w:color w:val="000000"/>
          <w:sz w:val="22"/>
          <w:szCs w:val="22"/>
          <w:lang w:val="en-GB" w:eastAsia="en-US"/>
        </w:rPr>
      </w:pPr>
      <w:r w:rsidRPr="00E9326E">
        <w:rPr>
          <w:rFonts w:ascii="Calibri" w:hAnsi="Calibri" w:cs="Calibri"/>
          <w:color w:val="000000"/>
          <w:sz w:val="22"/>
          <w:szCs w:val="22"/>
          <w:lang w:val="en-GB" w:eastAsia="en-US"/>
        </w:rPr>
        <w:t xml:space="preserve">Identifying the strengths of current arrangements </w:t>
      </w:r>
    </w:p>
    <w:p w14:paraId="4B16449E" w14:textId="77777777" w:rsidR="00E9326E" w:rsidRPr="00E9326E" w:rsidRDefault="00E9326E" w:rsidP="00E9326E">
      <w:pPr>
        <w:numPr>
          <w:ilvl w:val="0"/>
          <w:numId w:val="50"/>
        </w:numPr>
        <w:snapToGrid w:val="0"/>
        <w:spacing w:after="120"/>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What works well under the current model – from the consumer, provider, financier and government perspectives, and what are the key elements of success?</w:t>
      </w:r>
    </w:p>
    <w:p w14:paraId="30534FC5" w14:textId="77777777" w:rsidR="00E9326E" w:rsidRPr="00E9326E" w:rsidRDefault="00E9326E" w:rsidP="00E9326E">
      <w:pPr>
        <w:numPr>
          <w:ilvl w:val="0"/>
          <w:numId w:val="50"/>
        </w:numPr>
        <w:snapToGrid w:val="0"/>
        <w:spacing w:after="120"/>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What should be retained or further strengthened?</w:t>
      </w:r>
    </w:p>
    <w:p w14:paraId="07280167" w14:textId="77777777" w:rsidR="00E9326E" w:rsidRPr="00E9326E" w:rsidRDefault="00E9326E" w:rsidP="00E9326E">
      <w:pPr>
        <w:keepNext/>
        <w:keepLines/>
        <w:snapToGrid w:val="0"/>
        <w:spacing w:before="40"/>
        <w:outlineLvl w:val="1"/>
        <w:rPr>
          <w:rFonts w:ascii="Calibri Light" w:hAnsi="Calibri Light"/>
          <w:color w:val="2E74B5"/>
          <w:sz w:val="26"/>
          <w:szCs w:val="26"/>
          <w:lang w:val="en-GB" w:eastAsia="en-US"/>
        </w:rPr>
      </w:pPr>
    </w:p>
    <w:p w14:paraId="24CA6ED0" w14:textId="3FEE1927" w:rsidR="00E9326E" w:rsidRPr="00E9326E" w:rsidRDefault="00E9326E" w:rsidP="00E9326E">
      <w:pPr>
        <w:keepNext/>
        <w:keepLines/>
        <w:snapToGrid w:val="0"/>
        <w:spacing w:before="40"/>
        <w:outlineLvl w:val="1"/>
        <w:rPr>
          <w:rFonts w:ascii="Calibri Light" w:hAnsi="Calibri Light"/>
          <w:color w:val="2E74B5"/>
          <w:sz w:val="26"/>
          <w:szCs w:val="26"/>
          <w:lang w:val="en-GB" w:eastAsia="en-US"/>
        </w:rPr>
      </w:pPr>
      <w:bookmarkStart w:id="21" w:name="_Toc31293645"/>
      <w:r w:rsidRPr="00E9326E">
        <w:rPr>
          <w:rFonts w:ascii="Calibri Light" w:hAnsi="Calibri Light"/>
          <w:color w:val="2E74B5"/>
          <w:sz w:val="26"/>
          <w:szCs w:val="26"/>
          <w:lang w:val="en-GB" w:eastAsia="en-US"/>
        </w:rPr>
        <w:t>Considerations for alternative arrangements</w:t>
      </w:r>
      <w:bookmarkEnd w:id="21"/>
      <w:r w:rsidRPr="00E9326E">
        <w:rPr>
          <w:rFonts w:ascii="Calibri Light" w:hAnsi="Calibri Light"/>
          <w:color w:val="2E74B5"/>
          <w:sz w:val="26"/>
          <w:szCs w:val="26"/>
          <w:lang w:val="en-GB" w:eastAsia="en-US"/>
        </w:rPr>
        <w:t xml:space="preserve"> </w:t>
      </w:r>
    </w:p>
    <w:p w14:paraId="0509E35A" w14:textId="77777777" w:rsidR="00E9326E" w:rsidRPr="00E9326E" w:rsidRDefault="00E9326E" w:rsidP="00E9326E">
      <w:pPr>
        <w:snapToGrid w:val="0"/>
        <w:spacing w:after="120"/>
        <w:rPr>
          <w:rFonts w:ascii="Calibri" w:hAnsi="Calibri" w:cs="Calibri"/>
          <w:color w:val="000000"/>
          <w:sz w:val="22"/>
          <w:szCs w:val="22"/>
          <w:lang w:val="en-GB" w:eastAsia="en-US"/>
        </w:rPr>
      </w:pPr>
      <w:r w:rsidRPr="00E9326E">
        <w:rPr>
          <w:rFonts w:ascii="Calibri" w:hAnsi="Calibri" w:cs="Calibri"/>
          <w:color w:val="000000"/>
          <w:sz w:val="22"/>
          <w:szCs w:val="22"/>
          <w:lang w:val="en-GB" w:eastAsia="en-US"/>
        </w:rPr>
        <w:t>With regard to alternative model/s, what would success look like in each of the categories below?</w:t>
      </w:r>
    </w:p>
    <w:p w14:paraId="6763B99A" w14:textId="77777777" w:rsidR="00E9326E" w:rsidRPr="00E9326E" w:rsidRDefault="00E9326E" w:rsidP="00E9326E">
      <w:pPr>
        <w:numPr>
          <w:ilvl w:val="0"/>
          <w:numId w:val="49"/>
        </w:numPr>
        <w:snapToGrid w:val="0"/>
        <w:spacing w:before="240" w:after="120"/>
        <w:contextualSpacing/>
        <w:rPr>
          <w:rFonts w:ascii="Calibri" w:hAnsi="Calibri" w:cs="Calibri"/>
          <w:color w:val="000000"/>
          <w:sz w:val="22"/>
          <w:szCs w:val="22"/>
          <w:lang w:eastAsia="en-US"/>
        </w:rPr>
      </w:pPr>
      <w:r w:rsidRPr="00E9326E">
        <w:rPr>
          <w:rFonts w:ascii="Calibri" w:hAnsi="Calibri" w:cs="Calibri"/>
          <w:color w:val="000000"/>
          <w:sz w:val="22"/>
          <w:szCs w:val="22"/>
          <w:lang w:eastAsia="en-US"/>
        </w:rPr>
        <w:t>Consumer choice and access, including with respect to regional, rural and remote areas, thin markets, and for vulnerable consumer cohorts and those requiring residential respite care</w:t>
      </w:r>
    </w:p>
    <w:p w14:paraId="77D434D7" w14:textId="77777777" w:rsidR="00E9326E" w:rsidRPr="00E9326E" w:rsidRDefault="00E9326E" w:rsidP="00E9326E">
      <w:pPr>
        <w:numPr>
          <w:ilvl w:val="0"/>
          <w:numId w:val="49"/>
        </w:numPr>
        <w:snapToGrid w:val="0"/>
        <w:spacing w:before="240" w:after="120"/>
        <w:contextualSpacing/>
        <w:rPr>
          <w:rFonts w:ascii="Calibri" w:hAnsi="Calibri" w:cs="Calibri"/>
          <w:color w:val="000000"/>
          <w:sz w:val="22"/>
          <w:szCs w:val="22"/>
          <w:lang w:eastAsia="en-US"/>
        </w:rPr>
      </w:pPr>
      <w:r w:rsidRPr="00E9326E">
        <w:rPr>
          <w:rFonts w:ascii="Calibri" w:hAnsi="Calibri" w:cs="Calibri"/>
          <w:color w:val="000000"/>
          <w:sz w:val="22"/>
          <w:szCs w:val="22"/>
          <w:lang w:eastAsia="en-US"/>
        </w:rPr>
        <w:t>Improvements to the delivery of safe, high quality services</w:t>
      </w:r>
    </w:p>
    <w:p w14:paraId="22FC0B87" w14:textId="77777777" w:rsidR="00E9326E" w:rsidRPr="00E9326E" w:rsidRDefault="00E9326E" w:rsidP="00E9326E">
      <w:pPr>
        <w:numPr>
          <w:ilvl w:val="0"/>
          <w:numId w:val="49"/>
        </w:numPr>
        <w:snapToGrid w:val="0"/>
        <w:spacing w:before="240" w:after="120"/>
        <w:contextualSpacing/>
        <w:rPr>
          <w:rFonts w:ascii="Calibri" w:hAnsi="Calibri" w:cs="Calibri"/>
          <w:color w:val="000000"/>
          <w:sz w:val="22"/>
          <w:szCs w:val="22"/>
          <w:lang w:eastAsia="en-US"/>
        </w:rPr>
      </w:pPr>
      <w:r w:rsidRPr="00E9326E">
        <w:rPr>
          <w:rFonts w:ascii="Calibri" w:hAnsi="Calibri" w:cs="Calibri"/>
          <w:color w:val="000000"/>
          <w:sz w:val="22"/>
          <w:szCs w:val="22"/>
          <w:lang w:eastAsia="en-US"/>
        </w:rPr>
        <w:t>Sector viability and sustainability</w:t>
      </w:r>
    </w:p>
    <w:p w14:paraId="3A52F16A" w14:textId="77777777" w:rsidR="00E9326E" w:rsidRPr="00E9326E" w:rsidRDefault="00E9326E" w:rsidP="00E9326E">
      <w:pPr>
        <w:numPr>
          <w:ilvl w:val="0"/>
          <w:numId w:val="49"/>
        </w:numPr>
        <w:snapToGrid w:val="0"/>
        <w:spacing w:before="240" w:after="120"/>
        <w:contextualSpacing/>
        <w:rPr>
          <w:rFonts w:ascii="Calibri" w:hAnsi="Calibri" w:cs="Calibri"/>
          <w:color w:val="000000"/>
          <w:sz w:val="22"/>
          <w:szCs w:val="22"/>
          <w:lang w:eastAsia="en-US"/>
        </w:rPr>
      </w:pPr>
      <w:r w:rsidRPr="00E9326E">
        <w:rPr>
          <w:rFonts w:ascii="Calibri" w:hAnsi="Calibri" w:cs="Calibri"/>
          <w:color w:val="000000"/>
          <w:sz w:val="22"/>
          <w:szCs w:val="22"/>
          <w:lang w:eastAsia="en-US"/>
        </w:rPr>
        <w:t>Sector growth and investment</w:t>
      </w:r>
    </w:p>
    <w:p w14:paraId="1B045244" w14:textId="77777777" w:rsidR="00E9326E" w:rsidRPr="00E9326E" w:rsidRDefault="00E9326E" w:rsidP="00E9326E">
      <w:pPr>
        <w:numPr>
          <w:ilvl w:val="0"/>
          <w:numId w:val="49"/>
        </w:numPr>
        <w:snapToGrid w:val="0"/>
        <w:spacing w:before="240" w:after="120"/>
        <w:contextualSpacing/>
        <w:rPr>
          <w:rFonts w:ascii="Calibri" w:hAnsi="Calibri" w:cs="Calibri"/>
          <w:color w:val="000000"/>
          <w:sz w:val="22"/>
          <w:szCs w:val="22"/>
          <w:lang w:eastAsia="en-US"/>
        </w:rPr>
      </w:pPr>
      <w:r w:rsidRPr="00E9326E">
        <w:rPr>
          <w:rFonts w:ascii="Calibri" w:hAnsi="Calibri" w:cs="Calibri"/>
          <w:color w:val="000000"/>
          <w:sz w:val="22"/>
          <w:szCs w:val="22"/>
          <w:lang w:eastAsia="en-US"/>
        </w:rPr>
        <w:t>Market structure</w:t>
      </w:r>
    </w:p>
    <w:p w14:paraId="0FD4BD9E" w14:textId="77777777" w:rsidR="00E9326E" w:rsidRPr="00E9326E" w:rsidRDefault="00E9326E" w:rsidP="00E9326E">
      <w:pPr>
        <w:numPr>
          <w:ilvl w:val="0"/>
          <w:numId w:val="49"/>
        </w:numPr>
        <w:snapToGrid w:val="0"/>
        <w:spacing w:before="240" w:after="120"/>
        <w:contextualSpacing/>
        <w:rPr>
          <w:rFonts w:ascii="Calibri" w:hAnsi="Calibri" w:cs="Calibri"/>
          <w:color w:val="000000"/>
          <w:sz w:val="22"/>
          <w:szCs w:val="22"/>
          <w:lang w:eastAsia="en-US"/>
        </w:rPr>
      </w:pPr>
      <w:r w:rsidRPr="00E9326E">
        <w:rPr>
          <w:rFonts w:ascii="Calibri" w:hAnsi="Calibri" w:cs="Calibri"/>
          <w:color w:val="000000"/>
          <w:sz w:val="22"/>
          <w:szCs w:val="22"/>
          <w:lang w:eastAsia="en-US"/>
        </w:rPr>
        <w:t>Consumer and government funding</w:t>
      </w:r>
    </w:p>
    <w:p w14:paraId="6F7B11BD" w14:textId="77777777" w:rsidR="00E9326E" w:rsidRPr="00E9326E" w:rsidRDefault="00E9326E" w:rsidP="00E9326E">
      <w:pPr>
        <w:snapToGrid w:val="0"/>
        <w:spacing w:after="120"/>
        <w:rPr>
          <w:rFonts w:ascii="Calibri" w:hAnsi="Calibri" w:cs="Calibri"/>
          <w:color w:val="000000"/>
          <w:sz w:val="22"/>
          <w:szCs w:val="22"/>
          <w:lang w:eastAsia="en-US"/>
        </w:rPr>
      </w:pPr>
    </w:p>
    <w:p w14:paraId="5F647A77"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In developing a Discussion Paper that will need to speak to the diversity of consumers, providers and financiers of residential aged care, and relevant parts of the Government, are there any other specific issues which need to be addressed?</w:t>
      </w:r>
    </w:p>
    <w:p w14:paraId="2CBB1C58" w14:textId="77777777" w:rsidR="00E9326E" w:rsidRPr="00E9326E" w:rsidRDefault="00E9326E" w:rsidP="00E9326E">
      <w:pPr>
        <w:snapToGrid w:val="0"/>
        <w:spacing w:after="120"/>
        <w:rPr>
          <w:rFonts w:ascii="Calibri" w:hAnsi="Calibri" w:cs="Calibri"/>
          <w:color w:val="000000"/>
          <w:sz w:val="22"/>
          <w:szCs w:val="22"/>
          <w:lang w:eastAsia="en-US"/>
        </w:rPr>
      </w:pPr>
    </w:p>
    <w:p w14:paraId="213B3223"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Flow-on effects and linkages with other programs, processes, work or reforms underway that are materially related to the allocation of residential aged care places will also be assessed. </w:t>
      </w:r>
    </w:p>
    <w:p w14:paraId="76FF3E34" w14:textId="77777777" w:rsidR="00E9326E" w:rsidRPr="00E9326E" w:rsidRDefault="00E9326E" w:rsidP="00E9326E">
      <w:pPr>
        <w:spacing w:after="160" w:line="259" w:lineRule="auto"/>
        <w:rPr>
          <w:rFonts w:ascii="Calibri" w:hAnsi="Calibri" w:cs="Calibri"/>
          <w:color w:val="000000"/>
          <w:sz w:val="22"/>
          <w:szCs w:val="22"/>
          <w:lang w:eastAsia="en-US"/>
        </w:rPr>
      </w:pPr>
      <w:r w:rsidRPr="00E9326E">
        <w:rPr>
          <w:rFonts w:ascii="Calibri" w:hAnsi="Calibri" w:cs="Calibri"/>
          <w:color w:val="000000"/>
          <w:sz w:val="22"/>
          <w:szCs w:val="22"/>
          <w:lang w:eastAsia="en-US"/>
        </w:rPr>
        <w:br w:type="page"/>
      </w:r>
    </w:p>
    <w:p w14:paraId="0C10F645" w14:textId="7F344598" w:rsidR="00E8681E" w:rsidRPr="00E9326E" w:rsidRDefault="00EE46F2" w:rsidP="004B2D48">
      <w:pPr>
        <w:pStyle w:val="Heading1"/>
        <w:rPr>
          <w:lang w:eastAsia="en-US"/>
        </w:rPr>
      </w:pPr>
      <w:r w:rsidRPr="00E9326E">
        <w:rPr>
          <w:lang w:eastAsia="en-US"/>
        </w:rPr>
        <w:lastRenderedPageBreak/>
        <w:t>Appendix B: Public discussion paper</w:t>
      </w:r>
    </w:p>
    <w:p w14:paraId="59906FB9" w14:textId="77777777" w:rsidR="00EE46F2" w:rsidRPr="00EE46F2" w:rsidRDefault="00EE46F2" w:rsidP="00EE46F2"/>
    <w:p w14:paraId="01C478BB" w14:textId="77777777" w:rsidR="00842FC1" w:rsidRPr="00486075" w:rsidRDefault="00625C5C" w:rsidP="00842FC1">
      <w:pPr>
        <w:pStyle w:val="Title"/>
        <w:tabs>
          <w:tab w:val="left" w:pos="7892"/>
        </w:tabs>
        <w:rPr>
          <w:b/>
        </w:rPr>
      </w:pPr>
      <w:r w:rsidRPr="00486075">
        <w:rPr>
          <w:noProof/>
        </w:rPr>
        <w:drawing>
          <wp:inline distT="0" distB="0" distL="0" distR="0" wp14:anchorId="017ABAFE" wp14:editId="5C644FE7">
            <wp:extent cx="1531620" cy="633730"/>
            <wp:effectExtent l="0" t="0" r="0" b="0"/>
            <wp:docPr id="1" name="Picture 1" descr="University of Technology logo" title="U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hqprint">
                      <a:extLst>
                        <a:ext uri="{28A0092B-C50C-407E-A947-70E740481C1C}">
                          <a14:useLocalDpi xmlns:a14="http://schemas.microsoft.com/office/drawing/2010/main" val="0"/>
                        </a:ext>
                      </a:extLst>
                    </a:blip>
                    <a:srcRect l="11286" t="20649" r="12753" b="28536"/>
                    <a:stretch/>
                  </pic:blipFill>
                  <pic:spPr bwMode="auto">
                    <a:xfrm>
                      <a:off x="0" y="0"/>
                      <a:ext cx="1531620" cy="633730"/>
                    </a:xfrm>
                    <a:prstGeom prst="rect">
                      <a:avLst/>
                    </a:prstGeom>
                    <a:noFill/>
                    <a:ln>
                      <a:noFill/>
                    </a:ln>
                    <a:extLst>
                      <a:ext uri="{53640926-AAD7-44D8-BBD7-CCE9431645EC}">
                        <a14:shadowObscured xmlns:a14="http://schemas.microsoft.com/office/drawing/2010/main"/>
                      </a:ext>
                    </a:extLst>
                  </pic:spPr>
                </pic:pic>
              </a:graphicData>
            </a:graphic>
          </wp:inline>
        </w:drawing>
      </w:r>
      <w:r w:rsidR="003C2833" w:rsidRPr="00486075">
        <w:rPr>
          <w:noProof/>
        </w:rPr>
        <w:drawing>
          <wp:inline distT="0" distB="0" distL="0" distR="0" wp14:anchorId="0F5A4284" wp14:editId="14B6689E">
            <wp:extent cx="1435735" cy="590550"/>
            <wp:effectExtent l="0" t="0" r="0" b="0"/>
            <wp:docPr id="4" name="Picture 4" descr="The Logo for Stewart Brown " title="Stewart Brow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hqprint">
                      <a:extLst>
                        <a:ext uri="{28A0092B-C50C-407E-A947-70E740481C1C}">
                          <a14:useLocalDpi xmlns:a14="http://schemas.microsoft.com/office/drawing/2010/main" val="0"/>
                        </a:ext>
                      </a:extLst>
                    </a:blip>
                    <a:srcRect b="8251"/>
                    <a:stretch/>
                  </pic:blipFill>
                  <pic:spPr bwMode="auto">
                    <a:xfrm>
                      <a:off x="0" y="0"/>
                      <a:ext cx="1435735" cy="590550"/>
                    </a:xfrm>
                    <a:prstGeom prst="rect">
                      <a:avLst/>
                    </a:prstGeom>
                    <a:ln>
                      <a:noFill/>
                    </a:ln>
                    <a:extLst>
                      <a:ext uri="{53640926-AAD7-44D8-BBD7-CCE9431645EC}">
                        <a14:shadowObscured xmlns:a14="http://schemas.microsoft.com/office/drawing/2010/main"/>
                      </a:ext>
                    </a:extLst>
                  </pic:spPr>
                </pic:pic>
              </a:graphicData>
            </a:graphic>
          </wp:inline>
        </w:drawing>
      </w:r>
    </w:p>
    <w:p w14:paraId="6958523B" w14:textId="77777777" w:rsidR="0014247F" w:rsidRPr="00486075" w:rsidRDefault="0014247F" w:rsidP="00876D74">
      <w:pPr>
        <w:pStyle w:val="Title"/>
        <w:spacing w:before="960"/>
        <w:contextualSpacing w:val="0"/>
        <w:rPr>
          <w:b/>
        </w:rPr>
      </w:pPr>
      <w:r w:rsidRPr="00486075">
        <w:rPr>
          <w:b/>
        </w:rPr>
        <w:t>Residential aged care:</w:t>
      </w:r>
      <w:r w:rsidR="00380368" w:rsidRPr="00486075">
        <w:rPr>
          <w:b/>
        </w:rPr>
        <w:t xml:space="preserve"> </w:t>
      </w:r>
    </w:p>
    <w:p w14:paraId="7C579965" w14:textId="77777777" w:rsidR="00D1647E" w:rsidRPr="00486075" w:rsidRDefault="0052750C" w:rsidP="00380368">
      <w:pPr>
        <w:pStyle w:val="Title"/>
        <w:rPr>
          <w:b/>
        </w:rPr>
      </w:pPr>
      <w:r w:rsidRPr="00486075">
        <w:rPr>
          <w:b/>
        </w:rPr>
        <w:t>Proposed a</w:t>
      </w:r>
      <w:r w:rsidR="00EB28A4" w:rsidRPr="00486075">
        <w:rPr>
          <w:b/>
        </w:rPr>
        <w:t>lternative models for allocating places</w:t>
      </w:r>
    </w:p>
    <w:p w14:paraId="47A4A11E" w14:textId="77777777" w:rsidR="007368E8" w:rsidRPr="00486075" w:rsidRDefault="007368E8" w:rsidP="007368E8">
      <w:pPr>
        <w:pStyle w:val="Subtitle"/>
        <w:rPr>
          <w:rFonts w:ascii="Helvetica" w:hAnsi="Helvetica"/>
          <w:b/>
        </w:rPr>
      </w:pPr>
    </w:p>
    <w:p w14:paraId="11C5C542" w14:textId="77777777" w:rsidR="0052750C" w:rsidRPr="00486075" w:rsidRDefault="0052750C" w:rsidP="0052750C">
      <w:pPr>
        <w:pStyle w:val="Title"/>
        <w:rPr>
          <w:b/>
        </w:rPr>
      </w:pPr>
      <w:r w:rsidRPr="00486075">
        <w:rPr>
          <w:b/>
        </w:rPr>
        <w:t>Discussion paper</w:t>
      </w:r>
    </w:p>
    <w:p w14:paraId="6B2D21C8" w14:textId="77777777" w:rsidR="0052750C" w:rsidRPr="00486075" w:rsidRDefault="0052750C" w:rsidP="0052750C"/>
    <w:p w14:paraId="57C0A3B0" w14:textId="4A5CE79D" w:rsidR="009F6B54" w:rsidRPr="00383D9B" w:rsidRDefault="00FF4BF9" w:rsidP="00383D9B">
      <w:pPr>
        <w:pStyle w:val="Subtitle"/>
        <w:rPr>
          <w:rFonts w:ascii="Helvetica" w:hAnsi="Helvetica"/>
          <w:b/>
          <w:sz w:val="34"/>
        </w:rPr>
      </w:pPr>
      <w:r w:rsidRPr="00486075">
        <w:rPr>
          <w:rFonts w:ascii="Helvetica" w:hAnsi="Helvetica"/>
          <w:b/>
          <w:sz w:val="34"/>
        </w:rPr>
        <w:t>Ju</w:t>
      </w:r>
      <w:r w:rsidR="00085CF2" w:rsidRPr="00486075">
        <w:rPr>
          <w:rFonts w:ascii="Helvetica" w:hAnsi="Helvetica"/>
          <w:b/>
          <w:sz w:val="34"/>
        </w:rPr>
        <w:t>ly</w:t>
      </w:r>
      <w:r w:rsidR="00567215" w:rsidRPr="00486075">
        <w:rPr>
          <w:rFonts w:ascii="Helvetica" w:hAnsi="Helvetica"/>
          <w:b/>
          <w:sz w:val="34"/>
        </w:rPr>
        <w:t xml:space="preserve"> </w:t>
      </w:r>
      <w:r w:rsidR="007368E8" w:rsidRPr="00486075">
        <w:rPr>
          <w:rFonts w:ascii="Helvetica" w:hAnsi="Helvetica"/>
          <w:b/>
          <w:sz w:val="34"/>
        </w:rPr>
        <w:t>2019</w:t>
      </w:r>
    </w:p>
    <w:p w14:paraId="14548B74" w14:textId="77777777" w:rsidR="007368E8" w:rsidRPr="00486075" w:rsidRDefault="007368E8">
      <w:pPr>
        <w:rPr>
          <w:rFonts w:ascii="Helvetica" w:hAnsi="Helvetica" w:cs="Helvetica"/>
        </w:rPr>
      </w:pPr>
      <w:r w:rsidRPr="00486075">
        <w:rPr>
          <w:rFonts w:ascii="Helvetica" w:hAnsi="Helvetica" w:cs="Helvetica"/>
        </w:rPr>
        <w:br w:type="page"/>
      </w:r>
    </w:p>
    <w:sdt>
      <w:sdtPr>
        <w:rPr>
          <w:rFonts w:ascii="Times New Roman" w:eastAsia="Times New Roman" w:hAnsi="Times New Roman" w:cs="Times New Roman"/>
          <w:b w:val="0"/>
          <w:color w:val="auto"/>
          <w:sz w:val="24"/>
          <w:szCs w:val="24"/>
          <w:lang w:val="en-AU" w:eastAsia="en-AU"/>
        </w:rPr>
        <w:id w:val="-1500577807"/>
        <w:docPartObj>
          <w:docPartGallery w:val="Table of Contents"/>
          <w:docPartUnique/>
        </w:docPartObj>
      </w:sdtPr>
      <w:sdtEndPr>
        <w:rPr>
          <w:bCs/>
          <w:noProof/>
        </w:rPr>
      </w:sdtEndPr>
      <w:sdtContent>
        <w:p w14:paraId="63FE636B" w14:textId="49080A26" w:rsidR="00E9326E" w:rsidRPr="00AA0679" w:rsidRDefault="00E9326E" w:rsidP="004B2D48">
          <w:pPr>
            <w:pStyle w:val="TOCHeading"/>
            <w:rPr>
              <w:noProof/>
              <w:sz w:val="22"/>
              <w:szCs w:val="22"/>
            </w:rPr>
          </w:pPr>
          <w:r w:rsidRPr="00AA0679">
            <w:rPr>
              <w:sz w:val="22"/>
              <w:szCs w:val="22"/>
            </w:rPr>
            <w:t>Contents</w:t>
          </w:r>
          <w:r w:rsidRPr="00AA0679">
            <w:rPr>
              <w:sz w:val="22"/>
              <w:szCs w:val="22"/>
            </w:rPr>
            <w:fldChar w:fldCharType="begin"/>
          </w:r>
          <w:r w:rsidRPr="00AA0679">
            <w:rPr>
              <w:sz w:val="22"/>
              <w:szCs w:val="22"/>
            </w:rPr>
            <w:instrText xml:space="preserve"> TOC \o "1-3" \h \z \u </w:instrText>
          </w:r>
          <w:r w:rsidRPr="00AA0679">
            <w:rPr>
              <w:sz w:val="22"/>
              <w:szCs w:val="22"/>
            </w:rPr>
            <w:fldChar w:fldCharType="separate"/>
          </w:r>
        </w:p>
        <w:p w14:paraId="3138DE35" w14:textId="61AB1930" w:rsidR="00E9326E" w:rsidRPr="00AA0679" w:rsidRDefault="00F14E8A" w:rsidP="004B2D48">
          <w:pPr>
            <w:pStyle w:val="TOC1"/>
            <w:rPr>
              <w:rFonts w:eastAsiaTheme="minorEastAsia"/>
              <w:sz w:val="22"/>
              <w:szCs w:val="22"/>
            </w:rPr>
          </w:pPr>
          <w:hyperlink w:anchor="_Toc31293646" w:history="1">
            <w:r w:rsidR="00E9326E" w:rsidRPr="00AA0679">
              <w:rPr>
                <w:rStyle w:val="Hyperlink"/>
                <w:sz w:val="22"/>
                <w:szCs w:val="22"/>
              </w:rPr>
              <w:t>Purpose of this discussion paper</w:t>
            </w:r>
            <w:r w:rsidR="00E9326E" w:rsidRPr="00AA0679">
              <w:rPr>
                <w:webHidden/>
                <w:sz w:val="22"/>
                <w:szCs w:val="22"/>
              </w:rPr>
              <w:tab/>
            </w:r>
            <w:r w:rsidR="00E9326E" w:rsidRPr="00AA0679">
              <w:rPr>
                <w:webHidden/>
                <w:sz w:val="22"/>
                <w:szCs w:val="22"/>
              </w:rPr>
              <w:fldChar w:fldCharType="begin"/>
            </w:r>
            <w:r w:rsidR="00E9326E" w:rsidRPr="00AA0679">
              <w:rPr>
                <w:webHidden/>
                <w:sz w:val="22"/>
                <w:szCs w:val="22"/>
              </w:rPr>
              <w:instrText xml:space="preserve"> PAGEREF _Toc31293646 \h </w:instrText>
            </w:r>
            <w:r w:rsidR="00E9326E" w:rsidRPr="00AA0679">
              <w:rPr>
                <w:webHidden/>
                <w:sz w:val="22"/>
                <w:szCs w:val="22"/>
              </w:rPr>
            </w:r>
            <w:r w:rsidR="00E9326E" w:rsidRPr="00AA0679">
              <w:rPr>
                <w:webHidden/>
                <w:sz w:val="22"/>
                <w:szCs w:val="22"/>
              </w:rPr>
              <w:fldChar w:fldCharType="separate"/>
            </w:r>
            <w:r w:rsidR="00AA7201">
              <w:rPr>
                <w:webHidden/>
                <w:sz w:val="22"/>
                <w:szCs w:val="22"/>
              </w:rPr>
              <w:t>10</w:t>
            </w:r>
            <w:r w:rsidR="00E9326E" w:rsidRPr="00AA0679">
              <w:rPr>
                <w:webHidden/>
                <w:sz w:val="22"/>
                <w:szCs w:val="22"/>
              </w:rPr>
              <w:fldChar w:fldCharType="end"/>
            </w:r>
          </w:hyperlink>
        </w:p>
        <w:p w14:paraId="6DB16507" w14:textId="38C1ACC8"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47" w:history="1">
            <w:r w:rsidR="00E9326E" w:rsidRPr="00AA0679">
              <w:rPr>
                <w:rStyle w:val="Hyperlink"/>
                <w:rFonts w:ascii="Helvetica" w:hAnsi="Helvetica" w:cs="Helvetica"/>
                <w:noProof/>
                <w:sz w:val="22"/>
                <w:szCs w:val="22"/>
              </w:rPr>
              <w:t>Introduction</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_Toc31293647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10</w:t>
            </w:r>
            <w:r w:rsidR="00E9326E" w:rsidRPr="00AA0679">
              <w:rPr>
                <w:rFonts w:ascii="Helvetica" w:hAnsi="Helvetica" w:cs="Helvetica"/>
                <w:noProof/>
                <w:webHidden/>
                <w:sz w:val="22"/>
                <w:szCs w:val="22"/>
              </w:rPr>
              <w:fldChar w:fldCharType="end"/>
            </w:r>
          </w:hyperlink>
        </w:p>
        <w:p w14:paraId="497DAC36" w14:textId="69E63D46"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48" w:history="1">
            <w:r w:rsidR="00E9326E" w:rsidRPr="00AA0679">
              <w:rPr>
                <w:rStyle w:val="Hyperlink"/>
                <w:rFonts w:ascii="Helvetica" w:hAnsi="Helvetica" w:cs="Helvetica"/>
                <w:noProof/>
                <w:sz w:val="22"/>
                <w:szCs w:val="22"/>
              </w:rPr>
              <w:t>Why we are consulting</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_Toc31293648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10</w:t>
            </w:r>
            <w:r w:rsidR="00E9326E" w:rsidRPr="00AA0679">
              <w:rPr>
                <w:rFonts w:ascii="Helvetica" w:hAnsi="Helvetica" w:cs="Helvetica"/>
                <w:noProof/>
                <w:webHidden/>
                <w:sz w:val="22"/>
                <w:szCs w:val="22"/>
              </w:rPr>
              <w:fldChar w:fldCharType="end"/>
            </w:r>
          </w:hyperlink>
        </w:p>
        <w:p w14:paraId="75447865" w14:textId="6BD108E4"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49" w:history="1">
            <w:r w:rsidR="00E9326E" w:rsidRPr="00AA0679">
              <w:rPr>
                <w:rStyle w:val="Hyperlink"/>
                <w:rFonts w:ascii="Helvetica" w:hAnsi="Helvetica" w:cs="Helvetica"/>
                <w:noProof/>
                <w:sz w:val="22"/>
                <w:szCs w:val="22"/>
              </w:rPr>
              <w:t>How to have your say</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_Toc31293649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10</w:t>
            </w:r>
            <w:r w:rsidR="00E9326E" w:rsidRPr="00AA0679">
              <w:rPr>
                <w:rFonts w:ascii="Helvetica" w:hAnsi="Helvetica" w:cs="Helvetica"/>
                <w:noProof/>
                <w:webHidden/>
                <w:sz w:val="22"/>
                <w:szCs w:val="22"/>
              </w:rPr>
              <w:fldChar w:fldCharType="end"/>
            </w:r>
          </w:hyperlink>
        </w:p>
        <w:p w14:paraId="5ECBA04B" w14:textId="52FD311D" w:rsidR="00E9326E" w:rsidRPr="00AA0679" w:rsidRDefault="00F14E8A" w:rsidP="004B2D48">
          <w:pPr>
            <w:pStyle w:val="TOC1"/>
            <w:rPr>
              <w:rFonts w:eastAsiaTheme="minorEastAsia"/>
              <w:sz w:val="22"/>
              <w:szCs w:val="22"/>
            </w:rPr>
          </w:pPr>
          <w:hyperlink w:anchor="_Toc31293650" w:history="1">
            <w:r w:rsidR="00E9326E" w:rsidRPr="00AA0679">
              <w:rPr>
                <w:rStyle w:val="Hyperlink"/>
                <w:sz w:val="22"/>
                <w:szCs w:val="22"/>
              </w:rPr>
              <w:t>Context and scope of impact analysis</w:t>
            </w:r>
            <w:r w:rsidR="00E9326E" w:rsidRPr="00AA0679">
              <w:rPr>
                <w:webHidden/>
                <w:sz w:val="22"/>
                <w:szCs w:val="22"/>
              </w:rPr>
              <w:tab/>
            </w:r>
            <w:r w:rsidR="00E9326E" w:rsidRPr="00AA0679">
              <w:rPr>
                <w:webHidden/>
                <w:sz w:val="22"/>
                <w:szCs w:val="22"/>
              </w:rPr>
              <w:fldChar w:fldCharType="begin"/>
            </w:r>
            <w:r w:rsidR="00E9326E" w:rsidRPr="00AA0679">
              <w:rPr>
                <w:webHidden/>
                <w:sz w:val="22"/>
                <w:szCs w:val="22"/>
              </w:rPr>
              <w:instrText xml:space="preserve"> PAGEREF _Toc31293650 \h </w:instrText>
            </w:r>
            <w:r w:rsidR="00E9326E" w:rsidRPr="00AA0679">
              <w:rPr>
                <w:webHidden/>
                <w:sz w:val="22"/>
                <w:szCs w:val="22"/>
              </w:rPr>
            </w:r>
            <w:r w:rsidR="00E9326E" w:rsidRPr="00AA0679">
              <w:rPr>
                <w:webHidden/>
                <w:sz w:val="22"/>
                <w:szCs w:val="22"/>
              </w:rPr>
              <w:fldChar w:fldCharType="separate"/>
            </w:r>
            <w:r w:rsidR="00AA7201">
              <w:rPr>
                <w:webHidden/>
                <w:sz w:val="22"/>
                <w:szCs w:val="22"/>
              </w:rPr>
              <w:t>11</w:t>
            </w:r>
            <w:r w:rsidR="00E9326E" w:rsidRPr="00AA0679">
              <w:rPr>
                <w:webHidden/>
                <w:sz w:val="22"/>
                <w:szCs w:val="22"/>
              </w:rPr>
              <w:fldChar w:fldCharType="end"/>
            </w:r>
          </w:hyperlink>
        </w:p>
        <w:p w14:paraId="44D142C6" w14:textId="787B39B0"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51" w:history="1">
            <w:r w:rsidR="00E9326E" w:rsidRPr="00AA0679">
              <w:rPr>
                <w:rStyle w:val="Hyperlink"/>
                <w:rFonts w:ascii="Helvetica" w:hAnsi="Helvetica" w:cs="Helvetica"/>
                <w:noProof/>
                <w:sz w:val="22"/>
                <w:szCs w:val="22"/>
              </w:rPr>
              <w:t>Moving to a consumer demand driven market</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_Toc31293651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11</w:t>
            </w:r>
            <w:r w:rsidR="00E9326E" w:rsidRPr="00AA0679">
              <w:rPr>
                <w:rFonts w:ascii="Helvetica" w:hAnsi="Helvetica" w:cs="Helvetica"/>
                <w:noProof/>
                <w:webHidden/>
                <w:sz w:val="22"/>
                <w:szCs w:val="22"/>
              </w:rPr>
              <w:fldChar w:fldCharType="end"/>
            </w:r>
          </w:hyperlink>
        </w:p>
        <w:p w14:paraId="2AFB847E" w14:textId="03984948"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52" w:history="1">
            <w:r w:rsidR="00E9326E" w:rsidRPr="00AA0679">
              <w:rPr>
                <w:rStyle w:val="Hyperlink"/>
                <w:rFonts w:ascii="Helvetica" w:hAnsi="Helvetica" w:cs="Helvetica"/>
                <w:noProof/>
                <w:sz w:val="22"/>
                <w:szCs w:val="22"/>
              </w:rPr>
              <w:t>Recommendations for reform</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_Toc31293652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11</w:t>
            </w:r>
            <w:r w:rsidR="00E9326E" w:rsidRPr="00AA0679">
              <w:rPr>
                <w:rFonts w:ascii="Helvetica" w:hAnsi="Helvetica" w:cs="Helvetica"/>
                <w:noProof/>
                <w:webHidden/>
                <w:sz w:val="22"/>
                <w:szCs w:val="22"/>
              </w:rPr>
              <w:fldChar w:fldCharType="end"/>
            </w:r>
          </w:hyperlink>
        </w:p>
        <w:p w14:paraId="0E169218" w14:textId="1C74AEBC"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53" w:history="1">
            <w:r w:rsidR="00E9326E" w:rsidRPr="00AA0679">
              <w:rPr>
                <w:rStyle w:val="Hyperlink"/>
                <w:rFonts w:ascii="Helvetica" w:hAnsi="Helvetica" w:cs="Helvetica"/>
                <w:noProof/>
                <w:sz w:val="22"/>
                <w:szCs w:val="22"/>
              </w:rPr>
              <w:t>Key linkages to other reforms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_Toc31293653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12</w:t>
            </w:r>
            <w:r w:rsidR="00E9326E" w:rsidRPr="00AA0679">
              <w:rPr>
                <w:rFonts w:ascii="Helvetica" w:hAnsi="Helvetica" w:cs="Helvetica"/>
                <w:noProof/>
                <w:webHidden/>
                <w:sz w:val="22"/>
                <w:szCs w:val="22"/>
              </w:rPr>
              <w:fldChar w:fldCharType="end"/>
            </w:r>
          </w:hyperlink>
        </w:p>
        <w:p w14:paraId="12EF5EAA" w14:textId="3B653F91"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54" w:history="1">
            <w:r w:rsidR="00E9326E" w:rsidRPr="00AA0679">
              <w:rPr>
                <w:rStyle w:val="Hyperlink"/>
                <w:rFonts w:ascii="Helvetica" w:hAnsi="Helvetica" w:cs="Helvetica"/>
                <w:noProof/>
                <w:sz w:val="22"/>
                <w:szCs w:val="22"/>
              </w:rPr>
              <w:t>Out of scope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_Toc31293654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13</w:t>
            </w:r>
            <w:r w:rsidR="00E9326E" w:rsidRPr="00AA0679">
              <w:rPr>
                <w:rFonts w:ascii="Helvetica" w:hAnsi="Helvetica" w:cs="Helvetica"/>
                <w:noProof/>
                <w:webHidden/>
                <w:sz w:val="22"/>
                <w:szCs w:val="22"/>
              </w:rPr>
              <w:fldChar w:fldCharType="end"/>
            </w:r>
          </w:hyperlink>
        </w:p>
        <w:p w14:paraId="040F5F3A" w14:textId="411C9FA4" w:rsidR="00E9326E" w:rsidRPr="00AA0679" w:rsidRDefault="00F14E8A" w:rsidP="004B2D48">
          <w:pPr>
            <w:pStyle w:val="TOC1"/>
            <w:rPr>
              <w:rFonts w:eastAsiaTheme="minorEastAsia"/>
              <w:sz w:val="22"/>
              <w:szCs w:val="22"/>
            </w:rPr>
          </w:pPr>
          <w:hyperlink w:anchor="_Toc31293655" w:history="1">
            <w:r w:rsidR="00E9326E" w:rsidRPr="00AA0679">
              <w:rPr>
                <w:rStyle w:val="Hyperlink"/>
                <w:sz w:val="22"/>
                <w:szCs w:val="22"/>
              </w:rPr>
              <w:t>Current arrangements</w:t>
            </w:r>
            <w:r w:rsidR="00E9326E" w:rsidRPr="00AA0679">
              <w:rPr>
                <w:webHidden/>
                <w:sz w:val="22"/>
                <w:szCs w:val="22"/>
              </w:rPr>
              <w:tab/>
            </w:r>
            <w:r w:rsidR="00E9326E" w:rsidRPr="00AA0679">
              <w:rPr>
                <w:webHidden/>
                <w:sz w:val="22"/>
                <w:szCs w:val="22"/>
              </w:rPr>
              <w:fldChar w:fldCharType="begin"/>
            </w:r>
            <w:r w:rsidR="00E9326E" w:rsidRPr="00AA0679">
              <w:rPr>
                <w:webHidden/>
                <w:sz w:val="22"/>
                <w:szCs w:val="22"/>
              </w:rPr>
              <w:instrText xml:space="preserve"> PAGEREF _Toc31293655 \h </w:instrText>
            </w:r>
            <w:r w:rsidR="00E9326E" w:rsidRPr="00AA0679">
              <w:rPr>
                <w:webHidden/>
                <w:sz w:val="22"/>
                <w:szCs w:val="22"/>
              </w:rPr>
            </w:r>
            <w:r w:rsidR="00E9326E" w:rsidRPr="00AA0679">
              <w:rPr>
                <w:webHidden/>
                <w:sz w:val="22"/>
                <w:szCs w:val="22"/>
              </w:rPr>
              <w:fldChar w:fldCharType="separate"/>
            </w:r>
            <w:r w:rsidR="00AA7201">
              <w:rPr>
                <w:webHidden/>
                <w:sz w:val="22"/>
                <w:szCs w:val="22"/>
              </w:rPr>
              <w:t>14</w:t>
            </w:r>
            <w:r w:rsidR="00E9326E" w:rsidRPr="00AA0679">
              <w:rPr>
                <w:webHidden/>
                <w:sz w:val="22"/>
                <w:szCs w:val="22"/>
              </w:rPr>
              <w:fldChar w:fldCharType="end"/>
            </w:r>
          </w:hyperlink>
        </w:p>
        <w:p w14:paraId="5CC4E1C6" w14:textId="6D44C55D"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56" w:history="1">
            <w:r w:rsidR="00E9326E" w:rsidRPr="00AA0679">
              <w:rPr>
                <w:rStyle w:val="Hyperlink"/>
                <w:rFonts w:ascii="Helvetica" w:hAnsi="Helvetica" w:cs="Helvetica"/>
                <w:noProof/>
                <w:sz w:val="22"/>
                <w:szCs w:val="22"/>
              </w:rPr>
              <w:t>Aged Care Approvals Round</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_Toc31293656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15</w:t>
            </w:r>
            <w:r w:rsidR="00E9326E" w:rsidRPr="00AA0679">
              <w:rPr>
                <w:rFonts w:ascii="Helvetica" w:hAnsi="Helvetica" w:cs="Helvetica"/>
                <w:noProof/>
                <w:webHidden/>
                <w:sz w:val="22"/>
                <w:szCs w:val="22"/>
              </w:rPr>
              <w:fldChar w:fldCharType="end"/>
            </w:r>
          </w:hyperlink>
        </w:p>
        <w:p w14:paraId="0816617E" w14:textId="3DD00F19"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57" w:history="1">
            <w:r w:rsidR="00E9326E" w:rsidRPr="00AA0679">
              <w:rPr>
                <w:rStyle w:val="Hyperlink"/>
                <w:rFonts w:ascii="Helvetica" w:hAnsi="Helvetica" w:cs="Helvetica"/>
                <w:noProof/>
                <w:sz w:val="22"/>
                <w:szCs w:val="22"/>
              </w:rPr>
              <w:t>Accessing residential aged care - consumers’ perspective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_Toc31293657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15</w:t>
            </w:r>
            <w:r w:rsidR="00E9326E" w:rsidRPr="00AA0679">
              <w:rPr>
                <w:rFonts w:ascii="Helvetica" w:hAnsi="Helvetica" w:cs="Helvetica"/>
                <w:noProof/>
                <w:webHidden/>
                <w:sz w:val="22"/>
                <w:szCs w:val="22"/>
              </w:rPr>
              <w:fldChar w:fldCharType="end"/>
            </w:r>
          </w:hyperlink>
        </w:p>
        <w:p w14:paraId="5DA6DC37" w14:textId="1336E432"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58" w:history="1">
            <w:r w:rsidR="00E9326E" w:rsidRPr="00AA0679">
              <w:rPr>
                <w:rStyle w:val="Hyperlink"/>
                <w:rFonts w:ascii="Helvetica" w:hAnsi="Helvetica" w:cs="Helvetica"/>
                <w:noProof/>
                <w:sz w:val="22"/>
                <w:szCs w:val="22"/>
              </w:rPr>
              <w:t>Provision of residential aged care - providers’ perspective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_Toc31293658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15</w:t>
            </w:r>
            <w:r w:rsidR="00E9326E" w:rsidRPr="00AA0679">
              <w:rPr>
                <w:rFonts w:ascii="Helvetica" w:hAnsi="Helvetica" w:cs="Helvetica"/>
                <w:noProof/>
                <w:webHidden/>
                <w:sz w:val="22"/>
                <w:szCs w:val="22"/>
              </w:rPr>
              <w:fldChar w:fldCharType="end"/>
            </w:r>
          </w:hyperlink>
        </w:p>
        <w:p w14:paraId="655B01B8" w14:textId="6935639E"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59" w:history="1">
            <w:r w:rsidR="00E9326E" w:rsidRPr="00AA0679">
              <w:rPr>
                <w:rStyle w:val="Hyperlink"/>
                <w:rFonts w:ascii="Helvetica" w:hAnsi="Helvetica" w:cs="Helvetica"/>
                <w:noProof/>
                <w:sz w:val="22"/>
                <w:szCs w:val="22"/>
              </w:rPr>
              <w:t>Programs related to the allocation of residential aged care places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_Toc31293659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16</w:t>
            </w:r>
            <w:r w:rsidR="00E9326E" w:rsidRPr="00AA0679">
              <w:rPr>
                <w:rFonts w:ascii="Helvetica" w:hAnsi="Helvetica" w:cs="Helvetica"/>
                <w:noProof/>
                <w:webHidden/>
                <w:sz w:val="22"/>
                <w:szCs w:val="22"/>
              </w:rPr>
              <w:fldChar w:fldCharType="end"/>
            </w:r>
          </w:hyperlink>
        </w:p>
        <w:p w14:paraId="6F5DE494" w14:textId="53DCCFA6"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60" w:history="1">
            <w:r w:rsidR="00E9326E" w:rsidRPr="00AA0679">
              <w:rPr>
                <w:rStyle w:val="Hyperlink"/>
                <w:rFonts w:ascii="Helvetica" w:hAnsi="Helvetica" w:cs="Helvetica"/>
                <w:noProof/>
                <w:sz w:val="22"/>
                <w:szCs w:val="22"/>
              </w:rPr>
              <w:t>Residential respite care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_Toc31293660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16</w:t>
            </w:r>
            <w:r w:rsidR="00E9326E" w:rsidRPr="00AA0679">
              <w:rPr>
                <w:rFonts w:ascii="Helvetica" w:hAnsi="Helvetica" w:cs="Helvetica"/>
                <w:noProof/>
                <w:webHidden/>
                <w:sz w:val="22"/>
                <w:szCs w:val="22"/>
              </w:rPr>
              <w:fldChar w:fldCharType="end"/>
            </w:r>
          </w:hyperlink>
        </w:p>
        <w:p w14:paraId="001701D3" w14:textId="591AB643"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61" w:history="1">
            <w:r w:rsidR="00E9326E" w:rsidRPr="00AA0679">
              <w:rPr>
                <w:rStyle w:val="Hyperlink"/>
                <w:rFonts w:ascii="Helvetica" w:hAnsi="Helvetica" w:cs="Helvetica"/>
                <w:noProof/>
                <w:sz w:val="22"/>
                <w:szCs w:val="22"/>
              </w:rPr>
              <w:t>Extra Service Status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_Toc31293661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16</w:t>
            </w:r>
            <w:r w:rsidR="00E9326E" w:rsidRPr="00AA0679">
              <w:rPr>
                <w:rFonts w:ascii="Helvetica" w:hAnsi="Helvetica" w:cs="Helvetica"/>
                <w:noProof/>
                <w:webHidden/>
                <w:sz w:val="22"/>
                <w:szCs w:val="22"/>
              </w:rPr>
              <w:fldChar w:fldCharType="end"/>
            </w:r>
          </w:hyperlink>
        </w:p>
        <w:p w14:paraId="0DAD991A" w14:textId="4EF2CB96"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62" w:history="1">
            <w:r w:rsidR="00E9326E" w:rsidRPr="00AA0679">
              <w:rPr>
                <w:rStyle w:val="Hyperlink"/>
                <w:rFonts w:ascii="Helvetica" w:hAnsi="Helvetica" w:cs="Helvetica"/>
                <w:noProof/>
                <w:sz w:val="22"/>
                <w:szCs w:val="22"/>
              </w:rPr>
              <w:t>Capital grants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_Toc31293662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17</w:t>
            </w:r>
            <w:r w:rsidR="00E9326E" w:rsidRPr="00AA0679">
              <w:rPr>
                <w:rFonts w:ascii="Helvetica" w:hAnsi="Helvetica" w:cs="Helvetica"/>
                <w:noProof/>
                <w:webHidden/>
                <w:sz w:val="22"/>
                <w:szCs w:val="22"/>
              </w:rPr>
              <w:fldChar w:fldCharType="end"/>
            </w:r>
          </w:hyperlink>
        </w:p>
        <w:p w14:paraId="57D73CAF" w14:textId="4E393B8B"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63" w:history="1">
            <w:r w:rsidR="00E9326E" w:rsidRPr="00AA0679">
              <w:rPr>
                <w:rStyle w:val="Hyperlink"/>
                <w:rFonts w:ascii="Helvetica" w:hAnsi="Helvetica" w:cs="Helvetica"/>
                <w:noProof/>
                <w:sz w:val="22"/>
                <w:szCs w:val="22"/>
              </w:rPr>
              <w:t>Younger people in residential aged care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_Toc31293663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17</w:t>
            </w:r>
            <w:r w:rsidR="00E9326E" w:rsidRPr="00AA0679">
              <w:rPr>
                <w:rFonts w:ascii="Helvetica" w:hAnsi="Helvetica" w:cs="Helvetica"/>
                <w:noProof/>
                <w:webHidden/>
                <w:sz w:val="22"/>
                <w:szCs w:val="22"/>
              </w:rPr>
              <w:fldChar w:fldCharType="end"/>
            </w:r>
          </w:hyperlink>
        </w:p>
        <w:p w14:paraId="773FDC95" w14:textId="0D4525F8" w:rsidR="00E9326E" w:rsidRPr="00AA0679" w:rsidRDefault="00F14E8A" w:rsidP="004B2D48">
          <w:pPr>
            <w:pStyle w:val="TOC1"/>
            <w:rPr>
              <w:rFonts w:eastAsiaTheme="minorEastAsia"/>
              <w:sz w:val="22"/>
              <w:szCs w:val="22"/>
            </w:rPr>
          </w:pPr>
          <w:hyperlink w:anchor="_Toc31293664" w:history="1">
            <w:r w:rsidR="00E9326E" w:rsidRPr="00AA0679">
              <w:rPr>
                <w:rStyle w:val="Hyperlink"/>
                <w:sz w:val="22"/>
                <w:szCs w:val="22"/>
              </w:rPr>
              <w:t>The case for change</w:t>
            </w:r>
            <w:r w:rsidR="00E9326E" w:rsidRPr="00AA0679">
              <w:rPr>
                <w:webHidden/>
                <w:sz w:val="22"/>
                <w:szCs w:val="22"/>
              </w:rPr>
              <w:tab/>
            </w:r>
            <w:r w:rsidR="00E9326E" w:rsidRPr="00AA0679">
              <w:rPr>
                <w:webHidden/>
                <w:sz w:val="22"/>
                <w:szCs w:val="22"/>
              </w:rPr>
              <w:fldChar w:fldCharType="begin"/>
            </w:r>
            <w:r w:rsidR="00E9326E" w:rsidRPr="00AA0679">
              <w:rPr>
                <w:webHidden/>
                <w:sz w:val="22"/>
                <w:szCs w:val="22"/>
              </w:rPr>
              <w:instrText xml:space="preserve"> PAGEREF _Toc31293664 \h </w:instrText>
            </w:r>
            <w:r w:rsidR="00E9326E" w:rsidRPr="00AA0679">
              <w:rPr>
                <w:webHidden/>
                <w:sz w:val="22"/>
                <w:szCs w:val="22"/>
              </w:rPr>
            </w:r>
            <w:r w:rsidR="00E9326E" w:rsidRPr="00AA0679">
              <w:rPr>
                <w:webHidden/>
                <w:sz w:val="22"/>
                <w:szCs w:val="22"/>
              </w:rPr>
              <w:fldChar w:fldCharType="separate"/>
            </w:r>
            <w:r w:rsidR="00AA7201">
              <w:rPr>
                <w:webHidden/>
                <w:sz w:val="22"/>
                <w:szCs w:val="22"/>
              </w:rPr>
              <w:t>19</w:t>
            </w:r>
            <w:r w:rsidR="00E9326E" w:rsidRPr="00AA0679">
              <w:rPr>
                <w:webHidden/>
                <w:sz w:val="22"/>
                <w:szCs w:val="22"/>
              </w:rPr>
              <w:fldChar w:fldCharType="end"/>
            </w:r>
          </w:hyperlink>
        </w:p>
        <w:p w14:paraId="67FE340A" w14:textId="44D77F49"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65" w:history="1">
            <w:r w:rsidR="00E9326E" w:rsidRPr="00AA0679">
              <w:rPr>
                <w:rStyle w:val="Hyperlink"/>
                <w:rFonts w:ascii="Helvetica" w:hAnsi="Helvetica" w:cs="Helvetica"/>
                <w:noProof/>
                <w:sz w:val="22"/>
                <w:szCs w:val="22"/>
              </w:rPr>
              <w:t>Issues with current allocation process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_Toc31293665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19</w:t>
            </w:r>
            <w:r w:rsidR="00E9326E" w:rsidRPr="00AA0679">
              <w:rPr>
                <w:rFonts w:ascii="Helvetica" w:hAnsi="Helvetica" w:cs="Helvetica"/>
                <w:noProof/>
                <w:webHidden/>
                <w:sz w:val="22"/>
                <w:szCs w:val="22"/>
              </w:rPr>
              <w:fldChar w:fldCharType="end"/>
            </w:r>
          </w:hyperlink>
        </w:p>
        <w:p w14:paraId="1E1F63D6" w14:textId="68DE8BAA"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66" w:history="1">
            <w:r w:rsidR="00E9326E" w:rsidRPr="00AA0679">
              <w:rPr>
                <w:rStyle w:val="Hyperlink"/>
                <w:rFonts w:ascii="Helvetica" w:hAnsi="Helvetica" w:cs="Helvetica"/>
                <w:noProof/>
                <w:sz w:val="22"/>
                <w:szCs w:val="22"/>
              </w:rPr>
              <w:t>Allocation of places to the provider does not support a consumer driven market</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_Toc31293666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19</w:t>
            </w:r>
            <w:r w:rsidR="00E9326E" w:rsidRPr="00AA0679">
              <w:rPr>
                <w:rFonts w:ascii="Helvetica" w:hAnsi="Helvetica" w:cs="Helvetica"/>
                <w:noProof/>
                <w:webHidden/>
                <w:sz w:val="22"/>
                <w:szCs w:val="22"/>
              </w:rPr>
              <w:fldChar w:fldCharType="end"/>
            </w:r>
          </w:hyperlink>
        </w:p>
        <w:p w14:paraId="3545DA6A" w14:textId="0B38DAC8" w:rsidR="00E9326E" w:rsidRPr="00AA0679" w:rsidRDefault="00F14E8A" w:rsidP="004B2D48">
          <w:pPr>
            <w:pStyle w:val="TOC1"/>
            <w:rPr>
              <w:rFonts w:eastAsiaTheme="minorEastAsia"/>
              <w:sz w:val="22"/>
              <w:szCs w:val="22"/>
            </w:rPr>
          </w:pPr>
          <w:hyperlink w:anchor="_Toc31293667" w:history="1">
            <w:r w:rsidR="00E9326E" w:rsidRPr="00AA0679">
              <w:rPr>
                <w:rStyle w:val="Hyperlink"/>
                <w:sz w:val="22"/>
                <w:szCs w:val="22"/>
              </w:rPr>
              <w:t>Key matters to consider if reforming allocation arrangements</w:t>
            </w:r>
            <w:r w:rsidR="00E9326E" w:rsidRPr="00AA0679">
              <w:rPr>
                <w:webHidden/>
                <w:sz w:val="22"/>
                <w:szCs w:val="22"/>
              </w:rPr>
              <w:tab/>
            </w:r>
            <w:r w:rsidR="00E9326E" w:rsidRPr="00AA0679">
              <w:rPr>
                <w:webHidden/>
                <w:sz w:val="22"/>
                <w:szCs w:val="22"/>
              </w:rPr>
              <w:fldChar w:fldCharType="begin"/>
            </w:r>
            <w:r w:rsidR="00E9326E" w:rsidRPr="00AA0679">
              <w:rPr>
                <w:webHidden/>
                <w:sz w:val="22"/>
                <w:szCs w:val="22"/>
              </w:rPr>
              <w:instrText xml:space="preserve"> PAGEREF _Toc31293667 \h </w:instrText>
            </w:r>
            <w:r w:rsidR="00E9326E" w:rsidRPr="00AA0679">
              <w:rPr>
                <w:webHidden/>
                <w:sz w:val="22"/>
                <w:szCs w:val="22"/>
              </w:rPr>
            </w:r>
            <w:r w:rsidR="00E9326E" w:rsidRPr="00AA0679">
              <w:rPr>
                <w:webHidden/>
                <w:sz w:val="22"/>
                <w:szCs w:val="22"/>
              </w:rPr>
              <w:fldChar w:fldCharType="separate"/>
            </w:r>
            <w:r w:rsidR="00AA7201">
              <w:rPr>
                <w:webHidden/>
                <w:sz w:val="22"/>
                <w:szCs w:val="22"/>
              </w:rPr>
              <w:t>20</w:t>
            </w:r>
            <w:r w:rsidR="00E9326E" w:rsidRPr="00AA0679">
              <w:rPr>
                <w:webHidden/>
                <w:sz w:val="22"/>
                <w:szCs w:val="22"/>
              </w:rPr>
              <w:fldChar w:fldCharType="end"/>
            </w:r>
          </w:hyperlink>
        </w:p>
        <w:p w14:paraId="53D8EDE5" w14:textId="015C5C5B"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68" w:history="1">
            <w:r w:rsidR="00E9326E" w:rsidRPr="00AA0679">
              <w:rPr>
                <w:rStyle w:val="Hyperlink"/>
                <w:rFonts w:ascii="Helvetica" w:hAnsi="Helvetica" w:cs="Helvetica"/>
                <w:noProof/>
                <w:sz w:val="22"/>
                <w:szCs w:val="22"/>
              </w:rPr>
              <w:t>Differences between residential aged care and home care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_Toc31293668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20</w:t>
            </w:r>
            <w:r w:rsidR="00E9326E" w:rsidRPr="00AA0679">
              <w:rPr>
                <w:rFonts w:ascii="Helvetica" w:hAnsi="Helvetica" w:cs="Helvetica"/>
                <w:noProof/>
                <w:webHidden/>
                <w:sz w:val="22"/>
                <w:szCs w:val="22"/>
              </w:rPr>
              <w:fldChar w:fldCharType="end"/>
            </w:r>
          </w:hyperlink>
        </w:p>
        <w:p w14:paraId="442B5EC8" w14:textId="316CDDC6"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69" w:history="1">
            <w:r w:rsidR="00E9326E" w:rsidRPr="00AA0679">
              <w:rPr>
                <w:rStyle w:val="Hyperlink"/>
                <w:rFonts w:ascii="Helvetica" w:hAnsi="Helvetica" w:cs="Helvetica"/>
                <w:noProof/>
                <w:sz w:val="22"/>
                <w:szCs w:val="22"/>
              </w:rPr>
              <w:t>Increased financial pressure in the sector</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_Toc31293669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20</w:t>
            </w:r>
            <w:r w:rsidR="00E9326E" w:rsidRPr="00AA0679">
              <w:rPr>
                <w:rFonts w:ascii="Helvetica" w:hAnsi="Helvetica" w:cs="Helvetica"/>
                <w:noProof/>
                <w:webHidden/>
                <w:sz w:val="22"/>
                <w:szCs w:val="22"/>
              </w:rPr>
              <w:fldChar w:fldCharType="end"/>
            </w:r>
          </w:hyperlink>
        </w:p>
        <w:p w14:paraId="4EDFEA68" w14:textId="55B1557C"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70" w:history="1">
            <w:r w:rsidR="00E9326E" w:rsidRPr="00AA0679">
              <w:rPr>
                <w:rStyle w:val="Hyperlink"/>
                <w:rFonts w:ascii="Helvetica" w:hAnsi="Helvetica" w:cs="Helvetica"/>
                <w:noProof/>
                <w:sz w:val="22"/>
                <w:szCs w:val="22"/>
              </w:rPr>
              <w:t>Aged care places may have a financial value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_Toc31293670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21</w:t>
            </w:r>
            <w:r w:rsidR="00E9326E" w:rsidRPr="00AA0679">
              <w:rPr>
                <w:rFonts w:ascii="Helvetica" w:hAnsi="Helvetica" w:cs="Helvetica"/>
                <w:noProof/>
                <w:webHidden/>
                <w:sz w:val="22"/>
                <w:szCs w:val="22"/>
              </w:rPr>
              <w:fldChar w:fldCharType="end"/>
            </w:r>
          </w:hyperlink>
        </w:p>
        <w:p w14:paraId="7F308A1E" w14:textId="0AE0A2D7"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71" w:history="1">
            <w:r w:rsidR="00E9326E" w:rsidRPr="00AA0679">
              <w:rPr>
                <w:rStyle w:val="Hyperlink"/>
                <w:rFonts w:ascii="Helvetica" w:hAnsi="Helvetica" w:cs="Helvetica"/>
                <w:noProof/>
                <w:sz w:val="22"/>
                <w:szCs w:val="22"/>
              </w:rPr>
              <w:t>Promoting equitable access to aged care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_Toc31293671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21</w:t>
            </w:r>
            <w:r w:rsidR="00E9326E" w:rsidRPr="00AA0679">
              <w:rPr>
                <w:rFonts w:ascii="Helvetica" w:hAnsi="Helvetica" w:cs="Helvetica"/>
                <w:noProof/>
                <w:webHidden/>
                <w:sz w:val="22"/>
                <w:szCs w:val="22"/>
              </w:rPr>
              <w:fldChar w:fldCharType="end"/>
            </w:r>
          </w:hyperlink>
        </w:p>
        <w:p w14:paraId="042FA826" w14:textId="285F176A"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72" w:history="1">
            <w:r w:rsidR="00E9326E" w:rsidRPr="00AA0679">
              <w:rPr>
                <w:rStyle w:val="Hyperlink"/>
                <w:rFonts w:ascii="Helvetica" w:hAnsi="Helvetica" w:cs="Helvetica"/>
                <w:noProof/>
                <w:sz w:val="22"/>
                <w:szCs w:val="22"/>
              </w:rPr>
              <w:t>Regulatory framework that supports a market</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_Toc31293672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22</w:t>
            </w:r>
            <w:r w:rsidR="00E9326E" w:rsidRPr="00AA0679">
              <w:rPr>
                <w:rFonts w:ascii="Helvetica" w:hAnsi="Helvetica" w:cs="Helvetica"/>
                <w:noProof/>
                <w:webHidden/>
                <w:sz w:val="22"/>
                <w:szCs w:val="22"/>
              </w:rPr>
              <w:fldChar w:fldCharType="end"/>
            </w:r>
          </w:hyperlink>
        </w:p>
        <w:p w14:paraId="33526809" w14:textId="645AB76D" w:rsidR="00E9326E" w:rsidRPr="00AA0679" w:rsidRDefault="00F14E8A" w:rsidP="004B2D48">
          <w:pPr>
            <w:pStyle w:val="TOC1"/>
            <w:rPr>
              <w:rFonts w:eastAsiaTheme="minorEastAsia"/>
              <w:sz w:val="22"/>
              <w:szCs w:val="22"/>
            </w:rPr>
          </w:pPr>
          <w:hyperlink w:anchor="_Toc31293673" w:history="1">
            <w:r w:rsidR="00E9326E" w:rsidRPr="00AA0679">
              <w:rPr>
                <w:rStyle w:val="Hyperlink"/>
                <w:sz w:val="22"/>
                <w:szCs w:val="22"/>
              </w:rPr>
              <w:t>Proposed options for alternative allocation models</w:t>
            </w:r>
            <w:r w:rsidR="00E9326E" w:rsidRPr="00AA0679">
              <w:rPr>
                <w:webHidden/>
                <w:sz w:val="22"/>
                <w:szCs w:val="22"/>
              </w:rPr>
              <w:tab/>
            </w:r>
            <w:r w:rsidR="00E9326E" w:rsidRPr="00AA0679">
              <w:rPr>
                <w:webHidden/>
                <w:sz w:val="22"/>
                <w:szCs w:val="22"/>
              </w:rPr>
              <w:fldChar w:fldCharType="begin"/>
            </w:r>
            <w:r w:rsidR="00E9326E" w:rsidRPr="00AA0679">
              <w:rPr>
                <w:webHidden/>
                <w:sz w:val="22"/>
                <w:szCs w:val="22"/>
              </w:rPr>
              <w:instrText xml:space="preserve"> PAGEREF _Toc31293673 \h </w:instrText>
            </w:r>
            <w:r w:rsidR="00E9326E" w:rsidRPr="00AA0679">
              <w:rPr>
                <w:webHidden/>
                <w:sz w:val="22"/>
                <w:szCs w:val="22"/>
              </w:rPr>
            </w:r>
            <w:r w:rsidR="00E9326E" w:rsidRPr="00AA0679">
              <w:rPr>
                <w:webHidden/>
                <w:sz w:val="22"/>
                <w:szCs w:val="22"/>
              </w:rPr>
              <w:fldChar w:fldCharType="separate"/>
            </w:r>
            <w:r w:rsidR="00AA7201">
              <w:rPr>
                <w:webHidden/>
                <w:sz w:val="22"/>
                <w:szCs w:val="22"/>
              </w:rPr>
              <w:t>23</w:t>
            </w:r>
            <w:r w:rsidR="00E9326E" w:rsidRPr="00AA0679">
              <w:rPr>
                <w:webHidden/>
                <w:sz w:val="22"/>
                <w:szCs w:val="22"/>
              </w:rPr>
              <w:fldChar w:fldCharType="end"/>
            </w:r>
          </w:hyperlink>
        </w:p>
        <w:p w14:paraId="7B6DFDE1" w14:textId="2125B535"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74" w:history="1">
            <w:r w:rsidR="00E9326E" w:rsidRPr="00AA0679">
              <w:rPr>
                <w:rStyle w:val="Hyperlink"/>
                <w:rFonts w:ascii="Helvetica" w:hAnsi="Helvetica" w:cs="Helvetica"/>
                <w:noProof/>
                <w:sz w:val="22"/>
                <w:szCs w:val="22"/>
              </w:rPr>
              <w:t>Design principles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_Toc31293674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23</w:t>
            </w:r>
            <w:r w:rsidR="00E9326E" w:rsidRPr="00AA0679">
              <w:rPr>
                <w:rFonts w:ascii="Helvetica" w:hAnsi="Helvetica" w:cs="Helvetica"/>
                <w:noProof/>
                <w:webHidden/>
                <w:sz w:val="22"/>
                <w:szCs w:val="22"/>
              </w:rPr>
              <w:fldChar w:fldCharType="end"/>
            </w:r>
          </w:hyperlink>
        </w:p>
        <w:p w14:paraId="45B18E0F" w14:textId="7E119E9A" w:rsidR="00E9326E" w:rsidRPr="00AA0679" w:rsidRDefault="00F14E8A" w:rsidP="004B2D48">
          <w:pPr>
            <w:pStyle w:val="TOC1"/>
            <w:rPr>
              <w:rFonts w:eastAsiaTheme="minorEastAsia"/>
              <w:sz w:val="22"/>
              <w:szCs w:val="22"/>
            </w:rPr>
          </w:pPr>
          <w:hyperlink w:anchor="_Toc31293675" w:history="1">
            <w:r w:rsidR="00E9326E" w:rsidRPr="00AA0679">
              <w:rPr>
                <w:rStyle w:val="Hyperlink"/>
                <w:sz w:val="22"/>
                <w:szCs w:val="22"/>
              </w:rPr>
              <w:t>Model 1. Improve the ACAR and places management</w:t>
            </w:r>
            <w:r w:rsidR="00E9326E" w:rsidRPr="00AA0679">
              <w:rPr>
                <w:webHidden/>
                <w:sz w:val="22"/>
                <w:szCs w:val="22"/>
              </w:rPr>
              <w:tab/>
            </w:r>
            <w:r w:rsidR="00E9326E" w:rsidRPr="00AA0679">
              <w:rPr>
                <w:webHidden/>
                <w:sz w:val="22"/>
                <w:szCs w:val="22"/>
              </w:rPr>
              <w:fldChar w:fldCharType="begin"/>
            </w:r>
            <w:r w:rsidR="00E9326E" w:rsidRPr="00AA0679">
              <w:rPr>
                <w:webHidden/>
                <w:sz w:val="22"/>
                <w:szCs w:val="22"/>
              </w:rPr>
              <w:instrText xml:space="preserve"> PAGEREF _Toc31293675 \h </w:instrText>
            </w:r>
            <w:r w:rsidR="00E9326E" w:rsidRPr="00AA0679">
              <w:rPr>
                <w:webHidden/>
                <w:sz w:val="22"/>
                <w:szCs w:val="22"/>
              </w:rPr>
            </w:r>
            <w:r w:rsidR="00E9326E" w:rsidRPr="00AA0679">
              <w:rPr>
                <w:webHidden/>
                <w:sz w:val="22"/>
                <w:szCs w:val="22"/>
              </w:rPr>
              <w:fldChar w:fldCharType="separate"/>
            </w:r>
            <w:r w:rsidR="00AA7201">
              <w:rPr>
                <w:webHidden/>
                <w:sz w:val="22"/>
                <w:szCs w:val="22"/>
              </w:rPr>
              <w:t>24</w:t>
            </w:r>
            <w:r w:rsidR="00E9326E" w:rsidRPr="00AA0679">
              <w:rPr>
                <w:webHidden/>
                <w:sz w:val="22"/>
                <w:szCs w:val="22"/>
              </w:rPr>
              <w:fldChar w:fldCharType="end"/>
            </w:r>
          </w:hyperlink>
        </w:p>
        <w:p w14:paraId="47A3AFE3" w14:textId="474ED3EE"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76" w:history="1">
            <w:r w:rsidR="00E9326E" w:rsidRPr="00AA0679">
              <w:rPr>
                <w:rStyle w:val="Hyperlink"/>
                <w:rFonts w:ascii="Helvetica" w:hAnsi="Helvetica" w:cs="Helvetica"/>
                <w:noProof/>
                <w:sz w:val="22"/>
                <w:szCs w:val="22"/>
              </w:rPr>
              <w:t>Description of the model</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_Toc31293676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24</w:t>
            </w:r>
            <w:r w:rsidR="00E9326E" w:rsidRPr="00AA0679">
              <w:rPr>
                <w:rFonts w:ascii="Helvetica" w:hAnsi="Helvetica" w:cs="Helvetica"/>
                <w:noProof/>
                <w:webHidden/>
                <w:sz w:val="22"/>
                <w:szCs w:val="22"/>
              </w:rPr>
              <w:fldChar w:fldCharType="end"/>
            </w:r>
          </w:hyperlink>
        </w:p>
        <w:p w14:paraId="6D9F7A85" w14:textId="65CB2FBE"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77" w:history="1">
            <w:r w:rsidR="00E9326E" w:rsidRPr="00AA0679">
              <w:rPr>
                <w:rStyle w:val="Hyperlink"/>
                <w:rFonts w:ascii="Helvetica" w:hAnsi="Helvetica" w:cs="Helvetica"/>
                <w:noProof/>
                <w:sz w:val="22"/>
                <w:szCs w:val="22"/>
              </w:rPr>
              <w:t>Reduce locational controls on the distribution of residential aged care places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_Toc31293677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24</w:t>
            </w:r>
            <w:r w:rsidR="00E9326E" w:rsidRPr="00AA0679">
              <w:rPr>
                <w:rFonts w:ascii="Helvetica" w:hAnsi="Helvetica" w:cs="Helvetica"/>
                <w:noProof/>
                <w:webHidden/>
                <w:sz w:val="22"/>
                <w:szCs w:val="22"/>
              </w:rPr>
              <w:fldChar w:fldCharType="end"/>
            </w:r>
          </w:hyperlink>
        </w:p>
        <w:p w14:paraId="1A2C1F1A" w14:textId="7260BF65"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78" w:history="1">
            <w:r w:rsidR="00E9326E" w:rsidRPr="00AA0679">
              <w:rPr>
                <w:rStyle w:val="Hyperlink"/>
                <w:rFonts w:ascii="Helvetica" w:hAnsi="Helvetica" w:cs="Helvetica"/>
                <w:noProof/>
                <w:sz w:val="22"/>
                <w:szCs w:val="22"/>
              </w:rPr>
              <w:t>Reduce the number of non-operational residential aged care places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_Toc31293678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24</w:t>
            </w:r>
            <w:r w:rsidR="00E9326E" w:rsidRPr="00AA0679">
              <w:rPr>
                <w:rFonts w:ascii="Helvetica" w:hAnsi="Helvetica" w:cs="Helvetica"/>
                <w:noProof/>
                <w:webHidden/>
                <w:sz w:val="22"/>
                <w:szCs w:val="22"/>
              </w:rPr>
              <w:fldChar w:fldCharType="end"/>
            </w:r>
          </w:hyperlink>
        </w:p>
        <w:p w14:paraId="29B1F9BF" w14:textId="7DA5E469"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79" w:history="1">
            <w:r w:rsidR="00E9326E" w:rsidRPr="00AA0679">
              <w:rPr>
                <w:rStyle w:val="Hyperlink"/>
                <w:rFonts w:ascii="Helvetica" w:hAnsi="Helvetica" w:cs="Helvetica"/>
                <w:noProof/>
                <w:sz w:val="22"/>
                <w:szCs w:val="22"/>
              </w:rPr>
              <w:t>Improve the administration of ACAR and places management processes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_Toc31293679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24</w:t>
            </w:r>
            <w:r w:rsidR="00E9326E" w:rsidRPr="00AA0679">
              <w:rPr>
                <w:rFonts w:ascii="Helvetica" w:hAnsi="Helvetica" w:cs="Helvetica"/>
                <w:noProof/>
                <w:webHidden/>
                <w:sz w:val="22"/>
                <w:szCs w:val="22"/>
              </w:rPr>
              <w:fldChar w:fldCharType="end"/>
            </w:r>
          </w:hyperlink>
        </w:p>
        <w:p w14:paraId="2BC6CAF0" w14:textId="751087F5"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80" w:history="1">
            <w:r w:rsidR="00E9326E" w:rsidRPr="00AA0679">
              <w:rPr>
                <w:rStyle w:val="Hyperlink"/>
                <w:rFonts w:ascii="Helvetica" w:hAnsi="Helvetica" w:cs="Helvetica"/>
                <w:noProof/>
                <w:sz w:val="22"/>
                <w:szCs w:val="22"/>
              </w:rPr>
              <w:t>Exploring the potential impacts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_Toc31293680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25</w:t>
            </w:r>
            <w:r w:rsidR="00E9326E" w:rsidRPr="00AA0679">
              <w:rPr>
                <w:rFonts w:ascii="Helvetica" w:hAnsi="Helvetica" w:cs="Helvetica"/>
                <w:noProof/>
                <w:webHidden/>
                <w:sz w:val="22"/>
                <w:szCs w:val="22"/>
              </w:rPr>
              <w:fldChar w:fldCharType="end"/>
            </w:r>
          </w:hyperlink>
        </w:p>
        <w:p w14:paraId="046415A9" w14:textId="1D900E0B"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81" w:history="1">
            <w:r w:rsidR="00E9326E" w:rsidRPr="00AA0679">
              <w:rPr>
                <w:rStyle w:val="Hyperlink"/>
                <w:rFonts w:ascii="Helvetica" w:hAnsi="Helvetica" w:cs="Helvetica"/>
                <w:noProof/>
                <w:sz w:val="22"/>
                <w:szCs w:val="22"/>
              </w:rPr>
              <w:t>Benefits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_Toc31293681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25</w:t>
            </w:r>
            <w:r w:rsidR="00E9326E" w:rsidRPr="00AA0679">
              <w:rPr>
                <w:rFonts w:ascii="Helvetica" w:hAnsi="Helvetica" w:cs="Helvetica"/>
                <w:noProof/>
                <w:webHidden/>
                <w:sz w:val="22"/>
                <w:szCs w:val="22"/>
              </w:rPr>
              <w:fldChar w:fldCharType="end"/>
            </w:r>
          </w:hyperlink>
        </w:p>
        <w:p w14:paraId="0E9F97EA" w14:textId="3F8B324B"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82" w:history="1">
            <w:r w:rsidR="00E9326E" w:rsidRPr="00AA0679">
              <w:rPr>
                <w:rStyle w:val="Hyperlink"/>
                <w:rFonts w:ascii="Helvetica" w:hAnsi="Helvetica" w:cs="Helvetica"/>
                <w:noProof/>
                <w:sz w:val="22"/>
                <w:szCs w:val="22"/>
              </w:rPr>
              <w:t>Risks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_Toc31293682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26</w:t>
            </w:r>
            <w:r w:rsidR="00E9326E" w:rsidRPr="00AA0679">
              <w:rPr>
                <w:rFonts w:ascii="Helvetica" w:hAnsi="Helvetica" w:cs="Helvetica"/>
                <w:noProof/>
                <w:webHidden/>
                <w:sz w:val="22"/>
                <w:szCs w:val="22"/>
              </w:rPr>
              <w:fldChar w:fldCharType="end"/>
            </w:r>
          </w:hyperlink>
        </w:p>
        <w:p w14:paraId="1B93A33C" w14:textId="5E822C21"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83" w:history="1">
            <w:r w:rsidR="00E9326E" w:rsidRPr="00AA0679">
              <w:rPr>
                <w:rStyle w:val="Hyperlink"/>
                <w:rFonts w:ascii="Helvetica" w:hAnsi="Helvetica" w:cs="Helvetica"/>
                <w:noProof/>
                <w:sz w:val="22"/>
                <w:szCs w:val="22"/>
              </w:rPr>
              <w:t>Implementation and transition considerations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_Toc31293683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26</w:t>
            </w:r>
            <w:r w:rsidR="00E9326E" w:rsidRPr="00AA0679">
              <w:rPr>
                <w:rFonts w:ascii="Helvetica" w:hAnsi="Helvetica" w:cs="Helvetica"/>
                <w:noProof/>
                <w:webHidden/>
                <w:sz w:val="22"/>
                <w:szCs w:val="22"/>
              </w:rPr>
              <w:fldChar w:fldCharType="end"/>
            </w:r>
          </w:hyperlink>
        </w:p>
        <w:p w14:paraId="09E9E342" w14:textId="26310437" w:rsidR="00E9326E" w:rsidRPr="00AA0679" w:rsidRDefault="00F14E8A" w:rsidP="004B2D48">
          <w:pPr>
            <w:pStyle w:val="TOC1"/>
            <w:rPr>
              <w:rFonts w:eastAsiaTheme="minorEastAsia"/>
              <w:sz w:val="22"/>
              <w:szCs w:val="22"/>
            </w:rPr>
          </w:pPr>
          <w:hyperlink w:anchor="_Toc31293684" w:history="1">
            <w:r w:rsidR="00E9326E" w:rsidRPr="00AA0679">
              <w:rPr>
                <w:rStyle w:val="Hyperlink"/>
                <w:sz w:val="22"/>
                <w:szCs w:val="22"/>
              </w:rPr>
              <w:t>Model 2. Assign residential aged care places to consumers</w:t>
            </w:r>
            <w:r w:rsidR="00E9326E" w:rsidRPr="00AA0679">
              <w:rPr>
                <w:webHidden/>
                <w:sz w:val="22"/>
                <w:szCs w:val="22"/>
              </w:rPr>
              <w:tab/>
            </w:r>
            <w:r w:rsidR="00E9326E" w:rsidRPr="00AA0679">
              <w:rPr>
                <w:webHidden/>
                <w:sz w:val="22"/>
                <w:szCs w:val="22"/>
              </w:rPr>
              <w:fldChar w:fldCharType="begin"/>
            </w:r>
            <w:r w:rsidR="00E9326E" w:rsidRPr="00AA0679">
              <w:rPr>
                <w:webHidden/>
                <w:sz w:val="22"/>
                <w:szCs w:val="22"/>
              </w:rPr>
              <w:instrText xml:space="preserve"> PAGEREF _Toc31293684 \h </w:instrText>
            </w:r>
            <w:r w:rsidR="00E9326E" w:rsidRPr="00AA0679">
              <w:rPr>
                <w:webHidden/>
                <w:sz w:val="22"/>
                <w:szCs w:val="22"/>
              </w:rPr>
            </w:r>
            <w:r w:rsidR="00E9326E" w:rsidRPr="00AA0679">
              <w:rPr>
                <w:webHidden/>
                <w:sz w:val="22"/>
                <w:szCs w:val="22"/>
              </w:rPr>
              <w:fldChar w:fldCharType="separate"/>
            </w:r>
            <w:r w:rsidR="00AA7201">
              <w:rPr>
                <w:webHidden/>
                <w:sz w:val="22"/>
                <w:szCs w:val="22"/>
              </w:rPr>
              <w:t>28</w:t>
            </w:r>
            <w:r w:rsidR="00E9326E" w:rsidRPr="00AA0679">
              <w:rPr>
                <w:webHidden/>
                <w:sz w:val="22"/>
                <w:szCs w:val="22"/>
              </w:rPr>
              <w:fldChar w:fldCharType="end"/>
            </w:r>
          </w:hyperlink>
        </w:p>
        <w:p w14:paraId="6CBFFFC4" w14:textId="73B52F14"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85" w:history="1">
            <w:r w:rsidR="00E9326E" w:rsidRPr="00AA0679">
              <w:rPr>
                <w:rStyle w:val="Hyperlink"/>
                <w:rFonts w:ascii="Helvetica" w:hAnsi="Helvetica" w:cs="Helvetica"/>
                <w:noProof/>
                <w:sz w:val="22"/>
                <w:szCs w:val="22"/>
              </w:rPr>
              <w:t>Description of the model</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_Toc31293685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28</w:t>
            </w:r>
            <w:r w:rsidR="00E9326E" w:rsidRPr="00AA0679">
              <w:rPr>
                <w:rFonts w:ascii="Helvetica" w:hAnsi="Helvetica" w:cs="Helvetica"/>
                <w:noProof/>
                <w:webHidden/>
                <w:sz w:val="22"/>
                <w:szCs w:val="22"/>
              </w:rPr>
              <w:fldChar w:fldCharType="end"/>
            </w:r>
          </w:hyperlink>
        </w:p>
        <w:p w14:paraId="1CC3E32A" w14:textId="05D5418D"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86" w:history="1">
            <w:r w:rsidR="00E9326E" w:rsidRPr="00AA0679">
              <w:rPr>
                <w:rStyle w:val="Hyperlink"/>
                <w:rFonts w:ascii="Helvetica" w:hAnsi="Helvetica" w:cs="Helvetica"/>
                <w:noProof/>
                <w:sz w:val="22"/>
                <w:szCs w:val="22"/>
              </w:rPr>
              <w:t>From the consumers’ perspective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_Toc31293686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28</w:t>
            </w:r>
            <w:r w:rsidR="00E9326E" w:rsidRPr="00AA0679">
              <w:rPr>
                <w:rFonts w:ascii="Helvetica" w:hAnsi="Helvetica" w:cs="Helvetica"/>
                <w:noProof/>
                <w:webHidden/>
                <w:sz w:val="22"/>
                <w:szCs w:val="22"/>
              </w:rPr>
              <w:fldChar w:fldCharType="end"/>
            </w:r>
          </w:hyperlink>
        </w:p>
        <w:p w14:paraId="21EE7789" w14:textId="73D02358"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87" w:history="1">
            <w:r w:rsidR="00E9326E" w:rsidRPr="00AA0679">
              <w:rPr>
                <w:rStyle w:val="Hyperlink"/>
                <w:rFonts w:ascii="Helvetica" w:hAnsi="Helvetica" w:cs="Helvetica"/>
                <w:noProof/>
                <w:sz w:val="22"/>
                <w:szCs w:val="22"/>
              </w:rPr>
              <w:t>Key design considerations (consumers)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_Toc31293687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28</w:t>
            </w:r>
            <w:r w:rsidR="00E9326E" w:rsidRPr="00AA0679">
              <w:rPr>
                <w:rFonts w:ascii="Helvetica" w:hAnsi="Helvetica" w:cs="Helvetica"/>
                <w:noProof/>
                <w:webHidden/>
                <w:sz w:val="22"/>
                <w:szCs w:val="22"/>
              </w:rPr>
              <w:fldChar w:fldCharType="end"/>
            </w:r>
          </w:hyperlink>
        </w:p>
        <w:p w14:paraId="546C7BDD" w14:textId="00F518D4"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88" w:history="1">
            <w:r w:rsidR="00E9326E" w:rsidRPr="00AA0679">
              <w:rPr>
                <w:rStyle w:val="Hyperlink"/>
                <w:rFonts w:ascii="Helvetica" w:hAnsi="Helvetica" w:cs="Helvetica"/>
                <w:noProof/>
                <w:sz w:val="22"/>
                <w:szCs w:val="22"/>
              </w:rPr>
              <w:t>Creation of a queue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_Toc31293688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28</w:t>
            </w:r>
            <w:r w:rsidR="00E9326E" w:rsidRPr="00AA0679">
              <w:rPr>
                <w:rFonts w:ascii="Helvetica" w:hAnsi="Helvetica" w:cs="Helvetica"/>
                <w:noProof/>
                <w:webHidden/>
                <w:sz w:val="22"/>
                <w:szCs w:val="22"/>
              </w:rPr>
              <w:fldChar w:fldCharType="end"/>
            </w:r>
          </w:hyperlink>
        </w:p>
        <w:p w14:paraId="60D8B6DC" w14:textId="5F403CE4"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89" w:history="1">
            <w:r w:rsidR="00E9326E" w:rsidRPr="00AA0679">
              <w:rPr>
                <w:rStyle w:val="Hyperlink"/>
                <w:rFonts w:ascii="Helvetica" w:hAnsi="Helvetica" w:cs="Helvetica"/>
                <w:noProof/>
                <w:sz w:val="22"/>
                <w:szCs w:val="22"/>
              </w:rPr>
              <w:t>Prioritisation within the queue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_Toc31293689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29</w:t>
            </w:r>
            <w:r w:rsidR="00E9326E" w:rsidRPr="00AA0679">
              <w:rPr>
                <w:rFonts w:ascii="Helvetica" w:hAnsi="Helvetica" w:cs="Helvetica"/>
                <w:noProof/>
                <w:webHidden/>
                <w:sz w:val="22"/>
                <w:szCs w:val="22"/>
              </w:rPr>
              <w:fldChar w:fldCharType="end"/>
            </w:r>
          </w:hyperlink>
        </w:p>
        <w:p w14:paraId="74EBED23" w14:textId="0DADC4F0"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90" w:history="1">
            <w:r w:rsidR="00E9326E" w:rsidRPr="00AA0679">
              <w:rPr>
                <w:rStyle w:val="Hyperlink"/>
                <w:rFonts w:ascii="Helvetica" w:hAnsi="Helvetica" w:cs="Helvetica"/>
                <w:noProof/>
                <w:sz w:val="22"/>
                <w:szCs w:val="22"/>
              </w:rPr>
              <w:t>Validity period of the assigned place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_Toc31293690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29</w:t>
            </w:r>
            <w:r w:rsidR="00E9326E" w:rsidRPr="00AA0679">
              <w:rPr>
                <w:rFonts w:ascii="Helvetica" w:hAnsi="Helvetica" w:cs="Helvetica"/>
                <w:noProof/>
                <w:webHidden/>
                <w:sz w:val="22"/>
                <w:szCs w:val="22"/>
              </w:rPr>
              <w:fldChar w:fldCharType="end"/>
            </w:r>
          </w:hyperlink>
        </w:p>
        <w:p w14:paraId="19F5420A" w14:textId="0298BD1B"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91" w:history="1">
            <w:r w:rsidR="00E9326E" w:rsidRPr="00AA0679">
              <w:rPr>
                <w:rStyle w:val="Hyperlink"/>
                <w:rFonts w:ascii="Helvetica" w:hAnsi="Helvetica" w:cs="Helvetica"/>
                <w:noProof/>
                <w:sz w:val="22"/>
                <w:szCs w:val="22"/>
              </w:rPr>
              <w:t>Request for entry into preferred aged care home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_Toc31293691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30</w:t>
            </w:r>
            <w:r w:rsidR="00E9326E" w:rsidRPr="00AA0679">
              <w:rPr>
                <w:rFonts w:ascii="Helvetica" w:hAnsi="Helvetica" w:cs="Helvetica"/>
                <w:noProof/>
                <w:webHidden/>
                <w:sz w:val="22"/>
                <w:szCs w:val="22"/>
              </w:rPr>
              <w:fldChar w:fldCharType="end"/>
            </w:r>
          </w:hyperlink>
        </w:p>
        <w:p w14:paraId="70F349E1" w14:textId="4AF5FCCA"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92" w:history="1">
            <w:r w:rsidR="00E9326E" w:rsidRPr="00AA0679">
              <w:rPr>
                <w:rStyle w:val="Hyperlink"/>
                <w:rFonts w:ascii="Helvetica" w:hAnsi="Helvetica" w:cs="Helvetica"/>
                <w:noProof/>
                <w:sz w:val="22"/>
                <w:szCs w:val="22"/>
              </w:rPr>
              <w:t>Changing providers or exiting</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_Toc31293692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30</w:t>
            </w:r>
            <w:r w:rsidR="00E9326E" w:rsidRPr="00AA0679">
              <w:rPr>
                <w:rFonts w:ascii="Helvetica" w:hAnsi="Helvetica" w:cs="Helvetica"/>
                <w:noProof/>
                <w:webHidden/>
                <w:sz w:val="22"/>
                <w:szCs w:val="22"/>
              </w:rPr>
              <w:fldChar w:fldCharType="end"/>
            </w:r>
          </w:hyperlink>
        </w:p>
        <w:p w14:paraId="40662B2F" w14:textId="174DC4CB"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93" w:history="1">
            <w:r w:rsidR="00E9326E" w:rsidRPr="00AA0679">
              <w:rPr>
                <w:rStyle w:val="Hyperlink"/>
                <w:rFonts w:ascii="Helvetica" w:hAnsi="Helvetica" w:cs="Helvetica"/>
                <w:noProof/>
                <w:sz w:val="22"/>
                <w:szCs w:val="22"/>
              </w:rPr>
              <w:t>From the providers’ perspective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_Toc31293693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31</w:t>
            </w:r>
            <w:r w:rsidR="00E9326E" w:rsidRPr="00AA0679">
              <w:rPr>
                <w:rFonts w:ascii="Helvetica" w:hAnsi="Helvetica" w:cs="Helvetica"/>
                <w:noProof/>
                <w:webHidden/>
                <w:sz w:val="22"/>
                <w:szCs w:val="22"/>
              </w:rPr>
              <w:fldChar w:fldCharType="end"/>
            </w:r>
          </w:hyperlink>
        </w:p>
        <w:p w14:paraId="2A937A06" w14:textId="093D945F"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94" w:history="1">
            <w:r w:rsidR="00E9326E" w:rsidRPr="00AA0679">
              <w:rPr>
                <w:rStyle w:val="Hyperlink"/>
                <w:rFonts w:ascii="Helvetica" w:hAnsi="Helvetica" w:cs="Helvetica"/>
                <w:noProof/>
                <w:sz w:val="22"/>
                <w:szCs w:val="22"/>
              </w:rPr>
              <w:t>Key design considerations (providers)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_Toc31293694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31</w:t>
            </w:r>
            <w:r w:rsidR="00E9326E" w:rsidRPr="00AA0679">
              <w:rPr>
                <w:rFonts w:ascii="Helvetica" w:hAnsi="Helvetica" w:cs="Helvetica"/>
                <w:noProof/>
                <w:webHidden/>
                <w:sz w:val="22"/>
                <w:szCs w:val="22"/>
              </w:rPr>
              <w:fldChar w:fldCharType="end"/>
            </w:r>
          </w:hyperlink>
        </w:p>
        <w:p w14:paraId="76BD0ABF" w14:textId="4BF0C823"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95" w:history="1">
            <w:r w:rsidR="00E9326E" w:rsidRPr="00AA0679">
              <w:rPr>
                <w:rStyle w:val="Hyperlink"/>
                <w:rFonts w:ascii="Helvetica" w:hAnsi="Helvetica" w:cs="Helvetica"/>
                <w:noProof/>
                <w:sz w:val="22"/>
                <w:szCs w:val="22"/>
              </w:rPr>
              <w:t>Supporting sector sustainability in a competitive market</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_Toc31293695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31</w:t>
            </w:r>
            <w:r w:rsidR="00E9326E" w:rsidRPr="00AA0679">
              <w:rPr>
                <w:rFonts w:ascii="Helvetica" w:hAnsi="Helvetica" w:cs="Helvetica"/>
                <w:noProof/>
                <w:webHidden/>
                <w:sz w:val="22"/>
                <w:szCs w:val="22"/>
              </w:rPr>
              <w:fldChar w:fldCharType="end"/>
            </w:r>
          </w:hyperlink>
        </w:p>
        <w:p w14:paraId="4D524808" w14:textId="6F0BA885"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96" w:history="1">
            <w:r w:rsidR="00E9326E" w:rsidRPr="00AA0679">
              <w:rPr>
                <w:rStyle w:val="Hyperlink"/>
                <w:rFonts w:ascii="Helvetica" w:hAnsi="Helvetica" w:cs="Helvetica"/>
                <w:noProof/>
                <w:sz w:val="22"/>
                <w:szCs w:val="22"/>
              </w:rPr>
              <w:t>Financing sector growth</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_Toc31293696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31</w:t>
            </w:r>
            <w:r w:rsidR="00E9326E" w:rsidRPr="00AA0679">
              <w:rPr>
                <w:rFonts w:ascii="Helvetica" w:hAnsi="Helvetica" w:cs="Helvetica"/>
                <w:noProof/>
                <w:webHidden/>
                <w:sz w:val="22"/>
                <w:szCs w:val="22"/>
              </w:rPr>
              <w:fldChar w:fldCharType="end"/>
            </w:r>
          </w:hyperlink>
        </w:p>
        <w:p w14:paraId="68A2447A" w14:textId="41890D36"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97" w:history="1">
            <w:r w:rsidR="00E9326E" w:rsidRPr="00AA0679">
              <w:rPr>
                <w:rStyle w:val="Hyperlink"/>
                <w:rFonts w:ascii="Helvetica" w:hAnsi="Helvetica" w:cs="Helvetica"/>
                <w:noProof/>
                <w:sz w:val="22"/>
                <w:szCs w:val="22"/>
              </w:rPr>
              <w:t>Encouraging service provision in thin markets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_Toc31293697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32</w:t>
            </w:r>
            <w:r w:rsidR="00E9326E" w:rsidRPr="00AA0679">
              <w:rPr>
                <w:rFonts w:ascii="Helvetica" w:hAnsi="Helvetica" w:cs="Helvetica"/>
                <w:noProof/>
                <w:webHidden/>
                <w:sz w:val="22"/>
                <w:szCs w:val="22"/>
              </w:rPr>
              <w:fldChar w:fldCharType="end"/>
            </w:r>
          </w:hyperlink>
        </w:p>
        <w:p w14:paraId="3429F9E7" w14:textId="5C44C85D"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698" w:history="1">
            <w:r w:rsidR="00E9326E" w:rsidRPr="00AA0679">
              <w:rPr>
                <w:rStyle w:val="Hyperlink"/>
                <w:rFonts w:ascii="Helvetica" w:hAnsi="Helvetica" w:cs="Helvetica"/>
                <w:noProof/>
                <w:sz w:val="22"/>
                <w:szCs w:val="22"/>
              </w:rPr>
              <w:t>Exploring the potential impacts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_Toc31293698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33</w:t>
            </w:r>
            <w:r w:rsidR="00E9326E" w:rsidRPr="00AA0679">
              <w:rPr>
                <w:rFonts w:ascii="Helvetica" w:hAnsi="Helvetica" w:cs="Helvetica"/>
                <w:noProof/>
                <w:webHidden/>
                <w:sz w:val="22"/>
                <w:szCs w:val="22"/>
              </w:rPr>
              <w:fldChar w:fldCharType="end"/>
            </w:r>
          </w:hyperlink>
        </w:p>
        <w:p w14:paraId="4964D6E1" w14:textId="0F14DD98"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699" w:history="1">
            <w:r w:rsidR="00E9326E" w:rsidRPr="00AA0679">
              <w:rPr>
                <w:rStyle w:val="Hyperlink"/>
                <w:rFonts w:ascii="Helvetica" w:hAnsi="Helvetica" w:cs="Helvetica"/>
                <w:noProof/>
                <w:sz w:val="22"/>
                <w:szCs w:val="22"/>
              </w:rPr>
              <w:t>Benefits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_Toc31293699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33</w:t>
            </w:r>
            <w:r w:rsidR="00E9326E" w:rsidRPr="00AA0679">
              <w:rPr>
                <w:rFonts w:ascii="Helvetica" w:hAnsi="Helvetica" w:cs="Helvetica"/>
                <w:noProof/>
                <w:webHidden/>
                <w:sz w:val="22"/>
                <w:szCs w:val="22"/>
              </w:rPr>
              <w:fldChar w:fldCharType="end"/>
            </w:r>
          </w:hyperlink>
        </w:p>
        <w:p w14:paraId="3C9445E9" w14:textId="52FF0AFB"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700" w:history="1">
            <w:r w:rsidR="00E9326E" w:rsidRPr="00AA0679">
              <w:rPr>
                <w:rStyle w:val="Hyperlink"/>
                <w:rFonts w:ascii="Helvetica" w:hAnsi="Helvetica" w:cs="Helvetica"/>
                <w:noProof/>
                <w:sz w:val="22"/>
                <w:szCs w:val="22"/>
              </w:rPr>
              <w:t>Risks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_Toc31293700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33</w:t>
            </w:r>
            <w:r w:rsidR="00E9326E" w:rsidRPr="00AA0679">
              <w:rPr>
                <w:rFonts w:ascii="Helvetica" w:hAnsi="Helvetica" w:cs="Helvetica"/>
                <w:noProof/>
                <w:webHidden/>
                <w:sz w:val="22"/>
                <w:szCs w:val="22"/>
              </w:rPr>
              <w:fldChar w:fldCharType="end"/>
            </w:r>
          </w:hyperlink>
        </w:p>
        <w:p w14:paraId="1F4AE31F" w14:textId="456BDE42"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701" w:history="1">
            <w:r w:rsidR="00E9326E" w:rsidRPr="00AA0679">
              <w:rPr>
                <w:rStyle w:val="Hyperlink"/>
                <w:rFonts w:ascii="Helvetica" w:hAnsi="Helvetica" w:cs="Helvetica"/>
                <w:noProof/>
                <w:sz w:val="22"/>
                <w:szCs w:val="22"/>
              </w:rPr>
              <w:t>Directly affected aged care programs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_Toc31293701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34</w:t>
            </w:r>
            <w:r w:rsidR="00E9326E" w:rsidRPr="00AA0679">
              <w:rPr>
                <w:rFonts w:ascii="Helvetica" w:hAnsi="Helvetica" w:cs="Helvetica"/>
                <w:noProof/>
                <w:webHidden/>
                <w:sz w:val="22"/>
                <w:szCs w:val="22"/>
              </w:rPr>
              <w:fldChar w:fldCharType="end"/>
            </w:r>
          </w:hyperlink>
        </w:p>
        <w:p w14:paraId="16F7F02F" w14:textId="64CB5047"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702" w:history="1">
            <w:r w:rsidR="00E9326E" w:rsidRPr="00AA0679">
              <w:rPr>
                <w:rStyle w:val="Hyperlink"/>
                <w:rFonts w:ascii="Helvetica" w:hAnsi="Helvetica" w:cs="Helvetica"/>
                <w:noProof/>
                <w:sz w:val="22"/>
                <w:szCs w:val="22"/>
              </w:rPr>
              <w:t>Residential respite care</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_Toc31293702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34</w:t>
            </w:r>
            <w:r w:rsidR="00E9326E" w:rsidRPr="00AA0679">
              <w:rPr>
                <w:rFonts w:ascii="Helvetica" w:hAnsi="Helvetica" w:cs="Helvetica"/>
                <w:noProof/>
                <w:webHidden/>
                <w:sz w:val="22"/>
                <w:szCs w:val="22"/>
              </w:rPr>
              <w:fldChar w:fldCharType="end"/>
            </w:r>
          </w:hyperlink>
        </w:p>
        <w:p w14:paraId="40C5FF56" w14:textId="63D94297"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703" w:history="1">
            <w:r w:rsidR="00E9326E" w:rsidRPr="00AA0679">
              <w:rPr>
                <w:rStyle w:val="Hyperlink"/>
                <w:rFonts w:ascii="Helvetica" w:hAnsi="Helvetica" w:cs="Helvetica"/>
                <w:noProof/>
                <w:sz w:val="22"/>
                <w:szCs w:val="22"/>
              </w:rPr>
              <w:t>Extra service places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_Toc31293703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34</w:t>
            </w:r>
            <w:r w:rsidR="00E9326E" w:rsidRPr="00AA0679">
              <w:rPr>
                <w:rFonts w:ascii="Helvetica" w:hAnsi="Helvetica" w:cs="Helvetica"/>
                <w:noProof/>
                <w:webHidden/>
                <w:sz w:val="22"/>
                <w:szCs w:val="22"/>
              </w:rPr>
              <w:fldChar w:fldCharType="end"/>
            </w:r>
          </w:hyperlink>
        </w:p>
        <w:p w14:paraId="06E14BEE" w14:textId="1CD7372C"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704" w:history="1">
            <w:r w:rsidR="00E9326E" w:rsidRPr="00AA0679">
              <w:rPr>
                <w:rStyle w:val="Hyperlink"/>
                <w:rFonts w:ascii="Helvetica" w:hAnsi="Helvetica" w:cs="Helvetica"/>
                <w:noProof/>
                <w:sz w:val="22"/>
                <w:szCs w:val="22"/>
              </w:rPr>
              <w:t>Additional Services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_Toc31293704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34</w:t>
            </w:r>
            <w:r w:rsidR="00E9326E" w:rsidRPr="00AA0679">
              <w:rPr>
                <w:rFonts w:ascii="Helvetica" w:hAnsi="Helvetica" w:cs="Helvetica"/>
                <w:noProof/>
                <w:webHidden/>
                <w:sz w:val="22"/>
                <w:szCs w:val="22"/>
              </w:rPr>
              <w:fldChar w:fldCharType="end"/>
            </w:r>
          </w:hyperlink>
        </w:p>
        <w:p w14:paraId="0C2A9A18" w14:textId="093D3B25" w:rsidR="00E9326E" w:rsidRPr="00AA0679" w:rsidRDefault="00F14E8A">
          <w:pPr>
            <w:pStyle w:val="TOC3"/>
            <w:tabs>
              <w:tab w:val="right" w:leader="dot" w:pos="9736"/>
            </w:tabs>
            <w:rPr>
              <w:rFonts w:ascii="Helvetica" w:eastAsiaTheme="minorEastAsia" w:hAnsi="Helvetica" w:cs="Helvetica"/>
              <w:noProof/>
              <w:sz w:val="22"/>
              <w:szCs w:val="22"/>
            </w:rPr>
          </w:pPr>
          <w:hyperlink w:anchor="_Toc31293705" w:history="1">
            <w:r w:rsidR="00E9326E" w:rsidRPr="00AA0679">
              <w:rPr>
                <w:rStyle w:val="Hyperlink"/>
                <w:rFonts w:ascii="Helvetica" w:hAnsi="Helvetica" w:cs="Helvetica"/>
                <w:noProof/>
                <w:sz w:val="22"/>
                <w:szCs w:val="22"/>
              </w:rPr>
              <w:t>Capital grants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_Toc31293705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34</w:t>
            </w:r>
            <w:r w:rsidR="00E9326E" w:rsidRPr="00AA0679">
              <w:rPr>
                <w:rFonts w:ascii="Helvetica" w:hAnsi="Helvetica" w:cs="Helvetica"/>
                <w:noProof/>
                <w:webHidden/>
                <w:sz w:val="22"/>
                <w:szCs w:val="22"/>
              </w:rPr>
              <w:fldChar w:fldCharType="end"/>
            </w:r>
          </w:hyperlink>
        </w:p>
        <w:p w14:paraId="596639C6" w14:textId="2BA02062"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706" w:history="1">
            <w:r w:rsidR="00E9326E" w:rsidRPr="00AA0679">
              <w:rPr>
                <w:rStyle w:val="Hyperlink"/>
                <w:rFonts w:ascii="Helvetica" w:hAnsi="Helvetica" w:cs="Helvetica"/>
                <w:noProof/>
                <w:sz w:val="22"/>
                <w:szCs w:val="22"/>
              </w:rPr>
              <w:t>Implementation and transition considerations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_Toc31293706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34</w:t>
            </w:r>
            <w:r w:rsidR="00E9326E" w:rsidRPr="00AA0679">
              <w:rPr>
                <w:rFonts w:ascii="Helvetica" w:hAnsi="Helvetica" w:cs="Helvetica"/>
                <w:noProof/>
                <w:webHidden/>
                <w:sz w:val="22"/>
                <w:szCs w:val="22"/>
              </w:rPr>
              <w:fldChar w:fldCharType="end"/>
            </w:r>
          </w:hyperlink>
        </w:p>
        <w:p w14:paraId="41C33D77" w14:textId="7688D18C" w:rsidR="00E9326E" w:rsidRPr="00AA0679" w:rsidRDefault="00F14E8A" w:rsidP="004B2D48">
          <w:pPr>
            <w:pStyle w:val="TOC1"/>
            <w:rPr>
              <w:rFonts w:eastAsiaTheme="minorEastAsia"/>
              <w:sz w:val="22"/>
              <w:szCs w:val="22"/>
            </w:rPr>
          </w:pPr>
          <w:hyperlink w:anchor="_Toc31293707" w:history="1">
            <w:r w:rsidR="00E9326E" w:rsidRPr="00AA0679">
              <w:rPr>
                <w:rStyle w:val="Hyperlink"/>
                <w:sz w:val="22"/>
                <w:szCs w:val="22"/>
              </w:rPr>
              <w:t>Next steps</w:t>
            </w:r>
            <w:r w:rsidR="00E9326E" w:rsidRPr="00AA0679">
              <w:rPr>
                <w:webHidden/>
                <w:sz w:val="22"/>
                <w:szCs w:val="22"/>
              </w:rPr>
              <w:tab/>
            </w:r>
            <w:r w:rsidR="00E9326E" w:rsidRPr="00AA0679">
              <w:rPr>
                <w:webHidden/>
                <w:sz w:val="22"/>
                <w:szCs w:val="22"/>
              </w:rPr>
              <w:fldChar w:fldCharType="begin"/>
            </w:r>
            <w:r w:rsidR="00E9326E" w:rsidRPr="00AA0679">
              <w:rPr>
                <w:webHidden/>
                <w:sz w:val="22"/>
                <w:szCs w:val="22"/>
              </w:rPr>
              <w:instrText xml:space="preserve"> PAGEREF _Toc31293707 \h </w:instrText>
            </w:r>
            <w:r w:rsidR="00E9326E" w:rsidRPr="00AA0679">
              <w:rPr>
                <w:webHidden/>
                <w:sz w:val="22"/>
                <w:szCs w:val="22"/>
              </w:rPr>
            </w:r>
            <w:r w:rsidR="00E9326E" w:rsidRPr="00AA0679">
              <w:rPr>
                <w:webHidden/>
                <w:sz w:val="22"/>
                <w:szCs w:val="22"/>
              </w:rPr>
              <w:fldChar w:fldCharType="separate"/>
            </w:r>
            <w:r w:rsidR="00AA7201">
              <w:rPr>
                <w:webHidden/>
                <w:sz w:val="22"/>
                <w:szCs w:val="22"/>
              </w:rPr>
              <w:t>38</w:t>
            </w:r>
            <w:r w:rsidR="00E9326E" w:rsidRPr="00AA0679">
              <w:rPr>
                <w:webHidden/>
                <w:sz w:val="22"/>
                <w:szCs w:val="22"/>
              </w:rPr>
              <w:fldChar w:fldCharType="end"/>
            </w:r>
          </w:hyperlink>
        </w:p>
        <w:p w14:paraId="7A19E494" w14:textId="3E04DA1A"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708" w:history="1">
            <w:r w:rsidR="00E9326E" w:rsidRPr="00AA0679">
              <w:rPr>
                <w:rStyle w:val="Hyperlink"/>
                <w:rFonts w:ascii="Helvetica" w:hAnsi="Helvetica" w:cs="Helvetica"/>
                <w:noProof/>
                <w:sz w:val="22"/>
                <w:szCs w:val="22"/>
              </w:rPr>
              <w:t>Online Consultation Hub</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_Toc31293708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38</w:t>
            </w:r>
            <w:r w:rsidR="00E9326E" w:rsidRPr="00AA0679">
              <w:rPr>
                <w:rFonts w:ascii="Helvetica" w:hAnsi="Helvetica" w:cs="Helvetica"/>
                <w:noProof/>
                <w:webHidden/>
                <w:sz w:val="22"/>
                <w:szCs w:val="22"/>
              </w:rPr>
              <w:fldChar w:fldCharType="end"/>
            </w:r>
          </w:hyperlink>
        </w:p>
        <w:p w14:paraId="4E63069D" w14:textId="7D268A94" w:rsidR="00E9326E" w:rsidRPr="00AA0679" w:rsidRDefault="00F14E8A">
          <w:pPr>
            <w:pStyle w:val="TOC2"/>
            <w:tabs>
              <w:tab w:val="right" w:leader="dot" w:pos="9736"/>
            </w:tabs>
            <w:rPr>
              <w:rFonts w:ascii="Helvetica" w:eastAsiaTheme="minorEastAsia" w:hAnsi="Helvetica" w:cs="Helvetica"/>
              <w:noProof/>
              <w:sz w:val="22"/>
              <w:szCs w:val="22"/>
            </w:rPr>
          </w:pPr>
          <w:hyperlink w:anchor="_Toc31293709" w:history="1">
            <w:r w:rsidR="00E9326E" w:rsidRPr="00AA0679">
              <w:rPr>
                <w:rStyle w:val="Hyperlink"/>
                <w:rFonts w:ascii="Helvetica" w:hAnsi="Helvetica" w:cs="Helvetica"/>
                <w:noProof/>
                <w:sz w:val="22"/>
                <w:szCs w:val="22"/>
              </w:rPr>
              <w:t>Discussion Forums</w:t>
            </w:r>
            <w:r w:rsidR="00E9326E" w:rsidRPr="00AA0679">
              <w:rPr>
                <w:rFonts w:ascii="Helvetica" w:hAnsi="Helvetica" w:cs="Helvetica"/>
                <w:noProof/>
                <w:webHidden/>
                <w:sz w:val="22"/>
                <w:szCs w:val="22"/>
              </w:rPr>
              <w:tab/>
            </w:r>
            <w:r w:rsidR="00E9326E" w:rsidRPr="00AA0679">
              <w:rPr>
                <w:rFonts w:ascii="Helvetica" w:hAnsi="Helvetica" w:cs="Helvetica"/>
                <w:noProof/>
                <w:webHidden/>
                <w:sz w:val="22"/>
                <w:szCs w:val="22"/>
              </w:rPr>
              <w:fldChar w:fldCharType="begin"/>
            </w:r>
            <w:r w:rsidR="00E9326E" w:rsidRPr="00AA0679">
              <w:rPr>
                <w:rFonts w:ascii="Helvetica" w:hAnsi="Helvetica" w:cs="Helvetica"/>
                <w:noProof/>
                <w:webHidden/>
                <w:sz w:val="22"/>
                <w:szCs w:val="22"/>
              </w:rPr>
              <w:instrText xml:space="preserve"> PAGEREF _Toc31293709 \h </w:instrText>
            </w:r>
            <w:r w:rsidR="00E9326E" w:rsidRPr="00AA0679">
              <w:rPr>
                <w:rFonts w:ascii="Helvetica" w:hAnsi="Helvetica" w:cs="Helvetica"/>
                <w:noProof/>
                <w:webHidden/>
                <w:sz w:val="22"/>
                <w:szCs w:val="22"/>
              </w:rPr>
            </w:r>
            <w:r w:rsidR="00E9326E" w:rsidRPr="00AA0679">
              <w:rPr>
                <w:rFonts w:ascii="Helvetica" w:hAnsi="Helvetica" w:cs="Helvetica"/>
                <w:noProof/>
                <w:webHidden/>
                <w:sz w:val="22"/>
                <w:szCs w:val="22"/>
              </w:rPr>
              <w:fldChar w:fldCharType="separate"/>
            </w:r>
            <w:r w:rsidR="00AA7201">
              <w:rPr>
                <w:rFonts w:ascii="Helvetica" w:hAnsi="Helvetica" w:cs="Helvetica"/>
                <w:noProof/>
                <w:webHidden/>
                <w:sz w:val="22"/>
                <w:szCs w:val="22"/>
              </w:rPr>
              <w:t>38</w:t>
            </w:r>
            <w:r w:rsidR="00E9326E" w:rsidRPr="00AA0679">
              <w:rPr>
                <w:rFonts w:ascii="Helvetica" w:hAnsi="Helvetica" w:cs="Helvetica"/>
                <w:noProof/>
                <w:webHidden/>
                <w:sz w:val="22"/>
                <w:szCs w:val="22"/>
              </w:rPr>
              <w:fldChar w:fldCharType="end"/>
            </w:r>
          </w:hyperlink>
        </w:p>
        <w:p w14:paraId="404CF356" w14:textId="19B47323" w:rsidR="00E9326E" w:rsidRDefault="00E9326E">
          <w:r w:rsidRPr="00AA0679">
            <w:rPr>
              <w:b/>
              <w:bCs/>
              <w:noProof/>
              <w:sz w:val="22"/>
              <w:szCs w:val="22"/>
            </w:rPr>
            <w:fldChar w:fldCharType="end"/>
          </w:r>
        </w:p>
      </w:sdtContent>
    </w:sdt>
    <w:p w14:paraId="161D2BB8" w14:textId="77777777" w:rsidR="004B2D48" w:rsidRDefault="004B2D48">
      <w:pPr>
        <w:rPr>
          <w:rFonts w:ascii="Helvetica" w:eastAsiaTheme="majorEastAsia" w:hAnsi="Helvetica" w:cs="Helvetica"/>
          <w:b/>
          <w:color w:val="2F5496" w:themeColor="accent1" w:themeShade="BF"/>
          <w:sz w:val="32"/>
          <w:szCs w:val="32"/>
          <w:lang w:eastAsia="en-US"/>
        </w:rPr>
      </w:pPr>
      <w:bookmarkStart w:id="22" w:name="_Toc31293646"/>
      <w:r>
        <w:br w:type="page"/>
      </w:r>
    </w:p>
    <w:p w14:paraId="0262D461" w14:textId="17582B24" w:rsidR="000B591E" w:rsidRPr="00486075" w:rsidRDefault="0014247F" w:rsidP="00383D9B">
      <w:pPr>
        <w:pStyle w:val="Heading1Black"/>
      </w:pPr>
      <w:r w:rsidRPr="00486075">
        <w:lastRenderedPageBreak/>
        <w:t>Purpose of this discussion paper</w:t>
      </w:r>
      <w:bookmarkEnd w:id="22"/>
      <w:r w:rsidR="00F13AC9" w:rsidRPr="00486075">
        <w:t xml:space="preserve"> </w:t>
      </w:r>
    </w:p>
    <w:p w14:paraId="247A437D" w14:textId="55166106" w:rsidR="001E415E" w:rsidRPr="00486075" w:rsidRDefault="001E415E" w:rsidP="00553BEF">
      <w:pPr>
        <w:pStyle w:val="Heading2"/>
      </w:pPr>
      <w:bookmarkStart w:id="23" w:name="_Toc31293647"/>
      <w:r w:rsidRPr="00486075">
        <w:t>Introduction</w:t>
      </w:r>
      <w:bookmarkEnd w:id="23"/>
    </w:p>
    <w:p w14:paraId="017BD960" w14:textId="77777777" w:rsidR="00E144CD" w:rsidRPr="00486075" w:rsidRDefault="00497EEA">
      <w:pPr>
        <w:snapToGrid w:val="0"/>
        <w:spacing w:after="120"/>
        <w:rPr>
          <w:rFonts w:ascii="Helvetica" w:hAnsi="Helvetica"/>
        </w:rPr>
      </w:pPr>
      <w:r w:rsidRPr="00486075">
        <w:rPr>
          <w:rFonts w:ascii="Helvetica" w:hAnsi="Helvetica"/>
        </w:rPr>
        <w:t>As part of the 2018-19</w:t>
      </w:r>
      <w:r w:rsidR="00E144CD" w:rsidRPr="00486075">
        <w:rPr>
          <w:rFonts w:ascii="Helvetica" w:hAnsi="Helvetica"/>
        </w:rPr>
        <w:t xml:space="preserve"> Budget </w:t>
      </w:r>
      <w:r w:rsidR="00E144CD" w:rsidRPr="00486075">
        <w:rPr>
          <w:rFonts w:ascii="Helvetica" w:hAnsi="Helvetica"/>
          <w:i/>
          <w:iCs/>
        </w:rPr>
        <w:t xml:space="preserve">More Choices for a Longer Life </w:t>
      </w:r>
      <w:r w:rsidR="00E144CD" w:rsidRPr="00486075">
        <w:rPr>
          <w:rFonts w:ascii="Helvetica" w:hAnsi="Helvetica"/>
          <w:iCs/>
        </w:rPr>
        <w:t>package</w:t>
      </w:r>
      <w:r w:rsidR="00E144CD" w:rsidRPr="00486075">
        <w:rPr>
          <w:rFonts w:ascii="Helvetica" w:hAnsi="Helvetica"/>
        </w:rPr>
        <w:t>, in-principle support</w:t>
      </w:r>
      <w:r w:rsidR="005A64B4" w:rsidRPr="00486075">
        <w:rPr>
          <w:rFonts w:ascii="Helvetica" w:hAnsi="Helvetica"/>
        </w:rPr>
        <w:t xml:space="preserve"> was provided</w:t>
      </w:r>
      <w:r w:rsidR="00F41B2E" w:rsidRPr="00486075">
        <w:rPr>
          <w:rFonts w:ascii="Helvetica" w:hAnsi="Helvetica"/>
        </w:rPr>
        <w:t xml:space="preserve"> for </w:t>
      </w:r>
      <w:r w:rsidR="00FE3661" w:rsidRPr="00486075">
        <w:rPr>
          <w:rFonts w:ascii="Helvetica" w:hAnsi="Helvetica"/>
        </w:rPr>
        <w:t xml:space="preserve">a </w:t>
      </w:r>
      <w:r w:rsidR="00F41B2E" w:rsidRPr="00486075">
        <w:rPr>
          <w:rFonts w:ascii="Helvetica" w:hAnsi="Helvetica"/>
        </w:rPr>
        <w:t>proposal</w:t>
      </w:r>
      <w:r w:rsidR="00E144CD" w:rsidRPr="00486075">
        <w:rPr>
          <w:rFonts w:ascii="Helvetica" w:hAnsi="Helvetica"/>
        </w:rPr>
        <w:t xml:space="preserve"> to </w:t>
      </w:r>
      <w:r w:rsidR="00997652" w:rsidRPr="00486075">
        <w:rPr>
          <w:rFonts w:ascii="Helvetica" w:hAnsi="Helvetica"/>
        </w:rPr>
        <w:t xml:space="preserve">move from </w:t>
      </w:r>
      <w:r w:rsidR="00E144CD" w:rsidRPr="00486075">
        <w:rPr>
          <w:rFonts w:ascii="Helvetica" w:hAnsi="Helvetica"/>
        </w:rPr>
        <w:t xml:space="preserve">the </w:t>
      </w:r>
      <w:r w:rsidR="00997652" w:rsidRPr="00486075">
        <w:rPr>
          <w:rFonts w:ascii="Helvetica" w:hAnsi="Helvetica"/>
        </w:rPr>
        <w:t xml:space="preserve">current approach </w:t>
      </w:r>
      <w:r w:rsidR="0055749F" w:rsidRPr="00486075">
        <w:rPr>
          <w:rFonts w:ascii="Helvetica" w:hAnsi="Helvetica"/>
        </w:rPr>
        <w:t>of</w:t>
      </w:r>
      <w:r w:rsidR="00997652" w:rsidRPr="00486075">
        <w:rPr>
          <w:rFonts w:ascii="Helvetica" w:hAnsi="Helvetica"/>
        </w:rPr>
        <w:t xml:space="preserve"> </w:t>
      </w:r>
      <w:r w:rsidR="00E144CD" w:rsidRPr="00486075">
        <w:rPr>
          <w:rFonts w:ascii="Helvetica" w:hAnsi="Helvetica"/>
        </w:rPr>
        <w:t>allocat</w:t>
      </w:r>
      <w:r w:rsidR="00997652" w:rsidRPr="00486075">
        <w:rPr>
          <w:rFonts w:ascii="Helvetica" w:hAnsi="Helvetica"/>
        </w:rPr>
        <w:t xml:space="preserve">ing </w:t>
      </w:r>
      <w:r w:rsidR="00E144CD" w:rsidRPr="00486075">
        <w:rPr>
          <w:rFonts w:ascii="Helvetica" w:hAnsi="Helvetica"/>
        </w:rPr>
        <w:t>residential aged care places</w:t>
      </w:r>
      <w:r w:rsidR="00997652" w:rsidRPr="00486075">
        <w:rPr>
          <w:rFonts w:ascii="Helvetica" w:hAnsi="Helvetica"/>
        </w:rPr>
        <w:t xml:space="preserve">, </w:t>
      </w:r>
      <w:r w:rsidR="00F121B5" w:rsidRPr="00486075">
        <w:rPr>
          <w:rFonts w:ascii="Helvetica" w:hAnsi="Helvetica"/>
        </w:rPr>
        <w:t xml:space="preserve">to providers </w:t>
      </w:r>
      <w:r w:rsidR="00E144CD" w:rsidRPr="00486075">
        <w:rPr>
          <w:rFonts w:ascii="Helvetica" w:hAnsi="Helvetica"/>
        </w:rPr>
        <w:t>through the Aged Care Approvals Round (ACAR)</w:t>
      </w:r>
      <w:r w:rsidR="00997652" w:rsidRPr="00486075">
        <w:rPr>
          <w:rFonts w:ascii="Helvetica" w:hAnsi="Helvetica"/>
        </w:rPr>
        <w:t>,</w:t>
      </w:r>
      <w:r w:rsidR="00E144CD" w:rsidRPr="00486075">
        <w:rPr>
          <w:rFonts w:ascii="Helvetica" w:hAnsi="Helvetica"/>
        </w:rPr>
        <w:t xml:space="preserve"> to alternative arrangements that </w:t>
      </w:r>
      <w:r w:rsidR="00FE3661" w:rsidRPr="00486075">
        <w:rPr>
          <w:rFonts w:ascii="Helvetica" w:hAnsi="Helvetica"/>
        </w:rPr>
        <w:t xml:space="preserve">support </w:t>
      </w:r>
      <w:r w:rsidR="00E144CD" w:rsidRPr="00486075">
        <w:rPr>
          <w:rFonts w:ascii="Helvetica" w:hAnsi="Helvetica"/>
        </w:rPr>
        <w:t xml:space="preserve">greater consumer choice. </w:t>
      </w:r>
      <w:r w:rsidR="00FE3661" w:rsidRPr="00486075">
        <w:rPr>
          <w:rFonts w:ascii="Helvetica" w:hAnsi="Helvetica"/>
        </w:rPr>
        <w:t xml:space="preserve">Prior to progressing to an alternative model, </w:t>
      </w:r>
      <w:r w:rsidR="00E144CD" w:rsidRPr="00486075">
        <w:rPr>
          <w:rFonts w:ascii="Helvetica" w:hAnsi="Helvetica"/>
          <w:iCs/>
        </w:rPr>
        <w:t>a detailed analysis of the potential impacts of such an arrangement on all stakeholders</w:t>
      </w:r>
      <w:r w:rsidR="00FE3661" w:rsidRPr="00486075">
        <w:rPr>
          <w:rFonts w:ascii="Helvetica" w:hAnsi="Helvetica"/>
          <w:iCs/>
        </w:rPr>
        <w:t xml:space="preserve"> is to be completed</w:t>
      </w:r>
      <w:r w:rsidR="00E144CD" w:rsidRPr="00486075">
        <w:rPr>
          <w:rFonts w:ascii="Helvetica" w:hAnsi="Helvetica"/>
          <w:iCs/>
        </w:rPr>
        <w:t>.</w:t>
      </w:r>
      <w:r w:rsidR="00E144CD" w:rsidRPr="00486075">
        <w:rPr>
          <w:rFonts w:ascii="Helvetica" w:hAnsi="Helvetica"/>
        </w:rPr>
        <w:t xml:space="preserve"> </w:t>
      </w:r>
    </w:p>
    <w:p w14:paraId="074EDC85" w14:textId="77777777" w:rsidR="00E144CD" w:rsidRPr="00486075" w:rsidRDefault="00E144CD">
      <w:pPr>
        <w:snapToGrid w:val="0"/>
        <w:spacing w:after="120"/>
        <w:rPr>
          <w:rFonts w:ascii="Helvetica" w:hAnsi="Helvetica"/>
        </w:rPr>
      </w:pPr>
      <w:r w:rsidRPr="00486075">
        <w:rPr>
          <w:rFonts w:ascii="Helvetica" w:hAnsi="Helvetica"/>
        </w:rPr>
        <w:t xml:space="preserve">The Budget Fact Sheet can be viewed on the Department of Health </w:t>
      </w:r>
      <w:hyperlink r:id="rId14" w:history="1">
        <w:r w:rsidRPr="00486075">
          <w:rPr>
            <w:rStyle w:val="Hyperlink"/>
            <w:rFonts w:ascii="Helvetica" w:hAnsi="Helvetica"/>
          </w:rPr>
          <w:t>website.</w:t>
        </w:r>
      </w:hyperlink>
      <w:r w:rsidRPr="00486075">
        <w:rPr>
          <w:rFonts w:ascii="Helvetica" w:hAnsi="Helvetica"/>
        </w:rPr>
        <w:t xml:space="preserve"> </w:t>
      </w:r>
    </w:p>
    <w:p w14:paraId="776E86F9" w14:textId="77777777" w:rsidR="00B215DD" w:rsidRPr="00486075" w:rsidRDefault="00214DE5" w:rsidP="00341779">
      <w:pPr>
        <w:spacing w:after="120"/>
        <w:rPr>
          <w:rFonts w:ascii="Helvetica" w:hAnsi="Helvetica"/>
        </w:rPr>
      </w:pPr>
      <w:r w:rsidRPr="00486075">
        <w:rPr>
          <w:rFonts w:ascii="Helvetica" w:hAnsi="Helvetica"/>
        </w:rPr>
        <w:t>T</w:t>
      </w:r>
      <w:r w:rsidR="00935B25" w:rsidRPr="00486075">
        <w:rPr>
          <w:rFonts w:ascii="Helvetica" w:hAnsi="Helvetica"/>
        </w:rPr>
        <w:t>he Centre for Health Economics Research and Evaluation</w:t>
      </w:r>
      <w:r w:rsidR="00BD0379" w:rsidRPr="00486075">
        <w:rPr>
          <w:rFonts w:ascii="Helvetica" w:hAnsi="Helvetica"/>
        </w:rPr>
        <w:t xml:space="preserve"> (CHERE)</w:t>
      </w:r>
      <w:r w:rsidR="00935B25" w:rsidRPr="00486075">
        <w:rPr>
          <w:rFonts w:ascii="Helvetica" w:hAnsi="Helvetica"/>
        </w:rPr>
        <w:t xml:space="preserve"> at the University of Technology Sydney, in collaboration with aged care accounting and business advisory firm StewartBrown and the Department of Health</w:t>
      </w:r>
      <w:r w:rsidR="00D86532" w:rsidRPr="00486075">
        <w:rPr>
          <w:rFonts w:ascii="Helvetica" w:hAnsi="Helvetica"/>
        </w:rPr>
        <w:t>,</w:t>
      </w:r>
      <w:r w:rsidR="00364AF6" w:rsidRPr="00486075">
        <w:rPr>
          <w:rFonts w:ascii="Helvetica" w:hAnsi="Helvetica"/>
        </w:rPr>
        <w:t xml:space="preserve"> </w:t>
      </w:r>
      <w:r w:rsidR="00D86532" w:rsidRPr="00486075">
        <w:rPr>
          <w:rFonts w:ascii="Helvetica" w:hAnsi="Helvetica"/>
        </w:rPr>
        <w:t xml:space="preserve">is </w:t>
      </w:r>
      <w:r w:rsidRPr="00486075">
        <w:rPr>
          <w:rFonts w:ascii="Helvetica" w:hAnsi="Helvetica"/>
        </w:rPr>
        <w:t xml:space="preserve">undertaking </w:t>
      </w:r>
      <w:r w:rsidR="00FE3661" w:rsidRPr="00486075">
        <w:rPr>
          <w:rFonts w:ascii="Helvetica" w:hAnsi="Helvetica"/>
        </w:rPr>
        <w:t xml:space="preserve">this </w:t>
      </w:r>
      <w:r w:rsidRPr="00486075">
        <w:rPr>
          <w:rFonts w:ascii="Helvetica" w:hAnsi="Helvetica"/>
        </w:rPr>
        <w:t>impact analysis of alternative arrangements for allocating residential aged care places</w:t>
      </w:r>
      <w:r w:rsidR="00C27E90" w:rsidRPr="00486075">
        <w:rPr>
          <w:rFonts w:ascii="Helvetica" w:hAnsi="Helvetica"/>
        </w:rPr>
        <w:t xml:space="preserve"> that encourage a more consumer demand driven market</w:t>
      </w:r>
      <w:r w:rsidR="009D3DE0" w:rsidRPr="00486075">
        <w:rPr>
          <w:rFonts w:ascii="Helvetica" w:hAnsi="Helvetica"/>
        </w:rPr>
        <w:t xml:space="preserve">. </w:t>
      </w:r>
    </w:p>
    <w:p w14:paraId="663CEDB0" w14:textId="00D64779" w:rsidR="00F84A1F" w:rsidRPr="00486075" w:rsidRDefault="00B07C8C" w:rsidP="00553BEF">
      <w:pPr>
        <w:pStyle w:val="Heading2"/>
      </w:pPr>
      <w:bookmarkStart w:id="24" w:name="_Toc31293648"/>
      <w:r w:rsidRPr="00486075">
        <w:t>Why we are consulting</w:t>
      </w:r>
      <w:bookmarkEnd w:id="24"/>
      <w:r w:rsidRPr="00486075">
        <w:t xml:space="preserve"> </w:t>
      </w:r>
    </w:p>
    <w:p w14:paraId="4A775879" w14:textId="77777777" w:rsidR="00DD2E15" w:rsidRPr="00486075" w:rsidRDefault="00DD2E15" w:rsidP="00341779">
      <w:pPr>
        <w:spacing w:after="120"/>
        <w:rPr>
          <w:rFonts w:ascii="Helvetica" w:hAnsi="Helvetica"/>
        </w:rPr>
      </w:pPr>
      <w:r w:rsidRPr="00486075">
        <w:rPr>
          <w:rFonts w:ascii="Helvetica" w:hAnsi="Helvetica"/>
        </w:rPr>
        <w:t xml:space="preserve">This </w:t>
      </w:r>
      <w:r w:rsidR="003525B8" w:rsidRPr="00486075">
        <w:rPr>
          <w:rFonts w:ascii="Helvetica" w:hAnsi="Helvetica"/>
        </w:rPr>
        <w:t>d</w:t>
      </w:r>
      <w:r w:rsidR="009F057A" w:rsidRPr="00486075">
        <w:rPr>
          <w:rFonts w:ascii="Helvetica" w:hAnsi="Helvetica"/>
        </w:rPr>
        <w:t xml:space="preserve">iscussion </w:t>
      </w:r>
      <w:r w:rsidR="003525B8" w:rsidRPr="00486075">
        <w:rPr>
          <w:rFonts w:ascii="Helvetica" w:hAnsi="Helvetica"/>
        </w:rPr>
        <w:t>p</w:t>
      </w:r>
      <w:r w:rsidRPr="00486075">
        <w:rPr>
          <w:rFonts w:ascii="Helvetica" w:hAnsi="Helvetica"/>
        </w:rPr>
        <w:t xml:space="preserve">aper </w:t>
      </w:r>
      <w:r w:rsidR="002E6154" w:rsidRPr="00486075">
        <w:rPr>
          <w:rFonts w:ascii="Helvetica" w:hAnsi="Helvetica"/>
        </w:rPr>
        <w:t xml:space="preserve">sets out two proposed alternative models </w:t>
      </w:r>
      <w:r w:rsidR="0050531E" w:rsidRPr="00486075">
        <w:rPr>
          <w:rFonts w:ascii="Helvetica" w:hAnsi="Helvetica"/>
        </w:rPr>
        <w:t xml:space="preserve">for </w:t>
      </w:r>
      <w:r w:rsidR="002E6154" w:rsidRPr="00486075">
        <w:rPr>
          <w:rFonts w:ascii="Helvetica" w:hAnsi="Helvetica"/>
        </w:rPr>
        <w:t>allocat</w:t>
      </w:r>
      <w:r w:rsidR="0050531E" w:rsidRPr="00486075">
        <w:rPr>
          <w:rFonts w:ascii="Helvetica" w:hAnsi="Helvetica"/>
        </w:rPr>
        <w:t>ing</w:t>
      </w:r>
      <w:r w:rsidR="002E6154" w:rsidRPr="00486075">
        <w:rPr>
          <w:rFonts w:ascii="Helvetica" w:hAnsi="Helvetica"/>
        </w:rPr>
        <w:t xml:space="preserve"> residential aged care places and offers initial commentary on possible impacts and implementation </w:t>
      </w:r>
      <w:r w:rsidR="00F42DA4" w:rsidRPr="00486075">
        <w:rPr>
          <w:rFonts w:ascii="Helvetica" w:hAnsi="Helvetica"/>
        </w:rPr>
        <w:t>and transition arrangements. This</w:t>
      </w:r>
      <w:r w:rsidR="002E6154" w:rsidRPr="00486075">
        <w:rPr>
          <w:rFonts w:ascii="Helvetica" w:hAnsi="Helvetica"/>
        </w:rPr>
        <w:t xml:space="preserve"> paper </w:t>
      </w:r>
      <w:r w:rsidRPr="00486075">
        <w:rPr>
          <w:rFonts w:ascii="Helvetica" w:hAnsi="Helvetica"/>
        </w:rPr>
        <w:t>seeks your feedback on:</w:t>
      </w:r>
    </w:p>
    <w:p w14:paraId="5F89E422" w14:textId="77777777" w:rsidR="00DD2E15" w:rsidRPr="00486075" w:rsidRDefault="0050531E" w:rsidP="00341779">
      <w:pPr>
        <w:numPr>
          <w:ilvl w:val="0"/>
          <w:numId w:val="3"/>
        </w:numPr>
        <w:spacing w:after="120"/>
        <w:contextualSpacing/>
        <w:rPr>
          <w:rFonts w:ascii="Helvetica" w:hAnsi="Helvetica"/>
        </w:rPr>
      </w:pPr>
      <w:r w:rsidRPr="00486075">
        <w:rPr>
          <w:rFonts w:ascii="Helvetica" w:hAnsi="Helvetica"/>
        </w:rPr>
        <w:t>w</w:t>
      </w:r>
      <w:r w:rsidR="002E6154" w:rsidRPr="00486075">
        <w:rPr>
          <w:rFonts w:ascii="Helvetica" w:hAnsi="Helvetica"/>
        </w:rPr>
        <w:t xml:space="preserve">hether the </w:t>
      </w:r>
      <w:r w:rsidR="005253B1" w:rsidRPr="00486075">
        <w:rPr>
          <w:rFonts w:ascii="Helvetica" w:hAnsi="Helvetica"/>
        </w:rPr>
        <w:t>two proposed</w:t>
      </w:r>
      <w:r w:rsidR="00DD2E15" w:rsidRPr="00486075">
        <w:rPr>
          <w:rFonts w:ascii="Helvetica" w:hAnsi="Helvetica"/>
        </w:rPr>
        <w:t xml:space="preserve"> models </w:t>
      </w:r>
      <w:r w:rsidR="002E6154" w:rsidRPr="00486075">
        <w:rPr>
          <w:rFonts w:ascii="Helvetica" w:hAnsi="Helvetica"/>
        </w:rPr>
        <w:t>are the most appropriate for the purposes of analysis, and whether other model variants should be considered</w:t>
      </w:r>
      <w:r w:rsidR="00E144CD" w:rsidRPr="00486075">
        <w:rPr>
          <w:rFonts w:ascii="Helvetica" w:hAnsi="Helvetica"/>
        </w:rPr>
        <w:t>;</w:t>
      </w:r>
    </w:p>
    <w:p w14:paraId="4801E5CF" w14:textId="77777777" w:rsidR="00214DE5" w:rsidRPr="00486075" w:rsidRDefault="0050531E" w:rsidP="00341779">
      <w:pPr>
        <w:numPr>
          <w:ilvl w:val="0"/>
          <w:numId w:val="3"/>
        </w:numPr>
        <w:spacing w:after="120"/>
        <w:contextualSpacing/>
        <w:rPr>
          <w:rFonts w:ascii="Helvetica" w:hAnsi="Helvetica"/>
        </w:rPr>
      </w:pPr>
      <w:r w:rsidRPr="00486075">
        <w:rPr>
          <w:rFonts w:ascii="Helvetica" w:hAnsi="Helvetica"/>
        </w:rPr>
        <w:t xml:space="preserve">the </w:t>
      </w:r>
      <w:r w:rsidR="00DD2E15" w:rsidRPr="00486075">
        <w:rPr>
          <w:rFonts w:ascii="Helvetica" w:hAnsi="Helvetica"/>
        </w:rPr>
        <w:t>potential impacts</w:t>
      </w:r>
      <w:r w:rsidR="004C6165" w:rsidRPr="00486075">
        <w:rPr>
          <w:rFonts w:ascii="Helvetica" w:hAnsi="Helvetica"/>
        </w:rPr>
        <w:t xml:space="preserve"> </w:t>
      </w:r>
      <w:r w:rsidR="00DD2E15" w:rsidRPr="00486075">
        <w:rPr>
          <w:rFonts w:ascii="Helvetica" w:hAnsi="Helvetica"/>
        </w:rPr>
        <w:t>of the models</w:t>
      </w:r>
      <w:r w:rsidR="00D03561" w:rsidRPr="00486075">
        <w:rPr>
          <w:rFonts w:ascii="Helvetica" w:hAnsi="Helvetica"/>
        </w:rPr>
        <w:t xml:space="preserve"> (</w:t>
      </w:r>
      <w:r w:rsidR="00074933" w:rsidRPr="00486075">
        <w:rPr>
          <w:rFonts w:ascii="Helvetica" w:hAnsi="Helvetica"/>
        </w:rPr>
        <w:t xml:space="preserve">such as </w:t>
      </w:r>
      <w:r w:rsidR="001B713D" w:rsidRPr="00486075">
        <w:rPr>
          <w:rFonts w:ascii="Helvetica" w:hAnsi="Helvetica"/>
        </w:rPr>
        <w:t xml:space="preserve">the </w:t>
      </w:r>
      <w:r w:rsidR="00074933" w:rsidRPr="00486075">
        <w:rPr>
          <w:rFonts w:ascii="Helvetica" w:hAnsi="Helvetica"/>
        </w:rPr>
        <w:t>benefits,</w:t>
      </w:r>
      <w:r w:rsidR="00F41B2E" w:rsidRPr="00486075">
        <w:rPr>
          <w:rFonts w:ascii="Helvetica" w:hAnsi="Helvetica"/>
        </w:rPr>
        <w:t xml:space="preserve"> costs, and</w:t>
      </w:r>
      <w:r w:rsidR="00074933" w:rsidRPr="00486075">
        <w:rPr>
          <w:rFonts w:ascii="Helvetica" w:hAnsi="Helvetica"/>
        </w:rPr>
        <w:t xml:space="preserve"> risks</w:t>
      </w:r>
      <w:r w:rsidR="00D03561" w:rsidRPr="00486075">
        <w:rPr>
          <w:rFonts w:ascii="Helvetica" w:hAnsi="Helvetica"/>
        </w:rPr>
        <w:t>)</w:t>
      </w:r>
      <w:r w:rsidR="00074933" w:rsidRPr="00486075">
        <w:rPr>
          <w:rFonts w:ascii="Helvetica" w:hAnsi="Helvetica"/>
        </w:rPr>
        <w:t xml:space="preserve"> </w:t>
      </w:r>
      <w:r w:rsidR="003E75B9" w:rsidRPr="00486075">
        <w:rPr>
          <w:rFonts w:ascii="Helvetica" w:hAnsi="Helvetica"/>
        </w:rPr>
        <w:t>and</w:t>
      </w:r>
      <w:r w:rsidR="001B713D" w:rsidRPr="00486075">
        <w:rPr>
          <w:rFonts w:ascii="Helvetica" w:hAnsi="Helvetica"/>
        </w:rPr>
        <w:t xml:space="preserve"> </w:t>
      </w:r>
      <w:r w:rsidR="002F6ACE" w:rsidRPr="00486075">
        <w:rPr>
          <w:rFonts w:ascii="Helvetica" w:hAnsi="Helvetica"/>
        </w:rPr>
        <w:t>interdependencies with</w:t>
      </w:r>
      <w:r w:rsidR="00DD2E15" w:rsidRPr="00486075">
        <w:rPr>
          <w:rFonts w:ascii="Helvetica" w:hAnsi="Helvetica"/>
        </w:rPr>
        <w:t xml:space="preserve"> other programs or </w:t>
      </w:r>
      <w:r w:rsidR="002F6ACE" w:rsidRPr="00486075">
        <w:rPr>
          <w:rFonts w:ascii="Helvetica" w:hAnsi="Helvetica"/>
        </w:rPr>
        <w:t xml:space="preserve">reforms </w:t>
      </w:r>
      <w:r w:rsidR="00DD2E15" w:rsidRPr="00486075">
        <w:rPr>
          <w:rFonts w:ascii="Helvetica" w:hAnsi="Helvetica"/>
        </w:rPr>
        <w:t>in aged care</w:t>
      </w:r>
      <w:r w:rsidR="00D03561" w:rsidRPr="00486075">
        <w:rPr>
          <w:rFonts w:ascii="Helvetica" w:hAnsi="Helvetica"/>
        </w:rPr>
        <w:t xml:space="preserve"> – </w:t>
      </w:r>
      <w:r w:rsidRPr="00486075">
        <w:rPr>
          <w:rFonts w:ascii="Helvetica" w:hAnsi="Helvetica"/>
        </w:rPr>
        <w:t>using the matters raised in this paper as a guide only</w:t>
      </w:r>
      <w:r w:rsidR="00E144CD" w:rsidRPr="00486075">
        <w:rPr>
          <w:rFonts w:ascii="Helvetica" w:hAnsi="Helvetica"/>
        </w:rPr>
        <w:t>; and</w:t>
      </w:r>
      <w:r w:rsidR="00DD2E15" w:rsidRPr="00486075">
        <w:rPr>
          <w:rFonts w:ascii="Helvetica" w:hAnsi="Helvetica"/>
        </w:rPr>
        <w:t xml:space="preserve"> </w:t>
      </w:r>
    </w:p>
    <w:p w14:paraId="0BDA20E7" w14:textId="77777777" w:rsidR="004476FF" w:rsidRPr="00486075" w:rsidRDefault="00FE3661" w:rsidP="00214DC5">
      <w:pPr>
        <w:numPr>
          <w:ilvl w:val="0"/>
          <w:numId w:val="3"/>
        </w:numPr>
        <w:spacing w:after="120"/>
        <w:contextualSpacing/>
        <w:rPr>
          <w:rFonts w:ascii="Helvetica" w:hAnsi="Helvetica"/>
        </w:rPr>
      </w:pPr>
      <w:r w:rsidRPr="00486075">
        <w:rPr>
          <w:rFonts w:ascii="Helvetica" w:hAnsi="Helvetica"/>
        </w:rPr>
        <w:t xml:space="preserve">significant </w:t>
      </w:r>
      <w:r w:rsidR="00DD2E15" w:rsidRPr="00486075">
        <w:rPr>
          <w:rFonts w:ascii="Helvetica" w:hAnsi="Helvetica"/>
        </w:rPr>
        <w:t>implementation and transition considerations</w:t>
      </w:r>
      <w:r w:rsidR="00E144CD" w:rsidRPr="00486075">
        <w:rPr>
          <w:rFonts w:ascii="Helvetica" w:hAnsi="Helvetica"/>
        </w:rPr>
        <w:t>.</w:t>
      </w:r>
    </w:p>
    <w:p w14:paraId="4A2CE435" w14:textId="77777777" w:rsidR="007B420C" w:rsidRPr="00486075" w:rsidRDefault="002F6ACE" w:rsidP="00214DC5">
      <w:pPr>
        <w:spacing w:before="240" w:after="120"/>
        <w:rPr>
          <w:rFonts w:ascii="Helvetica" w:hAnsi="Helvetica"/>
        </w:rPr>
      </w:pPr>
      <w:r w:rsidRPr="00486075">
        <w:rPr>
          <w:rFonts w:ascii="Helvetica" w:hAnsi="Helvetica"/>
        </w:rPr>
        <w:t>Moving to an alternative model for allocating</w:t>
      </w:r>
      <w:r w:rsidR="00FD2B5E" w:rsidRPr="00486075">
        <w:rPr>
          <w:rFonts w:ascii="Helvetica" w:hAnsi="Helvetica"/>
        </w:rPr>
        <w:t xml:space="preserve"> residential </w:t>
      </w:r>
      <w:r w:rsidRPr="00486075">
        <w:rPr>
          <w:rFonts w:ascii="Helvetica" w:hAnsi="Helvetica"/>
        </w:rPr>
        <w:t xml:space="preserve">aged </w:t>
      </w:r>
      <w:r w:rsidR="00FD2B5E" w:rsidRPr="00486075">
        <w:rPr>
          <w:rFonts w:ascii="Helvetica" w:hAnsi="Helvetica"/>
        </w:rPr>
        <w:t>care</w:t>
      </w:r>
      <w:r w:rsidRPr="00486075">
        <w:rPr>
          <w:rFonts w:ascii="Helvetica" w:hAnsi="Helvetica"/>
        </w:rPr>
        <w:t xml:space="preserve"> places </w:t>
      </w:r>
      <w:r w:rsidR="00FD2B5E" w:rsidRPr="00486075">
        <w:rPr>
          <w:rFonts w:ascii="Helvetica" w:hAnsi="Helvetica"/>
        </w:rPr>
        <w:t xml:space="preserve">would be </w:t>
      </w:r>
      <w:r w:rsidR="009F057A" w:rsidRPr="00486075">
        <w:rPr>
          <w:rFonts w:ascii="Helvetica" w:hAnsi="Helvetica"/>
        </w:rPr>
        <w:t xml:space="preserve">a </w:t>
      </w:r>
      <w:r w:rsidR="00FD2B5E" w:rsidRPr="00486075">
        <w:rPr>
          <w:rFonts w:ascii="Helvetica" w:hAnsi="Helvetica"/>
        </w:rPr>
        <w:t xml:space="preserve">structural reform </w:t>
      </w:r>
      <w:r w:rsidR="007B420C" w:rsidRPr="00486075">
        <w:rPr>
          <w:rFonts w:ascii="Helvetica" w:hAnsi="Helvetica"/>
        </w:rPr>
        <w:t xml:space="preserve">of </w:t>
      </w:r>
      <w:r w:rsidR="00FD2B5E" w:rsidRPr="00486075">
        <w:rPr>
          <w:rFonts w:ascii="Helvetica" w:hAnsi="Helvetica"/>
        </w:rPr>
        <w:t>the aged care sector</w:t>
      </w:r>
      <w:r w:rsidR="009D3DE0" w:rsidRPr="00486075">
        <w:rPr>
          <w:rFonts w:ascii="Helvetica" w:hAnsi="Helvetica"/>
        </w:rPr>
        <w:t>,</w:t>
      </w:r>
      <w:r w:rsidR="00FD2B5E" w:rsidRPr="00486075">
        <w:rPr>
          <w:rFonts w:ascii="Helvetica" w:hAnsi="Helvetica"/>
        </w:rPr>
        <w:t xml:space="preserve"> with potentially wide reaching imp</w:t>
      </w:r>
      <w:r w:rsidR="00235E26" w:rsidRPr="00486075">
        <w:rPr>
          <w:rFonts w:ascii="Helvetica" w:hAnsi="Helvetica"/>
        </w:rPr>
        <w:t>lications for consumers</w:t>
      </w:r>
      <w:r w:rsidR="00C75E7A" w:rsidRPr="00486075">
        <w:rPr>
          <w:rStyle w:val="FootnoteReference"/>
          <w:rFonts w:ascii="Helvetica" w:hAnsi="Helvetica"/>
        </w:rPr>
        <w:footnoteReference w:id="1"/>
      </w:r>
      <w:r w:rsidR="00235E26" w:rsidRPr="00486075">
        <w:rPr>
          <w:rFonts w:ascii="Helvetica" w:hAnsi="Helvetica"/>
        </w:rPr>
        <w:t xml:space="preserve"> and providers. </w:t>
      </w:r>
      <w:r w:rsidR="00F8222A" w:rsidRPr="00486075">
        <w:rPr>
          <w:rFonts w:ascii="Helvetica" w:hAnsi="Helvetica"/>
        </w:rPr>
        <w:t xml:space="preserve">There </w:t>
      </w:r>
      <w:r w:rsidR="002E6154" w:rsidRPr="00486075">
        <w:rPr>
          <w:rFonts w:ascii="Helvetica" w:hAnsi="Helvetica"/>
        </w:rPr>
        <w:t xml:space="preserve">may </w:t>
      </w:r>
      <w:r w:rsidRPr="00486075">
        <w:rPr>
          <w:rFonts w:ascii="Helvetica" w:hAnsi="Helvetica"/>
        </w:rPr>
        <w:t>also</w:t>
      </w:r>
      <w:r w:rsidR="00F8222A" w:rsidRPr="00486075">
        <w:rPr>
          <w:rFonts w:ascii="Helvetica" w:hAnsi="Helvetica"/>
        </w:rPr>
        <w:t xml:space="preserve"> be</w:t>
      </w:r>
      <w:r w:rsidR="00364AF6" w:rsidRPr="00486075">
        <w:rPr>
          <w:rFonts w:ascii="Helvetica" w:hAnsi="Helvetica"/>
        </w:rPr>
        <w:t xml:space="preserve"> flow</w:t>
      </w:r>
      <w:r w:rsidRPr="00486075">
        <w:rPr>
          <w:rFonts w:ascii="Helvetica" w:hAnsi="Helvetica"/>
        </w:rPr>
        <w:t>-</w:t>
      </w:r>
      <w:r w:rsidR="00364AF6" w:rsidRPr="00486075">
        <w:rPr>
          <w:rFonts w:ascii="Helvetica" w:hAnsi="Helvetica"/>
        </w:rPr>
        <w:t>on effects</w:t>
      </w:r>
      <w:r w:rsidRPr="00486075">
        <w:rPr>
          <w:rFonts w:ascii="Helvetica" w:hAnsi="Helvetica"/>
        </w:rPr>
        <w:t xml:space="preserve"> to </w:t>
      </w:r>
      <w:r w:rsidR="002E6154" w:rsidRPr="00486075">
        <w:rPr>
          <w:rFonts w:ascii="Helvetica" w:hAnsi="Helvetica"/>
        </w:rPr>
        <w:t xml:space="preserve">other </w:t>
      </w:r>
      <w:r w:rsidRPr="00486075">
        <w:rPr>
          <w:rFonts w:ascii="Helvetica" w:hAnsi="Helvetica"/>
        </w:rPr>
        <w:t>programs related to an allocation of residential aged care place</w:t>
      </w:r>
      <w:r w:rsidR="00E144CD" w:rsidRPr="00486075">
        <w:rPr>
          <w:rFonts w:ascii="Helvetica" w:hAnsi="Helvetica"/>
        </w:rPr>
        <w:t>s</w:t>
      </w:r>
      <w:r w:rsidR="002E6154" w:rsidRPr="00486075">
        <w:rPr>
          <w:rFonts w:ascii="Helvetica" w:hAnsi="Helvetica"/>
        </w:rPr>
        <w:t xml:space="preserve"> </w:t>
      </w:r>
      <w:r w:rsidR="004B4721" w:rsidRPr="00486075">
        <w:rPr>
          <w:rFonts w:ascii="Helvetica" w:hAnsi="Helvetica"/>
        </w:rPr>
        <w:t xml:space="preserve">or ACAR more generally </w:t>
      </w:r>
      <w:r w:rsidR="002E6154" w:rsidRPr="00486075">
        <w:rPr>
          <w:rFonts w:ascii="Helvetica" w:hAnsi="Helvetica"/>
        </w:rPr>
        <w:t>(such as respite</w:t>
      </w:r>
      <w:r w:rsidR="00633359" w:rsidRPr="00486075">
        <w:rPr>
          <w:rFonts w:ascii="Helvetica" w:hAnsi="Helvetica"/>
        </w:rPr>
        <w:t xml:space="preserve"> care</w:t>
      </w:r>
      <w:r w:rsidR="004B4721" w:rsidRPr="00486075">
        <w:rPr>
          <w:rFonts w:ascii="Helvetica" w:hAnsi="Helvetica"/>
        </w:rPr>
        <w:t xml:space="preserve"> and </w:t>
      </w:r>
      <w:r w:rsidR="001D1B13" w:rsidRPr="00486075">
        <w:rPr>
          <w:rFonts w:ascii="Helvetica" w:hAnsi="Helvetica"/>
        </w:rPr>
        <w:t>capital grants</w:t>
      </w:r>
      <w:r w:rsidR="002E6154" w:rsidRPr="00486075">
        <w:rPr>
          <w:rFonts w:ascii="Helvetica" w:hAnsi="Helvetica"/>
        </w:rPr>
        <w:t>)</w:t>
      </w:r>
      <w:r w:rsidR="00E144CD" w:rsidRPr="00486075">
        <w:rPr>
          <w:rFonts w:ascii="Helvetica" w:hAnsi="Helvetica"/>
        </w:rPr>
        <w:t xml:space="preserve"> </w:t>
      </w:r>
      <w:r w:rsidRPr="00486075">
        <w:rPr>
          <w:rFonts w:ascii="Helvetica" w:hAnsi="Helvetica"/>
        </w:rPr>
        <w:t xml:space="preserve">as well as </w:t>
      </w:r>
      <w:r w:rsidR="007B420C" w:rsidRPr="00486075">
        <w:rPr>
          <w:rFonts w:ascii="Helvetica" w:hAnsi="Helvetica"/>
        </w:rPr>
        <w:t xml:space="preserve">interdependencies </w:t>
      </w:r>
      <w:r w:rsidRPr="00486075">
        <w:rPr>
          <w:rFonts w:ascii="Helvetica" w:hAnsi="Helvetica"/>
        </w:rPr>
        <w:t xml:space="preserve">with other reforms. </w:t>
      </w:r>
      <w:r w:rsidR="00E62AA4" w:rsidRPr="00486075">
        <w:rPr>
          <w:rFonts w:ascii="Helvetica" w:hAnsi="Helvetica"/>
        </w:rPr>
        <w:t>Any u</w:t>
      </w:r>
      <w:r w:rsidR="00B17D56" w:rsidRPr="00486075">
        <w:rPr>
          <w:rFonts w:ascii="Helvetica" w:hAnsi="Helvetica"/>
        </w:rPr>
        <w:t>nintended consequences</w:t>
      </w:r>
      <w:r w:rsidR="00D03561" w:rsidRPr="00486075">
        <w:rPr>
          <w:rFonts w:ascii="Helvetica" w:hAnsi="Helvetica"/>
        </w:rPr>
        <w:t xml:space="preserve"> </w:t>
      </w:r>
      <w:r w:rsidR="00B17D56" w:rsidRPr="00486075">
        <w:rPr>
          <w:rFonts w:ascii="Helvetica" w:hAnsi="Helvetica"/>
        </w:rPr>
        <w:t xml:space="preserve">will also need to be considered. </w:t>
      </w:r>
    </w:p>
    <w:p w14:paraId="373B9820" w14:textId="77777777" w:rsidR="00DD2E15" w:rsidRPr="00486075" w:rsidRDefault="00364AF6" w:rsidP="00214DC5">
      <w:pPr>
        <w:spacing w:before="240" w:after="120"/>
        <w:rPr>
          <w:rFonts w:ascii="Helvetica" w:hAnsi="Helvetica"/>
        </w:rPr>
      </w:pPr>
      <w:r w:rsidRPr="00486075">
        <w:rPr>
          <w:rFonts w:ascii="Helvetica" w:hAnsi="Helvetica"/>
        </w:rPr>
        <w:t>Y</w:t>
      </w:r>
      <w:r w:rsidR="00DD2E15" w:rsidRPr="00486075">
        <w:rPr>
          <w:rFonts w:ascii="Helvetica" w:hAnsi="Helvetica"/>
        </w:rPr>
        <w:t xml:space="preserve">our </w:t>
      </w:r>
      <w:r w:rsidR="00B07C8C" w:rsidRPr="00486075">
        <w:rPr>
          <w:rFonts w:ascii="Helvetica" w:hAnsi="Helvetica"/>
        </w:rPr>
        <w:t xml:space="preserve">input </w:t>
      </w:r>
      <w:r w:rsidR="00DD2E15" w:rsidRPr="00486075">
        <w:rPr>
          <w:rFonts w:ascii="Helvetica" w:hAnsi="Helvetica"/>
        </w:rPr>
        <w:t xml:space="preserve">will be </w:t>
      </w:r>
      <w:r w:rsidR="00B07C8C" w:rsidRPr="00486075">
        <w:rPr>
          <w:rFonts w:ascii="Helvetica" w:hAnsi="Helvetica"/>
        </w:rPr>
        <w:t xml:space="preserve">important to ensure a comprehensive </w:t>
      </w:r>
      <w:r w:rsidR="00235E26" w:rsidRPr="00486075">
        <w:rPr>
          <w:rFonts w:ascii="Helvetica" w:hAnsi="Helvetica"/>
        </w:rPr>
        <w:t xml:space="preserve">understanding </w:t>
      </w:r>
      <w:r w:rsidR="00FD2B5E" w:rsidRPr="00486075">
        <w:rPr>
          <w:rFonts w:ascii="Helvetica" w:hAnsi="Helvetica"/>
        </w:rPr>
        <w:t xml:space="preserve">of </w:t>
      </w:r>
      <w:r w:rsidR="001B713D" w:rsidRPr="00486075">
        <w:rPr>
          <w:rFonts w:ascii="Helvetica" w:hAnsi="Helvetica"/>
        </w:rPr>
        <w:t xml:space="preserve">these </w:t>
      </w:r>
      <w:r w:rsidR="00DD2E15" w:rsidRPr="00486075">
        <w:rPr>
          <w:rFonts w:ascii="Helvetica" w:hAnsi="Helvetica"/>
        </w:rPr>
        <w:t>impact</w:t>
      </w:r>
      <w:r w:rsidR="00FD2B5E" w:rsidRPr="00486075">
        <w:rPr>
          <w:rFonts w:ascii="Helvetica" w:hAnsi="Helvetica"/>
        </w:rPr>
        <w:t>s</w:t>
      </w:r>
      <w:r w:rsidR="00DD2E15" w:rsidRPr="00486075">
        <w:rPr>
          <w:rFonts w:ascii="Helvetica" w:hAnsi="Helvetica"/>
        </w:rPr>
        <w:t xml:space="preserve">. </w:t>
      </w:r>
    </w:p>
    <w:p w14:paraId="0447D96C" w14:textId="77777777" w:rsidR="00DD2E15" w:rsidRPr="00486075" w:rsidRDefault="00B07C8C" w:rsidP="00341779">
      <w:pPr>
        <w:spacing w:after="120"/>
        <w:rPr>
          <w:rFonts w:ascii="Helvetica" w:hAnsi="Helvetica"/>
        </w:rPr>
      </w:pPr>
      <w:r w:rsidRPr="00486075">
        <w:rPr>
          <w:rFonts w:ascii="Helvetica" w:hAnsi="Helvetica"/>
        </w:rPr>
        <w:t xml:space="preserve">No decisions have been made about </w:t>
      </w:r>
      <w:r w:rsidR="00BB6C6D" w:rsidRPr="00486075">
        <w:rPr>
          <w:rFonts w:ascii="Helvetica" w:hAnsi="Helvetica"/>
        </w:rPr>
        <w:t>any changes to the ACAR</w:t>
      </w:r>
      <w:r w:rsidR="00FD2B5E" w:rsidRPr="00486075">
        <w:rPr>
          <w:rFonts w:ascii="Helvetica" w:hAnsi="Helvetica"/>
        </w:rPr>
        <w:t xml:space="preserve">, </w:t>
      </w:r>
      <w:r w:rsidRPr="00486075">
        <w:rPr>
          <w:rFonts w:ascii="Helvetica" w:hAnsi="Helvetica"/>
        </w:rPr>
        <w:t xml:space="preserve">implementation </w:t>
      </w:r>
      <w:r w:rsidR="00FD2B5E" w:rsidRPr="00486075">
        <w:rPr>
          <w:rFonts w:ascii="Helvetica" w:hAnsi="Helvetica"/>
        </w:rPr>
        <w:t xml:space="preserve">or </w:t>
      </w:r>
      <w:r w:rsidRPr="00486075">
        <w:rPr>
          <w:rFonts w:ascii="Helvetica" w:hAnsi="Helvetica"/>
        </w:rPr>
        <w:t>transition arrangements</w:t>
      </w:r>
      <w:r w:rsidR="007B420C" w:rsidRPr="00486075">
        <w:rPr>
          <w:rFonts w:ascii="Helvetica" w:hAnsi="Helvetica"/>
        </w:rPr>
        <w:t xml:space="preserve"> at this time</w:t>
      </w:r>
      <w:r w:rsidR="00C27E90" w:rsidRPr="00486075">
        <w:rPr>
          <w:rFonts w:ascii="Helvetica" w:hAnsi="Helvetica"/>
        </w:rPr>
        <w:t>, including timing of any possible changes</w:t>
      </w:r>
      <w:r w:rsidRPr="00486075">
        <w:rPr>
          <w:rFonts w:ascii="Helvetica" w:hAnsi="Helvetica"/>
        </w:rPr>
        <w:t>.</w:t>
      </w:r>
      <w:r w:rsidR="00E144CD" w:rsidRPr="00486075">
        <w:rPr>
          <w:rFonts w:ascii="Helvetica" w:hAnsi="Helvetica"/>
        </w:rPr>
        <w:t xml:space="preserve"> </w:t>
      </w:r>
    </w:p>
    <w:p w14:paraId="0CB0F437" w14:textId="15180FCF" w:rsidR="00E144CD" w:rsidRPr="00486075" w:rsidRDefault="00F84A1F" w:rsidP="00486075">
      <w:pPr>
        <w:pStyle w:val="Heading2"/>
      </w:pPr>
      <w:bookmarkStart w:id="25" w:name="_Toc31293649"/>
      <w:r w:rsidRPr="00486075">
        <w:t>How to have your say</w:t>
      </w:r>
      <w:bookmarkEnd w:id="25"/>
    </w:p>
    <w:p w14:paraId="7B959BF9" w14:textId="77777777" w:rsidR="00FE48F6" w:rsidRPr="00486075" w:rsidRDefault="00732A26" w:rsidP="00661934">
      <w:pPr>
        <w:rPr>
          <w:rFonts w:ascii="Helvetica" w:hAnsi="Helvetica"/>
        </w:rPr>
      </w:pPr>
      <w:r w:rsidRPr="00486075">
        <w:rPr>
          <w:rFonts w:ascii="Helvetica" w:hAnsi="Helvetica"/>
        </w:rPr>
        <w:t>We want to hear from</w:t>
      </w:r>
      <w:r w:rsidR="005253B1" w:rsidRPr="00486075">
        <w:rPr>
          <w:rFonts w:ascii="Helvetica" w:hAnsi="Helvetica"/>
        </w:rPr>
        <w:t xml:space="preserve"> all</w:t>
      </w:r>
      <w:r w:rsidRPr="00486075">
        <w:rPr>
          <w:rFonts w:ascii="Helvetica" w:hAnsi="Helvetica"/>
        </w:rPr>
        <w:t xml:space="preserve"> </w:t>
      </w:r>
      <w:r w:rsidR="008426F9" w:rsidRPr="00486075">
        <w:rPr>
          <w:rFonts w:ascii="Helvetica" w:hAnsi="Helvetica"/>
        </w:rPr>
        <w:t xml:space="preserve">interested </w:t>
      </w:r>
      <w:r w:rsidRPr="00486075">
        <w:rPr>
          <w:rFonts w:ascii="Helvetica" w:hAnsi="Helvetica"/>
        </w:rPr>
        <w:t xml:space="preserve">stakeholders. </w:t>
      </w:r>
      <w:r w:rsidR="00FE48F6" w:rsidRPr="00486075">
        <w:rPr>
          <w:rFonts w:ascii="Helvetica" w:hAnsi="Helvetica"/>
        </w:rPr>
        <w:t>There are two ways to have your say:</w:t>
      </w:r>
    </w:p>
    <w:p w14:paraId="358D8FED" w14:textId="77777777" w:rsidR="00FE48F6" w:rsidRPr="00486075" w:rsidRDefault="00FE48F6" w:rsidP="00661934">
      <w:pPr>
        <w:pStyle w:val="ListParagraph"/>
        <w:numPr>
          <w:ilvl w:val="0"/>
          <w:numId w:val="43"/>
        </w:numPr>
        <w:ind w:left="714" w:hanging="357"/>
        <w:contextualSpacing w:val="0"/>
        <w:rPr>
          <w:rFonts w:ascii="Helvetica" w:hAnsi="Helvetica"/>
          <w:b/>
        </w:rPr>
      </w:pPr>
      <w:r w:rsidRPr="00486075">
        <w:rPr>
          <w:rFonts w:ascii="Helvetica" w:hAnsi="Helvetica"/>
          <w:b/>
        </w:rPr>
        <w:t>Online Consultation Hub</w:t>
      </w:r>
    </w:p>
    <w:p w14:paraId="12D7434E" w14:textId="6EFC3B2B" w:rsidR="00FE48F6" w:rsidRPr="00486075" w:rsidRDefault="00DA1637" w:rsidP="00661934">
      <w:pPr>
        <w:pStyle w:val="ListParagraph"/>
        <w:contextualSpacing w:val="0"/>
        <w:rPr>
          <w:rFonts w:ascii="Helvetica" w:hAnsi="Helvetica"/>
        </w:rPr>
      </w:pPr>
      <w:r>
        <w:rPr>
          <w:rFonts w:ascii="Helvetica" w:hAnsi="Helvetica"/>
        </w:rPr>
        <w:t>R</w:t>
      </w:r>
      <w:r w:rsidR="00FE48F6" w:rsidRPr="00486075">
        <w:rPr>
          <w:rFonts w:ascii="Helvetica" w:hAnsi="Helvetica"/>
        </w:rPr>
        <w:t xml:space="preserve">espond online through the Consultation Hub </w:t>
      </w:r>
      <w:r w:rsidR="00FE48F6" w:rsidRPr="00DA1637">
        <w:rPr>
          <w:rFonts w:ascii="Helvetica" w:hAnsi="Helvetica"/>
        </w:rPr>
        <w:t xml:space="preserve">by </w:t>
      </w:r>
      <w:r w:rsidRPr="00DA1637">
        <w:rPr>
          <w:rFonts w:ascii="Helvetica" w:hAnsi="Helvetica"/>
          <w:b/>
        </w:rPr>
        <w:t xml:space="preserve">13 September </w:t>
      </w:r>
      <w:r w:rsidR="00FE48F6" w:rsidRPr="00DA1637">
        <w:rPr>
          <w:rFonts w:ascii="Helvetica" w:hAnsi="Helvetica"/>
          <w:b/>
        </w:rPr>
        <w:t>2019</w:t>
      </w:r>
      <w:r w:rsidR="00FE48F6" w:rsidRPr="00DA1637">
        <w:rPr>
          <w:rFonts w:ascii="Helvetica" w:hAnsi="Helvetica"/>
        </w:rPr>
        <w:t xml:space="preserve">; </w:t>
      </w:r>
      <w:r w:rsidR="00FE48F6" w:rsidRPr="00486075">
        <w:rPr>
          <w:rFonts w:ascii="Helvetica" w:hAnsi="Helvetica"/>
        </w:rPr>
        <w:t>and/or</w:t>
      </w:r>
    </w:p>
    <w:p w14:paraId="673DB065" w14:textId="77777777" w:rsidR="00FE48F6" w:rsidRPr="00486075" w:rsidRDefault="00FE48F6" w:rsidP="00FE48F6">
      <w:pPr>
        <w:pStyle w:val="ListParagraph"/>
        <w:spacing w:after="120"/>
        <w:rPr>
          <w:rFonts w:ascii="Helvetica" w:hAnsi="Helvetica"/>
          <w:sz w:val="8"/>
        </w:rPr>
      </w:pPr>
    </w:p>
    <w:p w14:paraId="44A50136" w14:textId="77777777" w:rsidR="00FE48F6" w:rsidRPr="00486075" w:rsidRDefault="00FE48F6" w:rsidP="00486075">
      <w:pPr>
        <w:pStyle w:val="ListParagraph"/>
        <w:numPr>
          <w:ilvl w:val="0"/>
          <w:numId w:val="43"/>
        </w:numPr>
        <w:ind w:left="714" w:hanging="357"/>
        <w:contextualSpacing w:val="0"/>
        <w:rPr>
          <w:rFonts w:ascii="Helvetica" w:hAnsi="Helvetica"/>
          <w:b/>
        </w:rPr>
      </w:pPr>
      <w:r w:rsidRPr="00486075">
        <w:rPr>
          <w:rFonts w:ascii="Helvetica" w:hAnsi="Helvetica"/>
          <w:b/>
        </w:rPr>
        <w:t>Discussion forum</w:t>
      </w:r>
    </w:p>
    <w:p w14:paraId="092C4B63" w14:textId="5A50749B" w:rsidR="00FE48F6" w:rsidRPr="00486075" w:rsidRDefault="00DA1637" w:rsidP="00486075">
      <w:pPr>
        <w:ind w:left="720"/>
        <w:rPr>
          <w:rFonts w:ascii="Helvetica" w:hAnsi="Helvetica"/>
        </w:rPr>
        <w:sectPr w:rsidR="00FE48F6" w:rsidRPr="00486075" w:rsidSect="00B67900">
          <w:headerReference w:type="default" r:id="rId15"/>
          <w:footerReference w:type="default" r:id="rId16"/>
          <w:footerReference w:type="first" r:id="rId17"/>
          <w:pgSz w:w="11900" w:h="16840"/>
          <w:pgMar w:top="1134" w:right="1077" w:bottom="1134" w:left="1077" w:header="567" w:footer="567" w:gutter="0"/>
          <w:cols w:space="708"/>
          <w:titlePg/>
          <w:docGrid w:linePitch="360"/>
        </w:sectPr>
      </w:pPr>
      <w:r>
        <w:rPr>
          <w:rFonts w:ascii="Helvetica" w:hAnsi="Helvetica"/>
        </w:rPr>
        <w:t>E</w:t>
      </w:r>
      <w:r w:rsidR="00FE48F6" w:rsidRPr="00486075">
        <w:rPr>
          <w:rFonts w:ascii="Helvetica" w:hAnsi="Helvetica"/>
        </w:rPr>
        <w:t>xpress an interest in attending a discussion forum in your capital city. Stakeholders in non-metropolitan areas can express an interest in participatin</w:t>
      </w:r>
      <w:r w:rsidR="008F460B" w:rsidRPr="00486075">
        <w:rPr>
          <w:rFonts w:ascii="Helvetica" w:hAnsi="Helvetica"/>
        </w:rPr>
        <w:t>g in teleconference discussions.</w:t>
      </w:r>
    </w:p>
    <w:p w14:paraId="0354D57B" w14:textId="77777777" w:rsidR="008426F9" w:rsidRPr="00486075" w:rsidRDefault="008426F9" w:rsidP="00341779">
      <w:pPr>
        <w:pStyle w:val="ListParagraph"/>
        <w:spacing w:after="120"/>
        <w:rPr>
          <w:rFonts w:ascii="Helvetica" w:hAnsi="Helvetica"/>
          <w:sz w:val="8"/>
        </w:rPr>
      </w:pPr>
    </w:p>
    <w:p w14:paraId="688E9238" w14:textId="22D1FCDB" w:rsidR="00087F56" w:rsidRPr="00486075" w:rsidRDefault="00C11230" w:rsidP="00383D9B">
      <w:pPr>
        <w:pStyle w:val="Heading1Black"/>
      </w:pPr>
      <w:bookmarkStart w:id="26" w:name="_Toc31293650"/>
      <w:r w:rsidRPr="00486075">
        <w:t>Context and scope</w:t>
      </w:r>
      <w:r w:rsidR="002275B1" w:rsidRPr="00486075">
        <w:t xml:space="preserve"> of impact analysis</w:t>
      </w:r>
      <w:bookmarkEnd w:id="26"/>
    </w:p>
    <w:p w14:paraId="408C5393" w14:textId="3561C706" w:rsidR="003525B8" w:rsidRPr="00486075" w:rsidRDefault="003525B8" w:rsidP="00553BEF">
      <w:pPr>
        <w:pStyle w:val="Heading2"/>
      </w:pPr>
      <w:bookmarkStart w:id="27" w:name="_Toc31293651"/>
      <w:r w:rsidRPr="00486075">
        <w:t>Moving to a consumer demand driven market</w:t>
      </w:r>
      <w:bookmarkEnd w:id="27"/>
    </w:p>
    <w:p w14:paraId="626F0817" w14:textId="77777777" w:rsidR="003525B8" w:rsidRPr="00486075" w:rsidRDefault="003525B8" w:rsidP="00341779">
      <w:pPr>
        <w:snapToGrid w:val="0"/>
        <w:spacing w:after="120"/>
        <w:rPr>
          <w:rFonts w:ascii="Helvetica" w:hAnsi="Helvetica"/>
          <w:iCs/>
        </w:rPr>
      </w:pPr>
      <w:r w:rsidRPr="00486075">
        <w:rPr>
          <w:rFonts w:ascii="Helvetica" w:hAnsi="Helvetica"/>
          <w:iCs/>
        </w:rPr>
        <w:t>Australians are living longer and the ageing population is growing</w:t>
      </w:r>
      <w:r w:rsidR="0050531E" w:rsidRPr="00486075">
        <w:rPr>
          <w:rFonts w:ascii="Helvetica" w:hAnsi="Helvetica"/>
          <w:iCs/>
        </w:rPr>
        <w:t>. As a result, there will be</w:t>
      </w:r>
      <w:r w:rsidRPr="00486075">
        <w:rPr>
          <w:rFonts w:ascii="Helvetica" w:hAnsi="Helvetica"/>
          <w:iCs/>
        </w:rPr>
        <w:t xml:space="preserve"> a</w:t>
      </w:r>
      <w:r w:rsidR="0050531E" w:rsidRPr="00486075">
        <w:rPr>
          <w:rFonts w:ascii="Helvetica" w:hAnsi="Helvetica"/>
          <w:iCs/>
        </w:rPr>
        <w:t xml:space="preserve">n </w:t>
      </w:r>
      <w:r w:rsidRPr="00486075">
        <w:rPr>
          <w:rFonts w:ascii="Helvetica" w:hAnsi="Helvetica"/>
          <w:iCs/>
        </w:rPr>
        <w:t>increas</w:t>
      </w:r>
      <w:r w:rsidR="0050531E" w:rsidRPr="00486075">
        <w:rPr>
          <w:rFonts w:ascii="Helvetica" w:hAnsi="Helvetica"/>
          <w:iCs/>
        </w:rPr>
        <w:t>ing</w:t>
      </w:r>
      <w:r w:rsidRPr="00486075">
        <w:rPr>
          <w:rFonts w:ascii="Helvetica" w:hAnsi="Helvetica"/>
          <w:iCs/>
        </w:rPr>
        <w:t xml:space="preserve"> demand for </w:t>
      </w:r>
      <w:r w:rsidR="0050531E" w:rsidRPr="00486075">
        <w:rPr>
          <w:rFonts w:ascii="Helvetica" w:hAnsi="Helvetica"/>
          <w:iCs/>
        </w:rPr>
        <w:t xml:space="preserve">subsidised </w:t>
      </w:r>
      <w:r w:rsidRPr="00486075">
        <w:rPr>
          <w:rFonts w:ascii="Helvetica" w:hAnsi="Helvetica"/>
          <w:iCs/>
        </w:rPr>
        <w:t>aged care</w:t>
      </w:r>
      <w:r w:rsidR="0050531E" w:rsidRPr="00486075">
        <w:rPr>
          <w:rFonts w:ascii="Helvetica" w:hAnsi="Helvetica"/>
          <w:iCs/>
        </w:rPr>
        <w:t xml:space="preserve"> services</w:t>
      </w:r>
      <w:r w:rsidRPr="00486075">
        <w:rPr>
          <w:rFonts w:ascii="Helvetica" w:hAnsi="Helvetica"/>
          <w:iCs/>
        </w:rPr>
        <w:t xml:space="preserve">. There is also a growing preference </w:t>
      </w:r>
      <w:r w:rsidR="00FF34D1" w:rsidRPr="00486075">
        <w:rPr>
          <w:rFonts w:ascii="Helvetica" w:hAnsi="Helvetica"/>
          <w:iCs/>
        </w:rPr>
        <w:t>among</w:t>
      </w:r>
      <w:r w:rsidRPr="00486075">
        <w:rPr>
          <w:rFonts w:ascii="Helvetica" w:hAnsi="Helvetica"/>
          <w:iCs/>
        </w:rPr>
        <w:t xml:space="preserve"> senior Australians to remain living in their home and communit</w:t>
      </w:r>
      <w:r w:rsidR="00C94F03" w:rsidRPr="00486075">
        <w:rPr>
          <w:rFonts w:ascii="Helvetica" w:hAnsi="Helvetica"/>
          <w:iCs/>
        </w:rPr>
        <w:t>y</w:t>
      </w:r>
      <w:r w:rsidRPr="00486075">
        <w:rPr>
          <w:rFonts w:ascii="Helvetica" w:hAnsi="Helvetica"/>
          <w:iCs/>
        </w:rPr>
        <w:t xml:space="preserve"> </w:t>
      </w:r>
      <w:r w:rsidR="0050531E" w:rsidRPr="00486075">
        <w:rPr>
          <w:rFonts w:ascii="Helvetica" w:hAnsi="Helvetica"/>
          <w:iCs/>
        </w:rPr>
        <w:t xml:space="preserve">for as long as possible </w:t>
      </w:r>
      <w:r w:rsidRPr="00486075">
        <w:rPr>
          <w:rFonts w:ascii="Helvetica" w:hAnsi="Helvetica"/>
          <w:iCs/>
        </w:rPr>
        <w:t xml:space="preserve">and a desire for greater flexibility, choice and innovation in </w:t>
      </w:r>
      <w:r w:rsidR="001829B9" w:rsidRPr="00486075">
        <w:rPr>
          <w:rFonts w:ascii="Helvetica" w:hAnsi="Helvetica"/>
          <w:iCs/>
        </w:rPr>
        <w:t xml:space="preserve">aged care services. </w:t>
      </w:r>
    </w:p>
    <w:p w14:paraId="58964474" w14:textId="77777777" w:rsidR="003525B8" w:rsidRPr="00486075" w:rsidRDefault="003525B8" w:rsidP="00341779">
      <w:pPr>
        <w:snapToGrid w:val="0"/>
        <w:spacing w:after="120"/>
        <w:rPr>
          <w:rFonts w:ascii="Helvetica" w:hAnsi="Helvetica"/>
          <w:iCs/>
        </w:rPr>
      </w:pPr>
      <w:r w:rsidRPr="00486075">
        <w:rPr>
          <w:rFonts w:ascii="Helvetica" w:hAnsi="Helvetica"/>
          <w:iCs/>
        </w:rPr>
        <w:t>Successive reforms to the aged care system over the last decade have responded to these trends by placing greater choice and control in the hands of consumers. Key changes have included:</w:t>
      </w:r>
    </w:p>
    <w:p w14:paraId="17CCF7C6" w14:textId="77777777" w:rsidR="003525B8" w:rsidRPr="00486075" w:rsidRDefault="003525B8" w:rsidP="00216A0E">
      <w:pPr>
        <w:pStyle w:val="ListParagraph"/>
        <w:numPr>
          <w:ilvl w:val="0"/>
          <w:numId w:val="23"/>
        </w:numPr>
        <w:snapToGrid w:val="0"/>
        <w:spacing w:after="120"/>
        <w:ind w:left="714" w:hanging="357"/>
        <w:contextualSpacing w:val="0"/>
        <w:rPr>
          <w:rFonts w:ascii="Helvetica" w:hAnsi="Helvetica"/>
          <w:iCs/>
        </w:rPr>
      </w:pPr>
      <w:r w:rsidRPr="00486075">
        <w:rPr>
          <w:rFonts w:ascii="Helvetica" w:hAnsi="Helvetica"/>
          <w:iCs/>
        </w:rPr>
        <w:t>assigning a Home Care Package to the consumer</w:t>
      </w:r>
      <w:r w:rsidR="00FF34D1" w:rsidRPr="00486075">
        <w:rPr>
          <w:rFonts w:ascii="Helvetica" w:hAnsi="Helvetica"/>
          <w:iCs/>
        </w:rPr>
        <w:t>,</w:t>
      </w:r>
      <w:r w:rsidRPr="00486075">
        <w:rPr>
          <w:rFonts w:ascii="Helvetica" w:hAnsi="Helvetica"/>
          <w:iCs/>
        </w:rPr>
        <w:t xml:space="preserve"> through a</w:t>
      </w:r>
      <w:r w:rsidR="00660690" w:rsidRPr="00486075">
        <w:rPr>
          <w:rFonts w:ascii="Helvetica" w:hAnsi="Helvetica"/>
          <w:iCs/>
        </w:rPr>
        <w:t xml:space="preserve"> </w:t>
      </w:r>
      <w:r w:rsidRPr="00486075">
        <w:rPr>
          <w:rFonts w:ascii="Helvetica" w:hAnsi="Helvetica"/>
          <w:iCs/>
        </w:rPr>
        <w:t>national prioritisation process</w:t>
      </w:r>
      <w:r w:rsidR="00FF34D1" w:rsidRPr="00486075">
        <w:rPr>
          <w:rFonts w:ascii="Helvetica" w:hAnsi="Helvetica"/>
          <w:iCs/>
        </w:rPr>
        <w:t>,</w:t>
      </w:r>
      <w:r w:rsidRPr="00486075">
        <w:rPr>
          <w:rFonts w:ascii="Helvetica" w:hAnsi="Helvetica"/>
          <w:iCs/>
        </w:rPr>
        <w:t xml:space="preserve"> rather than allocating the packages to providers through the ACAR. Consumers with a package select their preferred provider to which the government subsidy is paid, enabling consumers’ greater choice in deciding who provides their home care services</w:t>
      </w:r>
      <w:r w:rsidR="00C94F03" w:rsidRPr="00486075">
        <w:rPr>
          <w:rFonts w:ascii="Helvetica" w:hAnsi="Helvetica"/>
          <w:iCs/>
        </w:rPr>
        <w:t>;</w:t>
      </w:r>
      <w:r w:rsidRPr="00486075">
        <w:rPr>
          <w:rFonts w:ascii="Helvetica" w:hAnsi="Helvetica"/>
          <w:iCs/>
        </w:rPr>
        <w:t xml:space="preserve"> </w:t>
      </w:r>
    </w:p>
    <w:p w14:paraId="2D4A3468" w14:textId="77777777" w:rsidR="003525B8" w:rsidRPr="00486075" w:rsidRDefault="003525B8" w:rsidP="00216A0E">
      <w:pPr>
        <w:pStyle w:val="ListParagraph"/>
        <w:numPr>
          <w:ilvl w:val="0"/>
          <w:numId w:val="23"/>
        </w:numPr>
        <w:snapToGrid w:val="0"/>
        <w:spacing w:after="120"/>
        <w:ind w:left="714" w:hanging="357"/>
        <w:contextualSpacing w:val="0"/>
        <w:rPr>
          <w:rFonts w:ascii="Helvetica" w:hAnsi="Helvetica"/>
          <w:iCs/>
        </w:rPr>
      </w:pPr>
      <w:r w:rsidRPr="00486075">
        <w:rPr>
          <w:rFonts w:ascii="Helvetica" w:hAnsi="Helvetica"/>
          <w:iCs/>
        </w:rPr>
        <w:t xml:space="preserve">requiring Home Care Package providers to deliver care on a </w:t>
      </w:r>
      <w:r w:rsidR="00FF34D1" w:rsidRPr="00486075">
        <w:rPr>
          <w:rFonts w:ascii="Helvetica" w:hAnsi="Helvetica"/>
          <w:iCs/>
        </w:rPr>
        <w:t>consumer directed care</w:t>
      </w:r>
      <w:r w:rsidR="00F41B2E" w:rsidRPr="00486075">
        <w:rPr>
          <w:rFonts w:ascii="Helvetica" w:hAnsi="Helvetica"/>
          <w:iCs/>
        </w:rPr>
        <w:t xml:space="preserve"> (CDC)</w:t>
      </w:r>
      <w:r w:rsidR="002D3765" w:rsidRPr="00486075">
        <w:rPr>
          <w:rFonts w:ascii="Helvetica" w:hAnsi="Helvetica"/>
          <w:iCs/>
        </w:rPr>
        <w:t xml:space="preserve"> basis</w:t>
      </w:r>
      <w:r w:rsidRPr="00486075">
        <w:rPr>
          <w:rFonts w:ascii="Helvetica" w:hAnsi="Helvetica"/>
          <w:iCs/>
        </w:rPr>
        <w:t xml:space="preserve">, giving consumers greater say on how funds are spent </w:t>
      </w:r>
      <w:r w:rsidR="00FF34D1" w:rsidRPr="00486075">
        <w:rPr>
          <w:rFonts w:ascii="Helvetica" w:hAnsi="Helvetica"/>
          <w:iCs/>
        </w:rPr>
        <w:t>(</w:t>
      </w:r>
      <w:r w:rsidRPr="00486075">
        <w:rPr>
          <w:rFonts w:ascii="Helvetica" w:hAnsi="Helvetica"/>
          <w:iCs/>
        </w:rPr>
        <w:t>through the use of an individualised budget</w:t>
      </w:r>
      <w:r w:rsidR="00FF34D1" w:rsidRPr="00486075">
        <w:rPr>
          <w:rFonts w:ascii="Helvetica" w:hAnsi="Helvetica"/>
          <w:iCs/>
        </w:rPr>
        <w:t>)</w:t>
      </w:r>
      <w:r w:rsidR="00C94F03" w:rsidRPr="00486075">
        <w:rPr>
          <w:rFonts w:ascii="Helvetica" w:hAnsi="Helvetica"/>
          <w:iCs/>
        </w:rPr>
        <w:t>;</w:t>
      </w:r>
    </w:p>
    <w:p w14:paraId="12C94C95" w14:textId="77777777" w:rsidR="003525B8" w:rsidRPr="00486075" w:rsidRDefault="00CD78FF" w:rsidP="00216A0E">
      <w:pPr>
        <w:pStyle w:val="ListParagraph"/>
        <w:numPr>
          <w:ilvl w:val="0"/>
          <w:numId w:val="23"/>
        </w:numPr>
        <w:snapToGrid w:val="0"/>
        <w:spacing w:after="120"/>
        <w:ind w:left="714" w:hanging="357"/>
        <w:contextualSpacing w:val="0"/>
        <w:rPr>
          <w:rFonts w:ascii="Helvetica" w:hAnsi="Helvetica"/>
          <w:iCs/>
        </w:rPr>
      </w:pPr>
      <w:r w:rsidRPr="00486075">
        <w:rPr>
          <w:rFonts w:ascii="Helvetica" w:hAnsi="Helvetica"/>
          <w:iCs/>
        </w:rPr>
        <w:t>enabling</w:t>
      </w:r>
      <w:r w:rsidR="005A4E81" w:rsidRPr="00486075">
        <w:rPr>
          <w:rFonts w:ascii="Helvetica" w:hAnsi="Helvetica"/>
          <w:iCs/>
        </w:rPr>
        <w:t xml:space="preserve"> </w:t>
      </w:r>
      <w:r w:rsidR="003525B8" w:rsidRPr="00486075">
        <w:rPr>
          <w:rFonts w:ascii="Helvetica" w:hAnsi="Helvetica"/>
          <w:iCs/>
        </w:rPr>
        <w:t xml:space="preserve">consumers of residential aged care to purchase additional amenities (‘additional services’), such as </w:t>
      </w:r>
      <w:r w:rsidR="007108B4" w:rsidRPr="00486075">
        <w:rPr>
          <w:rFonts w:ascii="Helvetica" w:hAnsi="Helvetica"/>
          <w:iCs/>
        </w:rPr>
        <w:t>greater choice of</w:t>
      </w:r>
      <w:r w:rsidR="003525B8" w:rsidRPr="00486075">
        <w:rPr>
          <w:rFonts w:ascii="Helvetica" w:hAnsi="Helvetica"/>
          <w:iCs/>
        </w:rPr>
        <w:t xml:space="preserve"> entertainment </w:t>
      </w:r>
      <w:r w:rsidR="007108B4" w:rsidRPr="00486075">
        <w:rPr>
          <w:rFonts w:ascii="Helvetica" w:hAnsi="Helvetica"/>
          <w:iCs/>
        </w:rPr>
        <w:t xml:space="preserve">and lifestyle </w:t>
      </w:r>
      <w:r w:rsidR="003525B8" w:rsidRPr="00486075">
        <w:rPr>
          <w:rFonts w:ascii="Helvetica" w:hAnsi="Helvetica"/>
          <w:iCs/>
        </w:rPr>
        <w:t>options</w:t>
      </w:r>
      <w:r w:rsidR="00C94F03" w:rsidRPr="00486075">
        <w:rPr>
          <w:rFonts w:ascii="Helvetica" w:hAnsi="Helvetica"/>
          <w:iCs/>
        </w:rPr>
        <w:t>; and</w:t>
      </w:r>
    </w:p>
    <w:p w14:paraId="4F8B9897" w14:textId="77777777" w:rsidR="008714D0" w:rsidRPr="00486075" w:rsidRDefault="003525B8" w:rsidP="00216A0E">
      <w:pPr>
        <w:pStyle w:val="ListParagraph"/>
        <w:numPr>
          <w:ilvl w:val="0"/>
          <w:numId w:val="23"/>
        </w:numPr>
        <w:snapToGrid w:val="0"/>
        <w:spacing w:after="120"/>
        <w:ind w:left="714" w:hanging="357"/>
        <w:contextualSpacing w:val="0"/>
        <w:rPr>
          <w:rFonts w:ascii="Helvetica" w:hAnsi="Helvetica"/>
          <w:iCs/>
        </w:rPr>
      </w:pPr>
      <w:r w:rsidRPr="00486075">
        <w:rPr>
          <w:rFonts w:ascii="Helvetica" w:hAnsi="Helvetica"/>
          <w:iCs/>
        </w:rPr>
        <w:t xml:space="preserve">providing choice for consumers of residential aged care about how they pay for their accommodation costs (via a fully </w:t>
      </w:r>
      <w:r w:rsidR="00824461" w:rsidRPr="00486075">
        <w:rPr>
          <w:rFonts w:ascii="Helvetica" w:hAnsi="Helvetica"/>
          <w:iCs/>
        </w:rPr>
        <w:t>R</w:t>
      </w:r>
      <w:r w:rsidRPr="00486075">
        <w:rPr>
          <w:rFonts w:ascii="Helvetica" w:hAnsi="Helvetica"/>
          <w:iCs/>
        </w:rPr>
        <w:t xml:space="preserve">efundable </w:t>
      </w:r>
      <w:r w:rsidR="00824461" w:rsidRPr="00486075">
        <w:rPr>
          <w:rFonts w:ascii="Helvetica" w:hAnsi="Helvetica"/>
          <w:iCs/>
        </w:rPr>
        <w:t>A</w:t>
      </w:r>
      <w:r w:rsidRPr="00486075">
        <w:rPr>
          <w:rFonts w:ascii="Helvetica" w:hAnsi="Helvetica"/>
          <w:iCs/>
        </w:rPr>
        <w:t xml:space="preserve">ccommodation </w:t>
      </w:r>
      <w:r w:rsidR="00824461" w:rsidRPr="00486075">
        <w:rPr>
          <w:rFonts w:ascii="Helvetica" w:hAnsi="Helvetica"/>
          <w:iCs/>
        </w:rPr>
        <w:t>D</w:t>
      </w:r>
      <w:r w:rsidRPr="00486075">
        <w:rPr>
          <w:rFonts w:ascii="Helvetica" w:hAnsi="Helvetica"/>
          <w:iCs/>
        </w:rPr>
        <w:t>eposit (RAD), a Daily Accommodation Payment (DAP), or a combination of both)</w:t>
      </w:r>
      <w:r w:rsidR="001829B9" w:rsidRPr="00486075">
        <w:rPr>
          <w:rFonts w:ascii="Helvetica" w:hAnsi="Helvetica"/>
          <w:iCs/>
        </w:rPr>
        <w:t>.</w:t>
      </w:r>
    </w:p>
    <w:p w14:paraId="3969B5FE" w14:textId="137E4485" w:rsidR="00A06EC8" w:rsidRPr="00486075" w:rsidRDefault="00A06EC8" w:rsidP="00553BEF">
      <w:pPr>
        <w:pStyle w:val="Heading2"/>
      </w:pPr>
      <w:bookmarkStart w:id="28" w:name="_Toc31293652"/>
      <w:r w:rsidRPr="00486075">
        <w:t>Recommendations for reform</w:t>
      </w:r>
      <w:bookmarkEnd w:id="28"/>
      <w:r w:rsidRPr="00486075">
        <w:t xml:space="preserve"> </w:t>
      </w:r>
    </w:p>
    <w:p w14:paraId="2777A2A6" w14:textId="77777777" w:rsidR="00A06EC8" w:rsidRPr="00486075" w:rsidRDefault="00A06EC8" w:rsidP="00A06EC8">
      <w:pPr>
        <w:spacing w:after="120"/>
        <w:rPr>
          <w:rFonts w:ascii="Helvetica" w:hAnsi="Helvetica"/>
        </w:rPr>
      </w:pPr>
      <w:r w:rsidRPr="00486075">
        <w:rPr>
          <w:rFonts w:ascii="Helvetica" w:hAnsi="Helvetica"/>
        </w:rPr>
        <w:t xml:space="preserve">The measure </w:t>
      </w:r>
      <w:r w:rsidR="0050531E" w:rsidRPr="00486075">
        <w:rPr>
          <w:rFonts w:ascii="Helvetica" w:hAnsi="Helvetica"/>
        </w:rPr>
        <w:t xml:space="preserve">announced in the 2018-19 Budget </w:t>
      </w:r>
      <w:r w:rsidRPr="00486075">
        <w:rPr>
          <w:rFonts w:ascii="Helvetica" w:hAnsi="Helvetica"/>
        </w:rPr>
        <w:t xml:space="preserve">responds to recommendations in the </w:t>
      </w:r>
      <w:hyperlink r:id="rId18" w:history="1">
        <w:r w:rsidRPr="00486075">
          <w:rPr>
            <w:rStyle w:val="Hyperlink"/>
            <w:rFonts w:ascii="Helvetica" w:hAnsi="Helvetica"/>
          </w:rPr>
          <w:t>Legislated Review of Aged Care 2017</w:t>
        </w:r>
      </w:hyperlink>
      <w:r w:rsidRPr="00486075">
        <w:rPr>
          <w:rFonts w:ascii="Helvetica" w:hAnsi="Helvetica"/>
        </w:rPr>
        <w:t xml:space="preserve"> (Tune Review) for changes to be made to the process for allocating residential aged care places, so that it is responsive to consumer need. The Tune Review made three recommendations in this area:</w:t>
      </w:r>
    </w:p>
    <w:p w14:paraId="33A777D2" w14:textId="77777777" w:rsidR="00A06EC8" w:rsidRPr="00486075" w:rsidRDefault="00A06EC8" w:rsidP="00216A0E">
      <w:pPr>
        <w:pStyle w:val="Default"/>
        <w:numPr>
          <w:ilvl w:val="0"/>
          <w:numId w:val="11"/>
        </w:numPr>
        <w:snapToGrid w:val="0"/>
        <w:spacing w:after="120"/>
        <w:rPr>
          <w:rFonts w:ascii="Helvetica" w:hAnsi="Helvetica" w:cs="Times New Roman"/>
        </w:rPr>
      </w:pPr>
      <w:r w:rsidRPr="00486075">
        <w:rPr>
          <w:rFonts w:ascii="Helvetica" w:hAnsi="Helvetica" w:cs="Times New Roman"/>
        </w:rPr>
        <w:t>Recommendation 3: Discontinue the ACAR for residential aged care places, instead assign places directly to consumers within the residential aged care cap, with changes to take effect two years after announcement</w:t>
      </w:r>
      <w:r w:rsidR="00D46574" w:rsidRPr="00486075">
        <w:rPr>
          <w:rFonts w:ascii="Helvetica" w:hAnsi="Helvetica" w:cs="Times New Roman"/>
        </w:rPr>
        <w:t>;</w:t>
      </w:r>
    </w:p>
    <w:p w14:paraId="3AAC9200" w14:textId="77777777" w:rsidR="00A06EC8" w:rsidRPr="00486075" w:rsidRDefault="00A06EC8" w:rsidP="00216A0E">
      <w:pPr>
        <w:pStyle w:val="Default"/>
        <w:numPr>
          <w:ilvl w:val="0"/>
          <w:numId w:val="11"/>
        </w:numPr>
        <w:snapToGrid w:val="0"/>
        <w:spacing w:after="120"/>
        <w:rPr>
          <w:rFonts w:ascii="Helvetica" w:hAnsi="Helvetica" w:cs="Times New Roman"/>
        </w:rPr>
      </w:pPr>
      <w:r w:rsidRPr="00486075">
        <w:rPr>
          <w:rFonts w:ascii="Helvetica" w:hAnsi="Helvetica" w:cs="Times New Roman"/>
        </w:rPr>
        <w:t>Recommendation 4: Announcement on ACAR discontinuation be accompanied by appropriate provisions to ensure continuing supply of residential aged care services in areas with limited choice and competition</w:t>
      </w:r>
      <w:r w:rsidR="00D46574" w:rsidRPr="00486075">
        <w:rPr>
          <w:rFonts w:ascii="Helvetica" w:hAnsi="Helvetica" w:cs="Times New Roman"/>
        </w:rPr>
        <w:t>; and</w:t>
      </w:r>
    </w:p>
    <w:p w14:paraId="0969D442" w14:textId="77777777" w:rsidR="00A06EC8" w:rsidRPr="00486075" w:rsidRDefault="00A06EC8" w:rsidP="00216A0E">
      <w:pPr>
        <w:pStyle w:val="Default"/>
        <w:numPr>
          <w:ilvl w:val="0"/>
          <w:numId w:val="11"/>
        </w:numPr>
        <w:snapToGrid w:val="0"/>
        <w:spacing w:after="120"/>
        <w:rPr>
          <w:rFonts w:ascii="Helvetica" w:hAnsi="Helvetica" w:cs="Times New Roman"/>
        </w:rPr>
      </w:pPr>
      <w:r w:rsidRPr="00486075">
        <w:rPr>
          <w:rFonts w:ascii="Helvetica" w:hAnsi="Helvetica" w:cs="Times New Roman"/>
        </w:rPr>
        <w:t>Recommendation 8b: In discontinuing the ACAR for residential aged care, review how best to ensure adequate supply and equitable access to residential respite care.</w:t>
      </w:r>
    </w:p>
    <w:p w14:paraId="3C009BAD" w14:textId="77777777" w:rsidR="00A06EC8" w:rsidRPr="00486075" w:rsidRDefault="00A06EC8" w:rsidP="00A06EC8">
      <w:pPr>
        <w:snapToGrid w:val="0"/>
        <w:spacing w:after="120"/>
        <w:rPr>
          <w:rFonts w:ascii="Helvetica" w:hAnsi="Helvetica"/>
          <w:iCs/>
        </w:rPr>
      </w:pPr>
      <w:r w:rsidRPr="00486075">
        <w:rPr>
          <w:rFonts w:ascii="Helvetica" w:hAnsi="Helvetica"/>
          <w:iCs/>
        </w:rPr>
        <w:t xml:space="preserve">Ceasing the ACAR for residential aged care as part of the move towards a more consumer demand driven market has also been recommended in the Aged Care Sector Committee’s </w:t>
      </w:r>
      <w:r w:rsidRPr="00486075">
        <w:rPr>
          <w:rFonts w:ascii="Helvetica" w:hAnsi="Helvetica"/>
          <w:i/>
          <w:iCs/>
        </w:rPr>
        <w:t>Aged Care Roadmap</w:t>
      </w:r>
      <w:r w:rsidRPr="00486075">
        <w:rPr>
          <w:rFonts w:ascii="Helvetica" w:hAnsi="Helvetica"/>
          <w:iCs/>
        </w:rPr>
        <w:t xml:space="preserve">, the National Aged Care Alliance’s </w:t>
      </w:r>
      <w:r w:rsidRPr="00486075">
        <w:rPr>
          <w:rFonts w:ascii="Helvetica" w:hAnsi="Helvetica"/>
          <w:i/>
          <w:iCs/>
        </w:rPr>
        <w:t>Blueprint for Aged Care Reform</w:t>
      </w:r>
      <w:r w:rsidRPr="00486075">
        <w:rPr>
          <w:rFonts w:ascii="Helvetica" w:hAnsi="Helvetica"/>
          <w:iCs/>
        </w:rPr>
        <w:t xml:space="preserve"> and the Productivity Commission’s 2011 </w:t>
      </w:r>
      <w:r w:rsidRPr="00486075">
        <w:rPr>
          <w:rFonts w:ascii="Helvetica" w:hAnsi="Helvetica"/>
          <w:i/>
          <w:iCs/>
        </w:rPr>
        <w:t>Caring for Older Australians Inquiry Report</w:t>
      </w:r>
      <w:r w:rsidRPr="00486075">
        <w:rPr>
          <w:rFonts w:ascii="Helvetica" w:hAnsi="Helvetica"/>
          <w:iCs/>
        </w:rPr>
        <w:t>.</w:t>
      </w:r>
    </w:p>
    <w:p w14:paraId="7E61226C" w14:textId="6810BFE4" w:rsidR="006C1D1E" w:rsidRPr="00486075" w:rsidRDefault="006C1D1E" w:rsidP="00553BEF">
      <w:pPr>
        <w:pStyle w:val="Heading2"/>
      </w:pPr>
      <w:bookmarkStart w:id="29" w:name="_Toc31293653"/>
      <w:r w:rsidRPr="00486075">
        <w:lastRenderedPageBreak/>
        <w:t>Key linkages to other reforms</w:t>
      </w:r>
      <w:bookmarkEnd w:id="29"/>
    </w:p>
    <w:p w14:paraId="6F727C9F" w14:textId="77777777" w:rsidR="006C1D1E" w:rsidRPr="00486075" w:rsidRDefault="004476FF" w:rsidP="00341779">
      <w:pPr>
        <w:snapToGrid w:val="0"/>
        <w:spacing w:after="120"/>
        <w:rPr>
          <w:rFonts w:ascii="Helvetica" w:hAnsi="Helvetica"/>
          <w:iCs/>
        </w:rPr>
      </w:pPr>
      <w:r w:rsidRPr="00486075">
        <w:rPr>
          <w:rFonts w:ascii="Helvetica" w:hAnsi="Helvetica"/>
          <w:iCs/>
        </w:rPr>
        <w:t>The impact analysis will consider k</w:t>
      </w:r>
      <w:r w:rsidR="006C1D1E" w:rsidRPr="00486075">
        <w:rPr>
          <w:rFonts w:ascii="Helvetica" w:hAnsi="Helvetica"/>
          <w:iCs/>
        </w:rPr>
        <w:t xml:space="preserve">ey linkages </w:t>
      </w:r>
      <w:r w:rsidRPr="00486075">
        <w:rPr>
          <w:rFonts w:ascii="Helvetica" w:hAnsi="Helvetica"/>
          <w:iCs/>
        </w:rPr>
        <w:t>with</w:t>
      </w:r>
      <w:r w:rsidR="006C1D1E" w:rsidRPr="00486075">
        <w:rPr>
          <w:rFonts w:ascii="Helvetica" w:hAnsi="Helvetica"/>
          <w:iCs/>
        </w:rPr>
        <w:t xml:space="preserve"> other reforms underway</w:t>
      </w:r>
      <w:r w:rsidR="001829B9" w:rsidRPr="00486075">
        <w:rPr>
          <w:rFonts w:ascii="Helvetica" w:hAnsi="Helvetica"/>
          <w:iCs/>
        </w:rPr>
        <w:t xml:space="preserve">, including lessons from prior reforms in aged care (e.g. February 2017 </w:t>
      </w:r>
      <w:hyperlink r:id="rId19" w:history="1">
        <w:r w:rsidR="001829B9" w:rsidRPr="00486075">
          <w:rPr>
            <w:rStyle w:val="Hyperlink"/>
            <w:rFonts w:ascii="Helvetica" w:hAnsi="Helvetica"/>
            <w:iCs/>
          </w:rPr>
          <w:t>Increasing Choice reforms</w:t>
        </w:r>
      </w:hyperlink>
      <w:r w:rsidR="001829B9" w:rsidRPr="00486075">
        <w:rPr>
          <w:rFonts w:ascii="Helvetica" w:hAnsi="Helvetica"/>
          <w:iCs/>
        </w:rPr>
        <w:t xml:space="preserve"> to home care)</w:t>
      </w:r>
      <w:r w:rsidR="00160E06" w:rsidRPr="00486075">
        <w:rPr>
          <w:rFonts w:ascii="Helvetica" w:hAnsi="Helvetica"/>
          <w:iCs/>
        </w:rPr>
        <w:t>, and p</w:t>
      </w:r>
      <w:r w:rsidR="001829B9" w:rsidRPr="00486075">
        <w:rPr>
          <w:rFonts w:ascii="Helvetica" w:hAnsi="Helvetica"/>
          <w:iCs/>
        </w:rPr>
        <w:t>r</w:t>
      </w:r>
      <w:r w:rsidR="006C1D1E" w:rsidRPr="00486075">
        <w:rPr>
          <w:rFonts w:ascii="Helvetica" w:hAnsi="Helvetica"/>
          <w:iCs/>
        </w:rPr>
        <w:t xml:space="preserve">ogress of the </w:t>
      </w:r>
      <w:hyperlink r:id="rId20" w:history="1">
        <w:r w:rsidR="006C1D1E" w:rsidRPr="00486075">
          <w:rPr>
            <w:rStyle w:val="Hyperlink"/>
            <w:rFonts w:ascii="Helvetica" w:hAnsi="Helvetica"/>
            <w:iCs/>
          </w:rPr>
          <w:t>Royal Commission into Aged Care Quality and Safety</w:t>
        </w:r>
      </w:hyperlink>
      <w:r w:rsidR="006C1D1E" w:rsidRPr="00486075">
        <w:rPr>
          <w:rFonts w:ascii="Helvetica" w:hAnsi="Helvetica"/>
          <w:iCs/>
        </w:rPr>
        <w:t xml:space="preserve">. </w:t>
      </w:r>
    </w:p>
    <w:tbl>
      <w:tblPr>
        <w:tblStyle w:val="TableGrid"/>
        <w:tblW w:w="9039" w:type="dxa"/>
        <w:tblLook w:val="04A0" w:firstRow="1" w:lastRow="0" w:firstColumn="1" w:lastColumn="0" w:noHBand="0" w:noVBand="1"/>
        <w:tblCaption w:val="Key reform linkages to be considered "/>
        <w:tblDescription w:val="This table outlines key linkages to other reforms that the impact analysis will consider"/>
      </w:tblPr>
      <w:tblGrid>
        <w:gridCol w:w="9039"/>
      </w:tblGrid>
      <w:tr w:rsidR="00BA5E8E" w:rsidRPr="00486075" w14:paraId="77C16A94" w14:textId="77777777" w:rsidTr="006156BD">
        <w:trPr>
          <w:trHeight w:val="181"/>
          <w:tblHeader/>
        </w:trPr>
        <w:tc>
          <w:tcPr>
            <w:tcW w:w="9039" w:type="dxa"/>
            <w:shd w:val="clear" w:color="auto" w:fill="404040" w:themeFill="text1" w:themeFillTint="BF"/>
          </w:tcPr>
          <w:p w14:paraId="1623D57A" w14:textId="77777777" w:rsidR="00BA5E8E" w:rsidRPr="00486075" w:rsidRDefault="00BA5E8E">
            <w:pPr>
              <w:snapToGrid w:val="0"/>
              <w:spacing w:after="120"/>
              <w:rPr>
                <w:rFonts w:ascii="Helvetica" w:hAnsi="Helvetica"/>
                <w:b/>
                <w:sz w:val="22"/>
                <w:szCs w:val="22"/>
              </w:rPr>
            </w:pPr>
            <w:r w:rsidRPr="00486075">
              <w:rPr>
                <w:rFonts w:ascii="Helvetica" w:hAnsi="Helvetica"/>
                <w:b/>
                <w:color w:val="FFFFFF" w:themeColor="background1"/>
                <w:sz w:val="22"/>
                <w:szCs w:val="22"/>
              </w:rPr>
              <w:t>Key reform linkages to be considered</w:t>
            </w:r>
          </w:p>
        </w:tc>
      </w:tr>
      <w:tr w:rsidR="00BA5E8E" w:rsidRPr="00486075" w14:paraId="18F92115" w14:textId="77777777" w:rsidTr="00341779">
        <w:trPr>
          <w:trHeight w:val="190"/>
        </w:trPr>
        <w:tc>
          <w:tcPr>
            <w:tcW w:w="9039" w:type="dxa"/>
            <w:shd w:val="clear" w:color="auto" w:fill="D9D9D9" w:themeFill="background1" w:themeFillShade="D9"/>
          </w:tcPr>
          <w:p w14:paraId="5222B7FC" w14:textId="77777777" w:rsidR="00BA5E8E" w:rsidRPr="00486075" w:rsidRDefault="00BA5E8E">
            <w:pPr>
              <w:snapToGrid w:val="0"/>
              <w:spacing w:after="120"/>
              <w:rPr>
                <w:rFonts w:ascii="Helvetica" w:hAnsi="Helvetica"/>
                <w:b/>
                <w:sz w:val="22"/>
                <w:szCs w:val="22"/>
              </w:rPr>
            </w:pPr>
            <w:r w:rsidRPr="00486075">
              <w:rPr>
                <w:rFonts w:ascii="Helvetica" w:hAnsi="Helvetica"/>
                <w:b/>
                <w:sz w:val="22"/>
                <w:szCs w:val="22"/>
              </w:rPr>
              <w:t>Residential aged care funding model reform</w:t>
            </w:r>
          </w:p>
        </w:tc>
      </w:tr>
      <w:tr w:rsidR="00BA5E8E" w:rsidRPr="00486075" w14:paraId="2A45650E" w14:textId="77777777" w:rsidTr="00341779">
        <w:trPr>
          <w:trHeight w:val="181"/>
        </w:trPr>
        <w:tc>
          <w:tcPr>
            <w:tcW w:w="9039" w:type="dxa"/>
          </w:tcPr>
          <w:p w14:paraId="2876D0A3" w14:textId="77777777" w:rsidR="003E5B65" w:rsidRPr="00486075" w:rsidRDefault="00F14E8A" w:rsidP="00216A0E">
            <w:pPr>
              <w:pStyle w:val="ListParagraph"/>
              <w:numPr>
                <w:ilvl w:val="0"/>
                <w:numId w:val="41"/>
              </w:numPr>
              <w:snapToGrid w:val="0"/>
              <w:spacing w:after="120"/>
              <w:rPr>
                <w:rFonts w:ascii="Helvetica" w:hAnsi="Helvetica"/>
                <w:sz w:val="22"/>
                <w:szCs w:val="22"/>
              </w:rPr>
            </w:pPr>
            <w:hyperlink r:id="rId21" w:history="1">
              <w:r w:rsidR="00BA5E8E" w:rsidRPr="00486075">
                <w:rPr>
                  <w:rFonts w:ascii="Helvetica" w:hAnsi="Helvetica" w:cs="Helvetica"/>
                  <w:sz w:val="22"/>
                  <w:szCs w:val="22"/>
                </w:rPr>
                <w:t>Resource Utilisation and Classification Study</w:t>
              </w:r>
            </w:hyperlink>
            <w:r w:rsidR="00BA5E8E" w:rsidRPr="00486075">
              <w:rPr>
                <w:rFonts w:ascii="Helvetica" w:hAnsi="Helvetica" w:cs="Helvetica"/>
                <w:sz w:val="22"/>
                <w:szCs w:val="22"/>
              </w:rPr>
              <w:t xml:space="preserve"> </w:t>
            </w:r>
            <w:r w:rsidR="00214DC5" w:rsidRPr="00486075">
              <w:rPr>
                <w:rFonts w:ascii="Helvetica" w:hAnsi="Helvetica" w:cs="Helvetica"/>
                <w:sz w:val="22"/>
                <w:szCs w:val="22"/>
              </w:rPr>
              <w:t>(RUCS)</w:t>
            </w:r>
            <w:r w:rsidR="00214DC5" w:rsidRPr="00486075">
              <w:rPr>
                <w:rFonts w:ascii="Helvetica" w:hAnsi="Helvetica"/>
                <w:sz w:val="22"/>
                <w:szCs w:val="22"/>
              </w:rPr>
              <w:t xml:space="preserve"> </w:t>
            </w:r>
            <w:r w:rsidR="00BA5E8E" w:rsidRPr="00486075">
              <w:rPr>
                <w:rFonts w:ascii="Helvetica" w:hAnsi="Helvetica"/>
                <w:sz w:val="22"/>
                <w:szCs w:val="22"/>
              </w:rPr>
              <w:t>to determine the drivers of costs in residential aged care and to develop a resident classification system and funding model that reflects these drivers.</w:t>
            </w:r>
            <w:r w:rsidR="003E5B65" w:rsidRPr="00486075">
              <w:rPr>
                <w:rFonts w:ascii="Helvetica" w:hAnsi="Helvetica"/>
                <w:sz w:val="22"/>
                <w:szCs w:val="22"/>
              </w:rPr>
              <w:t xml:space="preserve"> </w:t>
            </w:r>
          </w:p>
          <w:p w14:paraId="712EC4EB" w14:textId="77777777" w:rsidR="00BA5E8E" w:rsidRPr="00486075" w:rsidRDefault="003E5B65" w:rsidP="00216A0E">
            <w:pPr>
              <w:pStyle w:val="ListParagraph"/>
              <w:numPr>
                <w:ilvl w:val="0"/>
                <w:numId w:val="41"/>
              </w:numPr>
              <w:snapToGrid w:val="0"/>
              <w:spacing w:after="120"/>
              <w:rPr>
                <w:rFonts w:ascii="Helvetica" w:hAnsi="Helvetica"/>
                <w:sz w:val="22"/>
                <w:szCs w:val="22"/>
              </w:rPr>
            </w:pPr>
            <w:r w:rsidRPr="00486075">
              <w:rPr>
                <w:rFonts w:ascii="Helvetica" w:hAnsi="Helvetica"/>
                <w:sz w:val="22"/>
                <w:szCs w:val="22"/>
              </w:rPr>
              <w:t xml:space="preserve">A </w:t>
            </w:r>
            <w:hyperlink r:id="rId22" w:history="1">
              <w:r w:rsidRPr="00486075">
                <w:rPr>
                  <w:rStyle w:val="Hyperlink"/>
                  <w:rFonts w:ascii="Helvetica" w:hAnsi="Helvetica"/>
                  <w:sz w:val="22"/>
                  <w:szCs w:val="22"/>
                </w:rPr>
                <w:t>consultation paper</w:t>
              </w:r>
            </w:hyperlink>
            <w:r w:rsidRPr="00486075">
              <w:rPr>
                <w:rFonts w:ascii="Helvetica" w:hAnsi="Helvetica"/>
                <w:sz w:val="22"/>
                <w:szCs w:val="22"/>
              </w:rPr>
              <w:t xml:space="preserve"> has recently been released on a proposal for a new residential aged care funding tool and system.</w:t>
            </w:r>
          </w:p>
        </w:tc>
      </w:tr>
      <w:tr w:rsidR="00BA5E8E" w:rsidRPr="00486075" w14:paraId="6E808DCD" w14:textId="77777777" w:rsidTr="00341779">
        <w:trPr>
          <w:trHeight w:val="190"/>
        </w:trPr>
        <w:tc>
          <w:tcPr>
            <w:tcW w:w="9039" w:type="dxa"/>
            <w:shd w:val="clear" w:color="auto" w:fill="D9D9D9" w:themeFill="background1" w:themeFillShade="D9"/>
          </w:tcPr>
          <w:p w14:paraId="4342A353" w14:textId="77777777" w:rsidR="00BA5E8E" w:rsidRPr="00486075" w:rsidRDefault="00BA5E8E">
            <w:pPr>
              <w:snapToGrid w:val="0"/>
              <w:spacing w:after="120"/>
              <w:rPr>
                <w:rFonts w:ascii="Helvetica" w:hAnsi="Helvetica"/>
                <w:b/>
                <w:sz w:val="22"/>
                <w:szCs w:val="22"/>
              </w:rPr>
            </w:pPr>
            <w:r w:rsidRPr="00486075">
              <w:rPr>
                <w:rFonts w:ascii="Helvetica" w:hAnsi="Helvetica"/>
                <w:b/>
                <w:sz w:val="22"/>
                <w:szCs w:val="22"/>
              </w:rPr>
              <w:t>Streamlined consumer assessment reform</w:t>
            </w:r>
          </w:p>
        </w:tc>
      </w:tr>
      <w:tr w:rsidR="00BA5E8E" w:rsidRPr="00486075" w14:paraId="548015AE" w14:textId="77777777" w:rsidTr="00341779">
        <w:trPr>
          <w:trHeight w:val="181"/>
        </w:trPr>
        <w:tc>
          <w:tcPr>
            <w:tcW w:w="9039" w:type="dxa"/>
          </w:tcPr>
          <w:p w14:paraId="54CCEBD4" w14:textId="77777777" w:rsidR="00BA5E8E" w:rsidRPr="00486075" w:rsidRDefault="00BA5E8E" w:rsidP="00216A0E">
            <w:pPr>
              <w:pStyle w:val="ListParagraph"/>
              <w:numPr>
                <w:ilvl w:val="0"/>
                <w:numId w:val="41"/>
              </w:numPr>
              <w:snapToGrid w:val="0"/>
              <w:spacing w:after="120"/>
              <w:rPr>
                <w:rFonts w:ascii="Helvetica" w:hAnsi="Helvetica"/>
                <w:sz w:val="22"/>
                <w:szCs w:val="22"/>
              </w:rPr>
            </w:pPr>
            <w:r w:rsidRPr="00486075">
              <w:rPr>
                <w:rFonts w:ascii="Helvetica" w:hAnsi="Helvetica"/>
                <w:sz w:val="22"/>
                <w:szCs w:val="22"/>
              </w:rPr>
              <w:t xml:space="preserve">Development of a new framework for </w:t>
            </w:r>
            <w:hyperlink r:id="rId23" w:history="1">
              <w:r w:rsidRPr="00486075">
                <w:rPr>
                  <w:rStyle w:val="Hyperlink"/>
                  <w:rFonts w:ascii="Helvetica" w:hAnsi="Helvetica"/>
                  <w:sz w:val="22"/>
                  <w:szCs w:val="22"/>
                </w:rPr>
                <w:t>streamlined consumer assessments</w:t>
              </w:r>
            </w:hyperlink>
            <w:r w:rsidRPr="00486075">
              <w:rPr>
                <w:rFonts w:ascii="Helvetica" w:hAnsi="Helvetica"/>
                <w:sz w:val="22"/>
                <w:szCs w:val="22"/>
              </w:rPr>
              <w:t xml:space="preserve"> for all aged care services, to be delivered by a new national assessment workforce from 2020.</w:t>
            </w:r>
          </w:p>
        </w:tc>
      </w:tr>
      <w:tr w:rsidR="00BA5E8E" w:rsidRPr="00486075" w14:paraId="559A160E" w14:textId="77777777" w:rsidTr="00341779">
        <w:trPr>
          <w:trHeight w:val="190"/>
        </w:trPr>
        <w:tc>
          <w:tcPr>
            <w:tcW w:w="9039" w:type="dxa"/>
            <w:shd w:val="clear" w:color="auto" w:fill="D9D9D9" w:themeFill="background1" w:themeFillShade="D9"/>
          </w:tcPr>
          <w:p w14:paraId="50CCA31B" w14:textId="77777777" w:rsidR="00BA5E8E" w:rsidRPr="00486075" w:rsidRDefault="00BA5E8E">
            <w:pPr>
              <w:snapToGrid w:val="0"/>
              <w:spacing w:after="120"/>
              <w:rPr>
                <w:rFonts w:ascii="Helvetica" w:hAnsi="Helvetica"/>
                <w:b/>
                <w:sz w:val="22"/>
                <w:szCs w:val="22"/>
              </w:rPr>
            </w:pPr>
            <w:r w:rsidRPr="00486075">
              <w:rPr>
                <w:rFonts w:ascii="Helvetica" w:hAnsi="Helvetica"/>
                <w:b/>
                <w:sz w:val="22"/>
                <w:szCs w:val="22"/>
              </w:rPr>
              <w:t>Reforms to manage prudential risk in residential aged care</w:t>
            </w:r>
          </w:p>
        </w:tc>
      </w:tr>
      <w:tr w:rsidR="00BA5E8E" w:rsidRPr="00486075" w14:paraId="352273C0" w14:textId="77777777" w:rsidTr="00341779">
        <w:trPr>
          <w:trHeight w:val="181"/>
        </w:trPr>
        <w:tc>
          <w:tcPr>
            <w:tcW w:w="9039" w:type="dxa"/>
          </w:tcPr>
          <w:p w14:paraId="134CE95C" w14:textId="77777777" w:rsidR="00BA5E8E" w:rsidRPr="00486075" w:rsidRDefault="00BA5E8E" w:rsidP="00216A0E">
            <w:pPr>
              <w:pStyle w:val="ListParagraph"/>
              <w:numPr>
                <w:ilvl w:val="0"/>
                <w:numId w:val="16"/>
              </w:numPr>
              <w:snapToGrid w:val="0"/>
              <w:spacing w:after="120"/>
              <w:rPr>
                <w:rFonts w:ascii="Helvetica" w:hAnsi="Helvetica"/>
                <w:sz w:val="22"/>
                <w:szCs w:val="22"/>
              </w:rPr>
            </w:pPr>
            <w:r w:rsidRPr="00486075">
              <w:rPr>
                <w:rFonts w:ascii="Helvetica" w:hAnsi="Helvetica"/>
                <w:sz w:val="22"/>
                <w:szCs w:val="22"/>
              </w:rPr>
              <w:t>Compulsory retrospective levy on residential aged care providers where defaults exceed $3 million in any fiscal year</w:t>
            </w:r>
          </w:p>
          <w:p w14:paraId="08A132D6" w14:textId="77777777" w:rsidR="00BA5E8E" w:rsidRPr="00486075" w:rsidRDefault="00BA5E8E" w:rsidP="00216A0E">
            <w:pPr>
              <w:pStyle w:val="ListParagraph"/>
              <w:numPr>
                <w:ilvl w:val="0"/>
                <w:numId w:val="16"/>
              </w:numPr>
              <w:snapToGrid w:val="0"/>
              <w:spacing w:after="120"/>
              <w:rPr>
                <w:rFonts w:ascii="Helvetica" w:hAnsi="Helvetica"/>
                <w:sz w:val="22"/>
                <w:szCs w:val="22"/>
              </w:rPr>
            </w:pPr>
            <w:r w:rsidRPr="00486075">
              <w:rPr>
                <w:rFonts w:ascii="Helvetica" w:hAnsi="Helvetica"/>
                <w:sz w:val="22"/>
                <w:szCs w:val="22"/>
              </w:rPr>
              <w:t>Strengthening government’s prudential regulatory capability to better protect the pool of accom</w:t>
            </w:r>
            <w:r w:rsidR="00214DC5" w:rsidRPr="00486075">
              <w:rPr>
                <w:rFonts w:ascii="Helvetica" w:hAnsi="Helvetica"/>
                <w:sz w:val="22"/>
                <w:szCs w:val="22"/>
              </w:rPr>
              <w:t>modation payments and reduce likelihood of claims on</w:t>
            </w:r>
            <w:r w:rsidRPr="00486075">
              <w:rPr>
                <w:rFonts w:ascii="Helvetica" w:hAnsi="Helvetica"/>
                <w:sz w:val="22"/>
                <w:szCs w:val="22"/>
              </w:rPr>
              <w:t xml:space="preserve"> Guarantee Scheme</w:t>
            </w:r>
          </w:p>
          <w:p w14:paraId="2B27E900" w14:textId="77777777" w:rsidR="003E5B65" w:rsidRPr="00486075" w:rsidRDefault="003E5B65" w:rsidP="00216A0E">
            <w:pPr>
              <w:pStyle w:val="ListParagraph"/>
              <w:numPr>
                <w:ilvl w:val="0"/>
                <w:numId w:val="16"/>
              </w:numPr>
              <w:snapToGrid w:val="0"/>
              <w:spacing w:after="120"/>
              <w:rPr>
                <w:rFonts w:ascii="Helvetica" w:hAnsi="Helvetica" w:cs="Helvetica"/>
                <w:sz w:val="22"/>
                <w:szCs w:val="22"/>
              </w:rPr>
            </w:pPr>
            <w:r w:rsidRPr="00486075">
              <w:rPr>
                <w:rFonts w:ascii="Helvetica" w:hAnsi="Helvetica" w:cs="Helvetica"/>
                <w:sz w:val="22"/>
                <w:szCs w:val="22"/>
              </w:rPr>
              <w:t>A</w:t>
            </w:r>
            <w:r w:rsidRPr="00486075">
              <w:rPr>
                <w:rFonts w:ascii="Helvetica" w:hAnsi="Helvetica" w:cs="Helvetica"/>
                <w:color w:val="1F497D"/>
                <w:sz w:val="22"/>
                <w:szCs w:val="22"/>
              </w:rPr>
              <w:t xml:space="preserve"> </w:t>
            </w:r>
            <w:hyperlink r:id="rId24" w:history="1">
              <w:r w:rsidRPr="00486075">
                <w:rPr>
                  <w:rStyle w:val="Hyperlink"/>
                  <w:rFonts w:ascii="Helvetica" w:hAnsi="Helvetica" w:cs="Helvetica"/>
                  <w:sz w:val="22"/>
                  <w:szCs w:val="22"/>
                </w:rPr>
                <w:t>consultation paper</w:t>
              </w:r>
            </w:hyperlink>
            <w:r w:rsidRPr="00486075">
              <w:rPr>
                <w:rFonts w:ascii="Helvetica" w:hAnsi="Helvetica" w:cs="Helvetica"/>
                <w:color w:val="1F497D"/>
                <w:sz w:val="22"/>
                <w:szCs w:val="22"/>
              </w:rPr>
              <w:t xml:space="preserve"> </w:t>
            </w:r>
            <w:r w:rsidRPr="00486075">
              <w:rPr>
                <w:rFonts w:ascii="Helvetica" w:hAnsi="Helvetica" w:cs="Helvetica"/>
                <w:sz w:val="22"/>
                <w:szCs w:val="22"/>
              </w:rPr>
              <w:t xml:space="preserve">was recently released for comment on proposals for changes to strengthen the prudential standards applying to residential </w:t>
            </w:r>
            <w:r w:rsidR="008A03FD" w:rsidRPr="00486075">
              <w:rPr>
                <w:rFonts w:ascii="Helvetica" w:hAnsi="Helvetica" w:cs="Helvetica"/>
                <w:sz w:val="22"/>
                <w:szCs w:val="22"/>
              </w:rPr>
              <w:t xml:space="preserve">aged </w:t>
            </w:r>
            <w:r w:rsidRPr="00486075">
              <w:rPr>
                <w:rFonts w:ascii="Helvetica" w:hAnsi="Helvetica" w:cs="Helvetica"/>
                <w:sz w:val="22"/>
                <w:szCs w:val="22"/>
              </w:rPr>
              <w:t>care</w:t>
            </w:r>
            <w:r w:rsidR="00326B2D" w:rsidRPr="00486075">
              <w:rPr>
                <w:rFonts w:ascii="Helvetica" w:hAnsi="Helvetica" w:cs="Helvetica"/>
                <w:sz w:val="22"/>
                <w:szCs w:val="22"/>
              </w:rPr>
              <w:t>.</w:t>
            </w:r>
          </w:p>
        </w:tc>
      </w:tr>
      <w:tr w:rsidR="00BA5E8E" w:rsidRPr="00486075" w14:paraId="1A42A6DE" w14:textId="77777777" w:rsidTr="00341779">
        <w:trPr>
          <w:trHeight w:val="190"/>
        </w:trPr>
        <w:tc>
          <w:tcPr>
            <w:tcW w:w="9039" w:type="dxa"/>
            <w:shd w:val="clear" w:color="auto" w:fill="D9D9D9" w:themeFill="background1" w:themeFillShade="D9"/>
          </w:tcPr>
          <w:p w14:paraId="05BF62EC" w14:textId="77777777" w:rsidR="00BA5E8E" w:rsidRPr="00486075" w:rsidRDefault="00BA5E8E">
            <w:pPr>
              <w:snapToGrid w:val="0"/>
              <w:spacing w:after="120"/>
              <w:rPr>
                <w:rFonts w:ascii="Helvetica" w:hAnsi="Helvetica"/>
                <w:b/>
                <w:sz w:val="22"/>
                <w:szCs w:val="22"/>
              </w:rPr>
            </w:pPr>
            <w:r w:rsidRPr="00486075">
              <w:rPr>
                <w:rFonts w:ascii="Helvetica" w:hAnsi="Helvetica"/>
                <w:b/>
                <w:sz w:val="22"/>
                <w:szCs w:val="22"/>
              </w:rPr>
              <w:t>Greater protections and transparency of quality reforms</w:t>
            </w:r>
          </w:p>
        </w:tc>
      </w:tr>
      <w:tr w:rsidR="00BA5E8E" w:rsidRPr="00486075" w14:paraId="557497E5" w14:textId="77777777" w:rsidTr="00341779">
        <w:trPr>
          <w:trHeight w:val="181"/>
        </w:trPr>
        <w:tc>
          <w:tcPr>
            <w:tcW w:w="9039" w:type="dxa"/>
          </w:tcPr>
          <w:p w14:paraId="0A084FCB" w14:textId="77777777" w:rsidR="00BA5E8E" w:rsidRPr="00486075" w:rsidRDefault="00BA5E8E" w:rsidP="00216A0E">
            <w:pPr>
              <w:pStyle w:val="ListParagraph"/>
              <w:numPr>
                <w:ilvl w:val="0"/>
                <w:numId w:val="16"/>
              </w:numPr>
              <w:snapToGrid w:val="0"/>
              <w:spacing w:after="120"/>
              <w:rPr>
                <w:rFonts w:ascii="Helvetica" w:hAnsi="Helvetica"/>
                <w:sz w:val="22"/>
                <w:szCs w:val="22"/>
              </w:rPr>
            </w:pPr>
            <w:r w:rsidRPr="00486075">
              <w:rPr>
                <w:rFonts w:ascii="Helvetica" w:hAnsi="Helvetica"/>
                <w:sz w:val="22"/>
                <w:szCs w:val="22"/>
              </w:rPr>
              <w:t xml:space="preserve">Enhanced </w:t>
            </w:r>
            <w:hyperlink r:id="rId25" w:history="1">
              <w:r w:rsidRPr="00486075">
                <w:rPr>
                  <w:rStyle w:val="Hyperlink"/>
                  <w:rFonts w:ascii="Helvetica" w:hAnsi="Helvetica"/>
                  <w:sz w:val="22"/>
                  <w:szCs w:val="22"/>
                </w:rPr>
                <w:t>public information</w:t>
              </w:r>
            </w:hyperlink>
            <w:r w:rsidRPr="00486075">
              <w:rPr>
                <w:rFonts w:ascii="Helvetica" w:hAnsi="Helvetica"/>
                <w:sz w:val="22"/>
                <w:szCs w:val="22"/>
              </w:rPr>
              <w:t xml:space="preserve"> on residential aged care provider quality</w:t>
            </w:r>
          </w:p>
          <w:p w14:paraId="7BE9DA9C" w14:textId="77777777" w:rsidR="00BA5E8E" w:rsidRPr="00486075" w:rsidRDefault="00BA5E8E" w:rsidP="00216A0E">
            <w:pPr>
              <w:pStyle w:val="ListParagraph"/>
              <w:numPr>
                <w:ilvl w:val="0"/>
                <w:numId w:val="16"/>
              </w:numPr>
              <w:snapToGrid w:val="0"/>
              <w:spacing w:after="120"/>
              <w:rPr>
                <w:rFonts w:ascii="Helvetica" w:hAnsi="Helvetica"/>
                <w:sz w:val="22"/>
                <w:szCs w:val="22"/>
              </w:rPr>
            </w:pPr>
            <w:r w:rsidRPr="00486075">
              <w:rPr>
                <w:rFonts w:ascii="Helvetica" w:hAnsi="Helvetica"/>
                <w:sz w:val="22"/>
                <w:szCs w:val="22"/>
              </w:rPr>
              <w:t xml:space="preserve">New </w:t>
            </w:r>
            <w:hyperlink r:id="rId26" w:history="1">
              <w:r w:rsidRPr="00486075">
                <w:rPr>
                  <w:rStyle w:val="Hyperlink"/>
                  <w:rFonts w:ascii="Helvetica" w:hAnsi="Helvetica"/>
                  <w:sz w:val="22"/>
                  <w:szCs w:val="22"/>
                </w:rPr>
                <w:t>Aged Care Quality and Safety Commission</w:t>
              </w:r>
            </w:hyperlink>
            <w:r w:rsidR="004101D3" w:rsidRPr="00486075">
              <w:rPr>
                <w:rStyle w:val="Hyperlink"/>
                <w:rFonts w:ascii="Helvetica" w:hAnsi="Helvetica"/>
                <w:sz w:val="22"/>
                <w:szCs w:val="22"/>
              </w:rPr>
              <w:t>.</w:t>
            </w:r>
            <w:r w:rsidRPr="00486075">
              <w:rPr>
                <w:rFonts w:ascii="Helvetica" w:hAnsi="Helvetica"/>
                <w:sz w:val="22"/>
                <w:szCs w:val="22"/>
              </w:rPr>
              <w:t xml:space="preserve"> </w:t>
            </w:r>
          </w:p>
        </w:tc>
      </w:tr>
      <w:tr w:rsidR="00BA5E8E" w:rsidRPr="00486075" w14:paraId="505EB52A" w14:textId="77777777" w:rsidTr="00341779">
        <w:trPr>
          <w:trHeight w:val="190"/>
        </w:trPr>
        <w:tc>
          <w:tcPr>
            <w:tcW w:w="9039" w:type="dxa"/>
            <w:shd w:val="clear" w:color="auto" w:fill="D9D9D9" w:themeFill="background1" w:themeFillShade="D9"/>
          </w:tcPr>
          <w:p w14:paraId="74F40487" w14:textId="77777777" w:rsidR="00BA5E8E" w:rsidRPr="00486075" w:rsidRDefault="00BA5E8E">
            <w:pPr>
              <w:snapToGrid w:val="0"/>
              <w:spacing w:after="120"/>
              <w:rPr>
                <w:rFonts w:ascii="Helvetica" w:hAnsi="Helvetica"/>
                <w:b/>
                <w:sz w:val="22"/>
                <w:szCs w:val="22"/>
              </w:rPr>
            </w:pPr>
            <w:r w:rsidRPr="00486075">
              <w:rPr>
                <w:rFonts w:ascii="Helvetica" w:hAnsi="Helvetica"/>
                <w:b/>
                <w:sz w:val="22"/>
                <w:szCs w:val="22"/>
              </w:rPr>
              <w:t>Review of Multi-Purpose Services Program</w:t>
            </w:r>
          </w:p>
        </w:tc>
      </w:tr>
      <w:tr w:rsidR="00BA5E8E" w:rsidRPr="00486075" w14:paraId="5A4F1571" w14:textId="77777777" w:rsidTr="00341779">
        <w:trPr>
          <w:trHeight w:val="181"/>
        </w:trPr>
        <w:tc>
          <w:tcPr>
            <w:tcW w:w="9039" w:type="dxa"/>
          </w:tcPr>
          <w:p w14:paraId="5C58EB7E" w14:textId="77777777" w:rsidR="00BA5E8E" w:rsidRPr="00486075" w:rsidRDefault="00BA5E8E" w:rsidP="00216A0E">
            <w:pPr>
              <w:pStyle w:val="ListParagraph"/>
              <w:numPr>
                <w:ilvl w:val="0"/>
                <w:numId w:val="17"/>
              </w:numPr>
              <w:snapToGrid w:val="0"/>
              <w:spacing w:after="120"/>
              <w:rPr>
                <w:rFonts w:ascii="Helvetica" w:hAnsi="Helvetica"/>
                <w:sz w:val="22"/>
                <w:szCs w:val="22"/>
              </w:rPr>
            </w:pPr>
            <w:r w:rsidRPr="00486075">
              <w:rPr>
                <w:rFonts w:ascii="Helvetica" w:hAnsi="Helvetica"/>
                <w:sz w:val="22"/>
                <w:szCs w:val="22"/>
              </w:rPr>
              <w:t xml:space="preserve">Assessment of the appropriateness, effectiveness and efficiency of the </w:t>
            </w:r>
            <w:hyperlink r:id="rId27" w:history="1">
              <w:r w:rsidRPr="00486075">
                <w:rPr>
                  <w:rStyle w:val="Hyperlink"/>
                  <w:rFonts w:ascii="Helvetica" w:hAnsi="Helvetica"/>
                  <w:sz w:val="22"/>
                  <w:szCs w:val="22"/>
                </w:rPr>
                <w:t>MPS program</w:t>
              </w:r>
            </w:hyperlink>
            <w:r w:rsidR="004101D3" w:rsidRPr="00486075">
              <w:rPr>
                <w:rStyle w:val="Hyperlink"/>
                <w:rFonts w:ascii="Helvetica" w:hAnsi="Helvetica"/>
                <w:sz w:val="22"/>
                <w:szCs w:val="22"/>
              </w:rPr>
              <w:t>.</w:t>
            </w:r>
          </w:p>
        </w:tc>
      </w:tr>
      <w:tr w:rsidR="00BA5E8E" w:rsidRPr="00486075" w14:paraId="57BED0B0" w14:textId="77777777" w:rsidTr="00341779">
        <w:trPr>
          <w:trHeight w:val="190"/>
        </w:trPr>
        <w:tc>
          <w:tcPr>
            <w:tcW w:w="9039" w:type="dxa"/>
            <w:shd w:val="clear" w:color="auto" w:fill="D9D9D9" w:themeFill="background1" w:themeFillShade="D9"/>
          </w:tcPr>
          <w:p w14:paraId="26F673A2" w14:textId="77777777" w:rsidR="00BA5E8E" w:rsidRPr="00486075" w:rsidRDefault="00BA5E8E">
            <w:pPr>
              <w:snapToGrid w:val="0"/>
              <w:spacing w:after="120"/>
              <w:rPr>
                <w:rFonts w:ascii="Helvetica" w:hAnsi="Helvetica"/>
                <w:b/>
                <w:sz w:val="22"/>
                <w:szCs w:val="22"/>
              </w:rPr>
            </w:pPr>
            <w:r w:rsidRPr="00486075">
              <w:rPr>
                <w:rFonts w:ascii="Helvetica" w:hAnsi="Helvetica"/>
                <w:b/>
                <w:sz w:val="22"/>
                <w:szCs w:val="22"/>
              </w:rPr>
              <w:t>Aged Care Workforce Strategy</w:t>
            </w:r>
          </w:p>
        </w:tc>
      </w:tr>
      <w:tr w:rsidR="00BA5E8E" w:rsidRPr="00486075" w14:paraId="3F64276A" w14:textId="77777777" w:rsidTr="00341779">
        <w:trPr>
          <w:trHeight w:val="181"/>
        </w:trPr>
        <w:tc>
          <w:tcPr>
            <w:tcW w:w="9039" w:type="dxa"/>
          </w:tcPr>
          <w:p w14:paraId="4E58CAAD" w14:textId="77777777" w:rsidR="00BA5E8E" w:rsidRPr="00486075" w:rsidRDefault="00BA5E8E" w:rsidP="00216A0E">
            <w:pPr>
              <w:pStyle w:val="ListParagraph"/>
              <w:numPr>
                <w:ilvl w:val="0"/>
                <w:numId w:val="17"/>
              </w:numPr>
              <w:snapToGrid w:val="0"/>
              <w:spacing w:after="120"/>
              <w:rPr>
                <w:rFonts w:ascii="Helvetica" w:hAnsi="Helvetica"/>
                <w:sz w:val="22"/>
                <w:szCs w:val="22"/>
              </w:rPr>
            </w:pPr>
            <w:r w:rsidRPr="00486075">
              <w:rPr>
                <w:rFonts w:ascii="Helvetica" w:hAnsi="Helvetica"/>
                <w:sz w:val="22"/>
                <w:szCs w:val="22"/>
              </w:rPr>
              <w:t xml:space="preserve">Strategic actions to boost supply, address demand and improve productivity for the aged care workforce. Sector-led implementation of the </w:t>
            </w:r>
            <w:hyperlink r:id="rId28" w:history="1">
              <w:r w:rsidR="002D3765" w:rsidRPr="00486075">
                <w:rPr>
                  <w:rStyle w:val="Hyperlink"/>
                  <w:rFonts w:ascii="Helvetica" w:hAnsi="Helvetica"/>
                  <w:sz w:val="22"/>
                  <w:szCs w:val="22"/>
                </w:rPr>
                <w:t xml:space="preserve">Aged Care Workforce </w:t>
              </w:r>
              <w:r w:rsidRPr="00486075">
                <w:rPr>
                  <w:rStyle w:val="Hyperlink"/>
                  <w:rFonts w:ascii="Helvetica" w:hAnsi="Helvetica"/>
                  <w:sz w:val="22"/>
                  <w:szCs w:val="22"/>
                </w:rPr>
                <w:t>Strategy</w:t>
              </w:r>
            </w:hyperlink>
            <w:r w:rsidRPr="00486075">
              <w:rPr>
                <w:rFonts w:ascii="Helvetica" w:hAnsi="Helvetica"/>
                <w:sz w:val="22"/>
                <w:szCs w:val="22"/>
              </w:rPr>
              <w:t>.</w:t>
            </w:r>
          </w:p>
        </w:tc>
      </w:tr>
      <w:tr w:rsidR="003E5B65" w:rsidRPr="00486075" w14:paraId="062566ED" w14:textId="77777777" w:rsidTr="0061259F">
        <w:trPr>
          <w:trHeight w:val="190"/>
        </w:trPr>
        <w:tc>
          <w:tcPr>
            <w:tcW w:w="9039" w:type="dxa"/>
            <w:shd w:val="clear" w:color="auto" w:fill="D9D9D9" w:themeFill="background1" w:themeFillShade="D9"/>
          </w:tcPr>
          <w:p w14:paraId="0048DBD0" w14:textId="77777777" w:rsidR="003E5B65" w:rsidRPr="00486075" w:rsidRDefault="004F57E6" w:rsidP="004B28A7">
            <w:pPr>
              <w:snapToGrid w:val="0"/>
              <w:spacing w:after="120"/>
              <w:rPr>
                <w:rFonts w:ascii="Helvetica" w:hAnsi="Helvetica"/>
                <w:b/>
                <w:sz w:val="22"/>
                <w:szCs w:val="22"/>
              </w:rPr>
            </w:pPr>
            <w:r w:rsidRPr="00486075">
              <w:rPr>
                <w:rFonts w:ascii="Helvetica" w:hAnsi="Helvetica"/>
                <w:b/>
                <w:sz w:val="22"/>
                <w:szCs w:val="22"/>
              </w:rPr>
              <w:t xml:space="preserve">Report on respite </w:t>
            </w:r>
            <w:r w:rsidR="004B28A7" w:rsidRPr="00486075">
              <w:rPr>
                <w:rFonts w:ascii="Helvetica" w:hAnsi="Helvetica"/>
                <w:b/>
                <w:sz w:val="22"/>
                <w:szCs w:val="22"/>
              </w:rPr>
              <w:t>care</w:t>
            </w:r>
          </w:p>
        </w:tc>
      </w:tr>
      <w:tr w:rsidR="003E5B65" w:rsidRPr="00486075" w14:paraId="2ACA177C" w14:textId="77777777" w:rsidTr="003E5B65">
        <w:trPr>
          <w:trHeight w:val="181"/>
        </w:trPr>
        <w:tc>
          <w:tcPr>
            <w:tcW w:w="9039" w:type="dxa"/>
          </w:tcPr>
          <w:p w14:paraId="63EA3397" w14:textId="77777777" w:rsidR="003E5B65" w:rsidRPr="00486075" w:rsidRDefault="003E5B65" w:rsidP="00216A0E">
            <w:pPr>
              <w:pStyle w:val="ListParagraph"/>
              <w:numPr>
                <w:ilvl w:val="0"/>
                <w:numId w:val="17"/>
              </w:numPr>
              <w:snapToGrid w:val="0"/>
              <w:spacing w:after="120"/>
              <w:rPr>
                <w:rFonts w:ascii="Helvetica" w:hAnsi="Helvetica"/>
                <w:sz w:val="22"/>
                <w:szCs w:val="22"/>
              </w:rPr>
            </w:pPr>
            <w:r w:rsidRPr="00486075">
              <w:rPr>
                <w:rFonts w:ascii="Helvetica" w:hAnsi="Helvetica"/>
                <w:sz w:val="22"/>
                <w:szCs w:val="22"/>
              </w:rPr>
              <w:t xml:space="preserve">The Aged Care Financing Authority completed </w:t>
            </w:r>
            <w:r w:rsidR="004F57E6" w:rsidRPr="00486075">
              <w:rPr>
                <w:rFonts w:ascii="Helvetica" w:hAnsi="Helvetica"/>
                <w:sz w:val="22"/>
                <w:szCs w:val="22"/>
              </w:rPr>
              <w:t>a</w:t>
            </w:r>
            <w:r w:rsidRPr="00486075">
              <w:rPr>
                <w:rFonts w:ascii="Helvetica" w:hAnsi="Helvetica"/>
                <w:sz w:val="22"/>
                <w:szCs w:val="22"/>
              </w:rPr>
              <w:t xml:space="preserve"> </w:t>
            </w:r>
            <w:hyperlink r:id="rId29" w:history="1">
              <w:r w:rsidRPr="00486075">
                <w:rPr>
                  <w:rStyle w:val="Hyperlink"/>
                  <w:rFonts w:ascii="Helvetica" w:hAnsi="Helvetica"/>
                  <w:sz w:val="22"/>
                  <w:szCs w:val="22"/>
                </w:rPr>
                <w:t>report</w:t>
              </w:r>
            </w:hyperlink>
            <w:r w:rsidR="004F57E6" w:rsidRPr="00486075">
              <w:rPr>
                <w:rFonts w:ascii="Helvetica" w:hAnsi="Helvetica"/>
                <w:sz w:val="22"/>
                <w:szCs w:val="22"/>
              </w:rPr>
              <w:t xml:space="preserve"> (October 2018)</w:t>
            </w:r>
            <w:r w:rsidRPr="00486075">
              <w:rPr>
                <w:rFonts w:ascii="Helvetica" w:hAnsi="Helvetica"/>
                <w:sz w:val="22"/>
                <w:szCs w:val="22"/>
              </w:rPr>
              <w:t xml:space="preserve"> on the increasing use of respite care and the appropriateness of the current arrangements, including funding structures, for</w:t>
            </w:r>
            <w:r w:rsidR="004F57E6" w:rsidRPr="00486075">
              <w:rPr>
                <w:rFonts w:ascii="Helvetica" w:hAnsi="Helvetica"/>
                <w:sz w:val="22"/>
                <w:szCs w:val="22"/>
              </w:rPr>
              <w:t xml:space="preserve"> providers and consumers.</w:t>
            </w:r>
          </w:p>
        </w:tc>
      </w:tr>
    </w:tbl>
    <w:p w14:paraId="25F3CBC3" w14:textId="77777777" w:rsidR="003E5B65" w:rsidRPr="00486075" w:rsidRDefault="003E5B65" w:rsidP="00553BEF">
      <w:pPr>
        <w:pStyle w:val="Heading2"/>
      </w:pPr>
    </w:p>
    <w:p w14:paraId="14DCB7E8" w14:textId="77777777" w:rsidR="004F57E6" w:rsidRPr="00486075" w:rsidRDefault="004F57E6">
      <w:pPr>
        <w:rPr>
          <w:rFonts w:ascii="Helvetica" w:eastAsiaTheme="majorEastAsia" w:hAnsi="Helvetica" w:cstheme="majorBidi"/>
          <w:color w:val="2F5496" w:themeColor="accent1" w:themeShade="BF"/>
          <w:sz w:val="26"/>
          <w:szCs w:val="26"/>
        </w:rPr>
      </w:pPr>
      <w:r w:rsidRPr="00486075">
        <w:br w:type="page"/>
      </w:r>
    </w:p>
    <w:p w14:paraId="7287FE5E" w14:textId="3457C9D7" w:rsidR="00A06EC8" w:rsidRPr="00486075" w:rsidRDefault="00A06EC8" w:rsidP="00553BEF">
      <w:pPr>
        <w:pStyle w:val="Heading2"/>
      </w:pPr>
      <w:bookmarkStart w:id="30" w:name="_Toc31293654"/>
      <w:r w:rsidRPr="00486075">
        <w:lastRenderedPageBreak/>
        <w:t>Out of scope</w:t>
      </w:r>
      <w:bookmarkEnd w:id="30"/>
    </w:p>
    <w:p w14:paraId="66365A1A" w14:textId="77777777" w:rsidR="00A06EC8" w:rsidRPr="00486075" w:rsidRDefault="00A06EC8" w:rsidP="00A06EC8">
      <w:pPr>
        <w:spacing w:after="120"/>
        <w:rPr>
          <w:rFonts w:ascii="Helvetica" w:hAnsi="Helvetica"/>
        </w:rPr>
      </w:pPr>
      <w:r w:rsidRPr="00486075">
        <w:rPr>
          <w:rFonts w:ascii="Helvetica" w:hAnsi="Helvetica"/>
        </w:rPr>
        <w:t xml:space="preserve">There are various related matters out of scope for the purpose of this </w:t>
      </w:r>
      <w:r w:rsidR="00B0582C" w:rsidRPr="00486075">
        <w:rPr>
          <w:rFonts w:ascii="Helvetica" w:hAnsi="Helvetica"/>
        </w:rPr>
        <w:t xml:space="preserve">impact </w:t>
      </w:r>
      <w:r w:rsidRPr="00486075">
        <w:rPr>
          <w:rFonts w:ascii="Helvetica" w:hAnsi="Helvetica"/>
        </w:rPr>
        <w:t>analysis:</w:t>
      </w:r>
    </w:p>
    <w:p w14:paraId="4E2B7E52" w14:textId="77777777" w:rsidR="00A06EC8" w:rsidRPr="00486075" w:rsidRDefault="00A06EC8" w:rsidP="00216A0E">
      <w:pPr>
        <w:pStyle w:val="Default"/>
        <w:numPr>
          <w:ilvl w:val="0"/>
          <w:numId w:val="11"/>
        </w:numPr>
        <w:snapToGrid w:val="0"/>
        <w:spacing w:after="120"/>
        <w:ind w:left="357" w:hanging="357"/>
        <w:rPr>
          <w:rFonts w:ascii="Helvetica" w:hAnsi="Helvetica" w:cs="Times New Roman"/>
          <w:color w:val="auto"/>
        </w:rPr>
      </w:pPr>
      <w:r w:rsidRPr="00486075">
        <w:rPr>
          <w:rFonts w:ascii="Helvetica" w:hAnsi="Helvetica" w:cs="Times New Roman"/>
          <w:color w:val="auto"/>
        </w:rPr>
        <w:t>Removing fiscal constraints on government expenditure for subsidised residential aged care</w:t>
      </w:r>
      <w:r w:rsidR="00D46574" w:rsidRPr="00486075">
        <w:rPr>
          <w:rFonts w:ascii="Helvetica" w:hAnsi="Helvetica" w:cs="Times New Roman"/>
          <w:color w:val="auto"/>
        </w:rPr>
        <w:t>;</w:t>
      </w:r>
      <w:r w:rsidR="006347A5" w:rsidRPr="00486075">
        <w:rPr>
          <w:rStyle w:val="CommentReference"/>
          <w:rFonts w:ascii="Helvetica" w:eastAsia="Times New Roman" w:hAnsi="Helvetica" w:cs="Times New Roman"/>
          <w:color w:val="auto"/>
          <w:lang w:eastAsia="en-AU"/>
        </w:rPr>
        <w:t xml:space="preserve"> </w:t>
      </w:r>
    </w:p>
    <w:p w14:paraId="7599F8B0" w14:textId="77777777" w:rsidR="00A06EC8" w:rsidRPr="00486075" w:rsidRDefault="00A06EC8" w:rsidP="00216A0E">
      <w:pPr>
        <w:pStyle w:val="Default"/>
        <w:numPr>
          <w:ilvl w:val="0"/>
          <w:numId w:val="11"/>
        </w:numPr>
        <w:snapToGrid w:val="0"/>
        <w:spacing w:after="120"/>
        <w:ind w:left="363"/>
        <w:rPr>
          <w:rFonts w:ascii="Helvetica" w:hAnsi="Helvetica" w:cs="Times New Roman"/>
        </w:rPr>
      </w:pPr>
      <w:r w:rsidRPr="00486075">
        <w:rPr>
          <w:rFonts w:ascii="Helvetica" w:hAnsi="Helvetica" w:cs="Times New Roman"/>
        </w:rPr>
        <w:t>Introducing individualised budgets (as per home care) into residential aged care</w:t>
      </w:r>
      <w:r w:rsidR="00D46574" w:rsidRPr="00486075">
        <w:rPr>
          <w:rFonts w:ascii="Helvetica" w:hAnsi="Helvetica" w:cs="Times New Roman"/>
        </w:rPr>
        <w:t>;</w:t>
      </w:r>
      <w:r w:rsidRPr="00486075">
        <w:rPr>
          <w:rFonts w:ascii="Helvetica" w:hAnsi="Helvetica" w:cs="Times New Roman"/>
        </w:rPr>
        <w:t xml:space="preserve"> </w:t>
      </w:r>
    </w:p>
    <w:p w14:paraId="2EE65D2B" w14:textId="77777777" w:rsidR="00214DC5" w:rsidRPr="00486075" w:rsidRDefault="00A06EC8" w:rsidP="00216A0E">
      <w:pPr>
        <w:pStyle w:val="Default"/>
        <w:numPr>
          <w:ilvl w:val="0"/>
          <w:numId w:val="11"/>
        </w:numPr>
        <w:snapToGrid w:val="0"/>
        <w:spacing w:after="120"/>
        <w:ind w:left="363"/>
        <w:rPr>
          <w:rFonts w:ascii="Helvetica" w:hAnsi="Helvetica" w:cs="Times New Roman"/>
        </w:rPr>
      </w:pPr>
      <w:r w:rsidRPr="00486075">
        <w:rPr>
          <w:rFonts w:ascii="Helvetica" w:hAnsi="Helvetica" w:cs="Times New Roman"/>
        </w:rPr>
        <w:t xml:space="preserve">Residential aged care funding reform </w:t>
      </w:r>
      <w:r w:rsidR="00F121B5" w:rsidRPr="00486075">
        <w:rPr>
          <w:rFonts w:ascii="Helvetica" w:hAnsi="Helvetica" w:cs="Times New Roman"/>
        </w:rPr>
        <w:t xml:space="preserve">(refer to </w:t>
      </w:r>
      <w:r w:rsidR="00214DC5" w:rsidRPr="00486075">
        <w:rPr>
          <w:rFonts w:ascii="Helvetica" w:hAnsi="Helvetica" w:cs="Times New Roman"/>
        </w:rPr>
        <w:t>RUCS</w:t>
      </w:r>
      <w:r w:rsidR="00F121B5" w:rsidRPr="00486075">
        <w:rPr>
          <w:rFonts w:ascii="Helvetica" w:hAnsi="Helvetica" w:cs="Times New Roman"/>
        </w:rPr>
        <w:t>)</w:t>
      </w:r>
      <w:r w:rsidR="00D46574" w:rsidRPr="00486075">
        <w:rPr>
          <w:rFonts w:ascii="Helvetica" w:hAnsi="Helvetica" w:cs="Times New Roman"/>
        </w:rPr>
        <w:t>;</w:t>
      </w:r>
    </w:p>
    <w:p w14:paraId="5690FD62" w14:textId="77777777" w:rsidR="00A06EC8" w:rsidRPr="00486075" w:rsidRDefault="00A06EC8" w:rsidP="00216A0E">
      <w:pPr>
        <w:pStyle w:val="Default"/>
        <w:numPr>
          <w:ilvl w:val="0"/>
          <w:numId w:val="11"/>
        </w:numPr>
        <w:snapToGrid w:val="0"/>
        <w:spacing w:after="120"/>
        <w:ind w:left="363"/>
        <w:rPr>
          <w:rFonts w:ascii="Helvetica" w:hAnsi="Helvetica" w:cs="Times New Roman"/>
        </w:rPr>
      </w:pPr>
      <w:r w:rsidRPr="00486075">
        <w:rPr>
          <w:rFonts w:ascii="Helvetica" w:hAnsi="Helvetica" w:cs="Times New Roman"/>
        </w:rPr>
        <w:t xml:space="preserve">Introducing </w:t>
      </w:r>
      <w:r w:rsidR="002D3765" w:rsidRPr="00486075">
        <w:rPr>
          <w:rFonts w:ascii="Helvetica" w:hAnsi="Helvetica" w:cs="Times New Roman"/>
        </w:rPr>
        <w:t>a consumer directed care</w:t>
      </w:r>
      <w:r w:rsidRPr="00486075">
        <w:rPr>
          <w:rFonts w:ascii="Helvetica" w:hAnsi="Helvetica" w:cs="Times New Roman"/>
        </w:rPr>
        <w:t xml:space="preserve"> model of service delivery (as per home care) into residential aged care. This </w:t>
      </w:r>
      <w:r w:rsidR="00B0582C" w:rsidRPr="00486075">
        <w:rPr>
          <w:rFonts w:ascii="Helvetica" w:hAnsi="Helvetica" w:cs="Times New Roman"/>
        </w:rPr>
        <w:t xml:space="preserve">impact analysis </w:t>
      </w:r>
      <w:r w:rsidRPr="00486075">
        <w:rPr>
          <w:rFonts w:ascii="Helvetica" w:hAnsi="Helvetica" w:cs="Times New Roman"/>
        </w:rPr>
        <w:t>is focussed on the allocation of residential aged care place</w:t>
      </w:r>
      <w:r w:rsidR="00B0582C" w:rsidRPr="00486075">
        <w:rPr>
          <w:rFonts w:ascii="Helvetica" w:hAnsi="Helvetica" w:cs="Times New Roman"/>
        </w:rPr>
        <w:t>s</w:t>
      </w:r>
      <w:r w:rsidR="00D46574" w:rsidRPr="00486075">
        <w:rPr>
          <w:rFonts w:ascii="Helvetica" w:hAnsi="Helvetica" w:cs="Times New Roman"/>
        </w:rPr>
        <w:t xml:space="preserve">; </w:t>
      </w:r>
    </w:p>
    <w:p w14:paraId="13556C60" w14:textId="77777777" w:rsidR="00A06EC8" w:rsidRPr="00486075" w:rsidRDefault="00A06EC8" w:rsidP="00216A0E">
      <w:pPr>
        <w:pStyle w:val="ListParagraph"/>
        <w:numPr>
          <w:ilvl w:val="0"/>
          <w:numId w:val="21"/>
        </w:numPr>
        <w:spacing w:after="120"/>
        <w:ind w:left="723"/>
        <w:rPr>
          <w:rFonts w:ascii="Helvetica" w:hAnsi="Helvetica"/>
        </w:rPr>
      </w:pPr>
      <w:r w:rsidRPr="00486075">
        <w:rPr>
          <w:rFonts w:ascii="Helvetica" w:hAnsi="Helvetica"/>
        </w:rPr>
        <w:t xml:space="preserve">This does not preclude consumers from negotiating additional services with providers or preferring to choose a particular provider which offers the care and services to best meet their needs.  </w:t>
      </w:r>
    </w:p>
    <w:p w14:paraId="4F2B5533" w14:textId="77777777" w:rsidR="00CE53B4" w:rsidRPr="00486075" w:rsidRDefault="00A06EC8" w:rsidP="00216A0E">
      <w:pPr>
        <w:pStyle w:val="Default"/>
        <w:numPr>
          <w:ilvl w:val="0"/>
          <w:numId w:val="11"/>
        </w:numPr>
        <w:snapToGrid w:val="0"/>
        <w:spacing w:after="120"/>
        <w:ind w:left="357" w:hanging="357"/>
        <w:rPr>
          <w:rFonts w:ascii="Helvetica" w:hAnsi="Helvetica" w:cs="Times New Roman"/>
          <w:color w:val="auto"/>
        </w:rPr>
      </w:pPr>
      <w:r w:rsidRPr="00486075">
        <w:rPr>
          <w:rFonts w:ascii="Helvetica" w:hAnsi="Helvetica" w:cs="Times New Roman"/>
          <w:color w:val="auto"/>
        </w:rPr>
        <w:t xml:space="preserve">Proposing alternative allocation arrangements for flexible aged care places. </w:t>
      </w:r>
    </w:p>
    <w:p w14:paraId="4C705374" w14:textId="77777777" w:rsidR="00A06EC8" w:rsidRPr="00486075" w:rsidRDefault="00CE53B4" w:rsidP="00216A0E">
      <w:pPr>
        <w:pStyle w:val="ListParagraph"/>
        <w:numPr>
          <w:ilvl w:val="0"/>
          <w:numId w:val="21"/>
        </w:numPr>
        <w:spacing w:after="120"/>
        <w:ind w:left="723"/>
        <w:rPr>
          <w:rFonts w:ascii="Helvetica" w:hAnsi="Helvetica"/>
        </w:rPr>
      </w:pPr>
      <w:r w:rsidRPr="00486075">
        <w:rPr>
          <w:rFonts w:ascii="Helvetica" w:hAnsi="Helvetica"/>
        </w:rPr>
        <w:t>This does not preclude consideration of the applicability of the alternative model/s to flexible care, including short-term restorative care (STRC places are allocated through the ACAR).</w:t>
      </w:r>
    </w:p>
    <w:p w14:paraId="0C3E5F63" w14:textId="77777777" w:rsidR="004F57E6" w:rsidRPr="00486075" w:rsidRDefault="004F57E6">
      <w:pPr>
        <w:rPr>
          <w:rFonts w:ascii="Helvetica" w:eastAsiaTheme="majorEastAsia" w:hAnsi="Helvetica" w:cs="Helvetica"/>
          <w:b/>
          <w:color w:val="2F5496" w:themeColor="accent1" w:themeShade="BF"/>
          <w:sz w:val="32"/>
          <w:szCs w:val="32"/>
          <w:lang w:eastAsia="en-US"/>
        </w:rPr>
      </w:pPr>
      <w:r w:rsidRPr="00486075">
        <w:br w:type="page"/>
      </w:r>
    </w:p>
    <w:p w14:paraId="4FDE0F10" w14:textId="44EF719B" w:rsidR="00087F56" w:rsidRPr="00486075" w:rsidRDefault="001918DC" w:rsidP="00383D9B">
      <w:pPr>
        <w:pStyle w:val="Heading1Black"/>
      </w:pPr>
      <w:bookmarkStart w:id="31" w:name="_Toc31293655"/>
      <w:r w:rsidRPr="00486075">
        <w:lastRenderedPageBreak/>
        <w:t>Current arrangements</w:t>
      </w:r>
      <w:bookmarkEnd w:id="31"/>
    </w:p>
    <w:p w14:paraId="0B4B38C6" w14:textId="53BEE76B" w:rsidR="00F121B5" w:rsidRPr="00486075" w:rsidRDefault="003D6295" w:rsidP="00341779">
      <w:pPr>
        <w:snapToGrid w:val="0"/>
        <w:spacing w:after="120"/>
        <w:rPr>
          <w:rFonts w:ascii="Helvetica" w:hAnsi="Helvetica"/>
          <w:iCs/>
        </w:rPr>
      </w:pPr>
      <w:r w:rsidRPr="00486075">
        <w:rPr>
          <w:rFonts w:ascii="Helvetica" w:hAnsi="Helvetica"/>
          <w:iCs/>
        </w:rPr>
        <w:t>Residential aged care</w:t>
      </w:r>
      <w:r w:rsidR="003E3F9C" w:rsidRPr="00486075">
        <w:rPr>
          <w:rFonts w:ascii="Helvetica" w:hAnsi="Helvetica"/>
          <w:iCs/>
        </w:rPr>
        <w:t xml:space="preserve"> </w:t>
      </w:r>
      <w:r w:rsidRPr="00486075">
        <w:rPr>
          <w:rFonts w:ascii="Helvetica" w:hAnsi="Helvetica"/>
          <w:iCs/>
        </w:rPr>
        <w:t xml:space="preserve">operates under the </w:t>
      </w:r>
      <w:r w:rsidRPr="00486075">
        <w:rPr>
          <w:rFonts w:ascii="Helvetica" w:hAnsi="Helvetica"/>
          <w:i/>
          <w:iCs/>
        </w:rPr>
        <w:t>Aged Care Act 1997</w:t>
      </w:r>
      <w:r w:rsidRPr="00486075">
        <w:rPr>
          <w:rFonts w:ascii="Helvetica" w:hAnsi="Helvetica"/>
          <w:iCs/>
        </w:rPr>
        <w:t xml:space="preserve"> (the Act)</w:t>
      </w:r>
      <w:r w:rsidR="003E3F9C" w:rsidRPr="00486075">
        <w:rPr>
          <w:rFonts w:ascii="Helvetica" w:hAnsi="Helvetica"/>
          <w:iCs/>
        </w:rPr>
        <w:t xml:space="preserve"> to</w:t>
      </w:r>
      <w:r w:rsidRPr="00486075">
        <w:rPr>
          <w:rFonts w:ascii="Helvetica" w:hAnsi="Helvetica"/>
          <w:iCs/>
        </w:rPr>
        <w:t xml:space="preserve"> provide 24-hour support </w:t>
      </w:r>
      <w:r w:rsidR="00F121B5" w:rsidRPr="00486075">
        <w:rPr>
          <w:rFonts w:ascii="Helvetica" w:hAnsi="Helvetica"/>
          <w:iCs/>
        </w:rPr>
        <w:t xml:space="preserve">and accommodation </w:t>
      </w:r>
      <w:r w:rsidRPr="00486075">
        <w:rPr>
          <w:rFonts w:ascii="Helvetica" w:hAnsi="Helvetica"/>
          <w:iCs/>
        </w:rPr>
        <w:t xml:space="preserve">to </w:t>
      </w:r>
      <w:r w:rsidR="00150C09" w:rsidRPr="00486075">
        <w:rPr>
          <w:rFonts w:ascii="Helvetica" w:hAnsi="Helvetica"/>
          <w:iCs/>
        </w:rPr>
        <w:t>senior</w:t>
      </w:r>
      <w:r w:rsidRPr="00486075">
        <w:rPr>
          <w:rFonts w:ascii="Helvetica" w:hAnsi="Helvetica"/>
          <w:iCs/>
        </w:rPr>
        <w:t xml:space="preserve"> people who can no longer remain living at home. This can include support with day-to-day task</w:t>
      </w:r>
      <w:r w:rsidR="00150C09" w:rsidRPr="00486075">
        <w:rPr>
          <w:rFonts w:ascii="Helvetica" w:hAnsi="Helvetica"/>
          <w:iCs/>
        </w:rPr>
        <w:t>s, personal care, clinical care</w:t>
      </w:r>
      <w:r w:rsidRPr="00486075">
        <w:rPr>
          <w:rFonts w:ascii="Helvetica" w:hAnsi="Helvetica"/>
          <w:iCs/>
        </w:rPr>
        <w:t xml:space="preserve">, and other care services. </w:t>
      </w:r>
      <w:r w:rsidR="00F121B5" w:rsidRPr="00486075">
        <w:rPr>
          <w:rFonts w:ascii="Helvetica" w:hAnsi="Helvetica"/>
          <w:iCs/>
        </w:rPr>
        <w:t xml:space="preserve">Government subsidised residential aged care must be provided </w:t>
      </w:r>
      <w:r w:rsidR="00B90E95" w:rsidRPr="00486075">
        <w:rPr>
          <w:rFonts w:ascii="Helvetica" w:hAnsi="Helvetica"/>
          <w:iCs/>
        </w:rPr>
        <w:t>through a government allocated place – these places are currently allocated to approved providers</w:t>
      </w:r>
      <w:r w:rsidR="00B90E95" w:rsidRPr="00486075">
        <w:rPr>
          <w:rStyle w:val="FootnoteReference"/>
          <w:rFonts w:ascii="Helvetica" w:hAnsi="Helvetica"/>
        </w:rPr>
        <w:footnoteReference w:id="2"/>
      </w:r>
      <w:r w:rsidR="00755510" w:rsidRPr="00486075">
        <w:rPr>
          <w:rFonts w:ascii="Helvetica" w:hAnsi="Helvetica"/>
          <w:iCs/>
        </w:rPr>
        <w:t xml:space="preserve">. </w:t>
      </w:r>
      <w:r w:rsidR="00B90E95" w:rsidRPr="00486075">
        <w:rPr>
          <w:rFonts w:ascii="Helvetica" w:hAnsi="Helvetica"/>
          <w:iCs/>
        </w:rPr>
        <w:t xml:space="preserve"> </w:t>
      </w:r>
    </w:p>
    <w:p w14:paraId="5FCDB8E7" w14:textId="77777777" w:rsidR="00150C09" w:rsidRPr="00486075" w:rsidRDefault="00150C09" w:rsidP="00486075">
      <w:pPr>
        <w:spacing w:before="120" w:after="120"/>
        <w:rPr>
          <w:rFonts w:ascii="Helvetica" w:eastAsiaTheme="majorEastAsia" w:hAnsi="Helvetica" w:cstheme="majorBidi"/>
          <w:color w:val="2F5496" w:themeColor="accent1" w:themeShade="BF"/>
          <w:sz w:val="26"/>
          <w:szCs w:val="26"/>
        </w:rPr>
      </w:pPr>
      <w:r w:rsidRPr="00486075">
        <w:rPr>
          <w:rFonts w:ascii="Helvetica" w:eastAsiaTheme="majorEastAsia" w:hAnsi="Helvetica" w:cstheme="majorBidi"/>
          <w:color w:val="2F5496" w:themeColor="accent1" w:themeShade="BF"/>
          <w:sz w:val="26"/>
          <w:szCs w:val="26"/>
        </w:rPr>
        <w:t>Snapshot of residential aged care</w:t>
      </w:r>
      <w:r w:rsidRPr="00486075">
        <w:rPr>
          <w:rStyle w:val="FootnoteReference"/>
          <w:rFonts w:ascii="Helvetica" w:eastAsiaTheme="majorEastAsia" w:hAnsi="Helvetica" w:cstheme="majorBidi"/>
          <w:color w:val="2F5496" w:themeColor="accent1" w:themeShade="BF"/>
          <w:sz w:val="26"/>
          <w:szCs w:val="26"/>
        </w:rPr>
        <w:footnoteReference w:id="3"/>
      </w:r>
    </w:p>
    <w:p w14:paraId="723B5FDD" w14:textId="77777777" w:rsidR="00150C09" w:rsidRPr="00486075" w:rsidRDefault="00150C09" w:rsidP="00567F40">
      <w:pPr>
        <w:pBdr>
          <w:top w:val="single" w:sz="36" w:space="1" w:color="auto"/>
        </w:pBdr>
        <w:rPr>
          <w:rFonts w:ascii="Helvetica" w:hAnsi="Helvetica"/>
          <w:b/>
        </w:rPr>
      </w:pPr>
      <w:r w:rsidRPr="00486075">
        <w:rPr>
          <w:rFonts w:ascii="Helvetica" w:hAnsi="Helvetica"/>
          <w:b/>
        </w:rPr>
        <w:t>Who provided residential aged care (as at 30 June 2018)?</w:t>
      </w:r>
    </w:p>
    <w:p w14:paraId="6AD99B57" w14:textId="77777777" w:rsidR="00150C09" w:rsidRPr="00486075" w:rsidRDefault="00150C09" w:rsidP="00216A0E">
      <w:pPr>
        <w:pStyle w:val="ListParagraph"/>
        <w:numPr>
          <w:ilvl w:val="0"/>
          <w:numId w:val="22"/>
        </w:numPr>
        <w:spacing w:after="120"/>
        <w:rPr>
          <w:rFonts w:ascii="Helvetica" w:hAnsi="Helvetica"/>
        </w:rPr>
      </w:pPr>
      <w:r w:rsidRPr="00486075">
        <w:rPr>
          <w:rFonts w:ascii="Helvetica" w:hAnsi="Helvetica"/>
        </w:rPr>
        <w:t>There were 2,695 aged care homes operated by 886 approved providers with a total of 246,536 allocated</w:t>
      </w:r>
      <w:r w:rsidR="0061259F" w:rsidRPr="00486075">
        <w:rPr>
          <w:rStyle w:val="FootnoteReference"/>
          <w:rFonts w:ascii="Helvetica" w:hAnsi="Helvetica"/>
        </w:rPr>
        <w:footnoteReference w:id="4"/>
      </w:r>
      <w:r w:rsidRPr="00486075">
        <w:rPr>
          <w:rFonts w:ascii="Helvetica" w:hAnsi="Helvetica"/>
        </w:rPr>
        <w:t xml:space="preserve"> </w:t>
      </w:r>
      <w:r w:rsidR="00402D4E" w:rsidRPr="00486075">
        <w:rPr>
          <w:rFonts w:ascii="Helvetica" w:hAnsi="Helvetica"/>
        </w:rPr>
        <w:t xml:space="preserve">residential aged care </w:t>
      </w:r>
      <w:r w:rsidRPr="00486075">
        <w:rPr>
          <w:rFonts w:ascii="Helvetica" w:hAnsi="Helvetica"/>
        </w:rPr>
        <w:t xml:space="preserve">places. </w:t>
      </w:r>
    </w:p>
    <w:p w14:paraId="392954C3" w14:textId="77777777" w:rsidR="00402D4E" w:rsidRPr="00486075" w:rsidRDefault="00402D4E" w:rsidP="00216A0E">
      <w:pPr>
        <w:pStyle w:val="Default"/>
        <w:numPr>
          <w:ilvl w:val="1"/>
          <w:numId w:val="22"/>
        </w:numPr>
        <w:spacing w:after="60"/>
        <w:rPr>
          <w:rFonts w:ascii="Helvetica" w:hAnsi="Helvetica"/>
          <w:color w:val="auto"/>
        </w:rPr>
      </w:pPr>
      <w:r w:rsidRPr="00486075">
        <w:rPr>
          <w:rFonts w:ascii="Helvetica" w:eastAsia="Times New Roman" w:hAnsi="Helvetica" w:cs="Times New Roman"/>
          <w:color w:val="auto"/>
          <w:lang w:eastAsia="en-AU"/>
        </w:rPr>
        <w:t>Around 13 per cent of allocated places were yet to be constructed or opened (‘provisionally allocated’)</w:t>
      </w:r>
      <w:r w:rsidRPr="00486075">
        <w:rPr>
          <w:rFonts w:ascii="Helvetica" w:hAnsi="Helvetica"/>
          <w:color w:val="auto"/>
          <w:vertAlign w:val="superscript"/>
        </w:rPr>
        <w:footnoteReference w:id="5"/>
      </w:r>
      <w:r w:rsidRPr="00486075">
        <w:rPr>
          <w:rFonts w:ascii="Helvetica" w:eastAsia="Times New Roman" w:hAnsi="Helvetica" w:cs="Times New Roman"/>
          <w:color w:val="auto"/>
          <w:lang w:eastAsia="en-AU"/>
        </w:rPr>
        <w:t xml:space="preserve"> (construction takes an average of 4.3 years</w:t>
      </w:r>
      <w:r w:rsidRPr="00486075">
        <w:rPr>
          <w:rFonts w:ascii="Helvetica" w:hAnsi="Helvetica"/>
          <w:color w:val="auto"/>
          <w:vertAlign w:val="superscript"/>
        </w:rPr>
        <w:footnoteReference w:id="6"/>
      </w:r>
      <w:r w:rsidRPr="00486075">
        <w:rPr>
          <w:rFonts w:ascii="Helvetica" w:eastAsia="Times New Roman" w:hAnsi="Helvetica" w:cs="Times New Roman"/>
          <w:color w:val="auto"/>
          <w:lang w:eastAsia="en-AU"/>
        </w:rPr>
        <w:t xml:space="preserve">). </w:t>
      </w:r>
      <w:r w:rsidR="00591062" w:rsidRPr="00486075">
        <w:rPr>
          <w:rFonts w:ascii="Helvetica" w:eastAsia="Times New Roman" w:hAnsi="Helvetica" w:cs="Times New Roman"/>
          <w:color w:val="auto"/>
          <w:lang w:eastAsia="en-AU"/>
        </w:rPr>
        <w:t xml:space="preserve">Around nine </w:t>
      </w:r>
      <w:r w:rsidRPr="00486075">
        <w:rPr>
          <w:rFonts w:ascii="Helvetica" w:eastAsia="Times New Roman" w:hAnsi="Helvetica" w:cs="Times New Roman"/>
          <w:color w:val="auto"/>
          <w:lang w:eastAsia="en-AU"/>
        </w:rPr>
        <w:t xml:space="preserve">per cent of </w:t>
      </w:r>
      <w:r w:rsidR="00591062" w:rsidRPr="00486075">
        <w:rPr>
          <w:rFonts w:ascii="Helvetica" w:eastAsia="Times New Roman" w:hAnsi="Helvetica" w:cs="Times New Roman"/>
          <w:color w:val="auto"/>
          <w:lang w:eastAsia="en-AU"/>
        </w:rPr>
        <w:t xml:space="preserve">these </w:t>
      </w:r>
      <w:r w:rsidRPr="00486075">
        <w:rPr>
          <w:rFonts w:ascii="Helvetica" w:eastAsia="Times New Roman" w:hAnsi="Helvetica" w:cs="Times New Roman"/>
          <w:color w:val="auto"/>
          <w:lang w:eastAsia="en-AU"/>
        </w:rPr>
        <w:t xml:space="preserve">provisionally allocated places have been allocated for </w:t>
      </w:r>
      <w:r w:rsidR="00591062" w:rsidRPr="00486075">
        <w:rPr>
          <w:rFonts w:ascii="Helvetica" w:eastAsia="Times New Roman" w:hAnsi="Helvetica" w:cs="Times New Roman"/>
          <w:color w:val="auto"/>
          <w:lang w:eastAsia="en-AU"/>
        </w:rPr>
        <w:t>6 </w:t>
      </w:r>
      <w:r w:rsidRPr="00486075">
        <w:rPr>
          <w:rFonts w:ascii="Helvetica" w:eastAsia="Times New Roman" w:hAnsi="Helvetica" w:cs="Times New Roman"/>
          <w:color w:val="auto"/>
          <w:lang w:eastAsia="en-AU"/>
        </w:rPr>
        <w:t xml:space="preserve">years or more. </w:t>
      </w:r>
    </w:p>
    <w:p w14:paraId="01A595EF" w14:textId="77777777" w:rsidR="009079CF" w:rsidRPr="00486075" w:rsidRDefault="009079CF" w:rsidP="00216A0E">
      <w:pPr>
        <w:pStyle w:val="Default"/>
        <w:numPr>
          <w:ilvl w:val="1"/>
          <w:numId w:val="22"/>
        </w:numPr>
        <w:spacing w:after="120"/>
        <w:ind w:left="1077" w:hanging="357"/>
        <w:rPr>
          <w:rFonts w:ascii="Helvetica" w:hAnsi="Helvetica"/>
          <w:color w:val="auto"/>
        </w:rPr>
      </w:pPr>
      <w:r w:rsidRPr="00486075">
        <w:rPr>
          <w:rFonts w:ascii="Helvetica" w:eastAsia="Times New Roman" w:hAnsi="Helvetica" w:cs="Times New Roman"/>
          <w:color w:val="auto"/>
          <w:lang w:eastAsia="en-AU"/>
        </w:rPr>
        <w:t>Around 3 per cent of allocated places were previously operational but currently offline (temporarily unavailable for consumers), often due to renovations or rebuilding of the aged care home.</w:t>
      </w:r>
      <w:r w:rsidRPr="00486075">
        <w:rPr>
          <w:rFonts w:ascii="Helvetica" w:hAnsi="Helvetica"/>
          <w:color w:val="auto"/>
        </w:rPr>
        <w:t xml:space="preserve"> </w:t>
      </w:r>
    </w:p>
    <w:p w14:paraId="64282E95" w14:textId="605E9202" w:rsidR="00150C09" w:rsidRPr="00486075" w:rsidRDefault="00150C09">
      <w:pPr>
        <w:pStyle w:val="ListParagraph"/>
        <w:numPr>
          <w:ilvl w:val="1"/>
          <w:numId w:val="22"/>
        </w:numPr>
        <w:spacing w:after="120"/>
        <w:contextualSpacing w:val="0"/>
        <w:rPr>
          <w:rFonts w:ascii="Helvetica" w:hAnsi="Helvetica"/>
        </w:rPr>
      </w:pPr>
      <w:r w:rsidRPr="00486075">
        <w:rPr>
          <w:rFonts w:ascii="Helvetica" w:hAnsi="Helvetica"/>
        </w:rPr>
        <w:t>There were 207,142 operational</w:t>
      </w:r>
      <w:r w:rsidRPr="00486075">
        <w:rPr>
          <w:rStyle w:val="FootnoteReference"/>
          <w:rFonts w:ascii="Helvetica" w:hAnsi="Helvetica"/>
        </w:rPr>
        <w:footnoteReference w:id="7"/>
      </w:r>
      <w:r w:rsidRPr="00486075">
        <w:rPr>
          <w:rFonts w:ascii="Helvetica" w:hAnsi="Helvetica"/>
        </w:rPr>
        <w:t xml:space="preserve"> places</w:t>
      </w:r>
      <w:r w:rsidR="00C2356B" w:rsidRPr="00486075">
        <w:rPr>
          <w:rFonts w:ascii="Helvetica" w:hAnsi="Helvetica"/>
        </w:rPr>
        <w:t xml:space="preserve"> (the remaining 84 per cent of allocated places)</w:t>
      </w:r>
      <w:r w:rsidR="005874DB" w:rsidRPr="00486075">
        <w:rPr>
          <w:rFonts w:ascii="Helvetica" w:hAnsi="Helvetica"/>
        </w:rPr>
        <w:t>.</w:t>
      </w:r>
      <w:r w:rsidR="00CC41CF" w:rsidRPr="00486075">
        <w:rPr>
          <w:rFonts w:ascii="Helvetica" w:hAnsi="Helvetica"/>
        </w:rPr>
        <w:t xml:space="preserve"> </w:t>
      </w:r>
      <w:r w:rsidR="00EA795B" w:rsidRPr="00486075">
        <w:rPr>
          <w:rFonts w:ascii="Helvetica" w:hAnsi="Helvetica"/>
        </w:rPr>
        <w:t>StewartBrown</w:t>
      </w:r>
      <w:r w:rsidR="00C22746" w:rsidRPr="00486075">
        <w:rPr>
          <w:rFonts w:ascii="Helvetica" w:hAnsi="Helvetica"/>
        </w:rPr>
        <w:t>,</w:t>
      </w:r>
      <w:r w:rsidR="00EA795B" w:rsidRPr="00486075">
        <w:rPr>
          <w:rFonts w:ascii="Helvetica" w:hAnsi="Helvetica"/>
        </w:rPr>
        <w:t xml:space="preserve"> </w:t>
      </w:r>
      <w:r w:rsidR="00C22746" w:rsidRPr="00486075">
        <w:rPr>
          <w:rFonts w:ascii="Helvetica" w:hAnsi="Helvetica"/>
        </w:rPr>
        <w:t xml:space="preserve">through their quarterly financial performance survey, </w:t>
      </w:r>
      <w:r w:rsidR="00EA795B" w:rsidRPr="00486075">
        <w:rPr>
          <w:rFonts w:ascii="Helvetica" w:hAnsi="Helvetica"/>
        </w:rPr>
        <w:t>reports an occupancy rate</w:t>
      </w:r>
      <w:r w:rsidR="00F67698" w:rsidRPr="00486075">
        <w:rPr>
          <w:rStyle w:val="FootnoteReference"/>
          <w:rFonts w:ascii="Helvetica" w:hAnsi="Helvetica"/>
        </w:rPr>
        <w:footnoteReference w:id="8"/>
      </w:r>
      <w:r w:rsidR="00EA795B" w:rsidRPr="00486075">
        <w:rPr>
          <w:rFonts w:ascii="Helvetica" w:hAnsi="Helvetica"/>
        </w:rPr>
        <w:t xml:space="preserve"> of 94.3 per cent</w:t>
      </w:r>
      <w:r w:rsidR="00567F40" w:rsidRPr="00486075">
        <w:rPr>
          <w:rStyle w:val="FootnoteReference"/>
          <w:rFonts w:ascii="Helvetica" w:hAnsi="Helvetica"/>
        </w:rPr>
        <w:footnoteReference w:id="9"/>
      </w:r>
      <w:r w:rsidR="008C3B83" w:rsidRPr="00486075">
        <w:rPr>
          <w:rFonts w:ascii="Helvetica" w:hAnsi="Helvetica"/>
        </w:rPr>
        <w:t xml:space="preserve">. </w:t>
      </w:r>
    </w:p>
    <w:p w14:paraId="7490066F" w14:textId="77777777" w:rsidR="00150C09" w:rsidRPr="00486075" w:rsidRDefault="00150C09" w:rsidP="00216A0E">
      <w:pPr>
        <w:pStyle w:val="ListParagraph"/>
        <w:numPr>
          <w:ilvl w:val="0"/>
          <w:numId w:val="22"/>
        </w:numPr>
        <w:spacing w:before="120" w:after="120"/>
        <w:ind w:left="357" w:hanging="357"/>
        <w:contextualSpacing w:val="0"/>
        <w:rPr>
          <w:rFonts w:ascii="Helvetica" w:hAnsi="Helvetica"/>
        </w:rPr>
      </w:pPr>
      <w:r w:rsidRPr="00486075">
        <w:rPr>
          <w:rFonts w:ascii="Helvetica" w:hAnsi="Helvetica"/>
        </w:rPr>
        <w:t>Not-for-profit providers (comprising religious, charitable and community-based providers) held 55.3 per cent of the operational residential</w:t>
      </w:r>
      <w:r w:rsidR="00060ACD" w:rsidRPr="00486075">
        <w:rPr>
          <w:rFonts w:ascii="Helvetica" w:hAnsi="Helvetica"/>
        </w:rPr>
        <w:t xml:space="preserve"> aged</w:t>
      </w:r>
      <w:r w:rsidRPr="00486075">
        <w:rPr>
          <w:rFonts w:ascii="Helvetica" w:hAnsi="Helvetica"/>
        </w:rPr>
        <w:t xml:space="preserve"> care places, for-profit providers held 40.6 per cent, and government providers held 4.2 per cent.</w:t>
      </w:r>
    </w:p>
    <w:p w14:paraId="5453B746" w14:textId="77777777" w:rsidR="00150C09" w:rsidRPr="00486075" w:rsidRDefault="00150C09" w:rsidP="00567F40">
      <w:pPr>
        <w:spacing w:before="140"/>
        <w:rPr>
          <w:rFonts w:ascii="Helvetica" w:hAnsi="Helvetica"/>
          <w:b/>
        </w:rPr>
      </w:pPr>
      <w:r w:rsidRPr="00486075">
        <w:rPr>
          <w:rFonts w:ascii="Helvetica" w:hAnsi="Helvetica"/>
          <w:b/>
        </w:rPr>
        <w:t>Who received residential aged care (in 2017-18)?</w:t>
      </w:r>
    </w:p>
    <w:p w14:paraId="2AAAE873" w14:textId="77777777" w:rsidR="00150C09" w:rsidRPr="00486075" w:rsidRDefault="00150C09" w:rsidP="00216A0E">
      <w:pPr>
        <w:pStyle w:val="ListParagraph"/>
        <w:numPr>
          <w:ilvl w:val="0"/>
          <w:numId w:val="22"/>
        </w:numPr>
        <w:spacing w:after="120"/>
        <w:rPr>
          <w:rFonts w:ascii="Helvetica" w:hAnsi="Helvetica"/>
        </w:rPr>
      </w:pPr>
      <w:r w:rsidRPr="00486075">
        <w:rPr>
          <w:rFonts w:ascii="Helvetica" w:hAnsi="Helvetica"/>
        </w:rPr>
        <w:t>241,723 permanent residents in aged care homes at some time during the year.</w:t>
      </w:r>
    </w:p>
    <w:p w14:paraId="79A44C74" w14:textId="77777777" w:rsidR="00150C09" w:rsidRPr="00486075" w:rsidRDefault="00150C09" w:rsidP="00216A0E">
      <w:pPr>
        <w:pStyle w:val="ListParagraph"/>
        <w:numPr>
          <w:ilvl w:val="0"/>
          <w:numId w:val="22"/>
        </w:numPr>
        <w:spacing w:after="120"/>
        <w:rPr>
          <w:rFonts w:ascii="Helvetica" w:hAnsi="Helvetica"/>
        </w:rPr>
      </w:pPr>
      <w:r w:rsidRPr="00486075">
        <w:rPr>
          <w:rFonts w:ascii="Helvetica" w:hAnsi="Helvetica"/>
        </w:rPr>
        <w:t>On 30 June 2018, there were 180,923 people receiving residential aged care.</w:t>
      </w:r>
    </w:p>
    <w:p w14:paraId="2F1605B0" w14:textId="77777777" w:rsidR="00567F40" w:rsidRPr="00486075" w:rsidRDefault="00150C09" w:rsidP="00216A0E">
      <w:pPr>
        <w:pStyle w:val="ListParagraph"/>
        <w:numPr>
          <w:ilvl w:val="0"/>
          <w:numId w:val="22"/>
        </w:numPr>
        <w:spacing w:after="120"/>
        <w:ind w:left="357" w:hanging="357"/>
        <w:rPr>
          <w:rFonts w:ascii="Helvetica" w:hAnsi="Helvetica"/>
        </w:rPr>
      </w:pPr>
      <w:r w:rsidRPr="00486075">
        <w:rPr>
          <w:rFonts w:ascii="Helvetica" w:hAnsi="Helvetica"/>
        </w:rPr>
        <w:t>Average age (on entry) was 82.0 years for men, 84.5 years for women.</w:t>
      </w:r>
    </w:p>
    <w:p w14:paraId="7AE4FB0A" w14:textId="26C09778" w:rsidR="00150C09" w:rsidRPr="00486075" w:rsidRDefault="00150C09" w:rsidP="00350D74">
      <w:pPr>
        <w:pStyle w:val="ListParagraph"/>
        <w:numPr>
          <w:ilvl w:val="0"/>
          <w:numId w:val="22"/>
        </w:numPr>
        <w:contextualSpacing w:val="0"/>
        <w:rPr>
          <w:rFonts w:ascii="Helvetica" w:hAnsi="Helvetica"/>
        </w:rPr>
      </w:pPr>
      <w:r w:rsidRPr="00486075">
        <w:rPr>
          <w:rFonts w:ascii="Helvetica" w:hAnsi="Helvetica"/>
        </w:rPr>
        <w:t xml:space="preserve">Average length of stay </w:t>
      </w:r>
      <w:r w:rsidR="00350D74" w:rsidRPr="00486075">
        <w:rPr>
          <w:rFonts w:ascii="Helvetica" w:hAnsi="Helvetica"/>
        </w:rPr>
        <w:t xml:space="preserve">for people who left permanent residential aged care in 2017-18 </w:t>
      </w:r>
      <w:r w:rsidRPr="00486075">
        <w:rPr>
          <w:rFonts w:ascii="Helvetica" w:hAnsi="Helvetica"/>
        </w:rPr>
        <w:t xml:space="preserve">was 34.6 months </w:t>
      </w:r>
      <w:r w:rsidR="00591062" w:rsidRPr="00486075">
        <w:rPr>
          <w:rFonts w:ascii="Helvetica" w:hAnsi="Helvetica"/>
        </w:rPr>
        <w:t xml:space="preserve">(38.8 </w:t>
      </w:r>
      <w:r w:rsidR="00CF6FA8" w:rsidRPr="00486075">
        <w:rPr>
          <w:rFonts w:ascii="Helvetica" w:hAnsi="Helvetica"/>
        </w:rPr>
        <w:t xml:space="preserve">months </w:t>
      </w:r>
      <w:r w:rsidRPr="00486075">
        <w:rPr>
          <w:rFonts w:ascii="Helvetica" w:hAnsi="Helvetica"/>
        </w:rPr>
        <w:t>for consumers with dementia</w:t>
      </w:r>
      <w:r w:rsidR="00591062" w:rsidRPr="00486075">
        <w:rPr>
          <w:rFonts w:ascii="Helvetica" w:hAnsi="Helvetica"/>
        </w:rPr>
        <w:t xml:space="preserve"> and 30.4 months for consumers without dementia)</w:t>
      </w:r>
      <w:r w:rsidRPr="00486075">
        <w:rPr>
          <w:rFonts w:ascii="Helvetica" w:hAnsi="Helvetica"/>
        </w:rPr>
        <w:t xml:space="preserve">. </w:t>
      </w:r>
      <w:r w:rsidR="00A64144" w:rsidRPr="00486075">
        <w:rPr>
          <w:rFonts w:ascii="Helvetica" w:hAnsi="Helvetica"/>
        </w:rPr>
        <w:t xml:space="preserve">Preliminary analysis of </w:t>
      </w:r>
      <w:r w:rsidR="00D644D7" w:rsidRPr="00486075">
        <w:rPr>
          <w:rFonts w:ascii="Helvetica" w:hAnsi="Helvetica"/>
        </w:rPr>
        <w:t>length of stay</w:t>
      </w:r>
      <w:r w:rsidR="008C3B83" w:rsidRPr="00486075">
        <w:rPr>
          <w:rFonts w:ascii="Helvetica" w:hAnsi="Helvetica"/>
        </w:rPr>
        <w:t xml:space="preserve">, to date, of residents who were admitted during </w:t>
      </w:r>
      <w:r w:rsidR="0061259F" w:rsidRPr="00486075">
        <w:rPr>
          <w:rFonts w:ascii="Helvetica" w:hAnsi="Helvetica"/>
        </w:rPr>
        <w:t>the</w:t>
      </w:r>
      <w:r w:rsidR="004D1A49" w:rsidRPr="00486075">
        <w:rPr>
          <w:rFonts w:ascii="Helvetica" w:hAnsi="Helvetica"/>
        </w:rPr>
        <w:t xml:space="preserve"> last </w:t>
      </w:r>
      <w:r w:rsidR="00A64144" w:rsidRPr="00486075">
        <w:rPr>
          <w:rFonts w:ascii="Helvetica" w:hAnsi="Helvetica"/>
        </w:rPr>
        <w:t xml:space="preserve">five </w:t>
      </w:r>
      <w:r w:rsidR="004D1A49" w:rsidRPr="00486075">
        <w:rPr>
          <w:rFonts w:ascii="Helvetica" w:hAnsi="Helvetica"/>
        </w:rPr>
        <w:t xml:space="preserve">years </w:t>
      </w:r>
      <w:r w:rsidR="00A64144" w:rsidRPr="00486075">
        <w:rPr>
          <w:rFonts w:ascii="Helvetica" w:hAnsi="Helvetica"/>
        </w:rPr>
        <w:t>suggests falling lengths of stay</w:t>
      </w:r>
      <w:r w:rsidR="004D1A49" w:rsidRPr="00486075">
        <w:rPr>
          <w:rFonts w:ascii="Helvetica" w:hAnsi="Helvetica"/>
        </w:rPr>
        <w:t>.</w:t>
      </w:r>
    </w:p>
    <w:p w14:paraId="3D7FA120" w14:textId="77777777" w:rsidR="00150C09" w:rsidRPr="00486075" w:rsidRDefault="00150C09" w:rsidP="00216A0E">
      <w:pPr>
        <w:pStyle w:val="ListParagraph"/>
        <w:numPr>
          <w:ilvl w:val="0"/>
          <w:numId w:val="22"/>
        </w:numPr>
        <w:pBdr>
          <w:bottom w:val="single" w:sz="36" w:space="1" w:color="auto"/>
        </w:pBdr>
        <w:snapToGrid w:val="0"/>
        <w:spacing w:after="120"/>
        <w:rPr>
          <w:rFonts w:ascii="Helvetica" w:hAnsi="Helvetica"/>
          <w:iCs/>
        </w:rPr>
      </w:pPr>
      <w:r w:rsidRPr="00486075">
        <w:rPr>
          <w:rFonts w:ascii="Helvetica" w:hAnsi="Helvetica"/>
        </w:rPr>
        <w:t>Average annual government subsidy per resident was $65,588</w:t>
      </w:r>
      <w:r w:rsidR="004101D3" w:rsidRPr="00486075">
        <w:rPr>
          <w:rFonts w:ascii="Helvetica" w:hAnsi="Helvetica"/>
        </w:rPr>
        <w:t>.</w:t>
      </w:r>
    </w:p>
    <w:p w14:paraId="64551114" w14:textId="0A7EC0CC" w:rsidR="001829B9" w:rsidRPr="00486075" w:rsidRDefault="001829B9" w:rsidP="00553BEF">
      <w:pPr>
        <w:pStyle w:val="Heading2"/>
      </w:pPr>
      <w:bookmarkStart w:id="32" w:name="_Toc31293656"/>
      <w:r w:rsidRPr="00486075">
        <w:lastRenderedPageBreak/>
        <w:t>Aged Care Approvals Round</w:t>
      </w:r>
      <w:bookmarkEnd w:id="32"/>
    </w:p>
    <w:p w14:paraId="2E7D1EE8" w14:textId="77777777" w:rsidR="00B32D84" w:rsidRPr="00486075" w:rsidRDefault="001829B9" w:rsidP="005E5C53">
      <w:pPr>
        <w:snapToGrid w:val="0"/>
        <w:spacing w:after="120"/>
        <w:rPr>
          <w:rFonts w:ascii="Helvetica" w:hAnsi="Helvetica"/>
          <w:iCs/>
        </w:rPr>
      </w:pPr>
      <w:r w:rsidRPr="00486075">
        <w:rPr>
          <w:rFonts w:ascii="Helvetica" w:hAnsi="Helvetica"/>
          <w:iCs/>
        </w:rPr>
        <w:t>The Aged Care Approvals Round (ACAR) is a competitive application process enabling prospective and existing approved providers to apply for new residential aged care places</w:t>
      </w:r>
      <w:r w:rsidR="004D6435" w:rsidRPr="00486075">
        <w:rPr>
          <w:rFonts w:ascii="Helvetica" w:hAnsi="Helvetica"/>
          <w:iCs/>
        </w:rPr>
        <w:t xml:space="preserve"> (including specifying whether residential respite care will also be delivered)</w:t>
      </w:r>
      <w:r w:rsidRPr="00486075">
        <w:rPr>
          <w:rFonts w:ascii="Helvetica" w:hAnsi="Helvetica"/>
          <w:iCs/>
        </w:rPr>
        <w:t xml:space="preserve">, short-term restorative care places, and financial assistance in the form of capital grants. </w:t>
      </w:r>
      <w:r w:rsidR="00465354" w:rsidRPr="00486075">
        <w:rPr>
          <w:rFonts w:ascii="Helvetica" w:hAnsi="Helvetica"/>
        </w:rPr>
        <w:t>Under t</w:t>
      </w:r>
      <w:r w:rsidRPr="00486075">
        <w:rPr>
          <w:rFonts w:ascii="Helvetica" w:hAnsi="Helvetica"/>
        </w:rPr>
        <w:t>he Act</w:t>
      </w:r>
      <w:r w:rsidR="00465354" w:rsidRPr="00486075">
        <w:rPr>
          <w:rFonts w:ascii="Helvetica" w:hAnsi="Helvetica"/>
        </w:rPr>
        <w:t>,</w:t>
      </w:r>
      <w:r w:rsidR="00135DF6" w:rsidRPr="00486075">
        <w:rPr>
          <w:rFonts w:ascii="Helvetica" w:hAnsi="Helvetica"/>
        </w:rPr>
        <w:t xml:space="preserve"> </w:t>
      </w:r>
      <w:r w:rsidR="00465354" w:rsidRPr="00486075">
        <w:rPr>
          <w:rFonts w:ascii="Helvetica" w:hAnsi="Helvetica"/>
        </w:rPr>
        <w:t>n</w:t>
      </w:r>
      <w:r w:rsidRPr="00486075">
        <w:rPr>
          <w:rFonts w:ascii="Helvetica" w:hAnsi="Helvetica"/>
        </w:rPr>
        <w:t>ew aged care places are made available for allocation in each state and territory having regard to the aged care provision ratio</w:t>
      </w:r>
      <w:r w:rsidRPr="00486075">
        <w:rPr>
          <w:rFonts w:ascii="Helvetica" w:hAnsi="Helvetica"/>
          <w:vertAlign w:val="superscript"/>
        </w:rPr>
        <w:footnoteReference w:id="10"/>
      </w:r>
      <w:r w:rsidRPr="00486075">
        <w:rPr>
          <w:rFonts w:ascii="Helvetica" w:hAnsi="Helvetica"/>
        </w:rPr>
        <w:t>, population projections, and the level of current service provision.</w:t>
      </w:r>
      <w:r w:rsidR="0046659C" w:rsidRPr="00486075">
        <w:rPr>
          <w:rFonts w:ascii="Helvetica" w:hAnsi="Helvetica"/>
        </w:rPr>
        <w:t xml:space="preserve"> </w:t>
      </w:r>
      <w:r w:rsidRPr="00486075">
        <w:rPr>
          <w:rFonts w:ascii="Helvetica" w:hAnsi="Helvetica"/>
          <w:iCs/>
        </w:rPr>
        <w:t xml:space="preserve">The Act </w:t>
      </w:r>
      <w:r w:rsidR="0046659C" w:rsidRPr="00486075">
        <w:rPr>
          <w:rFonts w:ascii="Helvetica" w:hAnsi="Helvetica"/>
          <w:iCs/>
        </w:rPr>
        <w:t xml:space="preserve">also </w:t>
      </w:r>
      <w:r w:rsidRPr="00486075">
        <w:rPr>
          <w:rFonts w:ascii="Helvetica" w:hAnsi="Helvetica"/>
          <w:iCs/>
        </w:rPr>
        <w:t>governs the way places are managed after they have been allocated. This includes timeframes for making allocated places operational, variations to conditions of allocation</w:t>
      </w:r>
      <w:r w:rsidR="00060ACD" w:rsidRPr="00486075">
        <w:rPr>
          <w:rStyle w:val="FootnoteReference"/>
          <w:rFonts w:ascii="Helvetica" w:hAnsi="Helvetica"/>
          <w:iCs/>
        </w:rPr>
        <w:footnoteReference w:id="11"/>
      </w:r>
      <w:r w:rsidRPr="00486075">
        <w:rPr>
          <w:rFonts w:ascii="Helvetica" w:hAnsi="Helvetica"/>
          <w:iCs/>
        </w:rPr>
        <w:t>, and how places can be transferred, relinquished or revoked.</w:t>
      </w:r>
    </w:p>
    <w:p w14:paraId="111780AD" w14:textId="77777777" w:rsidR="0046659C" w:rsidRPr="00486075" w:rsidRDefault="0046659C" w:rsidP="0046659C">
      <w:pPr>
        <w:snapToGrid w:val="0"/>
        <w:spacing w:after="120"/>
        <w:rPr>
          <w:rFonts w:ascii="Helvetica" w:hAnsi="Helvetica"/>
        </w:rPr>
      </w:pPr>
      <w:r w:rsidRPr="00486075">
        <w:rPr>
          <w:rFonts w:ascii="Helvetica" w:hAnsi="Helvetica"/>
        </w:rPr>
        <w:t>The application process for residential aged care places and capital grants is highly competitive. In the latest 2018-19 ACAR</w:t>
      </w:r>
      <w:r w:rsidRPr="00486075">
        <w:rPr>
          <w:rStyle w:val="FootnoteReference"/>
          <w:rFonts w:ascii="Helvetica" w:hAnsi="Helvetica"/>
        </w:rPr>
        <w:footnoteReference w:id="12"/>
      </w:r>
      <w:r w:rsidRPr="00486075">
        <w:rPr>
          <w:rFonts w:ascii="Helvetica" w:hAnsi="Helvetica"/>
        </w:rPr>
        <w:t>, there were applications for 37,802 new residential aged care places, in respect of the 13,500 places being made available. Just over 30 per cent of total places sought were in rural, regional and remote areas (these areas were prioritised in the ACAR). Around 65 per cent of the places allocated were for the development of new aged care homes and around 35 per cent were to expand, rebuild or upgrade existing aged care homes, and expand homes that were yet to be developed. Providers also sought over $394 million in capital grant funding (80 per cent of the funding sought was for rural, regional and remote areas), in respect of $60 million available.</w:t>
      </w:r>
    </w:p>
    <w:p w14:paraId="4DB030E2" w14:textId="03F49EC0" w:rsidR="00C45A75" w:rsidRPr="00486075" w:rsidRDefault="008714D0" w:rsidP="00553BEF">
      <w:pPr>
        <w:pStyle w:val="Heading2"/>
      </w:pPr>
      <w:bookmarkStart w:id="33" w:name="_Toc31293657"/>
      <w:r w:rsidRPr="00486075">
        <w:t>Accessing residential</w:t>
      </w:r>
      <w:r w:rsidR="002D3765" w:rsidRPr="00486075">
        <w:t xml:space="preserve"> aged</w:t>
      </w:r>
      <w:r w:rsidRPr="00486075">
        <w:t xml:space="preserve"> care - </w:t>
      </w:r>
      <w:r w:rsidR="00C45A75" w:rsidRPr="00486075">
        <w:t>consumers’ perspective</w:t>
      </w:r>
      <w:bookmarkEnd w:id="33"/>
    </w:p>
    <w:p w14:paraId="7B50253D" w14:textId="77777777" w:rsidR="00C45A75" w:rsidRPr="00486075" w:rsidRDefault="000237DF" w:rsidP="00341779">
      <w:pPr>
        <w:spacing w:after="120"/>
        <w:rPr>
          <w:rFonts w:ascii="Helvetica" w:hAnsi="Helvetica"/>
        </w:rPr>
      </w:pPr>
      <w:r w:rsidRPr="00486075">
        <w:rPr>
          <w:rFonts w:ascii="Helvetica" w:hAnsi="Helvetica"/>
        </w:rPr>
        <w:t>Under current arrangements, i</w:t>
      </w:r>
      <w:r w:rsidR="00C45A75" w:rsidRPr="00486075">
        <w:rPr>
          <w:rFonts w:ascii="Helvetica" w:hAnsi="Helvetica"/>
        </w:rPr>
        <w:t>n order to receive subsidised residential aged care, a person must:</w:t>
      </w:r>
    </w:p>
    <w:p w14:paraId="4CB19EE1" w14:textId="77777777" w:rsidR="00C45A75" w:rsidRPr="00486075" w:rsidRDefault="00C45A75" w:rsidP="0090656C">
      <w:pPr>
        <w:pStyle w:val="ListParagraph"/>
        <w:numPr>
          <w:ilvl w:val="0"/>
          <w:numId w:val="6"/>
        </w:numPr>
        <w:spacing w:after="120"/>
        <w:ind w:left="771" w:hanging="357"/>
        <w:contextualSpacing w:val="0"/>
        <w:rPr>
          <w:rFonts w:ascii="Helvetica" w:hAnsi="Helvetica"/>
        </w:rPr>
      </w:pPr>
      <w:r w:rsidRPr="00486075">
        <w:rPr>
          <w:rFonts w:ascii="Helvetica" w:hAnsi="Helvetica"/>
        </w:rPr>
        <w:t xml:space="preserve">be </w:t>
      </w:r>
      <w:r w:rsidR="00C47A1F" w:rsidRPr="00486075">
        <w:rPr>
          <w:rFonts w:ascii="Helvetica" w:hAnsi="Helvetica"/>
        </w:rPr>
        <w:t xml:space="preserve">registered with My Aged Care and be </w:t>
      </w:r>
      <w:r w:rsidRPr="00486075">
        <w:rPr>
          <w:rFonts w:ascii="Helvetica" w:hAnsi="Helvetica"/>
        </w:rPr>
        <w:t xml:space="preserve">assessed </w:t>
      </w:r>
      <w:r w:rsidR="00C47A1F" w:rsidRPr="00486075">
        <w:rPr>
          <w:rFonts w:ascii="Helvetica" w:hAnsi="Helvetica"/>
        </w:rPr>
        <w:t>by an Aged Care Assessment Team (ACAT)</w:t>
      </w:r>
      <w:r w:rsidR="007334C8" w:rsidRPr="00486075">
        <w:rPr>
          <w:rFonts w:ascii="Helvetica" w:hAnsi="Helvetica"/>
        </w:rPr>
        <w:t xml:space="preserve"> </w:t>
      </w:r>
      <w:r w:rsidRPr="00486075">
        <w:rPr>
          <w:rFonts w:ascii="Helvetica" w:hAnsi="Helvetica"/>
        </w:rPr>
        <w:t>as</w:t>
      </w:r>
      <w:r w:rsidR="000237DF" w:rsidRPr="00486075">
        <w:rPr>
          <w:rFonts w:ascii="Helvetica" w:hAnsi="Helvetica"/>
        </w:rPr>
        <w:t xml:space="preserve"> </w:t>
      </w:r>
      <w:r w:rsidR="007334C8" w:rsidRPr="00486075">
        <w:rPr>
          <w:rFonts w:ascii="Helvetica" w:hAnsi="Helvetica"/>
        </w:rPr>
        <w:t xml:space="preserve">being </w:t>
      </w:r>
      <w:r w:rsidRPr="00486075">
        <w:rPr>
          <w:rFonts w:ascii="Helvetica" w:hAnsi="Helvetica"/>
        </w:rPr>
        <w:t>eligible for subsidised residential aged care</w:t>
      </w:r>
      <w:r w:rsidR="000C76A8" w:rsidRPr="00486075">
        <w:rPr>
          <w:rFonts w:ascii="Helvetica" w:hAnsi="Helvetica"/>
        </w:rPr>
        <w:t>; and</w:t>
      </w:r>
    </w:p>
    <w:p w14:paraId="5528F22E" w14:textId="77777777" w:rsidR="00C45A75" w:rsidRPr="00486075" w:rsidRDefault="00C45A75" w:rsidP="0090656C">
      <w:pPr>
        <w:pStyle w:val="ListParagraph"/>
        <w:numPr>
          <w:ilvl w:val="0"/>
          <w:numId w:val="6"/>
        </w:numPr>
        <w:spacing w:after="120"/>
        <w:ind w:left="771" w:hanging="357"/>
        <w:contextualSpacing w:val="0"/>
        <w:rPr>
          <w:rFonts w:ascii="Helvetica" w:hAnsi="Helvetica"/>
        </w:rPr>
      </w:pPr>
      <w:r w:rsidRPr="00486075">
        <w:rPr>
          <w:rFonts w:ascii="Helvetica" w:hAnsi="Helvetica"/>
        </w:rPr>
        <w:t>find an</w:t>
      </w:r>
      <w:r w:rsidR="00410201" w:rsidRPr="00486075">
        <w:rPr>
          <w:rFonts w:ascii="Helvetica" w:hAnsi="Helvetica"/>
        </w:rPr>
        <w:t xml:space="preserve"> approved provider </w:t>
      </w:r>
      <w:r w:rsidRPr="00486075">
        <w:rPr>
          <w:rFonts w:ascii="Helvetica" w:hAnsi="Helvetica"/>
        </w:rPr>
        <w:t xml:space="preserve">with an available </w:t>
      </w:r>
      <w:r w:rsidR="00060ACD" w:rsidRPr="00486075">
        <w:rPr>
          <w:rFonts w:ascii="Helvetica" w:hAnsi="Helvetica"/>
        </w:rPr>
        <w:t xml:space="preserve">government allocated </w:t>
      </w:r>
      <w:r w:rsidRPr="00486075">
        <w:rPr>
          <w:rFonts w:ascii="Helvetica" w:hAnsi="Helvetica"/>
        </w:rPr>
        <w:t>place</w:t>
      </w:r>
      <w:r w:rsidR="000237DF" w:rsidRPr="00486075">
        <w:rPr>
          <w:rFonts w:ascii="Helvetica" w:hAnsi="Helvetica"/>
        </w:rPr>
        <w:t xml:space="preserve"> in their aged care home</w:t>
      </w:r>
      <w:r w:rsidRPr="00486075">
        <w:rPr>
          <w:rFonts w:ascii="Helvetica" w:hAnsi="Helvetica"/>
        </w:rPr>
        <w:t xml:space="preserve"> and be offered that place</w:t>
      </w:r>
      <w:r w:rsidR="000C76A8" w:rsidRPr="00486075">
        <w:rPr>
          <w:rFonts w:ascii="Helvetica" w:hAnsi="Helvetica"/>
        </w:rPr>
        <w:t>.</w:t>
      </w:r>
      <w:r w:rsidRPr="00486075">
        <w:rPr>
          <w:rFonts w:ascii="Helvetica" w:hAnsi="Helvetica"/>
        </w:rPr>
        <w:t xml:space="preserve"> </w:t>
      </w:r>
    </w:p>
    <w:p w14:paraId="1EDFC3C0" w14:textId="77777777" w:rsidR="00C45A75" w:rsidRPr="00486075" w:rsidRDefault="00AB48BA" w:rsidP="004F05A5">
      <w:pPr>
        <w:spacing w:after="240"/>
        <w:rPr>
          <w:rFonts w:ascii="Helvetica" w:hAnsi="Helvetica"/>
        </w:rPr>
      </w:pPr>
      <w:r w:rsidRPr="00486075">
        <w:rPr>
          <w:rFonts w:ascii="Helvetica" w:hAnsi="Helvetica"/>
        </w:rPr>
        <w:t xml:space="preserve">Consumers </w:t>
      </w:r>
      <w:r w:rsidR="007334C8" w:rsidRPr="00486075">
        <w:rPr>
          <w:rFonts w:ascii="Helvetica" w:hAnsi="Helvetica"/>
        </w:rPr>
        <w:t>can be asked to pay a basic daily fee</w:t>
      </w:r>
      <w:r w:rsidR="00B72C90" w:rsidRPr="00486075">
        <w:rPr>
          <w:rFonts w:ascii="Helvetica" w:hAnsi="Helvetica"/>
        </w:rPr>
        <w:t xml:space="preserve"> to cover</w:t>
      </w:r>
      <w:r w:rsidR="007334C8" w:rsidRPr="00486075">
        <w:rPr>
          <w:rFonts w:ascii="Helvetica" w:hAnsi="Helvetica"/>
        </w:rPr>
        <w:t xml:space="preserve"> day-to-day living costs (up to 85</w:t>
      </w:r>
      <w:r w:rsidR="0083378D" w:rsidRPr="00486075">
        <w:rPr>
          <w:rFonts w:ascii="Helvetica" w:hAnsi="Helvetica"/>
        </w:rPr>
        <w:t> </w:t>
      </w:r>
      <w:r w:rsidR="007334C8" w:rsidRPr="00486075">
        <w:rPr>
          <w:rFonts w:ascii="Helvetica" w:hAnsi="Helvetica"/>
        </w:rPr>
        <w:t>per cent of the single person rate of the basic age pension) and are</w:t>
      </w:r>
      <w:r w:rsidRPr="00486075">
        <w:rPr>
          <w:rFonts w:ascii="Helvetica" w:hAnsi="Helvetica"/>
        </w:rPr>
        <w:t xml:space="preserve"> expected to contribute </w:t>
      </w:r>
      <w:r w:rsidR="00F867BB" w:rsidRPr="00486075">
        <w:rPr>
          <w:rFonts w:ascii="Helvetica" w:hAnsi="Helvetica"/>
        </w:rPr>
        <w:t xml:space="preserve">to </w:t>
      </w:r>
      <w:r w:rsidRPr="00486075">
        <w:rPr>
          <w:rFonts w:ascii="Helvetica" w:hAnsi="Helvetica"/>
        </w:rPr>
        <w:t xml:space="preserve">their care and accommodation </w:t>
      </w:r>
      <w:r w:rsidR="00507025" w:rsidRPr="00486075">
        <w:rPr>
          <w:rFonts w:ascii="Helvetica" w:hAnsi="Helvetica"/>
        </w:rPr>
        <w:t xml:space="preserve">costs </w:t>
      </w:r>
      <w:r w:rsidRPr="00486075">
        <w:rPr>
          <w:rFonts w:ascii="Helvetica" w:hAnsi="Helvetica"/>
        </w:rPr>
        <w:t>if they can afford to (based on income and assets assessment</w:t>
      </w:r>
      <w:r w:rsidR="004B4721" w:rsidRPr="00486075">
        <w:rPr>
          <w:rFonts w:ascii="Helvetica" w:hAnsi="Helvetica"/>
        </w:rPr>
        <w:t>s</w:t>
      </w:r>
      <w:r w:rsidRPr="00486075">
        <w:rPr>
          <w:rFonts w:ascii="Helvetica" w:hAnsi="Helvetica"/>
        </w:rPr>
        <w:t>)</w:t>
      </w:r>
      <w:r w:rsidR="007334C8" w:rsidRPr="00486075">
        <w:rPr>
          <w:rFonts w:ascii="Helvetica" w:hAnsi="Helvetica"/>
        </w:rPr>
        <w:t>.</w:t>
      </w:r>
      <w:r w:rsidR="00E672C8" w:rsidRPr="00486075">
        <w:rPr>
          <w:rFonts w:ascii="Helvetica" w:hAnsi="Helvetica"/>
        </w:rPr>
        <w:t xml:space="preserve"> Consumers who choose </w:t>
      </w:r>
      <w:r w:rsidR="00F867BB" w:rsidRPr="00486075">
        <w:rPr>
          <w:rFonts w:ascii="Helvetica" w:hAnsi="Helvetica"/>
        </w:rPr>
        <w:t>extra</w:t>
      </w:r>
      <w:r w:rsidR="00E672C8" w:rsidRPr="00486075">
        <w:rPr>
          <w:rFonts w:ascii="Helvetica" w:hAnsi="Helvetica"/>
        </w:rPr>
        <w:t xml:space="preserve"> or additional services will pay fees for extra </w:t>
      </w:r>
      <w:r w:rsidR="003D0CB8" w:rsidRPr="00486075">
        <w:rPr>
          <w:rFonts w:ascii="Helvetica" w:hAnsi="Helvetica"/>
        </w:rPr>
        <w:t>or</w:t>
      </w:r>
      <w:r w:rsidR="00E672C8" w:rsidRPr="00486075">
        <w:rPr>
          <w:rFonts w:ascii="Helvetica" w:hAnsi="Helvetica"/>
        </w:rPr>
        <w:t xml:space="preserve"> additional services</w:t>
      </w:r>
      <w:r w:rsidR="004B4721" w:rsidRPr="00486075">
        <w:rPr>
          <w:rFonts w:ascii="Helvetica" w:hAnsi="Helvetica"/>
        </w:rPr>
        <w:t xml:space="preserve"> as negotiated with the provider</w:t>
      </w:r>
      <w:r w:rsidR="00E672C8" w:rsidRPr="00486075">
        <w:rPr>
          <w:rFonts w:ascii="Helvetica" w:hAnsi="Helvetica"/>
        </w:rPr>
        <w:t>.</w:t>
      </w:r>
    </w:p>
    <w:p w14:paraId="09656BF4" w14:textId="5058BAA7" w:rsidR="005A0A19" w:rsidRPr="00486075" w:rsidRDefault="00C11230" w:rsidP="00553BEF">
      <w:pPr>
        <w:pStyle w:val="Heading2"/>
      </w:pPr>
      <w:bookmarkStart w:id="34" w:name="_Toc31293658"/>
      <w:r w:rsidRPr="00486075">
        <w:t xml:space="preserve">Provision of residential </w:t>
      </w:r>
      <w:r w:rsidR="002D3765" w:rsidRPr="00486075">
        <w:t xml:space="preserve">aged </w:t>
      </w:r>
      <w:r w:rsidRPr="00486075">
        <w:t xml:space="preserve">care - </w:t>
      </w:r>
      <w:r w:rsidR="005A0A19" w:rsidRPr="00486075">
        <w:t>providers’ perspective</w:t>
      </w:r>
      <w:bookmarkEnd w:id="34"/>
    </w:p>
    <w:p w14:paraId="12EB22E5" w14:textId="77777777" w:rsidR="002F24FF" w:rsidRPr="00486075" w:rsidRDefault="000237DF" w:rsidP="00341779">
      <w:pPr>
        <w:spacing w:after="120"/>
        <w:rPr>
          <w:rFonts w:ascii="Helvetica" w:hAnsi="Helvetica"/>
        </w:rPr>
      </w:pPr>
      <w:r w:rsidRPr="00486075">
        <w:rPr>
          <w:rFonts w:ascii="Helvetica" w:hAnsi="Helvetica"/>
        </w:rPr>
        <w:t>Under current arrangements, i</w:t>
      </w:r>
      <w:r w:rsidR="002F24FF" w:rsidRPr="00486075">
        <w:rPr>
          <w:rFonts w:ascii="Helvetica" w:hAnsi="Helvetica"/>
        </w:rPr>
        <w:t>n order to deliver subsidised residential aged care</w:t>
      </w:r>
      <w:r w:rsidR="00410201" w:rsidRPr="00486075">
        <w:rPr>
          <w:rFonts w:ascii="Helvetica" w:hAnsi="Helvetica"/>
        </w:rPr>
        <w:t xml:space="preserve"> and receive a subsidy</w:t>
      </w:r>
      <w:r w:rsidR="002F24FF" w:rsidRPr="00486075">
        <w:rPr>
          <w:rFonts w:ascii="Helvetica" w:hAnsi="Helvetica"/>
        </w:rPr>
        <w:t>, an organisation must:</w:t>
      </w:r>
    </w:p>
    <w:p w14:paraId="61A667F5" w14:textId="77777777" w:rsidR="00553BEF" w:rsidRPr="00486075" w:rsidRDefault="002F24FF" w:rsidP="00553BEF">
      <w:pPr>
        <w:pStyle w:val="ListParagraph"/>
        <w:numPr>
          <w:ilvl w:val="0"/>
          <w:numId w:val="5"/>
        </w:numPr>
        <w:spacing w:after="120"/>
        <w:ind w:left="771" w:hanging="357"/>
        <w:contextualSpacing w:val="0"/>
        <w:rPr>
          <w:rFonts w:ascii="Helvetica" w:hAnsi="Helvetica"/>
        </w:rPr>
      </w:pPr>
      <w:r w:rsidRPr="00486075">
        <w:rPr>
          <w:rFonts w:ascii="Helvetica" w:hAnsi="Helvetica"/>
        </w:rPr>
        <w:t>be a</w:t>
      </w:r>
      <w:r w:rsidR="00374F02" w:rsidRPr="00486075">
        <w:rPr>
          <w:rFonts w:ascii="Helvetica" w:hAnsi="Helvetica"/>
        </w:rPr>
        <w:t>n</w:t>
      </w:r>
      <w:r w:rsidRPr="00486075">
        <w:rPr>
          <w:rFonts w:ascii="Helvetica" w:hAnsi="Helvetica"/>
        </w:rPr>
        <w:t xml:space="preserve"> approved provider of residential aged care</w:t>
      </w:r>
      <w:r w:rsidR="00D95BD2" w:rsidRPr="00486075">
        <w:rPr>
          <w:rFonts w:ascii="Helvetica" w:hAnsi="Helvetica"/>
        </w:rPr>
        <w:t>;</w:t>
      </w:r>
    </w:p>
    <w:p w14:paraId="47EF07C2" w14:textId="77777777" w:rsidR="002F24FF" w:rsidRPr="00486075" w:rsidRDefault="002F24FF" w:rsidP="00553BEF">
      <w:pPr>
        <w:pStyle w:val="ListParagraph"/>
        <w:numPr>
          <w:ilvl w:val="0"/>
          <w:numId w:val="5"/>
        </w:numPr>
        <w:spacing w:after="120"/>
        <w:ind w:left="771" w:hanging="357"/>
        <w:contextualSpacing w:val="0"/>
        <w:rPr>
          <w:rFonts w:ascii="Helvetica" w:hAnsi="Helvetica"/>
        </w:rPr>
      </w:pPr>
      <w:r w:rsidRPr="00486075">
        <w:rPr>
          <w:rFonts w:ascii="Helvetica" w:hAnsi="Helvetica"/>
        </w:rPr>
        <w:t>hold an allocation of residential aged care places</w:t>
      </w:r>
      <w:r w:rsidR="00C7290C" w:rsidRPr="00486075">
        <w:rPr>
          <w:rFonts w:ascii="Helvetica" w:hAnsi="Helvetica"/>
        </w:rPr>
        <w:t xml:space="preserve"> (in an accredited</w:t>
      </w:r>
      <w:r w:rsidR="00824461" w:rsidRPr="00486075">
        <w:rPr>
          <w:rStyle w:val="FootnoteReference"/>
          <w:rFonts w:ascii="Helvetica" w:hAnsi="Helvetica"/>
        </w:rPr>
        <w:footnoteReference w:id="13"/>
      </w:r>
      <w:r w:rsidR="00C7290C" w:rsidRPr="00486075">
        <w:rPr>
          <w:rFonts w:ascii="Helvetica" w:hAnsi="Helvetica"/>
        </w:rPr>
        <w:t xml:space="preserve"> aged care home)</w:t>
      </w:r>
      <w:r w:rsidR="000C76A8" w:rsidRPr="00486075">
        <w:rPr>
          <w:rFonts w:ascii="Helvetica" w:hAnsi="Helvetica"/>
        </w:rPr>
        <w:t>; and</w:t>
      </w:r>
      <w:r w:rsidR="005A0A19" w:rsidRPr="00486075">
        <w:rPr>
          <w:rFonts w:ascii="Helvetica" w:hAnsi="Helvetica"/>
        </w:rPr>
        <w:t xml:space="preserve"> </w:t>
      </w:r>
    </w:p>
    <w:p w14:paraId="38096A94" w14:textId="77777777" w:rsidR="009807A5" w:rsidRPr="00486075" w:rsidRDefault="002F24FF" w:rsidP="004F05A5">
      <w:pPr>
        <w:pStyle w:val="ListParagraph"/>
        <w:numPr>
          <w:ilvl w:val="0"/>
          <w:numId w:val="5"/>
        </w:numPr>
        <w:spacing w:after="120"/>
        <w:ind w:left="771" w:hanging="357"/>
        <w:contextualSpacing w:val="0"/>
        <w:rPr>
          <w:rFonts w:ascii="Helvetica" w:hAnsi="Helvetica"/>
          <w:i/>
        </w:rPr>
      </w:pPr>
      <w:r w:rsidRPr="00486075">
        <w:rPr>
          <w:rFonts w:ascii="Helvetica" w:hAnsi="Helvetica"/>
        </w:rPr>
        <w:t>have a</w:t>
      </w:r>
      <w:r w:rsidR="005A0A19" w:rsidRPr="00486075">
        <w:rPr>
          <w:rFonts w:ascii="Helvetica" w:hAnsi="Helvetica"/>
        </w:rPr>
        <w:t>n</w:t>
      </w:r>
      <w:r w:rsidRPr="00486075">
        <w:rPr>
          <w:rFonts w:ascii="Helvetica" w:hAnsi="Helvetica"/>
        </w:rPr>
        <w:t xml:space="preserve"> eligible</w:t>
      </w:r>
      <w:r w:rsidR="00116CAA" w:rsidRPr="00486075">
        <w:rPr>
          <w:rFonts w:ascii="Helvetica" w:hAnsi="Helvetica"/>
        </w:rPr>
        <w:t xml:space="preserve"> consumer</w:t>
      </w:r>
      <w:r w:rsidRPr="00486075">
        <w:rPr>
          <w:rFonts w:ascii="Helvetica" w:hAnsi="Helvetica"/>
        </w:rPr>
        <w:t xml:space="preserve"> occupying an available place</w:t>
      </w:r>
      <w:r w:rsidR="000C76A8" w:rsidRPr="00486075">
        <w:rPr>
          <w:rFonts w:ascii="Helvetica" w:hAnsi="Helvetica"/>
        </w:rPr>
        <w:t>.</w:t>
      </w:r>
    </w:p>
    <w:p w14:paraId="5C4A8615" w14:textId="77777777" w:rsidR="00AB48BA" w:rsidRPr="00486075" w:rsidRDefault="00AB48BA" w:rsidP="004F05A5">
      <w:pPr>
        <w:spacing w:after="240"/>
        <w:rPr>
          <w:rFonts w:ascii="Helvetica" w:hAnsi="Helvetica"/>
        </w:rPr>
      </w:pPr>
      <w:r w:rsidRPr="00486075">
        <w:rPr>
          <w:rFonts w:ascii="Helvetica" w:hAnsi="Helvetica"/>
        </w:rPr>
        <w:lastRenderedPageBreak/>
        <w:t xml:space="preserve">Subsidies and supplements </w:t>
      </w:r>
      <w:r w:rsidR="007334C8" w:rsidRPr="00486075">
        <w:rPr>
          <w:rFonts w:ascii="Helvetica" w:hAnsi="Helvetica"/>
        </w:rPr>
        <w:t xml:space="preserve">for care and accommodation </w:t>
      </w:r>
      <w:r w:rsidRPr="00486075">
        <w:rPr>
          <w:rFonts w:ascii="Helvetica" w:hAnsi="Helvetica"/>
        </w:rPr>
        <w:t xml:space="preserve">are paid to the provider in respect of an eligible consumer, </w:t>
      </w:r>
      <w:r w:rsidR="00E672C8" w:rsidRPr="00486075">
        <w:rPr>
          <w:rFonts w:ascii="Helvetica" w:hAnsi="Helvetica"/>
        </w:rPr>
        <w:t>taking into account</w:t>
      </w:r>
      <w:r w:rsidR="007334C8" w:rsidRPr="00486075">
        <w:rPr>
          <w:rFonts w:ascii="Helvetica" w:hAnsi="Helvetica"/>
        </w:rPr>
        <w:t xml:space="preserve"> the consumer’s contributions. </w:t>
      </w:r>
      <w:r w:rsidR="00060ACD" w:rsidRPr="00486075">
        <w:rPr>
          <w:rFonts w:ascii="Helvetica" w:hAnsi="Helvetica"/>
        </w:rPr>
        <w:t xml:space="preserve">No subsidies or supplements are paid for a vacant place. </w:t>
      </w:r>
      <w:r w:rsidR="007334C8" w:rsidRPr="00486075">
        <w:rPr>
          <w:rFonts w:ascii="Helvetica" w:hAnsi="Helvetica"/>
        </w:rPr>
        <w:t xml:space="preserve">Care funding is </w:t>
      </w:r>
      <w:r w:rsidRPr="00486075">
        <w:rPr>
          <w:rFonts w:ascii="Helvetica" w:hAnsi="Helvetica"/>
        </w:rPr>
        <w:t xml:space="preserve">based on the consumer’s assessed </w:t>
      </w:r>
      <w:r w:rsidR="007334C8" w:rsidRPr="00486075">
        <w:rPr>
          <w:rFonts w:ascii="Helvetica" w:hAnsi="Helvetica"/>
        </w:rPr>
        <w:t>needs</w:t>
      </w:r>
      <w:r w:rsidRPr="00486075">
        <w:rPr>
          <w:rFonts w:ascii="Helvetica" w:hAnsi="Helvetica"/>
        </w:rPr>
        <w:t xml:space="preserve"> (currently determined by applying the Aged Care Funding Instrument </w:t>
      </w:r>
      <w:r w:rsidR="000B70CE" w:rsidRPr="00486075">
        <w:rPr>
          <w:rFonts w:ascii="Helvetica" w:hAnsi="Helvetica"/>
        </w:rPr>
        <w:t>(ACFI)</w:t>
      </w:r>
      <w:r w:rsidR="00C11230" w:rsidRPr="00486075">
        <w:rPr>
          <w:rFonts w:ascii="Helvetica" w:hAnsi="Helvetica"/>
        </w:rPr>
        <w:t xml:space="preserve"> </w:t>
      </w:r>
      <w:r w:rsidR="007334C8" w:rsidRPr="00486075">
        <w:rPr>
          <w:rFonts w:ascii="Helvetica" w:hAnsi="Helvetica"/>
        </w:rPr>
        <w:t xml:space="preserve">– </w:t>
      </w:r>
      <w:r w:rsidR="00442C29" w:rsidRPr="00486075">
        <w:rPr>
          <w:rFonts w:ascii="Helvetica" w:hAnsi="Helvetica"/>
        </w:rPr>
        <w:t xml:space="preserve">noting that </w:t>
      </w:r>
      <w:r w:rsidRPr="00486075">
        <w:rPr>
          <w:rFonts w:ascii="Helvetica" w:hAnsi="Helvetica"/>
        </w:rPr>
        <w:t>longer-term</w:t>
      </w:r>
      <w:r w:rsidR="007334C8" w:rsidRPr="00486075">
        <w:rPr>
          <w:rFonts w:ascii="Helvetica" w:hAnsi="Helvetica"/>
        </w:rPr>
        <w:t xml:space="preserve"> care</w:t>
      </w:r>
      <w:r w:rsidRPr="00486075">
        <w:rPr>
          <w:rFonts w:ascii="Helvetica" w:hAnsi="Helvetica"/>
        </w:rPr>
        <w:t xml:space="preserve"> funding reform is being considered).</w:t>
      </w:r>
    </w:p>
    <w:p w14:paraId="3206B70F" w14:textId="37AFCFC6" w:rsidR="00D338F8" w:rsidRPr="00DA1637" w:rsidRDefault="00D338F8" w:rsidP="00553BEF">
      <w:pPr>
        <w:pStyle w:val="Heading2"/>
      </w:pPr>
      <w:bookmarkStart w:id="35" w:name="_Toc31293659"/>
      <w:r w:rsidRPr="00DA1637">
        <w:t xml:space="preserve">Programs related to </w:t>
      </w:r>
      <w:r w:rsidR="00956830" w:rsidRPr="00DA1637">
        <w:t xml:space="preserve">the </w:t>
      </w:r>
      <w:r w:rsidRPr="00DA1637">
        <w:t>allocation of residential aged care places</w:t>
      </w:r>
      <w:bookmarkEnd w:id="35"/>
    </w:p>
    <w:p w14:paraId="46A995B6" w14:textId="015EAC5C" w:rsidR="003D6295" w:rsidRPr="00DA1637" w:rsidRDefault="00D338F8" w:rsidP="001B6A24">
      <w:pPr>
        <w:pStyle w:val="Heading3"/>
      </w:pPr>
      <w:bookmarkStart w:id="36" w:name="_Toc31293660"/>
      <w:r w:rsidRPr="00DA1637">
        <w:t>Residential respite care</w:t>
      </w:r>
      <w:bookmarkEnd w:id="36"/>
    </w:p>
    <w:p w14:paraId="72E14A18" w14:textId="77777777" w:rsidR="00D338F8" w:rsidRPr="00DA1637" w:rsidRDefault="00D338F8" w:rsidP="00D338F8">
      <w:pPr>
        <w:spacing w:after="120"/>
        <w:rPr>
          <w:rFonts w:ascii="Helvetica" w:hAnsi="Helvetica"/>
        </w:rPr>
      </w:pPr>
      <w:r w:rsidRPr="00DA1637">
        <w:rPr>
          <w:rFonts w:ascii="Helvetica" w:hAnsi="Helvetica"/>
        </w:rPr>
        <w:t xml:space="preserve">Residential respite provides </w:t>
      </w:r>
      <w:r w:rsidR="00956830" w:rsidRPr="00DA1637">
        <w:rPr>
          <w:rFonts w:ascii="Helvetica" w:hAnsi="Helvetica"/>
        </w:rPr>
        <w:t xml:space="preserve">subsidised </w:t>
      </w:r>
      <w:r w:rsidRPr="00DA1637">
        <w:rPr>
          <w:rFonts w:ascii="Helvetica" w:hAnsi="Helvetica"/>
        </w:rPr>
        <w:t xml:space="preserve">short-term care in aged care homes, with the primary purpose of giving a carer or the person being cared for a break from their usual care arrangements. Residential respite may be used on a planned or emergency basis. </w:t>
      </w:r>
    </w:p>
    <w:p w14:paraId="47E478E6" w14:textId="77777777" w:rsidR="00D338F8" w:rsidRPr="00DA1637" w:rsidRDefault="00D338F8" w:rsidP="00D338F8">
      <w:pPr>
        <w:spacing w:after="120"/>
        <w:rPr>
          <w:rFonts w:ascii="Helvetica" w:hAnsi="Helvetica"/>
        </w:rPr>
      </w:pPr>
      <w:r w:rsidRPr="00DA1637">
        <w:rPr>
          <w:rFonts w:ascii="Helvetica" w:hAnsi="Helvetica"/>
        </w:rPr>
        <w:t xml:space="preserve">To receive subsidised residential respite care, a person must have been approved for respite care (high or low level of care) by an ACAT. Residential respite care consumers are entitled to 63 days of subsidised respite care in a financial year. In </w:t>
      </w:r>
      <w:r w:rsidR="0083378D" w:rsidRPr="00DA1637">
        <w:rPr>
          <w:rFonts w:ascii="Helvetica" w:hAnsi="Helvetica"/>
        </w:rPr>
        <w:t>2017-18</w:t>
      </w:r>
      <w:r w:rsidRPr="00DA1637">
        <w:rPr>
          <w:rFonts w:ascii="Helvetica" w:hAnsi="Helvetica"/>
        </w:rPr>
        <w:t xml:space="preserve">, 61,993 people received residential respite care. On average, each recipient received 1.3 episodes of residential respite care during </w:t>
      </w:r>
      <w:r w:rsidR="0083378D" w:rsidRPr="00DA1637">
        <w:rPr>
          <w:rFonts w:ascii="Helvetica" w:hAnsi="Helvetica"/>
        </w:rPr>
        <w:t>2017-18</w:t>
      </w:r>
      <w:r w:rsidRPr="00DA1637">
        <w:rPr>
          <w:rFonts w:ascii="Helvetica" w:hAnsi="Helvetica"/>
        </w:rPr>
        <w:t>, and their average length of stay per episode was 25.6 days</w:t>
      </w:r>
      <w:r w:rsidRPr="00DA1637">
        <w:rPr>
          <w:rStyle w:val="FootnoteReference"/>
          <w:rFonts w:ascii="Helvetica" w:hAnsi="Helvetica"/>
        </w:rPr>
        <w:footnoteReference w:id="14"/>
      </w:r>
      <w:r w:rsidRPr="00DA1637">
        <w:rPr>
          <w:rFonts w:ascii="Helvetica" w:hAnsi="Helvetica"/>
        </w:rPr>
        <w:t>. Residential respite is most commonly accessed in weekly units, with a fortnight the most common length of stay</w:t>
      </w:r>
      <w:r w:rsidRPr="00DA1637">
        <w:rPr>
          <w:rStyle w:val="FootnoteReference"/>
          <w:rFonts w:ascii="Helvetica" w:hAnsi="Helvetica"/>
        </w:rPr>
        <w:footnoteReference w:id="15"/>
      </w:r>
      <w:r w:rsidRPr="00DA1637">
        <w:rPr>
          <w:rFonts w:ascii="Helvetica" w:hAnsi="Helvetica"/>
        </w:rPr>
        <w:t>.</w:t>
      </w:r>
    </w:p>
    <w:p w14:paraId="22FEE4E6" w14:textId="77777777" w:rsidR="00D338F8" w:rsidRPr="00DA1637" w:rsidRDefault="00D338F8" w:rsidP="00D338F8">
      <w:pPr>
        <w:spacing w:after="120"/>
        <w:rPr>
          <w:rFonts w:ascii="Helvetica" w:hAnsi="Helvetica"/>
        </w:rPr>
      </w:pPr>
      <w:r w:rsidRPr="00DA1637">
        <w:rPr>
          <w:rFonts w:ascii="Helvetica" w:hAnsi="Helvetica"/>
        </w:rPr>
        <w:t xml:space="preserve">Unlike permanent residential </w:t>
      </w:r>
      <w:r w:rsidR="00D62DE6" w:rsidRPr="00DA1637">
        <w:rPr>
          <w:rFonts w:ascii="Helvetica" w:hAnsi="Helvetica"/>
        </w:rPr>
        <w:t xml:space="preserve">aged </w:t>
      </w:r>
      <w:r w:rsidRPr="00DA1637">
        <w:rPr>
          <w:rFonts w:ascii="Helvetica" w:hAnsi="Helvetica"/>
        </w:rPr>
        <w:t>care, respite consumers do not make any accommodation or care contributions but can be asked to pay the basic daily fee</w:t>
      </w:r>
      <w:r w:rsidRPr="00DA1637">
        <w:rPr>
          <w:rFonts w:ascii="Helvetica" w:hAnsi="Helvetica"/>
          <w:color w:val="FF0000"/>
        </w:rPr>
        <w:t xml:space="preserve"> </w:t>
      </w:r>
      <w:r w:rsidRPr="00DA1637">
        <w:rPr>
          <w:rFonts w:ascii="Helvetica" w:hAnsi="Helvetica"/>
        </w:rPr>
        <w:t>to cover day-to-day living costs (up to 85 per cent of the single person rate of the basic age pension).</w:t>
      </w:r>
    </w:p>
    <w:p w14:paraId="27A02120" w14:textId="77777777" w:rsidR="0059038E" w:rsidRPr="00DA1637" w:rsidRDefault="0059038E" w:rsidP="0059038E">
      <w:pPr>
        <w:spacing w:after="120"/>
        <w:rPr>
          <w:rFonts w:ascii="Helvetica" w:hAnsi="Helvetica"/>
        </w:rPr>
      </w:pPr>
      <w:r w:rsidRPr="00DA1637">
        <w:rPr>
          <w:rFonts w:ascii="Helvetica" w:hAnsi="Helvetica"/>
        </w:rPr>
        <w:t xml:space="preserve">Approved providers do not have a separate allocation of residential respite places, rather, a portion of each permanent allocation of residential </w:t>
      </w:r>
      <w:r w:rsidR="00D62DE6" w:rsidRPr="00DA1637">
        <w:rPr>
          <w:rFonts w:ascii="Helvetica" w:hAnsi="Helvetica"/>
        </w:rPr>
        <w:t xml:space="preserve">aged </w:t>
      </w:r>
      <w:r w:rsidRPr="00DA1637">
        <w:rPr>
          <w:rFonts w:ascii="Helvetica" w:hAnsi="Helvetica"/>
        </w:rPr>
        <w:t>care places can be used for the provision of respite care, known as a respite care allocation. All approved providers are able to provide respite care if they have the capacity to do so, even if places are not allocated with respite care being a condition of allocation.</w:t>
      </w:r>
      <w:r w:rsidR="00D338F8" w:rsidRPr="00DA1637">
        <w:rPr>
          <w:rFonts w:ascii="Helvetica" w:hAnsi="Helvetica"/>
        </w:rPr>
        <w:t xml:space="preserve"> To receive the respite care subsidies and supplements, an approved provider must have a respite care allocation recorded on the Department of Human Services provider payment system. A provider cannot claim respite subsidies and supplements if their respite care allocation is exhausted.</w:t>
      </w:r>
    </w:p>
    <w:p w14:paraId="45238CBC" w14:textId="77777777" w:rsidR="0059038E" w:rsidRPr="00DA1637" w:rsidRDefault="0059038E" w:rsidP="0059038E">
      <w:pPr>
        <w:spacing w:after="120"/>
        <w:rPr>
          <w:rFonts w:ascii="Helvetica" w:hAnsi="Helvetica"/>
        </w:rPr>
      </w:pPr>
      <w:r w:rsidRPr="00DA1637">
        <w:rPr>
          <w:rFonts w:ascii="Helvetica" w:hAnsi="Helvetica"/>
        </w:rPr>
        <w:t>In 2017-18, there were 2,522 aged care homes (around 94 per cent of all aged care homes) that provided residential respite care</w:t>
      </w:r>
      <w:r w:rsidR="004F05A5" w:rsidRPr="00DA1637">
        <w:rPr>
          <w:rStyle w:val="FootnoteReference"/>
          <w:rFonts w:ascii="Helvetica" w:hAnsi="Helvetica"/>
        </w:rPr>
        <w:footnoteReference w:id="16"/>
      </w:r>
      <w:r w:rsidRPr="00DA1637">
        <w:rPr>
          <w:rFonts w:ascii="Helvetica" w:hAnsi="Helvetica"/>
        </w:rPr>
        <w:t>.</w:t>
      </w:r>
    </w:p>
    <w:p w14:paraId="7FDAE667" w14:textId="77777777" w:rsidR="0059038E" w:rsidRPr="00486075" w:rsidRDefault="0059038E" w:rsidP="0059038E">
      <w:pPr>
        <w:spacing w:after="120"/>
        <w:rPr>
          <w:rFonts w:ascii="Helvetica" w:hAnsi="Helvetica"/>
          <w:b/>
        </w:rPr>
      </w:pPr>
      <w:r w:rsidRPr="00DA1637">
        <w:rPr>
          <w:rFonts w:ascii="Helvetica" w:hAnsi="Helvetica"/>
          <w:b/>
        </w:rPr>
        <w:t>Any changes to the allocation of residential</w:t>
      </w:r>
      <w:r w:rsidR="00060ACD" w:rsidRPr="00DA1637">
        <w:rPr>
          <w:rFonts w:ascii="Helvetica" w:hAnsi="Helvetica"/>
          <w:b/>
        </w:rPr>
        <w:t xml:space="preserve"> aged</w:t>
      </w:r>
      <w:r w:rsidRPr="00DA1637">
        <w:rPr>
          <w:rFonts w:ascii="Helvetica" w:hAnsi="Helvetica"/>
          <w:b/>
        </w:rPr>
        <w:t xml:space="preserve"> care places will require consideration of how residential respite care is</w:t>
      </w:r>
      <w:r w:rsidR="00DD1A4F" w:rsidRPr="00DA1637">
        <w:rPr>
          <w:rFonts w:ascii="Helvetica" w:hAnsi="Helvetica"/>
          <w:b/>
        </w:rPr>
        <w:t xml:space="preserve"> offered by providers and</w:t>
      </w:r>
      <w:r w:rsidRPr="00DA1637">
        <w:rPr>
          <w:rFonts w:ascii="Helvetica" w:hAnsi="Helvetica"/>
          <w:b/>
        </w:rPr>
        <w:t xml:space="preserve"> accessed by consumers in the future.</w:t>
      </w:r>
      <w:r w:rsidRPr="00486075">
        <w:rPr>
          <w:rFonts w:ascii="Helvetica" w:hAnsi="Helvetica"/>
          <w:b/>
        </w:rPr>
        <w:t xml:space="preserve">  </w:t>
      </w:r>
    </w:p>
    <w:p w14:paraId="0BC60305" w14:textId="31268221" w:rsidR="00030691" w:rsidRPr="00486075" w:rsidRDefault="00030691" w:rsidP="001B6A24">
      <w:pPr>
        <w:pStyle w:val="Heading3"/>
      </w:pPr>
      <w:bookmarkStart w:id="37" w:name="_Toc31293661"/>
      <w:r w:rsidRPr="00486075">
        <w:t>Extra Service Status</w:t>
      </w:r>
      <w:bookmarkEnd w:id="37"/>
    </w:p>
    <w:p w14:paraId="466E8532" w14:textId="77777777" w:rsidR="00030691" w:rsidRPr="00486075" w:rsidRDefault="003E3F9C" w:rsidP="00341779">
      <w:pPr>
        <w:snapToGrid w:val="0"/>
        <w:spacing w:after="120"/>
        <w:rPr>
          <w:rFonts w:ascii="Helvetica" w:hAnsi="Helvetica"/>
          <w:iCs/>
        </w:rPr>
      </w:pPr>
      <w:r w:rsidRPr="00486075">
        <w:rPr>
          <w:rFonts w:ascii="Helvetica" w:hAnsi="Helvetica"/>
          <w:iCs/>
        </w:rPr>
        <w:t>Some aged care homes have Extra Service Status for the whole facility, or a distinct part of the facility. This</w:t>
      </w:r>
      <w:r w:rsidR="00030691" w:rsidRPr="00486075">
        <w:rPr>
          <w:rFonts w:ascii="Helvetica" w:hAnsi="Helvetica"/>
          <w:iCs/>
        </w:rPr>
        <w:t xml:space="preserve"> involves the provision of a higher </w:t>
      </w:r>
      <w:r w:rsidR="00956830" w:rsidRPr="00486075">
        <w:rPr>
          <w:rFonts w:ascii="Helvetica" w:hAnsi="Helvetica"/>
          <w:iCs/>
        </w:rPr>
        <w:t xml:space="preserve">than </w:t>
      </w:r>
      <w:r w:rsidR="001D1B13" w:rsidRPr="00486075">
        <w:rPr>
          <w:rFonts w:ascii="Helvetica" w:hAnsi="Helvetica"/>
          <w:iCs/>
        </w:rPr>
        <w:t>specified</w:t>
      </w:r>
      <w:r w:rsidR="00956830" w:rsidRPr="00486075">
        <w:rPr>
          <w:rFonts w:ascii="Helvetica" w:hAnsi="Helvetica"/>
          <w:iCs/>
        </w:rPr>
        <w:t xml:space="preserve"> </w:t>
      </w:r>
      <w:r w:rsidR="00030691" w:rsidRPr="00486075">
        <w:rPr>
          <w:rFonts w:ascii="Helvetica" w:hAnsi="Helvetica"/>
          <w:iCs/>
        </w:rPr>
        <w:t>standard</w:t>
      </w:r>
      <w:r w:rsidR="00030691" w:rsidRPr="00486075">
        <w:rPr>
          <w:rFonts w:ascii="Helvetica" w:hAnsi="Helvetica"/>
          <w:iCs/>
          <w:vertAlign w:val="superscript"/>
        </w:rPr>
        <w:t xml:space="preserve"> </w:t>
      </w:r>
      <w:r w:rsidR="00030691" w:rsidRPr="00486075">
        <w:rPr>
          <w:rFonts w:ascii="Helvetica" w:hAnsi="Helvetica"/>
          <w:iCs/>
        </w:rPr>
        <w:t>of accommodation, range and quality of food, and non-care services such as recreational and personal interest activities. Approved providers with Extra Service Status are able to charge an extra service fee</w:t>
      </w:r>
      <w:r w:rsidR="00030691" w:rsidRPr="00486075">
        <w:rPr>
          <w:rFonts w:ascii="Helvetica" w:hAnsi="Helvetica"/>
          <w:iCs/>
          <w:vertAlign w:val="superscript"/>
        </w:rPr>
        <w:footnoteReference w:id="17"/>
      </w:r>
      <w:r w:rsidR="00030691" w:rsidRPr="00486075">
        <w:rPr>
          <w:rFonts w:ascii="Helvetica" w:hAnsi="Helvetica"/>
          <w:iCs/>
          <w:vertAlign w:val="superscript"/>
        </w:rPr>
        <w:t xml:space="preserve"> </w:t>
      </w:r>
      <w:r w:rsidR="00030691" w:rsidRPr="00486075">
        <w:rPr>
          <w:rFonts w:ascii="Helvetica" w:hAnsi="Helvetica"/>
          <w:iCs/>
        </w:rPr>
        <w:t xml:space="preserve">for residents occupying an extra service place. </w:t>
      </w:r>
    </w:p>
    <w:p w14:paraId="18F8B9B7" w14:textId="77777777" w:rsidR="003E3F9C" w:rsidRPr="00486075" w:rsidRDefault="003E3F9C" w:rsidP="00341779">
      <w:pPr>
        <w:snapToGrid w:val="0"/>
        <w:spacing w:after="120"/>
        <w:rPr>
          <w:rFonts w:ascii="Helvetica" w:hAnsi="Helvetica"/>
          <w:iCs/>
        </w:rPr>
      </w:pPr>
      <w:r w:rsidRPr="00486075">
        <w:rPr>
          <w:rFonts w:ascii="Helvetica" w:hAnsi="Helvetica"/>
          <w:iCs/>
        </w:rPr>
        <w:lastRenderedPageBreak/>
        <w:t>Since 2014, there has been a significant decrease (approximately 30</w:t>
      </w:r>
      <w:r w:rsidR="007108B4" w:rsidRPr="00486075">
        <w:rPr>
          <w:rFonts w:ascii="Helvetica" w:hAnsi="Helvetica"/>
          <w:iCs/>
        </w:rPr>
        <w:t xml:space="preserve"> per cent</w:t>
      </w:r>
      <w:r w:rsidRPr="00486075">
        <w:rPr>
          <w:rFonts w:ascii="Helvetica" w:hAnsi="Helvetica"/>
          <w:iCs/>
        </w:rPr>
        <w:t>) in the total number of places with Extra Service Status from 17,390 in 2014 to 11,884 in 2017</w:t>
      </w:r>
      <w:r w:rsidRPr="00486075">
        <w:rPr>
          <w:rFonts w:ascii="Helvetica" w:hAnsi="Helvetica"/>
          <w:iCs/>
          <w:vertAlign w:val="superscript"/>
        </w:rPr>
        <w:footnoteReference w:id="18"/>
      </w:r>
      <w:r w:rsidRPr="00486075">
        <w:rPr>
          <w:rFonts w:ascii="Helvetica" w:hAnsi="Helvetica"/>
          <w:iCs/>
        </w:rPr>
        <w:t>. As at 30 June 2018, there were 233 aged care homes with Extra Service Status (around 9 per cent of all aged care homes)</w:t>
      </w:r>
      <w:r w:rsidR="006C3D0A" w:rsidRPr="00486075">
        <w:rPr>
          <w:rStyle w:val="FootnoteReference"/>
          <w:rFonts w:ascii="Helvetica" w:hAnsi="Helvetica"/>
          <w:iCs/>
        </w:rPr>
        <w:footnoteReference w:id="19"/>
      </w:r>
      <w:r w:rsidRPr="00486075">
        <w:rPr>
          <w:rFonts w:ascii="Helvetica" w:hAnsi="Helvetica"/>
          <w:iCs/>
        </w:rPr>
        <w:t xml:space="preserve">. </w:t>
      </w:r>
    </w:p>
    <w:p w14:paraId="18F96033" w14:textId="77777777" w:rsidR="003E3F9C" w:rsidRPr="00486075" w:rsidRDefault="00134C3F">
      <w:pPr>
        <w:snapToGrid w:val="0"/>
        <w:spacing w:after="120"/>
        <w:rPr>
          <w:rFonts w:ascii="Helvetica" w:hAnsi="Helvetica"/>
          <w:iCs/>
        </w:rPr>
      </w:pPr>
      <w:r w:rsidRPr="00486075">
        <w:rPr>
          <w:rFonts w:ascii="Helvetica" w:hAnsi="Helvetica"/>
          <w:iCs/>
        </w:rPr>
        <w:t>The r</w:t>
      </w:r>
      <w:r w:rsidR="00030691" w:rsidRPr="00486075">
        <w:rPr>
          <w:rFonts w:ascii="Helvetica" w:hAnsi="Helvetica"/>
          <w:iCs/>
        </w:rPr>
        <w:t xml:space="preserve">ecent </w:t>
      </w:r>
      <w:r w:rsidR="005A4E81" w:rsidRPr="00486075">
        <w:rPr>
          <w:rFonts w:ascii="Helvetica" w:hAnsi="Helvetica"/>
          <w:iCs/>
        </w:rPr>
        <w:t xml:space="preserve">trend towards </w:t>
      </w:r>
      <w:r w:rsidR="00363DF5" w:rsidRPr="00486075">
        <w:rPr>
          <w:rFonts w:ascii="Helvetica" w:hAnsi="Helvetica"/>
          <w:iCs/>
        </w:rPr>
        <w:t xml:space="preserve">offering </w:t>
      </w:r>
      <w:r w:rsidR="00030691" w:rsidRPr="00486075">
        <w:rPr>
          <w:rFonts w:ascii="Helvetica" w:hAnsi="Helvetica"/>
          <w:iCs/>
        </w:rPr>
        <w:t xml:space="preserve">additional services has reduced the need and </w:t>
      </w:r>
      <w:r w:rsidR="001D1B13" w:rsidRPr="00486075">
        <w:rPr>
          <w:rFonts w:ascii="Helvetica" w:hAnsi="Helvetica"/>
          <w:iCs/>
        </w:rPr>
        <w:t xml:space="preserve">incentive </w:t>
      </w:r>
      <w:r w:rsidR="00030691" w:rsidRPr="00486075">
        <w:rPr>
          <w:rFonts w:ascii="Helvetica" w:hAnsi="Helvetica"/>
          <w:iCs/>
        </w:rPr>
        <w:t xml:space="preserve">for providers to retain Extra Service Status. </w:t>
      </w:r>
      <w:r w:rsidR="003E3F9C" w:rsidRPr="00486075">
        <w:rPr>
          <w:rFonts w:ascii="Helvetica" w:hAnsi="Helvetica"/>
          <w:iCs/>
        </w:rPr>
        <w:t xml:space="preserve">No Extra Service Status approvals round has been conducted since 2012, and there are currently no plans to conduct a round in the future. </w:t>
      </w:r>
    </w:p>
    <w:p w14:paraId="31EC3947" w14:textId="77777777" w:rsidR="00140808" w:rsidRPr="00486075" w:rsidRDefault="006251DE">
      <w:pPr>
        <w:snapToGrid w:val="0"/>
        <w:spacing w:after="120"/>
        <w:rPr>
          <w:rFonts w:ascii="Helvetica" w:hAnsi="Helvetica"/>
          <w:b/>
          <w:iCs/>
        </w:rPr>
      </w:pPr>
      <w:r w:rsidRPr="00486075">
        <w:rPr>
          <w:rFonts w:ascii="Helvetica" w:hAnsi="Helvetica"/>
          <w:b/>
        </w:rPr>
        <w:t>Any changes to the allocation of residential</w:t>
      </w:r>
      <w:r w:rsidR="00060ACD" w:rsidRPr="00486075">
        <w:rPr>
          <w:rFonts w:ascii="Helvetica" w:hAnsi="Helvetica"/>
          <w:b/>
        </w:rPr>
        <w:t xml:space="preserve"> aged</w:t>
      </w:r>
      <w:r w:rsidRPr="00486075">
        <w:rPr>
          <w:rFonts w:ascii="Helvetica" w:hAnsi="Helvetica"/>
          <w:b/>
        </w:rPr>
        <w:t xml:space="preserve"> care places </w:t>
      </w:r>
      <w:r w:rsidR="00140808" w:rsidRPr="00486075">
        <w:rPr>
          <w:rFonts w:ascii="Helvetica" w:hAnsi="Helvetica"/>
          <w:b/>
          <w:iCs/>
        </w:rPr>
        <w:t>will need to consider the future of Extra Service Status</w:t>
      </w:r>
      <w:r w:rsidRPr="00486075">
        <w:rPr>
          <w:rFonts w:ascii="Helvetica" w:hAnsi="Helvetica"/>
          <w:b/>
          <w:iCs/>
        </w:rPr>
        <w:t>.</w:t>
      </w:r>
    </w:p>
    <w:p w14:paraId="4E5E2DD6" w14:textId="1665CB0D" w:rsidR="00030691" w:rsidRPr="00486075" w:rsidRDefault="00D5278D" w:rsidP="001B6A24">
      <w:pPr>
        <w:pStyle w:val="Heading3"/>
      </w:pPr>
      <w:bookmarkStart w:id="38" w:name="_Toc31293662"/>
      <w:r w:rsidRPr="00486075">
        <w:t>C</w:t>
      </w:r>
      <w:r w:rsidR="00030691" w:rsidRPr="00486075">
        <w:t>apital grants</w:t>
      </w:r>
      <w:bookmarkEnd w:id="38"/>
      <w:r w:rsidRPr="00486075">
        <w:t xml:space="preserve"> </w:t>
      </w:r>
    </w:p>
    <w:p w14:paraId="0E114ACE" w14:textId="77777777" w:rsidR="00030691" w:rsidRPr="00486075" w:rsidRDefault="00030691" w:rsidP="00341779">
      <w:pPr>
        <w:autoSpaceDE w:val="0"/>
        <w:autoSpaceDN w:val="0"/>
        <w:adjustRightInd w:val="0"/>
        <w:spacing w:after="120"/>
        <w:rPr>
          <w:rFonts w:ascii="Helvetica" w:eastAsiaTheme="minorHAnsi" w:hAnsi="Helvetica"/>
          <w:lang w:eastAsia="en-US"/>
        </w:rPr>
      </w:pPr>
      <w:r w:rsidRPr="00486075">
        <w:rPr>
          <w:rFonts w:ascii="Helvetica" w:eastAsiaTheme="minorHAnsi" w:hAnsi="Helvetica"/>
          <w:lang w:eastAsia="en-US"/>
        </w:rPr>
        <w:t>Providers can apply for financial assistance in the form of capital grants through</w:t>
      </w:r>
      <w:r w:rsidR="00480F8E" w:rsidRPr="00486075">
        <w:rPr>
          <w:rFonts w:ascii="Helvetica" w:eastAsiaTheme="minorHAnsi" w:hAnsi="Helvetica"/>
          <w:lang w:eastAsia="en-US"/>
        </w:rPr>
        <w:t xml:space="preserve"> the ACAR </w:t>
      </w:r>
      <w:r w:rsidRPr="00486075">
        <w:rPr>
          <w:rFonts w:ascii="Helvetica" w:eastAsiaTheme="minorHAnsi" w:hAnsi="Helvetica"/>
          <w:lang w:eastAsia="en-US"/>
        </w:rPr>
        <w:t>in conjunction with an application for new residential</w:t>
      </w:r>
      <w:r w:rsidR="00D62DE6" w:rsidRPr="00486075">
        <w:rPr>
          <w:rFonts w:ascii="Helvetica" w:eastAsiaTheme="minorHAnsi" w:hAnsi="Helvetica"/>
          <w:lang w:eastAsia="en-US"/>
        </w:rPr>
        <w:t xml:space="preserve"> aged</w:t>
      </w:r>
      <w:r w:rsidRPr="00486075">
        <w:rPr>
          <w:rFonts w:ascii="Helvetica" w:eastAsiaTheme="minorHAnsi" w:hAnsi="Helvetica"/>
          <w:lang w:eastAsia="en-US"/>
        </w:rPr>
        <w:t xml:space="preserve"> care places, or as a</w:t>
      </w:r>
      <w:r w:rsidR="00480F8E" w:rsidRPr="00486075">
        <w:rPr>
          <w:rFonts w:ascii="Helvetica" w:eastAsiaTheme="minorHAnsi" w:hAnsi="Helvetica"/>
          <w:lang w:eastAsia="en-US"/>
        </w:rPr>
        <w:t xml:space="preserve"> </w:t>
      </w:r>
      <w:r w:rsidRPr="00486075">
        <w:rPr>
          <w:rFonts w:ascii="Helvetica" w:eastAsiaTheme="minorHAnsi" w:hAnsi="Helvetica"/>
          <w:lang w:eastAsia="en-US"/>
        </w:rPr>
        <w:t>stand-alone grant application (to receive a capital grant, a provider must hold an</w:t>
      </w:r>
      <w:r w:rsidR="00480F8E" w:rsidRPr="00486075">
        <w:rPr>
          <w:rFonts w:ascii="Helvetica" w:eastAsiaTheme="minorHAnsi" w:hAnsi="Helvetica"/>
          <w:lang w:eastAsia="en-US"/>
        </w:rPr>
        <w:t xml:space="preserve"> </w:t>
      </w:r>
      <w:r w:rsidRPr="00486075">
        <w:rPr>
          <w:rFonts w:ascii="Helvetica" w:eastAsiaTheme="minorHAnsi" w:hAnsi="Helvetica"/>
          <w:lang w:eastAsia="en-US"/>
        </w:rPr>
        <w:t>allocation of residential</w:t>
      </w:r>
      <w:r w:rsidR="00060ACD" w:rsidRPr="00486075">
        <w:rPr>
          <w:rFonts w:ascii="Helvetica" w:eastAsiaTheme="minorHAnsi" w:hAnsi="Helvetica"/>
          <w:lang w:eastAsia="en-US"/>
        </w:rPr>
        <w:t xml:space="preserve"> aged</w:t>
      </w:r>
      <w:r w:rsidRPr="00486075">
        <w:rPr>
          <w:rFonts w:ascii="Helvetica" w:eastAsiaTheme="minorHAnsi" w:hAnsi="Helvetica"/>
          <w:lang w:eastAsia="en-US"/>
        </w:rPr>
        <w:t xml:space="preserve"> care places at the service for which the grant is sought). Capital grants are provided for the construction or upgrade of buildings:</w:t>
      </w:r>
    </w:p>
    <w:p w14:paraId="486F6F11" w14:textId="77777777" w:rsidR="00030691" w:rsidRPr="00486075" w:rsidRDefault="00030691" w:rsidP="00216A0E">
      <w:pPr>
        <w:pStyle w:val="ListParagraph"/>
        <w:numPr>
          <w:ilvl w:val="0"/>
          <w:numId w:val="18"/>
        </w:numPr>
        <w:autoSpaceDE w:val="0"/>
        <w:autoSpaceDN w:val="0"/>
        <w:adjustRightInd w:val="0"/>
        <w:spacing w:after="120"/>
        <w:rPr>
          <w:rFonts w:ascii="Helvetica" w:eastAsiaTheme="minorHAnsi" w:hAnsi="Helvetica"/>
          <w:lang w:eastAsia="en-US"/>
        </w:rPr>
      </w:pPr>
      <w:r w:rsidRPr="00486075">
        <w:rPr>
          <w:rFonts w:ascii="Helvetica" w:eastAsiaTheme="minorHAnsi" w:hAnsi="Helvetica"/>
          <w:lang w:eastAsia="en-US"/>
        </w:rPr>
        <w:t>in regional, rural and remote areas of Australia; and/or</w:t>
      </w:r>
    </w:p>
    <w:p w14:paraId="7604BBC9" w14:textId="77777777" w:rsidR="00030691" w:rsidRPr="00486075" w:rsidRDefault="00030691" w:rsidP="00216A0E">
      <w:pPr>
        <w:pStyle w:val="ListParagraph"/>
        <w:numPr>
          <w:ilvl w:val="0"/>
          <w:numId w:val="18"/>
        </w:numPr>
        <w:autoSpaceDE w:val="0"/>
        <w:autoSpaceDN w:val="0"/>
        <w:adjustRightInd w:val="0"/>
        <w:spacing w:after="120"/>
        <w:rPr>
          <w:rFonts w:ascii="Helvetica" w:eastAsiaTheme="minorHAnsi" w:hAnsi="Helvetica"/>
          <w:lang w:eastAsia="en-US"/>
        </w:rPr>
      </w:pPr>
      <w:r w:rsidRPr="00486075">
        <w:rPr>
          <w:rFonts w:ascii="Helvetica" w:eastAsiaTheme="minorHAnsi" w:hAnsi="Helvetica"/>
          <w:lang w:eastAsia="en-US"/>
        </w:rPr>
        <w:t xml:space="preserve">which specifically focus on the provision of residential </w:t>
      </w:r>
      <w:r w:rsidR="00D62DE6" w:rsidRPr="00486075">
        <w:rPr>
          <w:rFonts w:ascii="Helvetica" w:eastAsiaTheme="minorHAnsi" w:hAnsi="Helvetica"/>
          <w:lang w:eastAsia="en-US"/>
        </w:rPr>
        <w:t xml:space="preserve">aged </w:t>
      </w:r>
      <w:r w:rsidRPr="00486075">
        <w:rPr>
          <w:rFonts w:ascii="Helvetica" w:eastAsiaTheme="minorHAnsi" w:hAnsi="Helvetica"/>
          <w:lang w:eastAsia="en-US"/>
        </w:rPr>
        <w:t>care to people from</w:t>
      </w:r>
      <w:r w:rsidR="00E26C41" w:rsidRPr="00486075">
        <w:rPr>
          <w:rFonts w:ascii="Helvetica" w:eastAsiaTheme="minorHAnsi" w:hAnsi="Helvetica"/>
          <w:lang w:eastAsia="en-US"/>
        </w:rPr>
        <w:t xml:space="preserve"> </w:t>
      </w:r>
      <w:r w:rsidRPr="00486075">
        <w:rPr>
          <w:rFonts w:ascii="Helvetica" w:eastAsiaTheme="minorHAnsi" w:hAnsi="Helvetica"/>
          <w:lang w:eastAsia="en-US"/>
        </w:rPr>
        <w:t>Special Needs Groups</w:t>
      </w:r>
      <w:r w:rsidR="009D0D1D" w:rsidRPr="00486075">
        <w:rPr>
          <w:rFonts w:ascii="Helvetica" w:eastAsiaTheme="minorHAnsi" w:hAnsi="Helvetica"/>
          <w:lang w:eastAsia="en-US"/>
        </w:rPr>
        <w:t xml:space="preserve"> </w:t>
      </w:r>
      <w:r w:rsidRPr="00486075">
        <w:rPr>
          <w:rFonts w:ascii="Helvetica" w:eastAsiaTheme="minorHAnsi" w:hAnsi="Helvetica"/>
          <w:lang w:eastAsia="en-US"/>
        </w:rPr>
        <w:t xml:space="preserve">or </w:t>
      </w:r>
      <w:r w:rsidR="00C15D84" w:rsidRPr="00486075">
        <w:rPr>
          <w:rFonts w:ascii="Helvetica" w:eastAsiaTheme="minorHAnsi" w:hAnsi="Helvetica"/>
          <w:lang w:eastAsia="en-US"/>
        </w:rPr>
        <w:t>consumers who are eligible for government support toward the cost of their accommodation</w:t>
      </w:r>
      <w:r w:rsidRPr="00486075">
        <w:rPr>
          <w:rFonts w:ascii="Helvetica" w:eastAsiaTheme="minorHAnsi" w:hAnsi="Helvetica"/>
          <w:lang w:eastAsia="en-US"/>
        </w:rPr>
        <w:t>, including in major cities; and</w:t>
      </w:r>
      <w:r w:rsidR="00C15D84" w:rsidRPr="00486075">
        <w:rPr>
          <w:rFonts w:ascii="Helvetica" w:eastAsiaTheme="minorHAnsi" w:hAnsi="Helvetica"/>
          <w:lang w:eastAsia="en-US"/>
        </w:rPr>
        <w:t>/or</w:t>
      </w:r>
    </w:p>
    <w:p w14:paraId="2EA4FB57" w14:textId="77777777" w:rsidR="00030691" w:rsidRPr="00486075" w:rsidRDefault="00030691" w:rsidP="00216A0E">
      <w:pPr>
        <w:pStyle w:val="ListParagraph"/>
        <w:numPr>
          <w:ilvl w:val="0"/>
          <w:numId w:val="18"/>
        </w:numPr>
        <w:autoSpaceDE w:val="0"/>
        <w:autoSpaceDN w:val="0"/>
        <w:adjustRightInd w:val="0"/>
        <w:spacing w:after="120"/>
        <w:rPr>
          <w:rFonts w:ascii="Helvetica" w:eastAsiaTheme="minorHAnsi" w:hAnsi="Helvetica"/>
          <w:lang w:eastAsia="en-US"/>
        </w:rPr>
      </w:pPr>
      <w:r w:rsidRPr="00486075">
        <w:rPr>
          <w:rFonts w:ascii="Helvetica" w:eastAsiaTheme="minorHAnsi" w:hAnsi="Helvetica"/>
          <w:lang w:eastAsia="en-US"/>
        </w:rPr>
        <w:t xml:space="preserve">in a location where there is a demonstrated need for additional residential </w:t>
      </w:r>
      <w:r w:rsidR="00D62DE6" w:rsidRPr="00486075">
        <w:rPr>
          <w:rFonts w:ascii="Helvetica" w:eastAsiaTheme="minorHAnsi" w:hAnsi="Helvetica"/>
          <w:lang w:eastAsia="en-US"/>
        </w:rPr>
        <w:t xml:space="preserve">aged </w:t>
      </w:r>
      <w:r w:rsidRPr="00486075">
        <w:rPr>
          <w:rFonts w:ascii="Helvetica" w:eastAsiaTheme="minorHAnsi" w:hAnsi="Helvetica"/>
          <w:lang w:eastAsia="en-US"/>
        </w:rPr>
        <w:t>care</w:t>
      </w:r>
      <w:r w:rsidR="00C91B17" w:rsidRPr="00486075">
        <w:rPr>
          <w:rFonts w:ascii="Helvetica" w:eastAsiaTheme="minorHAnsi" w:hAnsi="Helvetica"/>
          <w:lang w:eastAsia="en-US"/>
        </w:rPr>
        <w:t xml:space="preserve"> </w:t>
      </w:r>
      <w:r w:rsidRPr="00486075">
        <w:rPr>
          <w:rFonts w:ascii="Helvetica" w:eastAsiaTheme="minorHAnsi" w:hAnsi="Helvetica"/>
          <w:lang w:eastAsia="en-US"/>
        </w:rPr>
        <w:t>services.</w:t>
      </w:r>
    </w:p>
    <w:p w14:paraId="0A4B130C" w14:textId="77777777" w:rsidR="00030691" w:rsidRPr="00486075" w:rsidRDefault="00030691" w:rsidP="00341779">
      <w:pPr>
        <w:autoSpaceDE w:val="0"/>
        <w:autoSpaceDN w:val="0"/>
        <w:adjustRightInd w:val="0"/>
        <w:spacing w:after="120"/>
        <w:rPr>
          <w:rFonts w:ascii="Helvetica" w:eastAsiaTheme="minorHAnsi" w:hAnsi="Helvetica"/>
          <w:lang w:eastAsia="en-US"/>
        </w:rPr>
      </w:pPr>
      <w:r w:rsidRPr="00486075">
        <w:rPr>
          <w:rFonts w:ascii="Helvetica" w:eastAsiaTheme="minorHAnsi" w:hAnsi="Helvetica"/>
          <w:lang w:eastAsia="en-US"/>
        </w:rPr>
        <w:t>Capital grants are only available to organisations that cannot afford to fund the proposed capital works without a grant from the government.</w:t>
      </w:r>
    </w:p>
    <w:p w14:paraId="7D26700C" w14:textId="77777777" w:rsidR="00480F8E" w:rsidRPr="00486075" w:rsidRDefault="00DD1A4F" w:rsidP="00341779">
      <w:pPr>
        <w:spacing w:after="120"/>
        <w:rPr>
          <w:rFonts w:ascii="Helvetica" w:hAnsi="Helvetica"/>
          <w:b/>
        </w:rPr>
      </w:pPr>
      <w:r w:rsidRPr="00486075">
        <w:rPr>
          <w:rFonts w:ascii="Helvetica" w:hAnsi="Helvetica"/>
          <w:b/>
        </w:rPr>
        <w:t xml:space="preserve">Any changes to the allocation of residential aged care places will require </w:t>
      </w:r>
      <w:r w:rsidR="001D1B13" w:rsidRPr="00486075">
        <w:rPr>
          <w:rFonts w:ascii="Helvetica" w:hAnsi="Helvetica"/>
          <w:b/>
        </w:rPr>
        <w:t xml:space="preserve">a </w:t>
      </w:r>
      <w:r w:rsidRPr="00486075">
        <w:rPr>
          <w:rFonts w:ascii="Helvetica" w:hAnsi="Helvetica"/>
          <w:b/>
        </w:rPr>
        <w:t xml:space="preserve">review of the </w:t>
      </w:r>
      <w:r w:rsidR="005E5C53" w:rsidRPr="00486075">
        <w:rPr>
          <w:rFonts w:ascii="Helvetica" w:hAnsi="Helvetica"/>
          <w:b/>
        </w:rPr>
        <w:t>allocation and administrative provisions for capital grants</w:t>
      </w:r>
      <w:r w:rsidR="00B85E70" w:rsidRPr="00486075">
        <w:rPr>
          <w:rFonts w:ascii="Helvetica" w:hAnsi="Helvetica"/>
          <w:b/>
        </w:rPr>
        <w:t>.</w:t>
      </w:r>
      <w:r w:rsidR="005E5C53" w:rsidRPr="00486075">
        <w:rPr>
          <w:rFonts w:ascii="Helvetica" w:hAnsi="Helvetica"/>
          <w:b/>
        </w:rPr>
        <w:t xml:space="preserve"> </w:t>
      </w:r>
    </w:p>
    <w:p w14:paraId="46A58182" w14:textId="4353FB42" w:rsidR="00640E88" w:rsidRPr="00486075" w:rsidRDefault="00640E88" w:rsidP="001B6A24">
      <w:pPr>
        <w:pStyle w:val="Heading3"/>
      </w:pPr>
      <w:bookmarkStart w:id="39" w:name="_Toc31293663"/>
      <w:r w:rsidRPr="00486075">
        <w:t>Younger people in residential aged care</w:t>
      </w:r>
      <w:bookmarkEnd w:id="39"/>
    </w:p>
    <w:p w14:paraId="56662986" w14:textId="77777777" w:rsidR="00A0122D" w:rsidRPr="00486075" w:rsidRDefault="00640E88" w:rsidP="00A0122D">
      <w:pPr>
        <w:spacing w:after="120"/>
        <w:rPr>
          <w:rFonts w:ascii="Helvetica" w:eastAsiaTheme="minorHAnsi" w:hAnsi="Helvetica"/>
          <w:lang w:eastAsia="en-US"/>
        </w:rPr>
      </w:pPr>
      <w:r w:rsidRPr="00486075">
        <w:rPr>
          <w:rFonts w:ascii="Helvetica" w:eastAsiaTheme="minorHAnsi" w:hAnsi="Helvetica"/>
          <w:lang w:eastAsia="en-US"/>
        </w:rPr>
        <w:t xml:space="preserve">Younger people </w:t>
      </w:r>
      <w:r w:rsidR="00C15D84" w:rsidRPr="00486075">
        <w:rPr>
          <w:rFonts w:ascii="Helvetica" w:eastAsiaTheme="minorHAnsi" w:hAnsi="Helvetica"/>
          <w:lang w:eastAsia="en-US"/>
        </w:rPr>
        <w:t xml:space="preserve">with high-level care needs </w:t>
      </w:r>
      <w:r w:rsidRPr="00486075">
        <w:rPr>
          <w:rFonts w:ascii="Helvetica" w:eastAsiaTheme="minorHAnsi" w:hAnsi="Helvetica"/>
          <w:lang w:eastAsia="en-US"/>
        </w:rPr>
        <w:t>may be living in a</w:t>
      </w:r>
      <w:r w:rsidR="00C15D84" w:rsidRPr="00486075">
        <w:rPr>
          <w:rFonts w:ascii="Helvetica" w:eastAsiaTheme="minorHAnsi" w:hAnsi="Helvetica"/>
          <w:lang w:eastAsia="en-US"/>
        </w:rPr>
        <w:t xml:space="preserve">n </w:t>
      </w:r>
      <w:r w:rsidRPr="00486075">
        <w:rPr>
          <w:rFonts w:ascii="Helvetica" w:eastAsiaTheme="minorHAnsi" w:hAnsi="Helvetica"/>
          <w:lang w:eastAsia="en-US"/>
        </w:rPr>
        <w:t>aged care home if they have been unable to access alternative housing and care</w:t>
      </w:r>
      <w:r w:rsidR="00C15D84" w:rsidRPr="00486075">
        <w:rPr>
          <w:rFonts w:ascii="Helvetica" w:eastAsiaTheme="minorHAnsi" w:hAnsi="Helvetica"/>
          <w:lang w:eastAsia="en-US"/>
        </w:rPr>
        <w:t xml:space="preserve">. A younger person is generally considered to be under the age of 65, or 50 for Aboriginal and Torres Strait Islander people. </w:t>
      </w:r>
      <w:r w:rsidR="00A0122D" w:rsidRPr="00486075">
        <w:rPr>
          <w:rFonts w:ascii="Helvetica" w:eastAsiaTheme="minorHAnsi" w:hAnsi="Helvetica"/>
          <w:lang w:eastAsia="en-US"/>
        </w:rPr>
        <w:t xml:space="preserve">There is no age restriction limiting the delivery of subsidised aged care services under the Act. </w:t>
      </w:r>
    </w:p>
    <w:p w14:paraId="2853D698" w14:textId="77777777" w:rsidR="00A51663" w:rsidRPr="00486075" w:rsidRDefault="00A0122D" w:rsidP="00A51663">
      <w:pPr>
        <w:spacing w:after="120"/>
        <w:rPr>
          <w:rFonts w:ascii="Helvetica" w:eastAsiaTheme="minorHAnsi" w:hAnsi="Helvetica"/>
          <w:lang w:eastAsia="en-US"/>
        </w:rPr>
      </w:pPr>
      <w:r w:rsidRPr="00486075">
        <w:rPr>
          <w:rFonts w:ascii="Helvetica" w:eastAsiaTheme="minorHAnsi" w:hAnsi="Helvetica"/>
          <w:lang w:eastAsia="en-US"/>
        </w:rPr>
        <w:t>Currently</w:t>
      </w:r>
      <w:r w:rsidR="00C15D84" w:rsidRPr="00486075">
        <w:rPr>
          <w:rFonts w:ascii="Helvetica" w:eastAsiaTheme="minorHAnsi" w:hAnsi="Helvetica"/>
          <w:lang w:eastAsia="en-US"/>
        </w:rPr>
        <w:t>,</w:t>
      </w:r>
      <w:r w:rsidRPr="00486075">
        <w:rPr>
          <w:rFonts w:ascii="Helvetica" w:eastAsiaTheme="minorHAnsi" w:hAnsi="Helvetica"/>
          <w:lang w:eastAsia="en-US"/>
        </w:rPr>
        <w:t xml:space="preserve"> the ACAT assessor is responsible for determining whether or not a younger person is eligible to receive aged care services under the Act. </w:t>
      </w:r>
      <w:r w:rsidR="001D1B13" w:rsidRPr="00486075">
        <w:rPr>
          <w:rFonts w:ascii="Helvetica" w:eastAsiaTheme="minorHAnsi" w:hAnsi="Helvetica"/>
          <w:lang w:eastAsia="en-US"/>
        </w:rPr>
        <w:t>The</w:t>
      </w:r>
      <w:r w:rsidRPr="00486075">
        <w:rPr>
          <w:rFonts w:ascii="Helvetica" w:eastAsiaTheme="minorHAnsi" w:hAnsi="Helvetica"/>
          <w:lang w:eastAsia="en-US"/>
        </w:rPr>
        <w:t xml:space="preserve"> aged care legislation requires that</w:t>
      </w:r>
      <w:r w:rsidR="001D1B13" w:rsidRPr="00486075">
        <w:rPr>
          <w:rFonts w:ascii="Helvetica" w:eastAsiaTheme="minorHAnsi" w:hAnsi="Helvetica"/>
          <w:lang w:eastAsia="en-US"/>
        </w:rPr>
        <w:t xml:space="preserve">, to be eligible, </w:t>
      </w:r>
      <w:r w:rsidRPr="00486075">
        <w:rPr>
          <w:rFonts w:ascii="Helvetica" w:eastAsiaTheme="minorHAnsi" w:hAnsi="Helvetica"/>
          <w:lang w:eastAsia="en-US"/>
        </w:rPr>
        <w:t>there are no other care facilities or care services more appropriate to meet the person’s needs (</w:t>
      </w:r>
      <w:r w:rsidR="009A4CA5" w:rsidRPr="00486075">
        <w:rPr>
          <w:rFonts w:ascii="Helvetica" w:eastAsiaTheme="minorHAnsi" w:hAnsi="Helvetica"/>
          <w:lang w:eastAsia="en-US"/>
        </w:rPr>
        <w:t xml:space="preserve">see </w:t>
      </w:r>
      <w:r w:rsidR="009A4CA5" w:rsidRPr="00486075">
        <w:rPr>
          <w:rFonts w:ascii="Helvetica" w:eastAsiaTheme="minorHAnsi" w:hAnsi="Helvetica"/>
          <w:i/>
          <w:lang w:eastAsia="en-US"/>
        </w:rPr>
        <w:t>Approval of Care Recipients Principles 2014</w:t>
      </w:r>
      <w:r w:rsidR="009A4CA5" w:rsidRPr="00486075">
        <w:rPr>
          <w:rFonts w:ascii="Helvetica" w:eastAsiaTheme="minorHAnsi" w:hAnsi="Helvetica"/>
          <w:lang w:eastAsia="en-US"/>
        </w:rPr>
        <w:t xml:space="preserve"> section 6</w:t>
      </w:r>
      <w:r w:rsidRPr="00486075">
        <w:rPr>
          <w:rFonts w:ascii="Helvetica" w:eastAsiaTheme="minorHAnsi" w:hAnsi="Helvetica"/>
          <w:lang w:eastAsia="en-US"/>
        </w:rPr>
        <w:t>).</w:t>
      </w:r>
      <w:r w:rsidR="00A51663" w:rsidRPr="00486075">
        <w:rPr>
          <w:rFonts w:ascii="Helvetica" w:eastAsiaTheme="minorHAnsi" w:hAnsi="Helvetica"/>
          <w:lang w:eastAsia="en-US"/>
        </w:rPr>
        <w:t xml:space="preserve"> </w:t>
      </w:r>
      <w:r w:rsidR="00A51663" w:rsidRPr="00486075">
        <w:rPr>
          <w:rFonts w:ascii="Helvetica" w:hAnsi="Helvetica"/>
        </w:rPr>
        <w:t xml:space="preserve">As of 30 June 2018, there were 6,045 people aged under 65 years living in </w:t>
      </w:r>
      <w:r w:rsidR="00C15D84" w:rsidRPr="00486075">
        <w:rPr>
          <w:rFonts w:ascii="Helvetica" w:hAnsi="Helvetica"/>
        </w:rPr>
        <w:t>an aged care home</w:t>
      </w:r>
      <w:r w:rsidR="00A51663" w:rsidRPr="00486075">
        <w:rPr>
          <w:rStyle w:val="FootnoteReference"/>
          <w:rFonts w:ascii="Helvetica" w:hAnsi="Helvetica"/>
        </w:rPr>
        <w:footnoteReference w:id="20"/>
      </w:r>
      <w:r w:rsidR="00A51663" w:rsidRPr="00486075">
        <w:rPr>
          <w:rFonts w:ascii="Helvetica" w:hAnsi="Helvetica"/>
        </w:rPr>
        <w:t xml:space="preserve">. </w:t>
      </w:r>
    </w:p>
    <w:p w14:paraId="335C41B0" w14:textId="76D8E3F9" w:rsidR="002867B2" w:rsidRPr="00486075" w:rsidRDefault="002867B2">
      <w:pPr>
        <w:rPr>
          <w:rFonts w:ascii="Helvetica" w:eastAsiaTheme="minorHAnsi" w:hAnsi="Helvetica"/>
          <w:lang w:eastAsia="en-US"/>
        </w:rPr>
      </w:pPr>
      <w:r w:rsidRPr="00486075">
        <w:rPr>
          <w:rFonts w:ascii="Helvetica" w:eastAsiaTheme="minorHAnsi" w:hAnsi="Helvetica"/>
          <w:lang w:eastAsia="en-US"/>
        </w:rPr>
        <w:br w:type="page"/>
      </w:r>
    </w:p>
    <w:p w14:paraId="7550C6D0" w14:textId="77777777" w:rsidR="00640E88" w:rsidRPr="00486075" w:rsidRDefault="00640E88" w:rsidP="00A51663">
      <w:pPr>
        <w:spacing w:after="120"/>
        <w:rPr>
          <w:rFonts w:ascii="Helvetica" w:eastAsiaTheme="minorHAnsi" w:hAnsi="Helvetica"/>
          <w:lang w:eastAsia="en-US"/>
        </w:rPr>
      </w:pPr>
      <w:r w:rsidRPr="00486075">
        <w:rPr>
          <w:rFonts w:ascii="Helvetica" w:eastAsiaTheme="minorHAnsi" w:hAnsi="Helvetica"/>
          <w:lang w:eastAsia="en-US"/>
        </w:rPr>
        <w:lastRenderedPageBreak/>
        <w:t>Young</w:t>
      </w:r>
      <w:r w:rsidR="009B601E" w:rsidRPr="00486075">
        <w:rPr>
          <w:rFonts w:ascii="Helvetica" w:eastAsiaTheme="minorHAnsi" w:hAnsi="Helvetica"/>
          <w:lang w:eastAsia="en-US"/>
        </w:rPr>
        <w:t>er</w:t>
      </w:r>
      <w:r w:rsidRPr="00486075">
        <w:rPr>
          <w:rFonts w:ascii="Helvetica" w:eastAsiaTheme="minorHAnsi" w:hAnsi="Helvetica"/>
          <w:lang w:eastAsia="en-US"/>
        </w:rPr>
        <w:t xml:space="preserve"> people accessing aged care services may be eligible for supports through the National Disability Insurance Scheme (NDIS) as it rolls out across Australia through to</w:t>
      </w:r>
      <w:r w:rsidR="009A4CA5" w:rsidRPr="00486075">
        <w:rPr>
          <w:rFonts w:ascii="Helvetica" w:eastAsiaTheme="minorHAnsi" w:hAnsi="Helvetica"/>
          <w:lang w:eastAsia="en-US"/>
        </w:rPr>
        <w:t xml:space="preserve"> 1</w:t>
      </w:r>
      <w:r w:rsidR="009B601E" w:rsidRPr="00486075">
        <w:rPr>
          <w:rFonts w:ascii="Helvetica" w:eastAsiaTheme="minorHAnsi" w:hAnsi="Helvetica"/>
          <w:lang w:eastAsia="en-US"/>
        </w:rPr>
        <w:t> </w:t>
      </w:r>
      <w:r w:rsidR="009A4CA5" w:rsidRPr="00486075">
        <w:rPr>
          <w:rFonts w:ascii="Helvetica" w:eastAsiaTheme="minorHAnsi" w:hAnsi="Helvetica"/>
          <w:lang w:eastAsia="en-US"/>
        </w:rPr>
        <w:t>July</w:t>
      </w:r>
      <w:r w:rsidRPr="00486075">
        <w:rPr>
          <w:rFonts w:ascii="Helvetica" w:eastAsiaTheme="minorHAnsi" w:hAnsi="Helvetica"/>
          <w:lang w:eastAsia="en-US"/>
        </w:rPr>
        <w:t xml:space="preserve"> 2020.</w:t>
      </w:r>
      <w:r w:rsidR="00A0122D" w:rsidRPr="00486075">
        <w:rPr>
          <w:rFonts w:ascii="Helvetica" w:eastAsiaTheme="minorHAnsi" w:hAnsi="Helvetica"/>
          <w:lang w:eastAsia="en-US"/>
        </w:rPr>
        <w:t xml:space="preserve"> </w:t>
      </w:r>
      <w:r w:rsidRPr="00486075">
        <w:rPr>
          <w:rFonts w:ascii="Helvetica" w:eastAsiaTheme="minorHAnsi" w:hAnsi="Helvetica"/>
          <w:lang w:eastAsia="en-US"/>
        </w:rPr>
        <w:t>Younger people who are already in aged care can continue to receive aged care and may become eligible for additional supports through the NDIS.</w:t>
      </w:r>
      <w:r w:rsidR="00A0122D" w:rsidRPr="00486075">
        <w:rPr>
          <w:rFonts w:ascii="Helvetica" w:eastAsiaTheme="minorHAnsi" w:hAnsi="Helvetica"/>
          <w:lang w:eastAsia="en-US"/>
        </w:rPr>
        <w:t xml:space="preserve"> </w:t>
      </w:r>
    </w:p>
    <w:p w14:paraId="01C0FF7D" w14:textId="457F94C9" w:rsidR="00D206EB" w:rsidRPr="00486075" w:rsidRDefault="00D13687" w:rsidP="00A51663">
      <w:pPr>
        <w:spacing w:after="120"/>
        <w:rPr>
          <w:rFonts w:ascii="Helvetica" w:eastAsiaTheme="minorHAnsi" w:hAnsi="Helvetica"/>
          <w:lang w:eastAsia="en-US"/>
        </w:rPr>
      </w:pPr>
      <w:r w:rsidRPr="00486075">
        <w:rPr>
          <w:rFonts w:ascii="Helvetica" w:eastAsiaTheme="minorHAnsi" w:hAnsi="Helvetica"/>
          <w:lang w:eastAsia="en-US"/>
        </w:rPr>
        <w:t>On 22 March 2019, the Department of Social Services (which has policy responsibility for the NDIS) announced a national action plan to reduce the number of younger people living in aged care homes</w:t>
      </w:r>
      <w:r w:rsidR="00D206EB" w:rsidRPr="00486075">
        <w:rPr>
          <w:rStyle w:val="FootnoteReference"/>
          <w:rFonts w:ascii="Helvetica" w:eastAsiaTheme="minorHAnsi" w:hAnsi="Helvetica"/>
          <w:lang w:eastAsia="en-US"/>
        </w:rPr>
        <w:footnoteReference w:id="21"/>
      </w:r>
      <w:r w:rsidRPr="00486075">
        <w:rPr>
          <w:rFonts w:ascii="Helvetica" w:eastAsiaTheme="minorHAnsi" w:hAnsi="Helvetica"/>
          <w:lang w:eastAsia="en-US"/>
        </w:rPr>
        <w:t>.</w:t>
      </w:r>
    </w:p>
    <w:p w14:paraId="64160A2B" w14:textId="77777777" w:rsidR="00A51663" w:rsidRPr="00486075" w:rsidRDefault="00A51663" w:rsidP="00640E88">
      <w:pPr>
        <w:spacing w:after="120"/>
        <w:rPr>
          <w:rFonts w:ascii="Helvetica" w:hAnsi="Helvetica"/>
        </w:rPr>
      </w:pPr>
      <w:r w:rsidRPr="00486075">
        <w:rPr>
          <w:rFonts w:ascii="Helvetica" w:hAnsi="Helvetica"/>
        </w:rPr>
        <w:t>The changes under either proposed model would extend to younger people in residential aged care in respect of whom aged care subsidies and supplements are payable.</w:t>
      </w:r>
      <w:r w:rsidR="009A4CA5" w:rsidRPr="00486075">
        <w:t xml:space="preserve"> </w:t>
      </w:r>
      <w:r w:rsidRPr="00486075">
        <w:rPr>
          <w:rFonts w:ascii="Helvetica" w:hAnsi="Helvetica"/>
        </w:rPr>
        <w:t xml:space="preserve"> </w:t>
      </w:r>
    </w:p>
    <w:p w14:paraId="3C90F076" w14:textId="77777777" w:rsidR="00640E88" w:rsidRPr="00486075" w:rsidRDefault="00A0122D" w:rsidP="00640E88">
      <w:pPr>
        <w:spacing w:after="120"/>
        <w:rPr>
          <w:rFonts w:ascii="Helvetica" w:eastAsiaTheme="minorHAnsi" w:hAnsi="Helvetica"/>
          <w:b/>
          <w:lang w:eastAsia="en-US"/>
        </w:rPr>
      </w:pPr>
      <w:r w:rsidRPr="00486075">
        <w:rPr>
          <w:rFonts w:ascii="Helvetica" w:eastAsiaTheme="minorHAnsi" w:hAnsi="Helvetica"/>
          <w:b/>
          <w:lang w:eastAsia="en-US"/>
        </w:rPr>
        <w:t>Any change</w:t>
      </w:r>
      <w:r w:rsidR="00C17119" w:rsidRPr="00486075">
        <w:rPr>
          <w:rFonts w:ascii="Helvetica" w:eastAsiaTheme="minorHAnsi" w:hAnsi="Helvetica"/>
          <w:b/>
          <w:lang w:eastAsia="en-US"/>
        </w:rPr>
        <w:t>s</w:t>
      </w:r>
      <w:r w:rsidRPr="00486075">
        <w:rPr>
          <w:rFonts w:ascii="Helvetica" w:eastAsiaTheme="minorHAnsi" w:hAnsi="Helvetica"/>
          <w:b/>
          <w:lang w:eastAsia="en-US"/>
        </w:rPr>
        <w:t xml:space="preserve"> to the allocation of residential aged care places will need to consider younger people who need high-level care.</w:t>
      </w:r>
    </w:p>
    <w:p w14:paraId="1F65AB5F" w14:textId="77777777" w:rsidR="002275B1" w:rsidRPr="00486075" w:rsidRDefault="002275B1">
      <w:pPr>
        <w:rPr>
          <w:rFonts w:ascii="Helvetica" w:hAnsi="Helvetica"/>
        </w:rPr>
      </w:pPr>
      <w:r w:rsidRPr="00486075">
        <w:rPr>
          <w:rFonts w:ascii="Helvetica" w:hAnsi="Helvetica"/>
        </w:rPr>
        <w:br w:type="page"/>
      </w:r>
    </w:p>
    <w:p w14:paraId="1A6C2073" w14:textId="111C62AE" w:rsidR="00EE45A1" w:rsidRPr="00486075" w:rsidRDefault="00D5278D" w:rsidP="00383D9B">
      <w:pPr>
        <w:pStyle w:val="Heading1Black"/>
      </w:pPr>
      <w:bookmarkStart w:id="40" w:name="_Toc31293664"/>
      <w:r w:rsidRPr="00486075">
        <w:lastRenderedPageBreak/>
        <w:t>T</w:t>
      </w:r>
      <w:r w:rsidR="00CE50BB" w:rsidRPr="00486075">
        <w:t>he case for change</w:t>
      </w:r>
      <w:bookmarkEnd w:id="40"/>
    </w:p>
    <w:p w14:paraId="41259373" w14:textId="0D45D928" w:rsidR="0036760D" w:rsidRPr="00486075" w:rsidRDefault="00DD1A4F" w:rsidP="00553BEF">
      <w:pPr>
        <w:pStyle w:val="Heading2"/>
      </w:pPr>
      <w:bookmarkStart w:id="41" w:name="_Toc31293665"/>
      <w:r w:rsidRPr="00486075">
        <w:t>Issues with current</w:t>
      </w:r>
      <w:r w:rsidR="0036760D" w:rsidRPr="00486075">
        <w:t xml:space="preserve"> allocation process</w:t>
      </w:r>
      <w:bookmarkEnd w:id="41"/>
    </w:p>
    <w:p w14:paraId="59967B0B" w14:textId="77777777" w:rsidR="0036760D" w:rsidRPr="00486075" w:rsidRDefault="00507583" w:rsidP="004D1817">
      <w:pPr>
        <w:pStyle w:val="Default"/>
        <w:spacing w:after="60"/>
        <w:rPr>
          <w:rFonts w:ascii="Helvetica" w:eastAsia="Times New Roman" w:hAnsi="Helvetica" w:cs="Times New Roman"/>
          <w:color w:val="auto"/>
          <w:lang w:eastAsia="en-AU"/>
        </w:rPr>
      </w:pPr>
      <w:r w:rsidRPr="00486075">
        <w:rPr>
          <w:rFonts w:ascii="Helvetica" w:hAnsi="Helvetica"/>
          <w:color w:val="auto"/>
        </w:rPr>
        <w:t xml:space="preserve">Some </w:t>
      </w:r>
      <w:r w:rsidRPr="00486075">
        <w:rPr>
          <w:rFonts w:ascii="Helvetica" w:eastAsia="Times New Roman" w:hAnsi="Helvetica" w:cs="Times New Roman"/>
          <w:color w:val="auto"/>
          <w:lang w:eastAsia="en-AU"/>
        </w:rPr>
        <w:t>s</w:t>
      </w:r>
      <w:r w:rsidR="00DD1A4F" w:rsidRPr="00486075">
        <w:rPr>
          <w:rFonts w:ascii="Helvetica" w:eastAsia="Times New Roman" w:hAnsi="Helvetica" w:cs="Times New Roman"/>
          <w:color w:val="auto"/>
          <w:lang w:eastAsia="en-AU"/>
        </w:rPr>
        <w:t>takeholders have identified issues with</w:t>
      </w:r>
      <w:r w:rsidR="0036760D" w:rsidRPr="00486075">
        <w:rPr>
          <w:rFonts w:ascii="Helvetica" w:eastAsia="Times New Roman" w:hAnsi="Helvetica" w:cs="Times New Roman"/>
          <w:color w:val="auto"/>
          <w:lang w:eastAsia="en-AU"/>
        </w:rPr>
        <w:t xml:space="preserve"> the current </w:t>
      </w:r>
      <w:r w:rsidRPr="00486075">
        <w:rPr>
          <w:rFonts w:ascii="Helvetica" w:eastAsia="Times New Roman" w:hAnsi="Helvetica" w:cs="Times New Roman"/>
          <w:color w:val="auto"/>
          <w:lang w:eastAsia="en-AU"/>
        </w:rPr>
        <w:t>allocation</w:t>
      </w:r>
      <w:r w:rsidR="0036760D" w:rsidRPr="00486075">
        <w:rPr>
          <w:rFonts w:ascii="Helvetica" w:eastAsia="Times New Roman" w:hAnsi="Helvetica" w:cs="Times New Roman"/>
          <w:color w:val="auto"/>
          <w:lang w:eastAsia="en-AU"/>
        </w:rPr>
        <w:t xml:space="preserve"> process</w:t>
      </w:r>
      <w:r w:rsidRPr="00486075">
        <w:rPr>
          <w:rFonts w:ascii="Helvetica" w:eastAsia="Times New Roman" w:hAnsi="Helvetica" w:cs="Times New Roman"/>
          <w:color w:val="auto"/>
          <w:lang w:eastAsia="en-AU"/>
        </w:rPr>
        <w:t xml:space="preserve"> for residential aged care</w:t>
      </w:r>
      <w:r w:rsidR="0036760D" w:rsidRPr="00486075">
        <w:rPr>
          <w:rFonts w:ascii="Helvetica" w:eastAsia="Times New Roman" w:hAnsi="Helvetica" w:cs="Times New Roman"/>
          <w:color w:val="auto"/>
          <w:lang w:eastAsia="en-AU"/>
        </w:rPr>
        <w:t>, includi</w:t>
      </w:r>
      <w:r w:rsidRPr="00486075">
        <w:rPr>
          <w:rFonts w:ascii="Helvetica" w:eastAsia="Times New Roman" w:hAnsi="Helvetica" w:cs="Times New Roman"/>
          <w:color w:val="auto"/>
          <w:lang w:eastAsia="en-AU"/>
        </w:rPr>
        <w:t>ng the ACAR</w:t>
      </w:r>
      <w:r w:rsidR="0036760D" w:rsidRPr="00486075">
        <w:rPr>
          <w:rFonts w:ascii="Helvetica" w:eastAsia="Times New Roman" w:hAnsi="Helvetica" w:cs="Times New Roman"/>
          <w:color w:val="auto"/>
          <w:lang w:eastAsia="en-AU"/>
        </w:rPr>
        <w:t xml:space="preserve"> being:</w:t>
      </w:r>
    </w:p>
    <w:p w14:paraId="7CFB2DC8" w14:textId="77777777" w:rsidR="0036760D" w:rsidRPr="00486075" w:rsidRDefault="008F6172" w:rsidP="00216A0E">
      <w:pPr>
        <w:pStyle w:val="ListParagraph"/>
        <w:numPr>
          <w:ilvl w:val="0"/>
          <w:numId w:val="15"/>
        </w:numPr>
        <w:spacing w:after="120"/>
        <w:ind w:left="714" w:hanging="357"/>
        <w:contextualSpacing w:val="0"/>
        <w:rPr>
          <w:rFonts w:ascii="Helvetica" w:hAnsi="Helvetica"/>
        </w:rPr>
      </w:pPr>
      <w:r w:rsidRPr="00486075">
        <w:rPr>
          <w:rFonts w:ascii="Helvetica" w:hAnsi="Helvetica"/>
        </w:rPr>
        <w:t>perceived as a ‘lucky dip’, with so</w:t>
      </w:r>
      <w:r w:rsidR="00DD1A4F" w:rsidRPr="00486075">
        <w:rPr>
          <w:rFonts w:ascii="Helvetica" w:hAnsi="Helvetica"/>
        </w:rPr>
        <w:t>me stakeholders feel</w:t>
      </w:r>
      <w:r w:rsidRPr="00486075">
        <w:rPr>
          <w:rFonts w:ascii="Helvetica" w:hAnsi="Helvetica"/>
        </w:rPr>
        <w:t>ing</w:t>
      </w:r>
      <w:r w:rsidR="00DD1A4F" w:rsidRPr="00486075">
        <w:rPr>
          <w:rFonts w:ascii="Helvetica" w:hAnsi="Helvetica"/>
        </w:rPr>
        <w:t xml:space="preserve"> the outcomes from ACAR </w:t>
      </w:r>
      <w:r w:rsidR="004610CA" w:rsidRPr="00486075">
        <w:rPr>
          <w:rFonts w:ascii="Helvetica" w:hAnsi="Helvetica"/>
        </w:rPr>
        <w:t xml:space="preserve">are not transparent and </w:t>
      </w:r>
      <w:r w:rsidRPr="00486075">
        <w:rPr>
          <w:rFonts w:ascii="Helvetica" w:hAnsi="Helvetica"/>
        </w:rPr>
        <w:t>do not always reflect</w:t>
      </w:r>
      <w:r w:rsidR="00DD1A4F" w:rsidRPr="00486075">
        <w:rPr>
          <w:rFonts w:ascii="Helvetica" w:hAnsi="Helvetica"/>
        </w:rPr>
        <w:t xml:space="preserve"> how ‘bed ready’</w:t>
      </w:r>
      <w:r w:rsidRPr="00486075">
        <w:rPr>
          <w:rFonts w:ascii="Helvetica" w:hAnsi="Helvetica"/>
        </w:rPr>
        <w:t xml:space="preserve"> providers are to start delivering care</w:t>
      </w:r>
      <w:r w:rsidR="00D46574" w:rsidRPr="00486075">
        <w:rPr>
          <w:rFonts w:ascii="Helvetica" w:hAnsi="Helvetica"/>
        </w:rPr>
        <w:t>;</w:t>
      </w:r>
    </w:p>
    <w:p w14:paraId="4B185B39" w14:textId="77777777" w:rsidR="0036760D" w:rsidRPr="00486075" w:rsidRDefault="0036760D" w:rsidP="00216A0E">
      <w:pPr>
        <w:pStyle w:val="ListParagraph"/>
        <w:numPr>
          <w:ilvl w:val="0"/>
          <w:numId w:val="15"/>
        </w:numPr>
        <w:spacing w:after="120"/>
        <w:ind w:left="714" w:hanging="357"/>
        <w:contextualSpacing w:val="0"/>
        <w:rPr>
          <w:rFonts w:ascii="Helvetica" w:hAnsi="Helvetica"/>
        </w:rPr>
      </w:pPr>
      <w:r w:rsidRPr="00486075">
        <w:rPr>
          <w:rFonts w:ascii="Helvetica" w:hAnsi="Helvetica"/>
        </w:rPr>
        <w:t xml:space="preserve">used by some providers </w:t>
      </w:r>
      <w:r w:rsidR="00C15D84" w:rsidRPr="00486075">
        <w:rPr>
          <w:rFonts w:ascii="Helvetica" w:hAnsi="Helvetica"/>
        </w:rPr>
        <w:t xml:space="preserve">who apply </w:t>
      </w:r>
      <w:r w:rsidRPr="00486075">
        <w:rPr>
          <w:rFonts w:ascii="Helvetica" w:hAnsi="Helvetica"/>
        </w:rPr>
        <w:t>to ‘crowd out’</w:t>
      </w:r>
      <w:r w:rsidR="008F6172" w:rsidRPr="00486075">
        <w:rPr>
          <w:rFonts w:ascii="Helvetica" w:hAnsi="Helvetica"/>
        </w:rPr>
        <w:t xml:space="preserve"> local</w:t>
      </w:r>
      <w:r w:rsidRPr="00486075">
        <w:rPr>
          <w:rFonts w:ascii="Helvetica" w:hAnsi="Helvetica"/>
        </w:rPr>
        <w:t xml:space="preserve"> competition or to ‘sell’ their places to others</w:t>
      </w:r>
      <w:r w:rsidR="00DD44C3" w:rsidRPr="00486075">
        <w:rPr>
          <w:rFonts w:ascii="Helvetica" w:hAnsi="Helvetica"/>
        </w:rPr>
        <w:t xml:space="preserve"> which circumvents the planning and rationale underpinning the release of places</w:t>
      </w:r>
      <w:r w:rsidR="00D46574" w:rsidRPr="00486075">
        <w:rPr>
          <w:rFonts w:ascii="Helvetica" w:hAnsi="Helvetica"/>
        </w:rPr>
        <w:t>; and</w:t>
      </w:r>
      <w:r w:rsidR="00DD44C3" w:rsidRPr="00486075">
        <w:rPr>
          <w:rFonts w:ascii="Helvetica" w:hAnsi="Helvetica"/>
        </w:rPr>
        <w:t xml:space="preserve">  </w:t>
      </w:r>
    </w:p>
    <w:p w14:paraId="0070866F" w14:textId="77777777" w:rsidR="0036760D" w:rsidRPr="00486075" w:rsidRDefault="0036760D" w:rsidP="00216A0E">
      <w:pPr>
        <w:pStyle w:val="ListParagraph"/>
        <w:numPr>
          <w:ilvl w:val="0"/>
          <w:numId w:val="15"/>
        </w:numPr>
        <w:spacing w:after="120"/>
        <w:ind w:left="714" w:hanging="357"/>
        <w:contextualSpacing w:val="0"/>
        <w:rPr>
          <w:rFonts w:ascii="Helvetica" w:hAnsi="Helvetica"/>
        </w:rPr>
      </w:pPr>
      <w:r w:rsidRPr="00486075">
        <w:rPr>
          <w:rFonts w:ascii="Helvetica" w:hAnsi="Helvetica"/>
        </w:rPr>
        <w:t>disadvantageous to smaller providers who may not have appropriate resources to apply due to the requirement for lengthy written submissions</w:t>
      </w:r>
      <w:r w:rsidR="00507583" w:rsidRPr="00486075">
        <w:rPr>
          <w:rFonts w:ascii="Helvetica" w:hAnsi="Helvetica"/>
        </w:rPr>
        <w:t xml:space="preserve"> (providers often engage consultants to prepare their applications).</w:t>
      </w:r>
    </w:p>
    <w:p w14:paraId="77E1F2F0" w14:textId="36017839" w:rsidR="0036760D" w:rsidRPr="00486075" w:rsidRDefault="0036760D" w:rsidP="00553BEF">
      <w:pPr>
        <w:pStyle w:val="Heading2"/>
      </w:pPr>
      <w:bookmarkStart w:id="42" w:name="_Toc31293666"/>
      <w:r w:rsidRPr="00486075">
        <w:t>Allocation of places to the provider does not support a consumer driven market</w:t>
      </w:r>
      <w:bookmarkEnd w:id="42"/>
    </w:p>
    <w:p w14:paraId="3231DE3F" w14:textId="77777777" w:rsidR="0036760D" w:rsidRPr="00486075" w:rsidRDefault="00507583" w:rsidP="004D1817">
      <w:pPr>
        <w:pStyle w:val="Default"/>
        <w:spacing w:after="60"/>
        <w:rPr>
          <w:rFonts w:ascii="Helvetica" w:eastAsia="Times New Roman" w:hAnsi="Helvetica" w:cs="Times New Roman"/>
          <w:color w:val="auto"/>
          <w:lang w:eastAsia="en-AU"/>
        </w:rPr>
      </w:pPr>
      <w:r w:rsidRPr="00486075">
        <w:rPr>
          <w:rFonts w:ascii="Helvetica" w:eastAsia="Times New Roman" w:hAnsi="Helvetica" w:cs="Times New Roman"/>
          <w:color w:val="auto"/>
          <w:lang w:eastAsia="en-AU"/>
        </w:rPr>
        <w:t xml:space="preserve">There have also been suggestions from some stakeholders that allocating residential aged care </w:t>
      </w:r>
      <w:r w:rsidR="0036760D" w:rsidRPr="00486075">
        <w:rPr>
          <w:rFonts w:ascii="Helvetica" w:eastAsia="Times New Roman" w:hAnsi="Helvetica" w:cs="Times New Roman"/>
          <w:color w:val="auto"/>
          <w:lang w:eastAsia="en-AU"/>
        </w:rPr>
        <w:t>places to the provider does not support a consumer driven market, as:</w:t>
      </w:r>
    </w:p>
    <w:p w14:paraId="3E27DC0C" w14:textId="77777777" w:rsidR="0036760D" w:rsidRPr="00486075" w:rsidRDefault="0036760D" w:rsidP="00216A0E">
      <w:pPr>
        <w:pStyle w:val="ListParagraph"/>
        <w:numPr>
          <w:ilvl w:val="0"/>
          <w:numId w:val="15"/>
        </w:numPr>
        <w:spacing w:after="120"/>
        <w:ind w:left="714" w:hanging="357"/>
        <w:contextualSpacing w:val="0"/>
        <w:rPr>
          <w:rFonts w:ascii="Helvetica" w:hAnsi="Helvetica"/>
        </w:rPr>
      </w:pPr>
      <w:r w:rsidRPr="00486075">
        <w:rPr>
          <w:rFonts w:ascii="Helvetica" w:hAnsi="Helvetica"/>
        </w:rPr>
        <w:t xml:space="preserve">underperforming providers are </w:t>
      </w:r>
      <w:r w:rsidR="00507583" w:rsidRPr="00486075">
        <w:rPr>
          <w:rFonts w:ascii="Helvetica" w:hAnsi="Helvetica"/>
        </w:rPr>
        <w:t xml:space="preserve">still </w:t>
      </w:r>
      <w:r w:rsidRPr="00486075">
        <w:rPr>
          <w:rFonts w:ascii="Helvetica" w:hAnsi="Helvetica"/>
        </w:rPr>
        <w:t>able to fill vacant beds</w:t>
      </w:r>
      <w:r w:rsidR="00507583" w:rsidRPr="00486075">
        <w:rPr>
          <w:rFonts w:ascii="Helvetica" w:hAnsi="Helvetica"/>
        </w:rPr>
        <w:t>,</w:t>
      </w:r>
      <w:r w:rsidRPr="00486075">
        <w:rPr>
          <w:rFonts w:ascii="Helvetica" w:hAnsi="Helvetica"/>
        </w:rPr>
        <w:t xml:space="preserve"> as supply is constrained </w:t>
      </w:r>
      <w:r w:rsidR="000174AE" w:rsidRPr="00486075">
        <w:rPr>
          <w:rFonts w:ascii="Helvetica" w:hAnsi="Helvetica"/>
        </w:rPr>
        <w:t>(via allocation of</w:t>
      </w:r>
      <w:r w:rsidR="00C15D84" w:rsidRPr="00486075">
        <w:rPr>
          <w:rFonts w:ascii="Helvetica" w:hAnsi="Helvetica"/>
        </w:rPr>
        <w:t xml:space="preserve"> places) </w:t>
      </w:r>
      <w:r w:rsidRPr="00486075">
        <w:rPr>
          <w:rFonts w:ascii="Helvetica" w:hAnsi="Helvetica"/>
        </w:rPr>
        <w:t>and consumers have limited choice</w:t>
      </w:r>
      <w:r w:rsidR="00C15D84" w:rsidRPr="00486075">
        <w:rPr>
          <w:rFonts w:ascii="Helvetica" w:hAnsi="Helvetica"/>
        </w:rPr>
        <w:t xml:space="preserve"> (can only choose among providers with allocated places that are available)</w:t>
      </w:r>
      <w:r w:rsidR="00D46574" w:rsidRPr="00486075">
        <w:rPr>
          <w:rFonts w:ascii="Helvetica" w:hAnsi="Helvetica"/>
        </w:rPr>
        <w:t>;</w:t>
      </w:r>
      <w:r w:rsidRPr="00486075">
        <w:rPr>
          <w:rFonts w:ascii="Helvetica" w:hAnsi="Helvetica"/>
        </w:rPr>
        <w:t xml:space="preserve">  </w:t>
      </w:r>
    </w:p>
    <w:p w14:paraId="1A3184F0" w14:textId="77777777" w:rsidR="0036760D" w:rsidRPr="00486075" w:rsidRDefault="0036760D" w:rsidP="00216A0E">
      <w:pPr>
        <w:pStyle w:val="ListParagraph"/>
        <w:numPr>
          <w:ilvl w:val="0"/>
          <w:numId w:val="15"/>
        </w:numPr>
        <w:spacing w:after="120"/>
        <w:ind w:left="714" w:hanging="357"/>
        <w:contextualSpacing w:val="0"/>
        <w:rPr>
          <w:rFonts w:ascii="Helvetica" w:hAnsi="Helvetica"/>
        </w:rPr>
      </w:pPr>
      <w:r w:rsidRPr="00486075">
        <w:rPr>
          <w:rFonts w:ascii="Helvetica" w:hAnsi="Helvetica"/>
        </w:rPr>
        <w:t>there is minimal pressure for existing providers to innovate or be responsive to consumer needs or preferences in their service or accommodation offerings</w:t>
      </w:r>
      <w:r w:rsidR="00E73467" w:rsidRPr="00486075">
        <w:rPr>
          <w:rFonts w:ascii="Helvetica" w:hAnsi="Helvetica"/>
        </w:rPr>
        <w:t>. For example,</w:t>
      </w:r>
      <w:r w:rsidR="00FC6596" w:rsidRPr="00486075">
        <w:rPr>
          <w:rFonts w:ascii="Helvetica" w:hAnsi="Helvetica"/>
        </w:rPr>
        <w:t xml:space="preserve"> the independent Aged Care Financing Authority</w:t>
      </w:r>
      <w:r w:rsidR="00E73467" w:rsidRPr="00486075">
        <w:rPr>
          <w:rFonts w:ascii="Helvetica" w:hAnsi="Helvetica"/>
        </w:rPr>
        <w:t xml:space="preserve"> </w:t>
      </w:r>
      <w:r w:rsidR="00FC6596" w:rsidRPr="00486075">
        <w:rPr>
          <w:rFonts w:ascii="Helvetica" w:hAnsi="Helvetica"/>
        </w:rPr>
        <w:t>(</w:t>
      </w:r>
      <w:r w:rsidR="00E73467" w:rsidRPr="00486075">
        <w:rPr>
          <w:rFonts w:ascii="Helvetica" w:hAnsi="Helvetica"/>
        </w:rPr>
        <w:t>ACFA</w:t>
      </w:r>
      <w:r w:rsidR="00FC6596" w:rsidRPr="00486075">
        <w:rPr>
          <w:rFonts w:ascii="Helvetica" w:hAnsi="Helvetica"/>
        </w:rPr>
        <w:t>)</w:t>
      </w:r>
      <w:r w:rsidR="00E73467" w:rsidRPr="00486075">
        <w:rPr>
          <w:rFonts w:ascii="Helvetica" w:hAnsi="Helvetica"/>
        </w:rPr>
        <w:t xml:space="preserve"> has noted that ‘around 18 per cent of residents are in rooms that could be considered ‘ward style rooms’ which are shared and have a common shared bathroom’</w:t>
      </w:r>
      <w:r w:rsidR="00E73467" w:rsidRPr="00486075">
        <w:rPr>
          <w:rFonts w:ascii="Helvetica" w:hAnsi="Helvetica" w:cs="Helvetica"/>
          <w:vertAlign w:val="superscript"/>
        </w:rPr>
        <w:footnoteReference w:id="22"/>
      </w:r>
      <w:r w:rsidR="00E73467" w:rsidRPr="00486075">
        <w:rPr>
          <w:rFonts w:ascii="Helvetica" w:hAnsi="Helvetica" w:cs="Helvetica"/>
        </w:rPr>
        <w:t xml:space="preserve"> </w:t>
      </w:r>
      <w:r w:rsidR="00E73467" w:rsidRPr="00486075">
        <w:rPr>
          <w:rFonts w:ascii="Helvetica" w:hAnsi="Helvetica"/>
        </w:rPr>
        <w:t>– which are generally not in line with consumer preferences</w:t>
      </w:r>
      <w:r w:rsidR="00D46574" w:rsidRPr="00486075">
        <w:rPr>
          <w:rFonts w:ascii="Helvetica" w:hAnsi="Helvetica"/>
        </w:rPr>
        <w:t>;</w:t>
      </w:r>
    </w:p>
    <w:p w14:paraId="78C5B716" w14:textId="77777777" w:rsidR="0036760D" w:rsidRPr="00486075" w:rsidRDefault="0036760D" w:rsidP="00216A0E">
      <w:pPr>
        <w:pStyle w:val="ListParagraph"/>
        <w:numPr>
          <w:ilvl w:val="0"/>
          <w:numId w:val="15"/>
        </w:numPr>
        <w:spacing w:after="120"/>
        <w:ind w:left="714" w:hanging="357"/>
        <w:contextualSpacing w:val="0"/>
        <w:rPr>
          <w:rFonts w:ascii="Helvetica" w:hAnsi="Helvetica"/>
        </w:rPr>
      </w:pPr>
      <w:r w:rsidRPr="00486075">
        <w:rPr>
          <w:rFonts w:ascii="Helvetica" w:hAnsi="Helvetica"/>
        </w:rPr>
        <w:t>providers cannot easily build or expand into other areas</w:t>
      </w:r>
      <w:r w:rsidR="004610CA" w:rsidRPr="00486075">
        <w:rPr>
          <w:rFonts w:ascii="Helvetica" w:hAnsi="Helvetica"/>
        </w:rPr>
        <w:t>, due to locational controls on allocations and transfers and difficulty obtaining new places</w:t>
      </w:r>
      <w:r w:rsidR="00D46574" w:rsidRPr="00486075">
        <w:rPr>
          <w:rFonts w:ascii="Helvetica" w:hAnsi="Helvetica"/>
        </w:rPr>
        <w:t>; and</w:t>
      </w:r>
    </w:p>
    <w:p w14:paraId="540DC745" w14:textId="77777777" w:rsidR="00507583" w:rsidRPr="00486075" w:rsidRDefault="0036760D" w:rsidP="00216A0E">
      <w:pPr>
        <w:pStyle w:val="ListParagraph"/>
        <w:numPr>
          <w:ilvl w:val="0"/>
          <w:numId w:val="15"/>
        </w:numPr>
        <w:spacing w:after="120"/>
        <w:ind w:left="714" w:hanging="357"/>
        <w:contextualSpacing w:val="0"/>
        <w:rPr>
          <w:rFonts w:ascii="Helvetica" w:hAnsi="Helvetica"/>
        </w:rPr>
      </w:pPr>
      <w:r w:rsidRPr="00486075">
        <w:rPr>
          <w:rFonts w:ascii="Helvetica" w:hAnsi="Helvetica"/>
        </w:rPr>
        <w:t>many allocated places are not operational and therefore unavailable to consumers.</w:t>
      </w:r>
      <w:r w:rsidR="00507583" w:rsidRPr="00486075">
        <w:rPr>
          <w:rFonts w:ascii="Helvetica" w:hAnsi="Helvetica"/>
        </w:rPr>
        <w:t xml:space="preserve"> </w:t>
      </w:r>
    </w:p>
    <w:p w14:paraId="2FA27AB5" w14:textId="77777777" w:rsidR="002275B1" w:rsidRPr="00486075" w:rsidRDefault="002275B1">
      <w:pPr>
        <w:rPr>
          <w:rFonts w:ascii="Helvetica" w:hAnsi="Helvetica"/>
        </w:rPr>
      </w:pPr>
      <w:r w:rsidRPr="00486075">
        <w:rPr>
          <w:rFonts w:ascii="Helvetica" w:hAnsi="Helvetica"/>
        </w:rPr>
        <w:br w:type="page"/>
      </w:r>
    </w:p>
    <w:p w14:paraId="074A4707" w14:textId="433ADDD2" w:rsidR="00C11230" w:rsidRPr="00486075" w:rsidRDefault="00B959B9" w:rsidP="00383D9B">
      <w:pPr>
        <w:pStyle w:val="Heading1Black"/>
      </w:pPr>
      <w:bookmarkStart w:id="43" w:name="_Toc31293667"/>
      <w:r w:rsidRPr="00486075">
        <w:lastRenderedPageBreak/>
        <w:t xml:space="preserve">Key matters to consider </w:t>
      </w:r>
      <w:r w:rsidR="00C5561C" w:rsidRPr="00486075">
        <w:t>if reforming allocation arrangements</w:t>
      </w:r>
      <w:bookmarkEnd w:id="43"/>
      <w:r w:rsidRPr="00486075">
        <w:t xml:space="preserve"> </w:t>
      </w:r>
    </w:p>
    <w:p w14:paraId="47937FC8" w14:textId="7DD2A893" w:rsidR="00D338F8" w:rsidRPr="00486075" w:rsidRDefault="00D338F8" w:rsidP="00553BEF">
      <w:pPr>
        <w:pStyle w:val="Heading2"/>
      </w:pPr>
      <w:bookmarkStart w:id="44" w:name="_Toc31293668"/>
      <w:r w:rsidRPr="00486075">
        <w:t>Differences between residential aged care and home care</w:t>
      </w:r>
      <w:bookmarkEnd w:id="44"/>
      <w:r w:rsidRPr="00486075">
        <w:t xml:space="preserve"> </w:t>
      </w:r>
    </w:p>
    <w:p w14:paraId="0099E3E4" w14:textId="77777777" w:rsidR="00D338F8" w:rsidRPr="00486075" w:rsidRDefault="00D338F8" w:rsidP="00D338F8">
      <w:pPr>
        <w:spacing w:after="120"/>
        <w:rPr>
          <w:rFonts w:ascii="Helvetica" w:hAnsi="Helvetica"/>
        </w:rPr>
      </w:pPr>
      <w:r w:rsidRPr="00486075">
        <w:rPr>
          <w:rFonts w:ascii="Helvetica" w:hAnsi="Helvetica"/>
        </w:rPr>
        <w:t>In moving towards a more consumer demand driven market in residential aged care, there are some fundamental differences from the home care environment that need to be considered in designing alternative allocation arrangements</w:t>
      </w:r>
      <w:r w:rsidR="001D1B13" w:rsidRPr="00486075">
        <w:rPr>
          <w:rFonts w:ascii="Helvetica" w:hAnsi="Helvetica"/>
        </w:rPr>
        <w:t>.</w:t>
      </w:r>
      <w:r w:rsidRPr="00486075">
        <w:rPr>
          <w:rFonts w:ascii="Helvetica" w:hAnsi="Helvetica"/>
        </w:rPr>
        <w:t xml:space="preserve"> </w:t>
      </w:r>
      <w:r w:rsidR="001D1B13" w:rsidRPr="00486075">
        <w:rPr>
          <w:rFonts w:ascii="Helvetica" w:hAnsi="Helvetica"/>
        </w:rPr>
        <w:t>T</w:t>
      </w:r>
      <w:r w:rsidRPr="00486075">
        <w:rPr>
          <w:rFonts w:ascii="Helvetica" w:hAnsi="Helvetica"/>
        </w:rPr>
        <w:t>hese include:</w:t>
      </w:r>
    </w:p>
    <w:p w14:paraId="2AC85934" w14:textId="77777777" w:rsidR="00D338F8" w:rsidRPr="00486075" w:rsidRDefault="00D338F8" w:rsidP="00216A0E">
      <w:pPr>
        <w:pStyle w:val="ListParagraph"/>
        <w:numPr>
          <w:ilvl w:val="0"/>
          <w:numId w:val="15"/>
        </w:numPr>
        <w:spacing w:after="120"/>
        <w:ind w:left="714" w:hanging="357"/>
        <w:contextualSpacing w:val="0"/>
        <w:rPr>
          <w:rFonts w:ascii="Helvetica" w:hAnsi="Helvetica"/>
        </w:rPr>
      </w:pPr>
      <w:r w:rsidRPr="00486075">
        <w:rPr>
          <w:rFonts w:ascii="Helvetica" w:hAnsi="Helvetica"/>
        </w:rPr>
        <w:t xml:space="preserve">complexity of care needs – consumers of residential aged care are often more frail and may have more complex </w:t>
      </w:r>
      <w:r w:rsidR="00FB3E1B" w:rsidRPr="00486075">
        <w:rPr>
          <w:rFonts w:ascii="Helvetica" w:hAnsi="Helvetica"/>
        </w:rPr>
        <w:t xml:space="preserve">care </w:t>
      </w:r>
      <w:r w:rsidRPr="00486075">
        <w:rPr>
          <w:rFonts w:ascii="Helvetica" w:hAnsi="Helvetica"/>
        </w:rPr>
        <w:t>needs</w:t>
      </w:r>
      <w:r w:rsidR="00D46574" w:rsidRPr="00486075">
        <w:rPr>
          <w:rFonts w:ascii="Helvetica" w:hAnsi="Helvetica"/>
        </w:rPr>
        <w:t>;</w:t>
      </w:r>
    </w:p>
    <w:p w14:paraId="6312DC48" w14:textId="77777777" w:rsidR="00D338F8" w:rsidRPr="00486075" w:rsidRDefault="00FC6596" w:rsidP="00216A0E">
      <w:pPr>
        <w:pStyle w:val="ListParagraph"/>
        <w:numPr>
          <w:ilvl w:val="0"/>
          <w:numId w:val="15"/>
        </w:numPr>
        <w:spacing w:after="120"/>
        <w:ind w:left="714" w:hanging="357"/>
        <w:contextualSpacing w:val="0"/>
        <w:rPr>
          <w:rFonts w:ascii="Helvetica" w:hAnsi="Helvetica"/>
        </w:rPr>
      </w:pPr>
      <w:r w:rsidRPr="00486075">
        <w:rPr>
          <w:rFonts w:ascii="Helvetica" w:hAnsi="Helvetica"/>
        </w:rPr>
        <w:t xml:space="preserve">financial </w:t>
      </w:r>
      <w:r w:rsidR="00D338F8" w:rsidRPr="00486075">
        <w:rPr>
          <w:rFonts w:ascii="Helvetica" w:hAnsi="Helvetica"/>
        </w:rPr>
        <w:t xml:space="preserve">complexity </w:t>
      </w:r>
      <w:r w:rsidRPr="00486075">
        <w:rPr>
          <w:rFonts w:ascii="Helvetica" w:hAnsi="Helvetica"/>
        </w:rPr>
        <w:t xml:space="preserve">– more complex to </w:t>
      </w:r>
      <w:r w:rsidR="00D338F8" w:rsidRPr="00486075">
        <w:rPr>
          <w:rFonts w:ascii="Helvetica" w:hAnsi="Helvetica"/>
        </w:rPr>
        <w:t>organis</w:t>
      </w:r>
      <w:r w:rsidRPr="00486075">
        <w:rPr>
          <w:rFonts w:ascii="Helvetica" w:hAnsi="Helvetica"/>
        </w:rPr>
        <w:t xml:space="preserve">e </w:t>
      </w:r>
      <w:r w:rsidR="00D338F8" w:rsidRPr="00486075">
        <w:rPr>
          <w:rFonts w:ascii="Helvetica" w:hAnsi="Helvetica"/>
        </w:rPr>
        <w:t>personal finances to fund accommodation costs (where required to pay)</w:t>
      </w:r>
      <w:r w:rsidR="00473F38" w:rsidRPr="00486075">
        <w:rPr>
          <w:rFonts w:ascii="Helvetica" w:hAnsi="Helvetica"/>
        </w:rPr>
        <w:t xml:space="preserve"> in residential aged care</w:t>
      </w:r>
      <w:r w:rsidR="00D46574" w:rsidRPr="00486075">
        <w:rPr>
          <w:rFonts w:ascii="Helvetica" w:hAnsi="Helvetica"/>
        </w:rPr>
        <w:t>;</w:t>
      </w:r>
    </w:p>
    <w:p w14:paraId="6599AAEE" w14:textId="77777777" w:rsidR="00D338F8" w:rsidRPr="00486075" w:rsidRDefault="00D338F8" w:rsidP="00216A0E">
      <w:pPr>
        <w:pStyle w:val="ListParagraph"/>
        <w:numPr>
          <w:ilvl w:val="0"/>
          <w:numId w:val="10"/>
        </w:numPr>
        <w:spacing w:after="120"/>
        <w:ind w:left="714" w:hanging="357"/>
        <w:contextualSpacing w:val="0"/>
        <w:rPr>
          <w:rFonts w:ascii="Helvetica" w:hAnsi="Helvetica"/>
        </w:rPr>
      </w:pPr>
      <w:r w:rsidRPr="00486075">
        <w:rPr>
          <w:rFonts w:ascii="Helvetica" w:hAnsi="Helvetica"/>
        </w:rPr>
        <w:t>higher barriers to enter the market – residential aged care providers require significant capital investment and infrastructure</w:t>
      </w:r>
      <w:r w:rsidR="00D46574" w:rsidRPr="00486075">
        <w:rPr>
          <w:rFonts w:ascii="Helvetica" w:hAnsi="Helvetica"/>
        </w:rPr>
        <w:t>;</w:t>
      </w:r>
      <w:r w:rsidRPr="00486075">
        <w:rPr>
          <w:rFonts w:ascii="Helvetica" w:hAnsi="Helvetica"/>
        </w:rPr>
        <w:t xml:space="preserve"> </w:t>
      </w:r>
    </w:p>
    <w:p w14:paraId="533F5CDA" w14:textId="51FFCAF2" w:rsidR="00D338F8" w:rsidRPr="00486075" w:rsidRDefault="00D338F8" w:rsidP="00216A0E">
      <w:pPr>
        <w:pStyle w:val="ListParagraph"/>
        <w:numPr>
          <w:ilvl w:val="0"/>
          <w:numId w:val="15"/>
        </w:numPr>
        <w:spacing w:after="120"/>
        <w:ind w:left="714" w:hanging="357"/>
        <w:contextualSpacing w:val="0"/>
        <w:rPr>
          <w:rFonts w:ascii="Helvetica" w:hAnsi="Helvetica"/>
        </w:rPr>
      </w:pPr>
      <w:r w:rsidRPr="00486075">
        <w:rPr>
          <w:rFonts w:ascii="Helvetica" w:hAnsi="Helvetica"/>
        </w:rPr>
        <w:t xml:space="preserve">workforce flexibility and skills mix – </w:t>
      </w:r>
      <w:r w:rsidR="00EF5D89" w:rsidRPr="00486075">
        <w:rPr>
          <w:rFonts w:ascii="Helvetica" w:hAnsi="Helvetica"/>
        </w:rPr>
        <w:t xml:space="preserve">the acuity </w:t>
      </w:r>
      <w:r w:rsidR="008931DD" w:rsidRPr="00486075">
        <w:rPr>
          <w:rFonts w:ascii="Helvetica" w:hAnsi="Helvetica"/>
        </w:rPr>
        <w:t xml:space="preserve">of care needs of older people </w:t>
      </w:r>
      <w:r w:rsidR="00D206EB" w:rsidRPr="00486075">
        <w:rPr>
          <w:rFonts w:ascii="Helvetica" w:hAnsi="Helvetica"/>
        </w:rPr>
        <w:t xml:space="preserve">residing permanently </w:t>
      </w:r>
      <w:r w:rsidRPr="00486075">
        <w:rPr>
          <w:rFonts w:ascii="Helvetica" w:hAnsi="Helvetica"/>
        </w:rPr>
        <w:t xml:space="preserve">in residential aged care </w:t>
      </w:r>
      <w:r w:rsidR="00D206EB" w:rsidRPr="00486075">
        <w:rPr>
          <w:rFonts w:ascii="Helvetica" w:hAnsi="Helvetica"/>
        </w:rPr>
        <w:t>coupled with</w:t>
      </w:r>
      <w:r w:rsidRPr="00486075">
        <w:rPr>
          <w:rFonts w:ascii="Helvetica" w:hAnsi="Helvetica"/>
        </w:rPr>
        <w:t xml:space="preserve"> the staffing levels and skills mix required to </w:t>
      </w:r>
      <w:r w:rsidR="00D206EB" w:rsidRPr="00486075">
        <w:rPr>
          <w:rFonts w:ascii="Helvetica" w:hAnsi="Helvetica"/>
        </w:rPr>
        <w:t xml:space="preserve">operate residential aged care </w:t>
      </w:r>
      <w:r w:rsidRPr="00486075">
        <w:rPr>
          <w:rFonts w:ascii="Helvetica" w:hAnsi="Helvetica"/>
        </w:rPr>
        <w:t>may mean there is less flexibility for quick adjustments to be made to workforce capacity in response to possibly more dynamic consumer demand</w:t>
      </w:r>
      <w:r w:rsidR="00D206EB" w:rsidRPr="00486075">
        <w:rPr>
          <w:rFonts w:ascii="Helvetica" w:hAnsi="Helvetica"/>
        </w:rPr>
        <w:t xml:space="preserve"> patterns</w:t>
      </w:r>
      <w:r w:rsidRPr="00486075">
        <w:rPr>
          <w:rFonts w:ascii="Helvetica" w:hAnsi="Helvetica"/>
        </w:rPr>
        <w:t xml:space="preserve"> (including periods of vacancies)</w:t>
      </w:r>
      <w:r w:rsidR="00D46574" w:rsidRPr="00486075">
        <w:rPr>
          <w:rFonts w:ascii="Helvetica" w:hAnsi="Helvetica"/>
        </w:rPr>
        <w:t>;</w:t>
      </w:r>
    </w:p>
    <w:p w14:paraId="40DA02B8" w14:textId="77777777" w:rsidR="00D338F8" w:rsidRPr="00486075" w:rsidRDefault="00D338F8" w:rsidP="00216A0E">
      <w:pPr>
        <w:pStyle w:val="ListParagraph"/>
        <w:numPr>
          <w:ilvl w:val="0"/>
          <w:numId w:val="15"/>
        </w:numPr>
        <w:spacing w:after="120"/>
        <w:ind w:left="714" w:hanging="357"/>
        <w:contextualSpacing w:val="0"/>
        <w:rPr>
          <w:rFonts w:ascii="Helvetica" w:hAnsi="Helvetica"/>
        </w:rPr>
      </w:pPr>
      <w:r w:rsidRPr="00486075">
        <w:rPr>
          <w:rFonts w:ascii="Helvetica" w:hAnsi="Helvetica"/>
        </w:rPr>
        <w:t>market agility to respond to changes in demand – due to the infrastructure required in the delivery of residential aged care, providers would generally not be able to quickly respond to consumer need without advance notice. There is also limited short-term flexibility for providers to adjust overhead costs (such as labour, administration, support and everyday living costs) associated with running an aged care home</w:t>
      </w:r>
      <w:r w:rsidR="00D46574" w:rsidRPr="00486075">
        <w:rPr>
          <w:rFonts w:ascii="Helvetica" w:hAnsi="Helvetica"/>
        </w:rPr>
        <w:t>; and</w:t>
      </w:r>
    </w:p>
    <w:p w14:paraId="06A7196D" w14:textId="77777777" w:rsidR="00D338F8" w:rsidRPr="00486075" w:rsidRDefault="00D338F8" w:rsidP="00216A0E">
      <w:pPr>
        <w:pStyle w:val="ListParagraph"/>
        <w:numPr>
          <w:ilvl w:val="0"/>
          <w:numId w:val="15"/>
        </w:numPr>
        <w:spacing w:after="120"/>
        <w:ind w:left="714" w:hanging="357"/>
        <w:contextualSpacing w:val="0"/>
        <w:rPr>
          <w:rFonts w:ascii="Helvetica" w:hAnsi="Helvetica"/>
        </w:rPr>
      </w:pPr>
      <w:r w:rsidRPr="00486075">
        <w:rPr>
          <w:rFonts w:ascii="Helvetica" w:hAnsi="Helvetica"/>
        </w:rPr>
        <w:t>differences in demand – the home care sector is rapidly expanding to meet growing demand, which in the immediate term may reduce the number of senior Australians seeking residential aged care. However, it is expected that over time, demand for residential aged care will rise as a result of the ageing population.</w:t>
      </w:r>
    </w:p>
    <w:p w14:paraId="53871023" w14:textId="5669A4D6" w:rsidR="00F56C89" w:rsidRPr="00486075" w:rsidRDefault="00F56C89" w:rsidP="00553BEF">
      <w:pPr>
        <w:pStyle w:val="Heading2"/>
        <w:rPr>
          <w:rFonts w:eastAsia="Times New Roman" w:cs="Arial"/>
          <w:color w:val="auto"/>
          <w:sz w:val="23"/>
          <w:szCs w:val="23"/>
        </w:rPr>
      </w:pPr>
      <w:bookmarkStart w:id="45" w:name="_Toc31293669"/>
      <w:r w:rsidRPr="00486075">
        <w:t>Increased financial pressure</w:t>
      </w:r>
      <w:r w:rsidR="00030691" w:rsidRPr="00486075">
        <w:t xml:space="preserve"> in the sector</w:t>
      </w:r>
      <w:bookmarkEnd w:id="45"/>
    </w:p>
    <w:p w14:paraId="7F82E8A0" w14:textId="77777777" w:rsidR="007334C8" w:rsidRPr="00486075" w:rsidRDefault="00AB48BA" w:rsidP="00341779">
      <w:pPr>
        <w:spacing w:after="120"/>
        <w:rPr>
          <w:rFonts w:ascii="Helvetica" w:hAnsi="Helvetica"/>
        </w:rPr>
      </w:pPr>
      <w:r w:rsidRPr="00486075">
        <w:rPr>
          <w:rFonts w:ascii="Helvetica" w:hAnsi="Helvetica"/>
        </w:rPr>
        <w:t>ACFA</w:t>
      </w:r>
      <w:r w:rsidRPr="00486075">
        <w:rPr>
          <w:rStyle w:val="FootnoteReference"/>
          <w:rFonts w:ascii="Helvetica" w:hAnsi="Helvetica"/>
        </w:rPr>
        <w:footnoteReference w:id="23"/>
      </w:r>
      <w:r w:rsidR="002359C9" w:rsidRPr="00486075">
        <w:rPr>
          <w:rFonts w:ascii="Helvetica" w:hAnsi="Helvetica"/>
          <w:vertAlign w:val="superscript"/>
        </w:rPr>
        <w:t>,</w:t>
      </w:r>
      <w:r w:rsidR="002359C9" w:rsidRPr="00486075">
        <w:rPr>
          <w:rStyle w:val="FootnoteReference"/>
          <w:rFonts w:ascii="Helvetica" w:hAnsi="Helvetica"/>
        </w:rPr>
        <w:footnoteReference w:id="24"/>
      </w:r>
      <w:r w:rsidR="00F56C89" w:rsidRPr="00486075">
        <w:rPr>
          <w:rFonts w:ascii="Helvetica" w:hAnsi="Helvetica"/>
        </w:rPr>
        <w:t xml:space="preserve"> has observed the </w:t>
      </w:r>
      <w:r w:rsidR="00FC6596" w:rsidRPr="00486075">
        <w:rPr>
          <w:rFonts w:ascii="Helvetica" w:hAnsi="Helvetica"/>
        </w:rPr>
        <w:t xml:space="preserve">residential </w:t>
      </w:r>
      <w:r w:rsidR="00F56C89" w:rsidRPr="00486075">
        <w:rPr>
          <w:rFonts w:ascii="Helvetica" w:hAnsi="Helvetica"/>
        </w:rPr>
        <w:t>aged care sector is facing increased financial pressure</w:t>
      </w:r>
      <w:r w:rsidR="00E0163D" w:rsidRPr="00486075">
        <w:rPr>
          <w:rFonts w:ascii="Helvetica" w:hAnsi="Helvetica"/>
        </w:rPr>
        <w:t>, driven by</w:t>
      </w:r>
      <w:r w:rsidR="007334C8" w:rsidRPr="00486075">
        <w:rPr>
          <w:rFonts w:ascii="Helvetica" w:hAnsi="Helvetica"/>
        </w:rPr>
        <w:t>:</w:t>
      </w:r>
    </w:p>
    <w:p w14:paraId="5C234121" w14:textId="77777777" w:rsidR="007334C8" w:rsidRPr="00486075" w:rsidRDefault="00F56C89" w:rsidP="00216A0E">
      <w:pPr>
        <w:pStyle w:val="ListParagraph"/>
        <w:numPr>
          <w:ilvl w:val="0"/>
          <w:numId w:val="20"/>
        </w:numPr>
        <w:spacing w:after="120"/>
        <w:ind w:hanging="357"/>
        <w:contextualSpacing w:val="0"/>
        <w:rPr>
          <w:rFonts w:ascii="Helvetica" w:hAnsi="Helvetica"/>
        </w:rPr>
      </w:pPr>
      <w:r w:rsidRPr="00486075">
        <w:rPr>
          <w:rFonts w:ascii="Helvetica" w:hAnsi="Helvetica"/>
        </w:rPr>
        <w:t>revenue not keeping pace with the growth in expenditure</w:t>
      </w:r>
      <w:r w:rsidR="00767A29" w:rsidRPr="00486075">
        <w:rPr>
          <w:rFonts w:ascii="Helvetica" w:hAnsi="Helvetica"/>
        </w:rPr>
        <w:t xml:space="preserve"> (</w:t>
      </w:r>
      <w:r w:rsidR="007334C8" w:rsidRPr="00486075">
        <w:rPr>
          <w:rFonts w:ascii="Helvetica" w:hAnsi="Helvetica"/>
        </w:rPr>
        <w:t>in particular,</w:t>
      </w:r>
      <w:r w:rsidR="00767A29" w:rsidRPr="00486075">
        <w:rPr>
          <w:rFonts w:ascii="Helvetica" w:hAnsi="Helvetica"/>
        </w:rPr>
        <w:t xml:space="preserve"> </w:t>
      </w:r>
      <w:r w:rsidR="00F12071" w:rsidRPr="00486075">
        <w:rPr>
          <w:rFonts w:ascii="Helvetica" w:hAnsi="Helvetica"/>
        </w:rPr>
        <w:t>rising staff costs</w:t>
      </w:r>
      <w:r w:rsidR="00767A29" w:rsidRPr="00486075">
        <w:rPr>
          <w:rFonts w:ascii="Helvetica" w:hAnsi="Helvetica"/>
        </w:rPr>
        <w:t>)</w:t>
      </w:r>
      <w:r w:rsidR="00F12071" w:rsidRPr="00486075">
        <w:rPr>
          <w:rFonts w:ascii="Helvetica" w:hAnsi="Helvetica"/>
        </w:rPr>
        <w:t>. There appears to be a growing number of smaller providers, particularly in regional and remote areas, that are currently facing significant financial stress</w:t>
      </w:r>
      <w:r w:rsidR="00D46574" w:rsidRPr="00486075">
        <w:rPr>
          <w:rFonts w:ascii="Helvetica" w:hAnsi="Helvetica"/>
        </w:rPr>
        <w:t>;</w:t>
      </w:r>
    </w:p>
    <w:p w14:paraId="4F866455" w14:textId="5D199328" w:rsidR="00E0163D" w:rsidRPr="00486075" w:rsidRDefault="00E0163D" w:rsidP="00216A0E">
      <w:pPr>
        <w:pStyle w:val="ListParagraph"/>
        <w:numPr>
          <w:ilvl w:val="0"/>
          <w:numId w:val="20"/>
        </w:numPr>
        <w:spacing w:after="120"/>
        <w:ind w:hanging="357"/>
        <w:contextualSpacing w:val="0"/>
        <w:rPr>
          <w:rFonts w:ascii="Helvetica" w:hAnsi="Helvetica"/>
        </w:rPr>
      </w:pPr>
      <w:r w:rsidRPr="00486075">
        <w:rPr>
          <w:rFonts w:ascii="Helvetica" w:hAnsi="Helvetica"/>
        </w:rPr>
        <w:t>changes to ACFI and pausing of indexation in 2017-18</w:t>
      </w:r>
      <w:r w:rsidR="00D46574" w:rsidRPr="00486075">
        <w:rPr>
          <w:rFonts w:ascii="Helvetica" w:hAnsi="Helvetica"/>
        </w:rPr>
        <w:t>;</w:t>
      </w:r>
      <w:r w:rsidR="008017BB" w:rsidRPr="00486075">
        <w:rPr>
          <w:rFonts w:ascii="Helvetica" w:hAnsi="Helvetica"/>
        </w:rPr>
        <w:t xml:space="preserve"> </w:t>
      </w:r>
      <w:r w:rsidR="00D206EB" w:rsidRPr="00486075">
        <w:rPr>
          <w:rFonts w:ascii="Helvetica" w:hAnsi="Helvetica"/>
        </w:rPr>
        <w:t xml:space="preserve"> </w:t>
      </w:r>
    </w:p>
    <w:p w14:paraId="7064F41B" w14:textId="77777777" w:rsidR="00F141CA" w:rsidRDefault="001273B0" w:rsidP="00980A26">
      <w:pPr>
        <w:pStyle w:val="ListParagraph"/>
        <w:numPr>
          <w:ilvl w:val="0"/>
          <w:numId w:val="20"/>
        </w:numPr>
        <w:spacing w:after="120"/>
        <w:ind w:hanging="357"/>
        <w:contextualSpacing w:val="0"/>
        <w:rPr>
          <w:rFonts w:ascii="Helvetica" w:hAnsi="Helvetica"/>
        </w:rPr>
      </w:pPr>
      <w:r w:rsidRPr="00F141CA">
        <w:rPr>
          <w:rFonts w:ascii="Helvetica" w:hAnsi="Helvetica"/>
        </w:rPr>
        <w:t xml:space="preserve">declining occupancy rates for operational </w:t>
      </w:r>
      <w:r w:rsidR="00F12071" w:rsidRPr="00F141CA">
        <w:rPr>
          <w:rFonts w:ascii="Helvetica" w:hAnsi="Helvetica"/>
        </w:rPr>
        <w:t>places</w:t>
      </w:r>
      <w:r w:rsidRPr="00F141CA">
        <w:rPr>
          <w:rFonts w:ascii="Helvetica" w:hAnsi="Helvetica"/>
        </w:rPr>
        <w:t>, contributed to by</w:t>
      </w:r>
      <w:r w:rsidR="001275C9" w:rsidRPr="00F141CA">
        <w:rPr>
          <w:rFonts w:ascii="Helvetica" w:hAnsi="Helvetica"/>
        </w:rPr>
        <w:t xml:space="preserve"> </w:t>
      </w:r>
      <w:r w:rsidRPr="00F141CA">
        <w:rPr>
          <w:rFonts w:ascii="Helvetica" w:hAnsi="Helvetica"/>
        </w:rPr>
        <w:t xml:space="preserve">the underlying desire of many </w:t>
      </w:r>
      <w:r w:rsidR="00FC6596" w:rsidRPr="00F141CA">
        <w:rPr>
          <w:rFonts w:ascii="Helvetica" w:hAnsi="Helvetica"/>
        </w:rPr>
        <w:t xml:space="preserve">senior </w:t>
      </w:r>
      <w:r w:rsidRPr="00F141CA">
        <w:rPr>
          <w:rFonts w:ascii="Helvetica" w:hAnsi="Helvetica"/>
        </w:rPr>
        <w:t>people to be accommodated in their home i.e. be that their original home, retirement village, independent living/assisted living unit</w:t>
      </w:r>
      <w:r w:rsidR="00D46574" w:rsidRPr="00F141CA">
        <w:rPr>
          <w:rFonts w:ascii="Helvetica" w:hAnsi="Helvetica"/>
        </w:rPr>
        <w:t xml:space="preserve"> and</w:t>
      </w:r>
      <w:r w:rsidR="001275C9" w:rsidRPr="00F141CA">
        <w:rPr>
          <w:rFonts w:ascii="Helvetica" w:hAnsi="Helvetica"/>
        </w:rPr>
        <w:t xml:space="preserve"> </w:t>
      </w:r>
      <w:r w:rsidR="00660690" w:rsidRPr="00F141CA">
        <w:rPr>
          <w:rFonts w:ascii="Helvetica" w:hAnsi="Helvetica"/>
        </w:rPr>
        <w:t>the increasing number of Home Care Packages being released.</w:t>
      </w:r>
    </w:p>
    <w:p w14:paraId="780D9581" w14:textId="78264D00" w:rsidR="001273B0" w:rsidRPr="00F141CA" w:rsidRDefault="001273B0" w:rsidP="00980A26">
      <w:pPr>
        <w:pStyle w:val="ListParagraph"/>
        <w:numPr>
          <w:ilvl w:val="0"/>
          <w:numId w:val="20"/>
        </w:numPr>
        <w:spacing w:after="120"/>
        <w:ind w:hanging="357"/>
        <w:contextualSpacing w:val="0"/>
        <w:rPr>
          <w:rFonts w:ascii="Helvetica" w:hAnsi="Helvetica"/>
        </w:rPr>
      </w:pPr>
      <w:r w:rsidRPr="00F141CA">
        <w:rPr>
          <w:rFonts w:ascii="Helvetica" w:hAnsi="Helvetica"/>
        </w:rPr>
        <w:lastRenderedPageBreak/>
        <w:t>shift</w:t>
      </w:r>
      <w:r w:rsidR="008C3B83" w:rsidRPr="00F141CA">
        <w:rPr>
          <w:rFonts w:ascii="Helvetica" w:hAnsi="Helvetica"/>
        </w:rPr>
        <w:t>ing</w:t>
      </w:r>
      <w:r w:rsidRPr="00F141CA">
        <w:rPr>
          <w:rFonts w:ascii="Helvetica" w:hAnsi="Helvetica"/>
        </w:rPr>
        <w:t xml:space="preserve"> consumer preferences from RADs to DAPs and RAD/DAP combinations to pay for accommodation. The extent to which this is an issue varied depending on the provider’s business model (some providers are more reliant on RADs)</w:t>
      </w:r>
      <w:r w:rsidR="00FC6596" w:rsidRPr="00F141CA">
        <w:rPr>
          <w:rFonts w:ascii="Helvetica" w:hAnsi="Helvetica"/>
        </w:rPr>
        <w:t>.</w:t>
      </w:r>
    </w:p>
    <w:p w14:paraId="3C2D6CC6" w14:textId="32A72946" w:rsidR="00CA71F6" w:rsidRPr="00486075" w:rsidRDefault="00CA71F6" w:rsidP="00553BEF">
      <w:pPr>
        <w:pStyle w:val="Heading2"/>
      </w:pPr>
      <w:bookmarkStart w:id="46" w:name="_Toc31293670"/>
      <w:r w:rsidRPr="00486075">
        <w:t xml:space="preserve">Aged care places </w:t>
      </w:r>
      <w:r w:rsidR="00A526CF" w:rsidRPr="00486075">
        <w:t xml:space="preserve">may </w:t>
      </w:r>
      <w:r w:rsidRPr="00486075">
        <w:t>have a financial value</w:t>
      </w:r>
      <w:bookmarkEnd w:id="46"/>
    </w:p>
    <w:p w14:paraId="35B2CBF6" w14:textId="77777777" w:rsidR="00687315" w:rsidRPr="00486075" w:rsidRDefault="00687315" w:rsidP="00A526CF">
      <w:pPr>
        <w:spacing w:after="120"/>
        <w:rPr>
          <w:rFonts w:ascii="Helvetica" w:hAnsi="Helvetica"/>
          <w:i/>
        </w:rPr>
      </w:pPr>
      <w:r w:rsidRPr="00486075">
        <w:rPr>
          <w:rFonts w:ascii="Helvetica" w:hAnsi="Helvetica"/>
          <w:i/>
        </w:rPr>
        <w:t>Residential aged care places as an intangible asset</w:t>
      </w:r>
    </w:p>
    <w:p w14:paraId="274762A7" w14:textId="77777777" w:rsidR="00687315" w:rsidRPr="00486075" w:rsidRDefault="00687315" w:rsidP="00A526CF">
      <w:pPr>
        <w:spacing w:after="120"/>
        <w:rPr>
          <w:rFonts w:ascii="Helvetica" w:hAnsi="Helvetica"/>
        </w:rPr>
      </w:pPr>
      <w:r w:rsidRPr="00486075">
        <w:rPr>
          <w:rFonts w:ascii="Helvetica" w:hAnsi="Helvetica"/>
        </w:rPr>
        <w:t>Allocated residential aged care places are currently recorded on the balance sheets of some providers</w:t>
      </w:r>
      <w:r w:rsidR="00A50F72" w:rsidRPr="00486075">
        <w:rPr>
          <w:rFonts w:ascii="Helvetica" w:hAnsi="Helvetica"/>
        </w:rPr>
        <w:t xml:space="preserve"> as an ‘intangible asset’ (an asset that is not physical in nature)</w:t>
      </w:r>
      <w:r w:rsidR="00D46574" w:rsidRPr="00486075">
        <w:rPr>
          <w:rFonts w:ascii="Helvetica" w:hAnsi="Helvetica"/>
        </w:rPr>
        <w:t>.</w:t>
      </w:r>
    </w:p>
    <w:p w14:paraId="78A062AD" w14:textId="77777777" w:rsidR="00687315" w:rsidRPr="00486075" w:rsidRDefault="00A526CF" w:rsidP="00216A0E">
      <w:pPr>
        <w:pStyle w:val="ListParagraph"/>
        <w:numPr>
          <w:ilvl w:val="0"/>
          <w:numId w:val="32"/>
        </w:numPr>
        <w:spacing w:after="120"/>
        <w:ind w:left="714" w:hanging="357"/>
        <w:contextualSpacing w:val="0"/>
        <w:rPr>
          <w:rFonts w:ascii="Helvetica" w:hAnsi="Helvetica"/>
        </w:rPr>
      </w:pPr>
      <w:r w:rsidRPr="00486075">
        <w:rPr>
          <w:rFonts w:ascii="Helvetica" w:hAnsi="Helvetica"/>
        </w:rPr>
        <w:t xml:space="preserve">Not-for-profit (NFP) providers have the option of recording allocated residential aged care places </w:t>
      </w:r>
      <w:r w:rsidR="00687315" w:rsidRPr="00486075">
        <w:rPr>
          <w:rFonts w:ascii="Helvetica" w:hAnsi="Helvetica"/>
        </w:rPr>
        <w:t xml:space="preserve">obtained via the ACAR </w:t>
      </w:r>
      <w:r w:rsidRPr="00486075">
        <w:rPr>
          <w:rFonts w:ascii="Helvetica" w:hAnsi="Helvetica"/>
        </w:rPr>
        <w:t>as an</w:t>
      </w:r>
      <w:r w:rsidR="00D62DE6" w:rsidRPr="00486075">
        <w:rPr>
          <w:rFonts w:ascii="Helvetica" w:hAnsi="Helvetica"/>
        </w:rPr>
        <w:t xml:space="preserve"> i</w:t>
      </w:r>
      <w:r w:rsidRPr="00486075">
        <w:rPr>
          <w:rFonts w:ascii="Helvetica" w:hAnsi="Helvetica"/>
        </w:rPr>
        <w:t xml:space="preserve">ntangible </w:t>
      </w:r>
      <w:r w:rsidR="00D62DE6" w:rsidRPr="00486075">
        <w:rPr>
          <w:rFonts w:ascii="Helvetica" w:hAnsi="Helvetica"/>
        </w:rPr>
        <w:t>a</w:t>
      </w:r>
      <w:r w:rsidRPr="00486075">
        <w:rPr>
          <w:rFonts w:ascii="Helvetica" w:hAnsi="Helvetica"/>
        </w:rPr>
        <w:t xml:space="preserve">sset at a “fair value” assessment. While the majority of NFP providers have removed allocated places from being disclosed as an </w:t>
      </w:r>
      <w:r w:rsidR="00D62DE6" w:rsidRPr="00486075">
        <w:rPr>
          <w:rFonts w:ascii="Helvetica" w:hAnsi="Helvetica"/>
        </w:rPr>
        <w:t>i</w:t>
      </w:r>
      <w:r w:rsidRPr="00486075">
        <w:rPr>
          <w:rFonts w:ascii="Helvetica" w:hAnsi="Helvetica"/>
        </w:rPr>
        <w:t xml:space="preserve">ntangible </w:t>
      </w:r>
      <w:r w:rsidR="00D62DE6" w:rsidRPr="00486075">
        <w:rPr>
          <w:rFonts w:ascii="Helvetica" w:hAnsi="Helvetica"/>
        </w:rPr>
        <w:t>a</w:t>
      </w:r>
      <w:r w:rsidRPr="00486075">
        <w:rPr>
          <w:rFonts w:ascii="Helvetica" w:hAnsi="Helvetica"/>
        </w:rPr>
        <w:t xml:space="preserve">sset, there are still a reasonable number of NFP providers who retain allocated places as an </w:t>
      </w:r>
      <w:r w:rsidR="00D62DE6" w:rsidRPr="00486075">
        <w:rPr>
          <w:rFonts w:ascii="Helvetica" w:hAnsi="Helvetica"/>
        </w:rPr>
        <w:t>i</w:t>
      </w:r>
      <w:r w:rsidRPr="00486075">
        <w:rPr>
          <w:rFonts w:ascii="Helvetica" w:hAnsi="Helvetica"/>
        </w:rPr>
        <w:t xml:space="preserve">ntangible </w:t>
      </w:r>
      <w:r w:rsidR="00D62DE6" w:rsidRPr="00486075">
        <w:rPr>
          <w:rFonts w:ascii="Helvetica" w:hAnsi="Helvetica"/>
        </w:rPr>
        <w:t>a</w:t>
      </w:r>
      <w:r w:rsidRPr="00486075">
        <w:rPr>
          <w:rFonts w:ascii="Helvetica" w:hAnsi="Helvetica"/>
        </w:rPr>
        <w:t>sset.</w:t>
      </w:r>
    </w:p>
    <w:p w14:paraId="3BF68806" w14:textId="77777777" w:rsidR="00A526CF" w:rsidRPr="00486075" w:rsidRDefault="00A526CF" w:rsidP="00216A0E">
      <w:pPr>
        <w:pStyle w:val="ListParagraph"/>
        <w:numPr>
          <w:ilvl w:val="0"/>
          <w:numId w:val="32"/>
        </w:numPr>
        <w:spacing w:after="120"/>
        <w:ind w:left="714" w:hanging="357"/>
        <w:contextualSpacing w:val="0"/>
        <w:rPr>
          <w:rFonts w:ascii="Helvetica" w:hAnsi="Helvetica"/>
        </w:rPr>
      </w:pPr>
      <w:r w:rsidRPr="00486075">
        <w:rPr>
          <w:rFonts w:ascii="Helvetica" w:hAnsi="Helvetica"/>
        </w:rPr>
        <w:t xml:space="preserve">For-profit providers can only record allocated residential aged care places as an </w:t>
      </w:r>
      <w:r w:rsidR="00D62DE6" w:rsidRPr="00486075">
        <w:rPr>
          <w:rFonts w:ascii="Helvetica" w:hAnsi="Helvetica"/>
        </w:rPr>
        <w:t>i</w:t>
      </w:r>
      <w:r w:rsidRPr="00486075">
        <w:rPr>
          <w:rFonts w:ascii="Helvetica" w:hAnsi="Helvetica"/>
        </w:rPr>
        <w:t xml:space="preserve">ntangible </w:t>
      </w:r>
      <w:r w:rsidR="00D62DE6" w:rsidRPr="00486075">
        <w:rPr>
          <w:rFonts w:ascii="Helvetica" w:hAnsi="Helvetica"/>
        </w:rPr>
        <w:t>a</w:t>
      </w:r>
      <w:r w:rsidRPr="00486075">
        <w:rPr>
          <w:rFonts w:ascii="Helvetica" w:hAnsi="Helvetica"/>
        </w:rPr>
        <w:t>sset at cost or fair value via acquisition.</w:t>
      </w:r>
    </w:p>
    <w:p w14:paraId="7BCD2DB6" w14:textId="77777777" w:rsidR="00F6680F" w:rsidRPr="00486075" w:rsidRDefault="00F6680F" w:rsidP="00F6680F">
      <w:pPr>
        <w:spacing w:after="120"/>
        <w:rPr>
          <w:rFonts w:ascii="Helvetica" w:hAnsi="Helvetica"/>
        </w:rPr>
      </w:pPr>
      <w:r w:rsidRPr="00486075">
        <w:rPr>
          <w:rFonts w:ascii="Helvetica" w:hAnsi="Helvetica"/>
        </w:rPr>
        <w:t xml:space="preserve">Intangible </w:t>
      </w:r>
      <w:r w:rsidR="00D62DE6" w:rsidRPr="00486075">
        <w:rPr>
          <w:rFonts w:ascii="Helvetica" w:hAnsi="Helvetica"/>
        </w:rPr>
        <w:t>a</w:t>
      </w:r>
      <w:r w:rsidRPr="00486075">
        <w:rPr>
          <w:rFonts w:ascii="Helvetica" w:hAnsi="Helvetica"/>
        </w:rPr>
        <w:t>ssets (including allocated residential aged care places) must be tested for impairment every year. The impairment testing methodology for goodwill and allocated residential aged care places may differ.</w:t>
      </w:r>
    </w:p>
    <w:p w14:paraId="095F8FAA" w14:textId="77777777" w:rsidR="00287F77" w:rsidRPr="00486075" w:rsidRDefault="00A526CF" w:rsidP="00287F77">
      <w:pPr>
        <w:spacing w:after="120"/>
        <w:rPr>
          <w:rFonts w:ascii="Helvetica" w:hAnsi="Helvetica"/>
        </w:rPr>
      </w:pPr>
      <w:r w:rsidRPr="00486075">
        <w:rPr>
          <w:rFonts w:ascii="Helvetica" w:hAnsi="Helvetica"/>
        </w:rPr>
        <w:t xml:space="preserve">Allocated residential aged care places, when disclosed as an </w:t>
      </w:r>
      <w:r w:rsidR="00D62DE6" w:rsidRPr="00486075">
        <w:rPr>
          <w:rFonts w:ascii="Helvetica" w:hAnsi="Helvetica"/>
        </w:rPr>
        <w:t>i</w:t>
      </w:r>
      <w:r w:rsidRPr="00486075">
        <w:rPr>
          <w:rFonts w:ascii="Helvetica" w:hAnsi="Helvetica"/>
        </w:rPr>
        <w:t xml:space="preserve">ntangible </w:t>
      </w:r>
      <w:r w:rsidR="00D62DE6" w:rsidRPr="00486075">
        <w:rPr>
          <w:rFonts w:ascii="Helvetica" w:hAnsi="Helvetica"/>
        </w:rPr>
        <w:t>a</w:t>
      </w:r>
      <w:r w:rsidRPr="00486075">
        <w:rPr>
          <w:rFonts w:ascii="Helvetica" w:hAnsi="Helvetica"/>
        </w:rPr>
        <w:t xml:space="preserve">sset, are assessed as having an indefinite useful life as they are issued for an unlimited period and therefore not amortised. </w:t>
      </w:r>
      <w:r w:rsidR="00287F77" w:rsidRPr="00486075">
        <w:rPr>
          <w:rFonts w:ascii="Helvetica" w:hAnsi="Helvetica"/>
        </w:rPr>
        <w:t xml:space="preserve">Should the allocation via ACAR change, the “indefinite useful life” assessment will need to be reviewed and potentially residential aged care places will be removed from being an </w:t>
      </w:r>
      <w:r w:rsidR="00D62DE6" w:rsidRPr="00486075">
        <w:rPr>
          <w:rFonts w:ascii="Helvetica" w:hAnsi="Helvetica"/>
        </w:rPr>
        <w:t>i</w:t>
      </w:r>
      <w:r w:rsidR="00287F77" w:rsidRPr="00486075">
        <w:rPr>
          <w:rFonts w:ascii="Helvetica" w:hAnsi="Helvetica"/>
        </w:rPr>
        <w:t xml:space="preserve">ntangible </w:t>
      </w:r>
      <w:r w:rsidR="00D62DE6" w:rsidRPr="00486075">
        <w:rPr>
          <w:rFonts w:ascii="Helvetica" w:hAnsi="Helvetica"/>
        </w:rPr>
        <w:t>a</w:t>
      </w:r>
      <w:r w:rsidR="00287F77" w:rsidRPr="00486075">
        <w:rPr>
          <w:rFonts w:ascii="Helvetica" w:hAnsi="Helvetica"/>
        </w:rPr>
        <w:t>sset.</w:t>
      </w:r>
    </w:p>
    <w:p w14:paraId="321719A4" w14:textId="77777777" w:rsidR="00287F77" w:rsidRPr="00486075" w:rsidRDefault="00287F77" w:rsidP="007F0440">
      <w:pPr>
        <w:spacing w:before="240" w:after="120"/>
        <w:rPr>
          <w:rFonts w:ascii="Helvetica" w:hAnsi="Helvetica"/>
          <w:i/>
        </w:rPr>
      </w:pPr>
      <w:r w:rsidRPr="00486075">
        <w:rPr>
          <w:rFonts w:ascii="Helvetica" w:hAnsi="Helvetica"/>
          <w:i/>
        </w:rPr>
        <w:t xml:space="preserve">Consideration of residential aged care places by investors/financiers </w:t>
      </w:r>
    </w:p>
    <w:p w14:paraId="3B3F7ADA" w14:textId="77777777" w:rsidR="00A526CF" w:rsidRPr="00486075" w:rsidRDefault="00A526CF" w:rsidP="00A526CF">
      <w:pPr>
        <w:spacing w:after="120"/>
        <w:rPr>
          <w:rFonts w:ascii="Helvetica" w:hAnsi="Helvetica"/>
        </w:rPr>
      </w:pPr>
      <w:r w:rsidRPr="00486075">
        <w:rPr>
          <w:rFonts w:ascii="Helvetica" w:hAnsi="Helvetica"/>
        </w:rPr>
        <w:t>Financiers generally discount or eliminate the value of allocated residential aged care places as an asset when assessing investment risk.</w:t>
      </w:r>
      <w:r w:rsidR="00687315" w:rsidRPr="00486075">
        <w:rPr>
          <w:rFonts w:ascii="Helvetica" w:hAnsi="Helvetica"/>
        </w:rPr>
        <w:t xml:space="preserve"> However, i</w:t>
      </w:r>
      <w:r w:rsidRPr="00486075">
        <w:rPr>
          <w:rFonts w:ascii="Helvetica" w:hAnsi="Helvetica"/>
        </w:rPr>
        <w:t>nvestors may</w:t>
      </w:r>
      <w:r w:rsidR="00F6680F" w:rsidRPr="00486075">
        <w:rPr>
          <w:rFonts w:ascii="Helvetica" w:hAnsi="Helvetica"/>
        </w:rPr>
        <w:t xml:space="preserve"> currently</w:t>
      </w:r>
      <w:r w:rsidRPr="00486075">
        <w:rPr>
          <w:rFonts w:ascii="Helvetica" w:hAnsi="Helvetica"/>
        </w:rPr>
        <w:t xml:space="preserve"> attribute a value to allocated residential aged care places as they</w:t>
      </w:r>
      <w:r w:rsidR="00F6680F" w:rsidRPr="00486075">
        <w:rPr>
          <w:rFonts w:ascii="Helvetica" w:hAnsi="Helvetica"/>
        </w:rPr>
        <w:t xml:space="preserve"> may</w:t>
      </w:r>
      <w:r w:rsidRPr="00486075">
        <w:rPr>
          <w:rFonts w:ascii="Helvetica" w:hAnsi="Helvetica"/>
        </w:rPr>
        <w:t xml:space="preserve"> </w:t>
      </w:r>
      <w:r w:rsidR="00F6680F" w:rsidRPr="00486075">
        <w:rPr>
          <w:rFonts w:ascii="Helvetica" w:hAnsi="Helvetica"/>
        </w:rPr>
        <w:t>offer</w:t>
      </w:r>
      <w:r w:rsidRPr="00486075">
        <w:rPr>
          <w:rFonts w:ascii="Helvetica" w:hAnsi="Helvetica"/>
        </w:rPr>
        <w:t xml:space="preserve"> ongoing operational certainty.</w:t>
      </w:r>
    </w:p>
    <w:p w14:paraId="21082AEE" w14:textId="62EBD634" w:rsidR="0061259F" w:rsidRPr="00486075" w:rsidRDefault="00687315" w:rsidP="00486075">
      <w:pPr>
        <w:spacing w:after="120"/>
        <w:rPr>
          <w:rFonts w:ascii="Helvetica" w:eastAsiaTheme="majorEastAsia" w:hAnsi="Helvetica" w:cstheme="majorBidi"/>
          <w:color w:val="2F5496" w:themeColor="accent1" w:themeShade="BF"/>
          <w:sz w:val="26"/>
          <w:szCs w:val="26"/>
        </w:rPr>
      </w:pPr>
      <w:r w:rsidRPr="00486075">
        <w:rPr>
          <w:rFonts w:ascii="Helvetica" w:hAnsi="Helvetica"/>
        </w:rPr>
        <w:t>It is understood that t</w:t>
      </w:r>
      <w:r w:rsidR="00A526CF" w:rsidRPr="00486075">
        <w:rPr>
          <w:rFonts w:ascii="Helvetica" w:hAnsi="Helvetica"/>
        </w:rPr>
        <w:t xml:space="preserve">he current allocation and regulation of residential aged care places does provide operation certainty for providers (and investors/financiers) and minimises risk of increased competition from new entrants into their particular geographic area. In this context it can be considered that allocated residential aged care places have some value (but not necessarily to be recorded as an </w:t>
      </w:r>
      <w:r w:rsidR="00D62DE6" w:rsidRPr="00486075">
        <w:rPr>
          <w:rFonts w:ascii="Helvetica" w:hAnsi="Helvetica"/>
        </w:rPr>
        <w:t>i</w:t>
      </w:r>
      <w:r w:rsidR="00A526CF" w:rsidRPr="00486075">
        <w:rPr>
          <w:rFonts w:ascii="Helvetica" w:hAnsi="Helvetica"/>
        </w:rPr>
        <w:t xml:space="preserve">ntangible </w:t>
      </w:r>
      <w:r w:rsidR="00D62DE6" w:rsidRPr="00486075">
        <w:rPr>
          <w:rFonts w:ascii="Helvetica" w:hAnsi="Helvetica"/>
        </w:rPr>
        <w:t>a</w:t>
      </w:r>
      <w:r w:rsidR="00A526CF" w:rsidRPr="00486075">
        <w:rPr>
          <w:rFonts w:ascii="Helvetica" w:hAnsi="Helvetica"/>
        </w:rPr>
        <w:t>sset).</w:t>
      </w:r>
    </w:p>
    <w:p w14:paraId="5163BB36" w14:textId="3FFC4579" w:rsidR="000237DF" w:rsidRPr="00486075" w:rsidRDefault="00DD44C3" w:rsidP="00553BEF">
      <w:pPr>
        <w:pStyle w:val="Heading2"/>
      </w:pPr>
      <w:bookmarkStart w:id="47" w:name="_Toc31293671"/>
      <w:r w:rsidRPr="00486075">
        <w:t>P</w:t>
      </w:r>
      <w:r w:rsidR="00B23C26" w:rsidRPr="00486075">
        <w:t>romot</w:t>
      </w:r>
      <w:r w:rsidRPr="00486075">
        <w:t>ing</w:t>
      </w:r>
      <w:r w:rsidR="00B23C26" w:rsidRPr="00486075">
        <w:t xml:space="preserve"> e</w:t>
      </w:r>
      <w:r w:rsidR="000D1709" w:rsidRPr="00486075">
        <w:t>quitable</w:t>
      </w:r>
      <w:r w:rsidR="004E70CB" w:rsidRPr="00486075">
        <w:t xml:space="preserve"> </w:t>
      </w:r>
      <w:r w:rsidR="00D50D45" w:rsidRPr="00486075">
        <w:t>access to aged care</w:t>
      </w:r>
      <w:bookmarkEnd w:id="47"/>
      <w:r w:rsidR="00B23C26" w:rsidRPr="00486075">
        <w:t xml:space="preserve">  </w:t>
      </w:r>
    </w:p>
    <w:p w14:paraId="7A11DCC8" w14:textId="77777777" w:rsidR="00B46A1D" w:rsidRPr="00486075" w:rsidRDefault="00DD44C3" w:rsidP="00DD44C3">
      <w:pPr>
        <w:spacing w:after="120"/>
        <w:rPr>
          <w:rFonts w:ascii="Helvetica" w:hAnsi="Helvetica"/>
        </w:rPr>
      </w:pPr>
      <w:r w:rsidRPr="00486075">
        <w:rPr>
          <w:rFonts w:ascii="Helvetica" w:hAnsi="Helvetica"/>
        </w:rPr>
        <w:t xml:space="preserve">Targeting of need is undertaken through the </w:t>
      </w:r>
      <w:r w:rsidR="00B9633B" w:rsidRPr="00486075">
        <w:rPr>
          <w:rFonts w:ascii="Helvetica" w:hAnsi="Helvetica"/>
        </w:rPr>
        <w:t>current allocation arrangements</w:t>
      </w:r>
      <w:r w:rsidRPr="00486075">
        <w:rPr>
          <w:rFonts w:ascii="Helvetica" w:hAnsi="Helvetica"/>
        </w:rPr>
        <w:t>,</w:t>
      </w:r>
      <w:r w:rsidR="00B9633B" w:rsidRPr="00486075">
        <w:rPr>
          <w:rFonts w:ascii="Helvetica" w:hAnsi="Helvetica"/>
        </w:rPr>
        <w:t xml:space="preserve"> in order to encourage service provision in particular geographic areas (such as rural, remote and regional areas),</w:t>
      </w:r>
      <w:r w:rsidR="00497C31" w:rsidRPr="00486075">
        <w:rPr>
          <w:rFonts w:ascii="Helvetica" w:hAnsi="Helvetica"/>
        </w:rPr>
        <w:t xml:space="preserve"> to</w:t>
      </w:r>
      <w:r w:rsidR="00B9633B" w:rsidRPr="00486075">
        <w:rPr>
          <w:rFonts w:ascii="Helvetica" w:hAnsi="Helvetica"/>
        </w:rPr>
        <w:t xml:space="preserve"> consumers from vulnerable cohorts (e.g. Special Needs Groups</w:t>
      </w:r>
      <w:r w:rsidR="00E26C41" w:rsidRPr="00486075">
        <w:rPr>
          <w:rStyle w:val="FootnoteReference"/>
          <w:rFonts w:ascii="Helvetica" w:hAnsi="Helvetica"/>
        </w:rPr>
        <w:footnoteReference w:id="25"/>
      </w:r>
      <w:r w:rsidR="00B9633B" w:rsidRPr="00486075">
        <w:rPr>
          <w:rFonts w:ascii="Helvetica" w:hAnsi="Helvetica"/>
        </w:rPr>
        <w:t xml:space="preserve">), </w:t>
      </w:r>
      <w:r w:rsidRPr="00486075">
        <w:rPr>
          <w:rFonts w:ascii="Helvetica" w:hAnsi="Helvetica"/>
        </w:rPr>
        <w:t>and to</w:t>
      </w:r>
      <w:r w:rsidR="00B9633B" w:rsidRPr="00486075">
        <w:rPr>
          <w:rFonts w:ascii="Helvetica" w:hAnsi="Helvetica"/>
        </w:rPr>
        <w:t xml:space="preserve"> address pressure points (such as residential respite care, dementia care</w:t>
      </w:r>
      <w:r w:rsidRPr="00486075">
        <w:rPr>
          <w:rFonts w:ascii="Helvetica" w:hAnsi="Helvetica"/>
        </w:rPr>
        <w:t>)</w:t>
      </w:r>
      <w:r w:rsidR="00B9633B" w:rsidRPr="00486075">
        <w:rPr>
          <w:rFonts w:ascii="Helvetica" w:hAnsi="Helvetica"/>
        </w:rPr>
        <w:t xml:space="preserve">. Assessment </w:t>
      </w:r>
      <w:r w:rsidRPr="00486075">
        <w:rPr>
          <w:rFonts w:ascii="Helvetica" w:hAnsi="Helvetica"/>
        </w:rPr>
        <w:t>and allocation of places in the ACAR give priority to applications that address</w:t>
      </w:r>
      <w:r w:rsidR="00350461" w:rsidRPr="00486075">
        <w:rPr>
          <w:rFonts w:ascii="Helvetica" w:hAnsi="Helvetica"/>
        </w:rPr>
        <w:t xml:space="preserve"> </w:t>
      </w:r>
      <w:r w:rsidRPr="00486075">
        <w:rPr>
          <w:rFonts w:ascii="Helvetica" w:hAnsi="Helvetica"/>
        </w:rPr>
        <w:t>identified needs in the aged care community.</w:t>
      </w:r>
      <w:r w:rsidR="00F51FAF" w:rsidRPr="00486075">
        <w:rPr>
          <w:rFonts w:ascii="Helvetica" w:hAnsi="Helvetica"/>
        </w:rPr>
        <w:t xml:space="preserve"> </w:t>
      </w:r>
      <w:r w:rsidRPr="00486075">
        <w:rPr>
          <w:rFonts w:ascii="Helvetica" w:hAnsi="Helvetica"/>
        </w:rPr>
        <w:t xml:space="preserve">This is supplemented by </w:t>
      </w:r>
      <w:r w:rsidR="00350461" w:rsidRPr="00486075">
        <w:rPr>
          <w:rFonts w:ascii="Helvetica" w:hAnsi="Helvetica"/>
        </w:rPr>
        <w:t xml:space="preserve">specific </w:t>
      </w:r>
      <w:r w:rsidRPr="00486075">
        <w:rPr>
          <w:rFonts w:ascii="Helvetica" w:hAnsi="Helvetica"/>
        </w:rPr>
        <w:t xml:space="preserve">conditions of allocation that can be attached to residential aged care places (such as priority of access </w:t>
      </w:r>
      <w:r w:rsidRPr="00486075">
        <w:rPr>
          <w:rFonts w:ascii="Helvetica" w:hAnsi="Helvetica"/>
        </w:rPr>
        <w:lastRenderedPageBreak/>
        <w:t xml:space="preserve">to Special Needs Groups) – subsidy deductions can be applied to an aged care home that fails to meet the conditions specified in their allocation of places. </w:t>
      </w:r>
    </w:p>
    <w:p w14:paraId="1A4FE084" w14:textId="77777777" w:rsidR="00DD44C3" w:rsidRPr="00486075" w:rsidRDefault="00DD44C3" w:rsidP="00DD44C3">
      <w:pPr>
        <w:spacing w:after="120"/>
        <w:rPr>
          <w:rFonts w:ascii="Helvetica" w:hAnsi="Helvetica"/>
        </w:rPr>
      </w:pPr>
      <w:r w:rsidRPr="00486075">
        <w:rPr>
          <w:rFonts w:ascii="Helvetica" w:hAnsi="Helvetica"/>
        </w:rPr>
        <w:t xml:space="preserve">However, while these mechanisms </w:t>
      </w:r>
      <w:r w:rsidR="00AF4F5D" w:rsidRPr="00486075">
        <w:rPr>
          <w:rFonts w:ascii="Helvetica" w:hAnsi="Helvetica"/>
        </w:rPr>
        <w:t xml:space="preserve">enable and </w:t>
      </w:r>
      <w:r w:rsidRPr="00486075">
        <w:rPr>
          <w:rFonts w:ascii="Helvetica" w:hAnsi="Helvetica"/>
        </w:rPr>
        <w:t>incentivise</w:t>
      </w:r>
      <w:r w:rsidR="00B46A1D" w:rsidRPr="00486075">
        <w:rPr>
          <w:rFonts w:ascii="Helvetica" w:hAnsi="Helvetica"/>
        </w:rPr>
        <w:t xml:space="preserve"> provider behaviour</w:t>
      </w:r>
      <w:r w:rsidR="00B46A1D" w:rsidRPr="00486075">
        <w:rPr>
          <w:rFonts w:ascii="Helvetica" w:hAnsi="Helvetica"/>
          <w:i/>
        </w:rPr>
        <w:t xml:space="preserve">, </w:t>
      </w:r>
      <w:r w:rsidR="00AF4F5D" w:rsidRPr="00486075">
        <w:rPr>
          <w:rFonts w:ascii="Helvetica" w:hAnsi="Helvetica"/>
        </w:rPr>
        <w:t>a</w:t>
      </w:r>
      <w:r w:rsidR="00B46A1D" w:rsidRPr="00486075">
        <w:rPr>
          <w:rFonts w:ascii="Helvetica" w:hAnsi="Helvetica"/>
        </w:rPr>
        <w:t xml:space="preserve">chieving an equitable spread of places is ultimately dependent on providers </w:t>
      </w:r>
      <w:r w:rsidR="00AF4F5D" w:rsidRPr="00486075">
        <w:rPr>
          <w:rFonts w:ascii="Helvetica" w:hAnsi="Helvetica"/>
        </w:rPr>
        <w:t>making commercial decisions to apply for places through ACAR rounds</w:t>
      </w:r>
      <w:r w:rsidR="00AD0914" w:rsidRPr="00486075">
        <w:rPr>
          <w:rFonts w:ascii="Helvetica" w:hAnsi="Helvetica"/>
        </w:rPr>
        <w:t>.</w:t>
      </w:r>
    </w:p>
    <w:p w14:paraId="0564E52C" w14:textId="7A725460" w:rsidR="00065098" w:rsidRPr="00486075" w:rsidRDefault="00AD0914" w:rsidP="00553BEF">
      <w:pPr>
        <w:pStyle w:val="Heading2"/>
      </w:pPr>
      <w:bookmarkStart w:id="48" w:name="_Toc31293672"/>
      <w:r w:rsidRPr="00486075">
        <w:t>Regulatory framework that supports a market</w:t>
      </w:r>
      <w:bookmarkEnd w:id="48"/>
    </w:p>
    <w:p w14:paraId="0AB88BD3" w14:textId="77777777" w:rsidR="00065098" w:rsidRPr="00486075" w:rsidRDefault="00E73467" w:rsidP="00065098">
      <w:pPr>
        <w:spacing w:after="120"/>
        <w:rPr>
          <w:rFonts w:ascii="Helvetica" w:hAnsi="Helvetica"/>
        </w:rPr>
      </w:pPr>
      <w:r w:rsidRPr="00486075">
        <w:rPr>
          <w:rFonts w:ascii="Helvetica" w:hAnsi="Helvetica"/>
        </w:rPr>
        <w:t>I</w:t>
      </w:r>
      <w:r w:rsidR="00294D1D" w:rsidRPr="00486075">
        <w:rPr>
          <w:rFonts w:ascii="Helvetica" w:hAnsi="Helvetica"/>
        </w:rPr>
        <w:t xml:space="preserve">t will also be important to consider what supporting changes to </w:t>
      </w:r>
      <w:r w:rsidR="00AD0914" w:rsidRPr="00486075">
        <w:rPr>
          <w:rFonts w:ascii="Helvetica" w:hAnsi="Helvetica"/>
        </w:rPr>
        <w:t xml:space="preserve">other aspects of the </w:t>
      </w:r>
      <w:r w:rsidR="00294D1D" w:rsidRPr="00486075">
        <w:rPr>
          <w:rFonts w:ascii="Helvetica" w:hAnsi="Helvetica"/>
        </w:rPr>
        <w:t>regulatory framew</w:t>
      </w:r>
      <w:r w:rsidR="00AD0914" w:rsidRPr="00486075">
        <w:rPr>
          <w:rFonts w:ascii="Helvetica" w:hAnsi="Helvetica"/>
        </w:rPr>
        <w:t>ork might be required</w:t>
      </w:r>
      <w:r w:rsidRPr="00486075">
        <w:rPr>
          <w:rFonts w:ascii="Helvetica" w:hAnsi="Helvetica"/>
        </w:rPr>
        <w:t xml:space="preserve"> to open up the market to more competition</w:t>
      </w:r>
      <w:r w:rsidR="00AD0914" w:rsidRPr="00486075">
        <w:rPr>
          <w:rFonts w:ascii="Helvetica" w:hAnsi="Helvetica"/>
        </w:rPr>
        <w:t xml:space="preserve">. </w:t>
      </w:r>
      <w:r w:rsidR="009B0A74" w:rsidRPr="00486075">
        <w:rPr>
          <w:rFonts w:ascii="Helvetica" w:hAnsi="Helvetica"/>
        </w:rPr>
        <w:t xml:space="preserve">For example, the boundaries between what is currently considered ‘home care’ and ‘residential </w:t>
      </w:r>
      <w:r w:rsidR="008A03FD" w:rsidRPr="00486075">
        <w:rPr>
          <w:rFonts w:ascii="Helvetica" w:hAnsi="Helvetica"/>
        </w:rPr>
        <w:t xml:space="preserve">aged </w:t>
      </w:r>
      <w:r w:rsidR="009B0A74" w:rsidRPr="00486075">
        <w:rPr>
          <w:rFonts w:ascii="Helvetica" w:hAnsi="Helvetica"/>
        </w:rPr>
        <w:t xml:space="preserve">care’ </w:t>
      </w:r>
      <w:r w:rsidR="00EA4AFB" w:rsidRPr="00486075">
        <w:rPr>
          <w:rFonts w:ascii="Helvetica" w:hAnsi="Helvetica"/>
        </w:rPr>
        <w:t xml:space="preserve">could </w:t>
      </w:r>
      <w:r w:rsidR="009B0A74" w:rsidRPr="00486075">
        <w:rPr>
          <w:rFonts w:ascii="Helvetica" w:hAnsi="Helvetica"/>
        </w:rPr>
        <w:t>be</w:t>
      </w:r>
      <w:r w:rsidR="00EA4AFB" w:rsidRPr="00486075">
        <w:rPr>
          <w:rFonts w:ascii="Helvetica" w:hAnsi="Helvetica"/>
        </w:rPr>
        <w:t xml:space="preserve"> reviewed and</w:t>
      </w:r>
      <w:r w:rsidR="009B0A74" w:rsidRPr="00486075">
        <w:rPr>
          <w:rFonts w:ascii="Helvetica" w:hAnsi="Helvetica"/>
        </w:rPr>
        <w:t xml:space="preserve"> reconsidered to open up the scope for more innovative care delivery</w:t>
      </w:r>
      <w:r w:rsidR="00EA4AFB" w:rsidRPr="00486075">
        <w:rPr>
          <w:rFonts w:ascii="Helvetica" w:hAnsi="Helvetica"/>
        </w:rPr>
        <w:t xml:space="preserve"> and accommodation</w:t>
      </w:r>
      <w:r w:rsidR="009B0A74" w:rsidRPr="00486075">
        <w:rPr>
          <w:rFonts w:ascii="Helvetica" w:hAnsi="Helvetica"/>
        </w:rPr>
        <w:t xml:space="preserve"> </w:t>
      </w:r>
      <w:r w:rsidR="00EA4AFB" w:rsidRPr="00486075">
        <w:rPr>
          <w:rFonts w:ascii="Helvetica" w:hAnsi="Helvetica"/>
        </w:rPr>
        <w:t xml:space="preserve">offerings. Such changes would need to be </w:t>
      </w:r>
      <w:r w:rsidR="00AD0914" w:rsidRPr="00486075">
        <w:rPr>
          <w:rFonts w:ascii="Helvetica" w:hAnsi="Helvetica"/>
        </w:rPr>
        <w:t xml:space="preserve">balanced with </w:t>
      </w:r>
      <w:r w:rsidR="00065098" w:rsidRPr="00486075">
        <w:rPr>
          <w:rFonts w:ascii="Helvetica" w:hAnsi="Helvetica"/>
        </w:rPr>
        <w:t>regulatory controls</w:t>
      </w:r>
      <w:r w:rsidR="00AD0914" w:rsidRPr="00486075">
        <w:rPr>
          <w:rFonts w:ascii="Helvetica" w:hAnsi="Helvetica"/>
        </w:rPr>
        <w:t xml:space="preserve"> in other aspects of the system, such </w:t>
      </w:r>
      <w:r w:rsidR="00497C31" w:rsidRPr="00486075">
        <w:rPr>
          <w:rFonts w:ascii="Helvetica" w:hAnsi="Helvetica"/>
        </w:rPr>
        <w:t>ap</w:t>
      </w:r>
      <w:r w:rsidR="00065098" w:rsidRPr="00486075">
        <w:rPr>
          <w:rFonts w:ascii="Helvetica" w:hAnsi="Helvetica"/>
        </w:rPr>
        <w:t xml:space="preserve">proved </w:t>
      </w:r>
      <w:r w:rsidR="00497C31" w:rsidRPr="00486075">
        <w:rPr>
          <w:rFonts w:ascii="Helvetica" w:hAnsi="Helvetica"/>
        </w:rPr>
        <w:t>pr</w:t>
      </w:r>
      <w:r w:rsidR="00065098" w:rsidRPr="00486075">
        <w:rPr>
          <w:rFonts w:ascii="Helvetica" w:hAnsi="Helvetica"/>
        </w:rPr>
        <w:t>ovider status</w:t>
      </w:r>
      <w:r w:rsidR="00AD0914" w:rsidRPr="00486075">
        <w:rPr>
          <w:rFonts w:ascii="Helvetica" w:hAnsi="Helvetica"/>
        </w:rPr>
        <w:t xml:space="preserve"> and regulation of quality and safety</w:t>
      </w:r>
      <w:r w:rsidR="00AF4F5D" w:rsidRPr="00486075">
        <w:rPr>
          <w:rFonts w:ascii="Helvetica" w:hAnsi="Helvetica"/>
        </w:rPr>
        <w:t xml:space="preserve"> as well as prudential risk</w:t>
      </w:r>
      <w:r w:rsidR="00AD0914" w:rsidRPr="00486075">
        <w:rPr>
          <w:rFonts w:ascii="Helvetica" w:hAnsi="Helvetica"/>
        </w:rPr>
        <w:t xml:space="preserve">. </w:t>
      </w:r>
    </w:p>
    <w:p w14:paraId="64D8D206" w14:textId="77777777" w:rsidR="004A12A5" w:rsidRPr="00486075" w:rsidRDefault="00C17119" w:rsidP="002867B2">
      <w:pPr>
        <w:spacing w:before="240" w:after="120"/>
        <w:rPr>
          <w:rFonts w:ascii="Helvetica" w:hAnsi="Helvetica"/>
          <w:b/>
        </w:rPr>
      </w:pPr>
      <w:r w:rsidRPr="00486075">
        <w:rPr>
          <w:rFonts w:ascii="Helvetica" w:hAnsi="Helvetica"/>
          <w:b/>
        </w:rPr>
        <w:t>Any changes to the allocation of residential aged care places will also need to consider a</w:t>
      </w:r>
      <w:r w:rsidR="004A12A5" w:rsidRPr="00486075">
        <w:rPr>
          <w:rFonts w:ascii="Helvetica" w:hAnsi="Helvetica"/>
          <w:b/>
        </w:rPr>
        <w:t xml:space="preserve">ny unintended </w:t>
      </w:r>
      <w:r w:rsidRPr="00486075">
        <w:rPr>
          <w:rFonts w:ascii="Helvetica" w:hAnsi="Helvetica"/>
          <w:b/>
        </w:rPr>
        <w:t>consequences, including for</w:t>
      </w:r>
      <w:r w:rsidR="004A12A5" w:rsidRPr="00486075">
        <w:rPr>
          <w:rFonts w:ascii="Helvetica" w:hAnsi="Helvetica"/>
          <w:b/>
        </w:rPr>
        <w:t xml:space="preserve"> </w:t>
      </w:r>
      <w:r w:rsidRPr="00486075">
        <w:rPr>
          <w:rFonts w:ascii="Helvetica" w:hAnsi="Helvetica"/>
          <w:b/>
        </w:rPr>
        <w:t>businesses</w:t>
      </w:r>
      <w:r w:rsidR="008C07EE" w:rsidRPr="00486075">
        <w:rPr>
          <w:rFonts w:ascii="Helvetica" w:hAnsi="Helvetica"/>
          <w:b/>
        </w:rPr>
        <w:t>,</w:t>
      </w:r>
      <w:r w:rsidR="000F42C1" w:rsidRPr="00486075">
        <w:rPr>
          <w:rFonts w:ascii="Helvetica" w:hAnsi="Helvetica"/>
          <w:b/>
        </w:rPr>
        <w:t xml:space="preserve"> </w:t>
      </w:r>
      <w:r w:rsidR="004A12A5" w:rsidRPr="00486075">
        <w:rPr>
          <w:rFonts w:ascii="Helvetica" w:hAnsi="Helvetica"/>
          <w:b/>
        </w:rPr>
        <w:t>access to care</w:t>
      </w:r>
      <w:r w:rsidRPr="00486075">
        <w:rPr>
          <w:rFonts w:ascii="Helvetica" w:hAnsi="Helvetica"/>
          <w:b/>
        </w:rPr>
        <w:t>, as well as</w:t>
      </w:r>
      <w:r w:rsidR="007704EC" w:rsidRPr="00486075">
        <w:rPr>
          <w:rFonts w:ascii="Helvetica" w:hAnsi="Helvetica"/>
          <w:b/>
        </w:rPr>
        <w:t xml:space="preserve"> any</w:t>
      </w:r>
      <w:r w:rsidRPr="00486075">
        <w:rPr>
          <w:rFonts w:ascii="Helvetica" w:hAnsi="Helvetica"/>
          <w:b/>
        </w:rPr>
        <w:t xml:space="preserve"> supporting changes that may be required.</w:t>
      </w:r>
    </w:p>
    <w:p w14:paraId="6CFE2F1B" w14:textId="77777777" w:rsidR="007D7D9D" w:rsidRPr="00486075" w:rsidRDefault="007D7D9D" w:rsidP="00F141CA">
      <w:pPr>
        <w:rPr>
          <w:rFonts w:ascii="Helvetica" w:hAnsi="Helvetica"/>
        </w:rPr>
      </w:pPr>
    </w:p>
    <w:p w14:paraId="6E621378" w14:textId="77777777" w:rsidR="0076255C" w:rsidRPr="00486075" w:rsidRDefault="007F4E64" w:rsidP="007D7D9D">
      <w:pPr>
        <w:rPr>
          <w:rFonts w:ascii="Helvetica" w:hAnsi="Helvetica"/>
          <w:b/>
          <w:i/>
          <w:color w:val="00B0F0"/>
        </w:rPr>
      </w:pPr>
      <w:r w:rsidRPr="00486075">
        <w:rPr>
          <w:rFonts w:ascii="Helvetica" w:hAnsi="Helvetica"/>
          <w:b/>
          <w:i/>
          <w:color w:val="0070C0"/>
        </w:rPr>
        <w:t>Current arrangements: Questions for discussion</w:t>
      </w:r>
    </w:p>
    <w:p w14:paraId="4391DBC1" w14:textId="77777777" w:rsidR="0076255C" w:rsidRPr="00486075" w:rsidRDefault="0076255C" w:rsidP="00216A0E">
      <w:pPr>
        <w:pStyle w:val="ListParagraph"/>
        <w:numPr>
          <w:ilvl w:val="0"/>
          <w:numId w:val="33"/>
        </w:numPr>
        <w:pBdr>
          <w:top w:val="single" w:sz="36" w:space="1" w:color="00B0F0"/>
        </w:pBdr>
        <w:spacing w:before="240" w:after="120"/>
        <w:ind w:left="357" w:hanging="357"/>
        <w:contextualSpacing w:val="0"/>
        <w:rPr>
          <w:rFonts w:ascii="Helvetica" w:hAnsi="Helvetica"/>
        </w:rPr>
      </w:pPr>
      <w:r w:rsidRPr="00486075">
        <w:rPr>
          <w:rFonts w:ascii="Helvetica" w:hAnsi="Helvetica"/>
        </w:rPr>
        <w:t xml:space="preserve">What works well under the current </w:t>
      </w:r>
      <w:r w:rsidR="00350461" w:rsidRPr="00486075">
        <w:rPr>
          <w:rFonts w:ascii="Helvetica" w:hAnsi="Helvetica"/>
        </w:rPr>
        <w:t xml:space="preserve">residential aged care </w:t>
      </w:r>
      <w:r w:rsidRPr="00486075">
        <w:rPr>
          <w:rFonts w:ascii="Helvetica" w:hAnsi="Helvetica"/>
        </w:rPr>
        <w:t>allocation and places management model for consumers and/or providers?</w:t>
      </w:r>
    </w:p>
    <w:p w14:paraId="4DA84A03" w14:textId="77777777" w:rsidR="0076255C" w:rsidRPr="00486075" w:rsidRDefault="00752C9B" w:rsidP="00216A0E">
      <w:pPr>
        <w:pStyle w:val="ListParagraph"/>
        <w:numPr>
          <w:ilvl w:val="0"/>
          <w:numId w:val="33"/>
        </w:numPr>
        <w:spacing w:before="240" w:after="120"/>
        <w:rPr>
          <w:rFonts w:ascii="Helvetica" w:hAnsi="Helvetica"/>
        </w:rPr>
      </w:pPr>
      <w:r w:rsidRPr="00486075">
        <w:rPr>
          <w:rFonts w:ascii="Helvetica" w:hAnsi="Helvetica"/>
        </w:rPr>
        <w:t xml:space="preserve">Are there other </w:t>
      </w:r>
      <w:r w:rsidR="0076255C" w:rsidRPr="00486075">
        <w:rPr>
          <w:rFonts w:ascii="Helvetica" w:hAnsi="Helvetica"/>
        </w:rPr>
        <w:t>issue/s with the current model for the allocation and management of places for residential aged care</w:t>
      </w:r>
      <w:r w:rsidRPr="00486075">
        <w:rPr>
          <w:rFonts w:ascii="Helvetica" w:hAnsi="Helvetica"/>
        </w:rPr>
        <w:t xml:space="preserve"> that have not been covered in this paper</w:t>
      </w:r>
      <w:r w:rsidR="0076255C" w:rsidRPr="00486075">
        <w:rPr>
          <w:rFonts w:ascii="Helvetica" w:hAnsi="Helvetica"/>
        </w:rPr>
        <w:t xml:space="preserve">? </w:t>
      </w:r>
      <w:r w:rsidRPr="00486075">
        <w:rPr>
          <w:rFonts w:ascii="Helvetica" w:hAnsi="Helvetica"/>
        </w:rPr>
        <w:t>If so:</w:t>
      </w:r>
    </w:p>
    <w:p w14:paraId="4C2C3932" w14:textId="77777777" w:rsidR="0076255C" w:rsidRPr="00486075" w:rsidRDefault="0076255C" w:rsidP="00216A0E">
      <w:pPr>
        <w:pStyle w:val="ListParagraph"/>
        <w:numPr>
          <w:ilvl w:val="0"/>
          <w:numId w:val="34"/>
        </w:numPr>
        <w:spacing w:before="240" w:after="120"/>
        <w:rPr>
          <w:rFonts w:ascii="Helvetica" w:hAnsi="Helvetica"/>
        </w:rPr>
      </w:pPr>
      <w:r w:rsidRPr="00486075">
        <w:rPr>
          <w:rFonts w:ascii="Helvetica" w:hAnsi="Helvetica"/>
        </w:rPr>
        <w:t>Are these problems occurring at national level, or only in certain areas (e.g. rural, regional and remote areas) or for particular consumer groups?</w:t>
      </w:r>
    </w:p>
    <w:p w14:paraId="579B006A" w14:textId="77777777" w:rsidR="007108B4" w:rsidRPr="00486075" w:rsidRDefault="007108B4" w:rsidP="00216A0E">
      <w:pPr>
        <w:pStyle w:val="ListParagraph"/>
        <w:numPr>
          <w:ilvl w:val="0"/>
          <w:numId w:val="34"/>
        </w:numPr>
        <w:spacing w:before="240"/>
        <w:ind w:left="1077" w:hanging="357"/>
        <w:contextualSpacing w:val="0"/>
        <w:rPr>
          <w:rFonts w:ascii="Helvetica" w:hAnsi="Helvetica"/>
        </w:rPr>
      </w:pPr>
      <w:r w:rsidRPr="00486075">
        <w:rPr>
          <w:rFonts w:ascii="Helvetica" w:hAnsi="Helvetica"/>
        </w:rPr>
        <w:t>What evidence supports your view that these are significant issues which need to be addressed?</w:t>
      </w:r>
    </w:p>
    <w:p w14:paraId="706BC6C2" w14:textId="77777777" w:rsidR="007F4E64" w:rsidRPr="00486075" w:rsidRDefault="007F4E64" w:rsidP="00F1721F">
      <w:pPr>
        <w:pBdr>
          <w:bottom w:val="single" w:sz="36" w:space="1" w:color="00B0F0"/>
        </w:pBdr>
        <w:rPr>
          <w:rFonts w:ascii="Franklin Gothic Book" w:hAnsi="Franklin Gothic Book"/>
          <w:i/>
          <w:color w:val="357748"/>
          <w:sz w:val="2"/>
        </w:rPr>
      </w:pPr>
    </w:p>
    <w:p w14:paraId="71B50206" w14:textId="77777777" w:rsidR="001A176B" w:rsidRPr="00486075" w:rsidRDefault="001A176B">
      <w:pPr>
        <w:rPr>
          <w:rFonts w:ascii="Helvetica" w:eastAsiaTheme="majorEastAsia" w:hAnsi="Helvetica" w:cstheme="majorBidi"/>
          <w:color w:val="2F5496" w:themeColor="accent1" w:themeShade="BF"/>
          <w:sz w:val="32"/>
          <w:szCs w:val="32"/>
        </w:rPr>
      </w:pPr>
    </w:p>
    <w:p w14:paraId="481BA2A1" w14:textId="77777777" w:rsidR="00D95BD2" w:rsidRPr="00486075" w:rsidRDefault="00D95BD2">
      <w:pPr>
        <w:rPr>
          <w:rFonts w:ascii="Helvetica" w:eastAsiaTheme="majorEastAsia" w:hAnsi="Helvetica" w:cs="Helvetica"/>
          <w:b/>
          <w:color w:val="2F5496" w:themeColor="accent1" w:themeShade="BF"/>
          <w:sz w:val="32"/>
          <w:szCs w:val="32"/>
          <w:lang w:eastAsia="en-US"/>
        </w:rPr>
      </w:pPr>
      <w:r w:rsidRPr="00486075">
        <w:br w:type="page"/>
      </w:r>
    </w:p>
    <w:p w14:paraId="673ADD77" w14:textId="65EA0ABF" w:rsidR="000374D8" w:rsidRPr="00486075" w:rsidRDefault="00E47C44" w:rsidP="00383D9B">
      <w:pPr>
        <w:pStyle w:val="Heading1Black"/>
      </w:pPr>
      <w:bookmarkStart w:id="49" w:name="_Toc31293673"/>
      <w:r w:rsidRPr="00486075">
        <w:lastRenderedPageBreak/>
        <w:t>P</w:t>
      </w:r>
      <w:r w:rsidR="00E13E29" w:rsidRPr="00486075">
        <w:t>roposed</w:t>
      </w:r>
      <w:r w:rsidRPr="00486075">
        <w:t xml:space="preserve"> options for</w:t>
      </w:r>
      <w:r w:rsidR="00E13E29" w:rsidRPr="00486075">
        <w:t xml:space="preserve"> a</w:t>
      </w:r>
      <w:r w:rsidR="000374D8" w:rsidRPr="00486075">
        <w:t xml:space="preserve">lternative </w:t>
      </w:r>
      <w:r w:rsidRPr="00486075">
        <w:t xml:space="preserve">allocation </w:t>
      </w:r>
      <w:r w:rsidR="000374D8" w:rsidRPr="00486075">
        <w:t>models</w:t>
      </w:r>
      <w:bookmarkEnd w:id="49"/>
    </w:p>
    <w:p w14:paraId="584F1C69" w14:textId="560CD77E" w:rsidR="002F5A35" w:rsidRPr="00486075" w:rsidRDefault="00BC2C7E" w:rsidP="00553BEF">
      <w:pPr>
        <w:pStyle w:val="Heading2"/>
      </w:pPr>
      <w:bookmarkStart w:id="50" w:name="_Toc31293674"/>
      <w:r w:rsidRPr="00486075">
        <w:t>Design principles</w:t>
      </w:r>
      <w:bookmarkEnd w:id="50"/>
    </w:p>
    <w:p w14:paraId="6E01BD7C" w14:textId="77777777" w:rsidR="00C17119" w:rsidRPr="00486075" w:rsidRDefault="00BC2C7E">
      <w:pPr>
        <w:snapToGrid w:val="0"/>
        <w:spacing w:after="120"/>
        <w:rPr>
          <w:rFonts w:ascii="Helvetica" w:hAnsi="Helvetica"/>
        </w:rPr>
      </w:pPr>
      <w:r w:rsidRPr="00486075">
        <w:rPr>
          <w:rFonts w:ascii="Helvetica" w:hAnsi="Helvetica"/>
        </w:rPr>
        <w:t xml:space="preserve">An appropriate alternative model for allocating residential aged care places must be able to achieve </w:t>
      </w:r>
      <w:r w:rsidR="009A1F94" w:rsidRPr="00486075">
        <w:rPr>
          <w:rFonts w:ascii="Helvetica" w:hAnsi="Helvetica"/>
        </w:rPr>
        <w:t xml:space="preserve">what is important to the community. </w:t>
      </w:r>
      <w:r w:rsidRPr="00486075">
        <w:rPr>
          <w:rFonts w:ascii="Helvetica" w:hAnsi="Helvetica"/>
        </w:rPr>
        <w:t>It is proposed that the following</w:t>
      </w:r>
      <w:r w:rsidR="005E3A1D" w:rsidRPr="00486075">
        <w:rPr>
          <w:rFonts w:ascii="Helvetica" w:hAnsi="Helvetica"/>
        </w:rPr>
        <w:t xml:space="preserve"> design criteria</w:t>
      </w:r>
      <w:r w:rsidRPr="00486075">
        <w:rPr>
          <w:rFonts w:ascii="Helvetica" w:hAnsi="Helvetica"/>
        </w:rPr>
        <w:t xml:space="preserve"> must underpin</w:t>
      </w:r>
      <w:r w:rsidR="007D7D9D" w:rsidRPr="00486075">
        <w:rPr>
          <w:rFonts w:ascii="Helvetica" w:hAnsi="Helvetica"/>
        </w:rPr>
        <w:t xml:space="preserve"> </w:t>
      </w:r>
      <w:r w:rsidR="005E3A1D" w:rsidRPr="00486075">
        <w:rPr>
          <w:rFonts w:ascii="Helvetica" w:hAnsi="Helvetica"/>
        </w:rPr>
        <w:t xml:space="preserve">the alternative models </w:t>
      </w:r>
      <w:r w:rsidRPr="00486075">
        <w:rPr>
          <w:rFonts w:ascii="Helvetica" w:hAnsi="Helvetica"/>
        </w:rPr>
        <w:t>that are considered</w:t>
      </w:r>
      <w:r w:rsidR="00C17119" w:rsidRPr="00486075">
        <w:rPr>
          <w:rFonts w:ascii="Helvetica" w:hAnsi="Helvetica"/>
        </w:rPr>
        <w:t>.</w:t>
      </w:r>
    </w:p>
    <w:p w14:paraId="53CF39FA" w14:textId="77777777" w:rsidR="002F5A35" w:rsidRPr="00486075" w:rsidRDefault="00C17119">
      <w:pPr>
        <w:snapToGrid w:val="0"/>
        <w:spacing w:after="120"/>
        <w:rPr>
          <w:rFonts w:ascii="Helvetica" w:hAnsi="Helvetica"/>
        </w:rPr>
      </w:pPr>
      <w:r w:rsidRPr="00486075">
        <w:rPr>
          <w:rFonts w:ascii="Helvetica" w:hAnsi="Helvetica"/>
        </w:rPr>
        <w:t>The model must:</w:t>
      </w:r>
    </w:p>
    <w:p w14:paraId="4FF01671" w14:textId="77777777" w:rsidR="002F5A35" w:rsidRPr="00DA1637" w:rsidRDefault="00C17119" w:rsidP="00B74DC6">
      <w:pPr>
        <w:pStyle w:val="ListParagraph"/>
        <w:numPr>
          <w:ilvl w:val="0"/>
          <w:numId w:val="2"/>
        </w:numPr>
        <w:spacing w:after="120"/>
        <w:ind w:left="714" w:hanging="357"/>
        <w:contextualSpacing w:val="0"/>
        <w:rPr>
          <w:rFonts w:ascii="Helvetica" w:hAnsi="Helvetica"/>
        </w:rPr>
      </w:pPr>
      <w:r w:rsidRPr="00DA1637">
        <w:rPr>
          <w:rFonts w:ascii="Helvetica" w:hAnsi="Helvetica"/>
        </w:rPr>
        <w:t>p</w:t>
      </w:r>
      <w:r w:rsidR="002F5A35" w:rsidRPr="00DA1637">
        <w:rPr>
          <w:rFonts w:ascii="Helvetica" w:hAnsi="Helvetica"/>
        </w:rPr>
        <w:t>rovide opportunities for a more consumer</w:t>
      </w:r>
      <w:r w:rsidR="002B3E7F" w:rsidRPr="00DA1637">
        <w:rPr>
          <w:rFonts w:ascii="Helvetica" w:hAnsi="Helvetica"/>
        </w:rPr>
        <w:t xml:space="preserve"> </w:t>
      </w:r>
      <w:r w:rsidR="002F5A35" w:rsidRPr="00DA1637">
        <w:rPr>
          <w:rFonts w:ascii="Helvetica" w:hAnsi="Helvetica"/>
        </w:rPr>
        <w:t>driven market in residential aged care</w:t>
      </w:r>
      <w:r w:rsidRPr="00DA1637">
        <w:rPr>
          <w:rFonts w:ascii="Helvetica" w:hAnsi="Helvetica"/>
        </w:rPr>
        <w:t>;</w:t>
      </w:r>
    </w:p>
    <w:p w14:paraId="4899D919" w14:textId="77777777" w:rsidR="002F5A35" w:rsidRPr="00486075" w:rsidRDefault="00C17119" w:rsidP="00B74DC6">
      <w:pPr>
        <w:pStyle w:val="ListParagraph"/>
        <w:numPr>
          <w:ilvl w:val="0"/>
          <w:numId w:val="2"/>
        </w:numPr>
        <w:spacing w:after="120"/>
        <w:ind w:left="714" w:hanging="357"/>
        <w:contextualSpacing w:val="0"/>
        <w:rPr>
          <w:rFonts w:ascii="Helvetica" w:hAnsi="Helvetica"/>
        </w:rPr>
      </w:pPr>
      <w:r w:rsidRPr="00DA1637">
        <w:rPr>
          <w:rFonts w:ascii="Helvetica" w:hAnsi="Helvetica"/>
        </w:rPr>
        <w:t>m</w:t>
      </w:r>
      <w:r w:rsidR="002F5A35" w:rsidRPr="00DA1637">
        <w:rPr>
          <w:rFonts w:ascii="Helvetica" w:hAnsi="Helvetica"/>
        </w:rPr>
        <w:t>aintain or improve access to residential aged care and respite services, including</w:t>
      </w:r>
      <w:r w:rsidR="002F5A35" w:rsidRPr="00486075">
        <w:rPr>
          <w:rFonts w:ascii="Helvetica" w:hAnsi="Helvetica"/>
        </w:rPr>
        <w:t xml:space="preserve"> in regional, rural and remote areas, thin markets and for vulnerable consumer cohorts</w:t>
      </w:r>
      <w:r w:rsidRPr="00486075">
        <w:rPr>
          <w:rFonts w:ascii="Helvetica" w:hAnsi="Helvetica"/>
        </w:rPr>
        <w:t>;</w:t>
      </w:r>
    </w:p>
    <w:p w14:paraId="512A6B13" w14:textId="77777777" w:rsidR="002F5A35" w:rsidRPr="00486075" w:rsidRDefault="00C17119" w:rsidP="00B74DC6">
      <w:pPr>
        <w:pStyle w:val="ListParagraph"/>
        <w:numPr>
          <w:ilvl w:val="0"/>
          <w:numId w:val="2"/>
        </w:numPr>
        <w:spacing w:after="120"/>
        <w:ind w:left="714" w:hanging="357"/>
        <w:contextualSpacing w:val="0"/>
        <w:rPr>
          <w:rFonts w:ascii="Helvetica" w:hAnsi="Helvetica"/>
        </w:rPr>
      </w:pPr>
      <w:r w:rsidRPr="00486075">
        <w:rPr>
          <w:rFonts w:ascii="Helvetica" w:hAnsi="Helvetica"/>
        </w:rPr>
        <w:t>f</w:t>
      </w:r>
      <w:r w:rsidR="00A50F72" w:rsidRPr="00486075">
        <w:rPr>
          <w:rFonts w:ascii="Helvetica" w:hAnsi="Helvetica"/>
        </w:rPr>
        <w:t xml:space="preserve">acilitate </w:t>
      </w:r>
      <w:r w:rsidR="002F5A35" w:rsidRPr="00486075">
        <w:rPr>
          <w:rFonts w:ascii="Helvetica" w:hAnsi="Helvetica"/>
        </w:rPr>
        <w:t>a</w:t>
      </w:r>
      <w:r w:rsidR="00A50F72" w:rsidRPr="00486075">
        <w:rPr>
          <w:rFonts w:ascii="Helvetica" w:hAnsi="Helvetica"/>
        </w:rPr>
        <w:t xml:space="preserve">n adaptable and </w:t>
      </w:r>
      <w:r w:rsidR="002F5A35" w:rsidRPr="00486075">
        <w:rPr>
          <w:rFonts w:ascii="Helvetica" w:hAnsi="Helvetica"/>
        </w:rPr>
        <w:t>viable residential aged care sector, with continued growth and financial investment</w:t>
      </w:r>
      <w:r w:rsidRPr="00486075">
        <w:rPr>
          <w:rFonts w:ascii="Helvetica" w:hAnsi="Helvetica"/>
        </w:rPr>
        <w:t>;</w:t>
      </w:r>
    </w:p>
    <w:p w14:paraId="635A8D52" w14:textId="77777777" w:rsidR="002F5A35" w:rsidRPr="00486075" w:rsidRDefault="00A50F72" w:rsidP="00B74DC6">
      <w:pPr>
        <w:pStyle w:val="ListParagraph"/>
        <w:numPr>
          <w:ilvl w:val="0"/>
          <w:numId w:val="2"/>
        </w:numPr>
        <w:spacing w:after="120"/>
        <w:ind w:left="714" w:hanging="357"/>
        <w:contextualSpacing w:val="0"/>
        <w:rPr>
          <w:rFonts w:ascii="Helvetica" w:hAnsi="Helvetica"/>
        </w:rPr>
      </w:pPr>
      <w:r w:rsidRPr="00486075">
        <w:rPr>
          <w:rFonts w:ascii="Helvetica" w:hAnsi="Helvetica"/>
        </w:rPr>
        <w:t>b</w:t>
      </w:r>
      <w:r w:rsidR="002F5A35" w:rsidRPr="00486075">
        <w:rPr>
          <w:rFonts w:ascii="Helvetica" w:hAnsi="Helvetica"/>
        </w:rPr>
        <w:t>e financially sustainable for consumers, providers and government</w:t>
      </w:r>
      <w:r w:rsidR="00C17119" w:rsidRPr="00486075">
        <w:rPr>
          <w:rFonts w:ascii="Helvetica" w:hAnsi="Helvetica"/>
        </w:rPr>
        <w:t>; and</w:t>
      </w:r>
    </w:p>
    <w:p w14:paraId="23EC5F54" w14:textId="77777777" w:rsidR="002F5A35" w:rsidRPr="00486075" w:rsidRDefault="00C17119" w:rsidP="00B74DC6">
      <w:pPr>
        <w:pStyle w:val="ListParagraph"/>
        <w:numPr>
          <w:ilvl w:val="0"/>
          <w:numId w:val="2"/>
        </w:numPr>
        <w:spacing w:after="120"/>
        <w:ind w:left="714" w:hanging="357"/>
        <w:contextualSpacing w:val="0"/>
        <w:rPr>
          <w:rFonts w:ascii="Helvetica" w:hAnsi="Helvetica"/>
        </w:rPr>
      </w:pPr>
      <w:r w:rsidRPr="00486075">
        <w:rPr>
          <w:rFonts w:ascii="Helvetica" w:hAnsi="Helvetica"/>
        </w:rPr>
        <w:t>c</w:t>
      </w:r>
      <w:r w:rsidR="002F5A35" w:rsidRPr="00486075">
        <w:rPr>
          <w:rFonts w:ascii="Helvetica" w:hAnsi="Helvetica"/>
        </w:rPr>
        <w:t>omplement future reforms to residential aged care and aged care more broadly</w:t>
      </w:r>
      <w:r w:rsidR="00203BA0" w:rsidRPr="00486075">
        <w:rPr>
          <w:rFonts w:ascii="Helvetica" w:hAnsi="Helvetica"/>
        </w:rPr>
        <w:t>.</w:t>
      </w:r>
    </w:p>
    <w:p w14:paraId="3E11D981" w14:textId="77777777" w:rsidR="007D7D9D" w:rsidRPr="00486075" w:rsidRDefault="007D7D9D" w:rsidP="007D7D9D">
      <w:pPr>
        <w:rPr>
          <w:rFonts w:ascii="Helvetica" w:hAnsi="Helvetica"/>
          <w:b/>
          <w:i/>
          <w:color w:val="0070C0"/>
        </w:rPr>
      </w:pPr>
    </w:p>
    <w:p w14:paraId="4DD20859" w14:textId="77777777" w:rsidR="007D7D9D" w:rsidRPr="00486075" w:rsidRDefault="007D7D9D" w:rsidP="007D7D9D">
      <w:pPr>
        <w:rPr>
          <w:rFonts w:ascii="Helvetica" w:hAnsi="Helvetica"/>
          <w:b/>
          <w:i/>
          <w:color w:val="0070C0"/>
        </w:rPr>
      </w:pPr>
      <w:r w:rsidRPr="00486075">
        <w:rPr>
          <w:rFonts w:ascii="Helvetica" w:hAnsi="Helvetica"/>
          <w:b/>
          <w:i/>
          <w:color w:val="0070C0"/>
        </w:rPr>
        <w:t>Design principles: Questions for discussion</w:t>
      </w:r>
    </w:p>
    <w:p w14:paraId="0D971A0C" w14:textId="77777777" w:rsidR="007D7D9D" w:rsidRPr="00486075" w:rsidRDefault="007D7D9D" w:rsidP="007D7D9D">
      <w:pPr>
        <w:rPr>
          <w:rFonts w:ascii="Helvetica" w:hAnsi="Helvetica"/>
          <w:b/>
          <w:i/>
          <w:color w:val="00B0F0"/>
        </w:rPr>
      </w:pPr>
    </w:p>
    <w:p w14:paraId="78CEFE6C" w14:textId="77777777" w:rsidR="007D7D9D" w:rsidRPr="00486075" w:rsidRDefault="007D7D9D" w:rsidP="00216A0E">
      <w:pPr>
        <w:pStyle w:val="ListParagraph"/>
        <w:numPr>
          <w:ilvl w:val="1"/>
          <w:numId w:val="33"/>
        </w:numPr>
        <w:pBdr>
          <w:top w:val="single" w:sz="36" w:space="1" w:color="00B0F0"/>
          <w:bottom w:val="single" w:sz="36" w:space="1" w:color="00B0F0"/>
        </w:pBdr>
        <w:spacing w:after="120"/>
        <w:ind w:left="360"/>
        <w:contextualSpacing w:val="0"/>
        <w:rPr>
          <w:rFonts w:ascii="Helvetica" w:hAnsi="Helvetica"/>
        </w:rPr>
      </w:pPr>
      <w:r w:rsidRPr="00486075">
        <w:rPr>
          <w:rFonts w:ascii="Helvetica" w:hAnsi="Helvetica"/>
        </w:rPr>
        <w:t xml:space="preserve">Are the proposed design principles appropriate?  </w:t>
      </w:r>
    </w:p>
    <w:p w14:paraId="38035AB0" w14:textId="77777777" w:rsidR="007D7D9D" w:rsidRPr="00486075" w:rsidRDefault="007D7D9D" w:rsidP="00216A0E">
      <w:pPr>
        <w:pStyle w:val="ListParagraph"/>
        <w:numPr>
          <w:ilvl w:val="1"/>
          <w:numId w:val="33"/>
        </w:numPr>
        <w:pBdr>
          <w:top w:val="single" w:sz="36" w:space="1" w:color="00B0F0"/>
          <w:bottom w:val="single" w:sz="36" w:space="1" w:color="00B0F0"/>
        </w:pBdr>
        <w:spacing w:after="120"/>
        <w:ind w:left="357" w:hanging="357"/>
        <w:contextualSpacing w:val="0"/>
        <w:rPr>
          <w:rFonts w:ascii="Helvetica" w:hAnsi="Helvetica"/>
        </w:rPr>
      </w:pPr>
      <w:r w:rsidRPr="00486075">
        <w:rPr>
          <w:rFonts w:ascii="Helvetica" w:hAnsi="Helvetica"/>
        </w:rPr>
        <w:t xml:space="preserve">Are there any other principles that you </w:t>
      </w:r>
      <w:r w:rsidR="00465354" w:rsidRPr="00486075">
        <w:rPr>
          <w:rFonts w:ascii="Helvetica" w:hAnsi="Helvetica"/>
        </w:rPr>
        <w:t xml:space="preserve">consider </w:t>
      </w:r>
      <w:r w:rsidRPr="00486075">
        <w:rPr>
          <w:rFonts w:ascii="Helvetica" w:hAnsi="Helvetica"/>
        </w:rPr>
        <w:t>should be included?</w:t>
      </w:r>
    </w:p>
    <w:p w14:paraId="73BAE9AD" w14:textId="77777777" w:rsidR="007D7D9D" w:rsidRPr="00486075" w:rsidRDefault="007D7D9D" w:rsidP="007D7D9D">
      <w:pPr>
        <w:pBdr>
          <w:top w:val="single" w:sz="36" w:space="1" w:color="00B0F0"/>
          <w:bottom w:val="single" w:sz="36" w:space="1" w:color="00B0F0"/>
        </w:pBdr>
        <w:spacing w:after="120"/>
        <w:rPr>
          <w:rFonts w:ascii="Helvetica" w:hAnsi="Helvetica"/>
          <w:color w:val="404040" w:themeColor="text1" w:themeTint="BF"/>
          <w:sz w:val="2"/>
          <w:szCs w:val="2"/>
        </w:rPr>
      </w:pPr>
    </w:p>
    <w:p w14:paraId="64A38696" w14:textId="77777777" w:rsidR="009F4741" w:rsidRPr="00486075" w:rsidRDefault="009F4741" w:rsidP="007D7D9D">
      <w:pPr>
        <w:spacing w:before="240" w:after="120"/>
        <w:rPr>
          <w:rFonts w:ascii="Helvetica" w:hAnsi="Helvetica"/>
        </w:rPr>
      </w:pPr>
      <w:r w:rsidRPr="00486075">
        <w:rPr>
          <w:rFonts w:ascii="Helvetica" w:hAnsi="Helvetica"/>
        </w:rPr>
        <w:t xml:space="preserve">This discussion paper sets out two proposed alternative models for allocating residential aged care places and offers initial commentary on possible impacts and implementation and transition arrangements. </w:t>
      </w:r>
    </w:p>
    <w:p w14:paraId="706F0254" w14:textId="77777777" w:rsidR="00F4786E" w:rsidRPr="00486075" w:rsidRDefault="009F4741" w:rsidP="00CF1043">
      <w:pPr>
        <w:spacing w:after="120"/>
        <w:rPr>
          <w:rFonts w:ascii="Helvetica" w:hAnsi="Helvetica"/>
        </w:rPr>
      </w:pPr>
      <w:r w:rsidRPr="00486075">
        <w:rPr>
          <w:rFonts w:ascii="Helvetica" w:hAnsi="Helvetica"/>
        </w:rPr>
        <w:t>The t</w:t>
      </w:r>
      <w:r w:rsidR="00F4786E" w:rsidRPr="00486075">
        <w:rPr>
          <w:rFonts w:ascii="Helvetica" w:hAnsi="Helvetica"/>
        </w:rPr>
        <w:t>wo p</w:t>
      </w:r>
      <w:r w:rsidR="006D1D35" w:rsidRPr="00486075">
        <w:rPr>
          <w:rFonts w:ascii="Helvetica" w:hAnsi="Helvetica"/>
        </w:rPr>
        <w:t xml:space="preserve">otential </w:t>
      </w:r>
      <w:r w:rsidR="00116F72" w:rsidRPr="00486075">
        <w:rPr>
          <w:rFonts w:ascii="Helvetica" w:hAnsi="Helvetica"/>
        </w:rPr>
        <w:t xml:space="preserve">alternative allocation models to support a more consumer demand driven market </w:t>
      </w:r>
      <w:r w:rsidR="00F4786E" w:rsidRPr="00486075">
        <w:rPr>
          <w:rFonts w:ascii="Helvetica" w:hAnsi="Helvetica"/>
        </w:rPr>
        <w:t xml:space="preserve">in residential aged care </w:t>
      </w:r>
      <w:r w:rsidRPr="00486075">
        <w:rPr>
          <w:rFonts w:ascii="Helvetica" w:hAnsi="Helvetica"/>
        </w:rPr>
        <w:t xml:space="preserve">which </w:t>
      </w:r>
      <w:r w:rsidR="00F4786E" w:rsidRPr="00486075">
        <w:rPr>
          <w:rFonts w:ascii="Helvetica" w:hAnsi="Helvetica"/>
        </w:rPr>
        <w:t>are explored in this</w:t>
      </w:r>
      <w:r w:rsidR="00494CF5" w:rsidRPr="00486075">
        <w:rPr>
          <w:rFonts w:ascii="Helvetica" w:hAnsi="Helvetica"/>
        </w:rPr>
        <w:t xml:space="preserve"> </w:t>
      </w:r>
      <w:r w:rsidR="00151D00" w:rsidRPr="00486075">
        <w:rPr>
          <w:rFonts w:ascii="Helvetica" w:hAnsi="Helvetica"/>
        </w:rPr>
        <w:t>d</w:t>
      </w:r>
      <w:r w:rsidR="00494CF5" w:rsidRPr="00486075">
        <w:rPr>
          <w:rFonts w:ascii="Helvetica" w:hAnsi="Helvetica"/>
        </w:rPr>
        <w:t>iscussion</w:t>
      </w:r>
      <w:r w:rsidR="00F4786E" w:rsidRPr="00486075">
        <w:rPr>
          <w:rFonts w:ascii="Helvetica" w:hAnsi="Helvetica"/>
        </w:rPr>
        <w:t xml:space="preserve"> </w:t>
      </w:r>
      <w:r w:rsidR="00151D00" w:rsidRPr="00486075">
        <w:rPr>
          <w:rFonts w:ascii="Helvetica" w:hAnsi="Helvetica"/>
        </w:rPr>
        <w:t>p</w:t>
      </w:r>
      <w:r w:rsidR="00F4786E" w:rsidRPr="00486075">
        <w:rPr>
          <w:rFonts w:ascii="Helvetica" w:hAnsi="Helvetica"/>
        </w:rPr>
        <w:t>aper</w:t>
      </w:r>
      <w:r w:rsidRPr="00486075">
        <w:rPr>
          <w:rFonts w:ascii="Helvetica" w:hAnsi="Helvetica"/>
        </w:rPr>
        <w:t xml:space="preserve"> are</w:t>
      </w:r>
      <w:r w:rsidR="00F4786E" w:rsidRPr="00486075">
        <w:rPr>
          <w:rFonts w:ascii="Helvetica" w:hAnsi="Helvetica"/>
        </w:rPr>
        <w:t>:</w:t>
      </w:r>
    </w:p>
    <w:p w14:paraId="6DB9488C" w14:textId="77777777" w:rsidR="00F4786E" w:rsidRPr="00486075" w:rsidRDefault="00F4786E" w:rsidP="00216A0E">
      <w:pPr>
        <w:pStyle w:val="ListParagraph"/>
        <w:numPr>
          <w:ilvl w:val="0"/>
          <w:numId w:val="12"/>
        </w:numPr>
        <w:spacing w:after="120"/>
        <w:rPr>
          <w:rFonts w:ascii="Helvetica" w:hAnsi="Helvetica"/>
        </w:rPr>
      </w:pPr>
      <w:r w:rsidRPr="00486075">
        <w:rPr>
          <w:rFonts w:ascii="Helvetica" w:hAnsi="Helvetica"/>
        </w:rPr>
        <w:t xml:space="preserve">Model 1: </w:t>
      </w:r>
      <w:r w:rsidR="00410201" w:rsidRPr="00486075">
        <w:rPr>
          <w:rFonts w:ascii="Helvetica" w:hAnsi="Helvetica"/>
        </w:rPr>
        <w:t xml:space="preserve">Improve </w:t>
      </w:r>
      <w:r w:rsidR="00AD79F5" w:rsidRPr="00486075">
        <w:rPr>
          <w:rFonts w:ascii="Helvetica" w:hAnsi="Helvetica"/>
        </w:rPr>
        <w:t>the ACAR and places management</w:t>
      </w:r>
      <w:r w:rsidR="00C17119" w:rsidRPr="00486075">
        <w:rPr>
          <w:rFonts w:ascii="Helvetica" w:hAnsi="Helvetica"/>
        </w:rPr>
        <w:t>; and</w:t>
      </w:r>
      <w:r w:rsidR="00AD79F5" w:rsidRPr="00486075">
        <w:rPr>
          <w:rFonts w:ascii="Helvetica" w:hAnsi="Helvetica"/>
        </w:rPr>
        <w:t xml:space="preserve"> </w:t>
      </w:r>
    </w:p>
    <w:p w14:paraId="782122C2" w14:textId="77777777" w:rsidR="002275B1" w:rsidRPr="00486075" w:rsidRDefault="00F4786E" w:rsidP="00216A0E">
      <w:pPr>
        <w:pStyle w:val="ListParagraph"/>
        <w:numPr>
          <w:ilvl w:val="0"/>
          <w:numId w:val="12"/>
        </w:numPr>
        <w:spacing w:after="120"/>
        <w:rPr>
          <w:rFonts w:ascii="Helvetica" w:hAnsi="Helvetica"/>
        </w:rPr>
      </w:pPr>
      <w:r w:rsidRPr="00486075">
        <w:rPr>
          <w:rFonts w:ascii="Helvetica" w:hAnsi="Helvetica"/>
        </w:rPr>
        <w:t>Model 2: Assign residential aged care places to consumers</w:t>
      </w:r>
    </w:p>
    <w:p w14:paraId="2A3F6F14" w14:textId="77777777" w:rsidR="00DF2563" w:rsidRPr="00486075" w:rsidRDefault="00DF2563">
      <w:pPr>
        <w:rPr>
          <w:rFonts w:ascii="Helvetica" w:eastAsiaTheme="majorEastAsia" w:hAnsi="Helvetica" w:cstheme="majorBidi"/>
          <w:b/>
          <w:color w:val="2F5496" w:themeColor="accent1" w:themeShade="BF"/>
          <w:sz w:val="32"/>
          <w:szCs w:val="32"/>
        </w:rPr>
      </w:pPr>
      <w:r w:rsidRPr="00486075">
        <w:br w:type="page"/>
      </w:r>
    </w:p>
    <w:p w14:paraId="5E951CD1" w14:textId="231319A5" w:rsidR="00E00E1B" w:rsidRPr="00486075" w:rsidRDefault="00E00E1B" w:rsidP="00383D9B">
      <w:pPr>
        <w:pStyle w:val="Heading1Black"/>
      </w:pPr>
      <w:bookmarkStart w:id="51" w:name="_Toc31293675"/>
      <w:r w:rsidRPr="00486075">
        <w:lastRenderedPageBreak/>
        <w:t xml:space="preserve">Model 1. </w:t>
      </w:r>
      <w:r w:rsidR="00410201" w:rsidRPr="00486075">
        <w:t xml:space="preserve">Improve </w:t>
      </w:r>
      <w:r w:rsidR="00F4786E" w:rsidRPr="00486075">
        <w:t>the</w:t>
      </w:r>
      <w:r w:rsidRPr="00486075">
        <w:t xml:space="preserve"> ACAR and places management</w:t>
      </w:r>
      <w:bookmarkEnd w:id="51"/>
    </w:p>
    <w:p w14:paraId="197F73DE" w14:textId="451E6EB5" w:rsidR="0010770E" w:rsidRPr="00486075" w:rsidRDefault="00191BC2" w:rsidP="00553BEF">
      <w:pPr>
        <w:pStyle w:val="Heading2"/>
      </w:pPr>
      <w:bookmarkStart w:id="52" w:name="_Toc31293676"/>
      <w:r w:rsidRPr="00486075">
        <w:t>Description of the model</w:t>
      </w:r>
      <w:bookmarkEnd w:id="52"/>
      <w:r w:rsidRPr="00486075">
        <w:t xml:space="preserve"> </w:t>
      </w:r>
    </w:p>
    <w:p w14:paraId="498CBB61" w14:textId="77777777" w:rsidR="00B74DC6" w:rsidRPr="00486075" w:rsidRDefault="002275B1" w:rsidP="00B74DC6">
      <w:pPr>
        <w:pBdr>
          <w:top w:val="single" w:sz="24" w:space="1" w:color="auto"/>
          <w:left w:val="single" w:sz="24" w:space="4" w:color="auto"/>
          <w:bottom w:val="single" w:sz="24" w:space="1" w:color="auto"/>
          <w:right w:val="single" w:sz="24" w:space="4" w:color="auto"/>
        </w:pBdr>
        <w:spacing w:after="120"/>
        <w:rPr>
          <w:rFonts w:ascii="Helvetica" w:hAnsi="Helvetica"/>
        </w:rPr>
      </w:pPr>
      <w:r w:rsidRPr="00486075">
        <w:rPr>
          <w:rFonts w:ascii="Helvetica" w:hAnsi="Helvetica"/>
        </w:rPr>
        <w:t>This reform option r</w:t>
      </w:r>
      <w:r w:rsidR="00DC3614" w:rsidRPr="00486075">
        <w:rPr>
          <w:rFonts w:ascii="Helvetica" w:hAnsi="Helvetica"/>
        </w:rPr>
        <w:t>etain</w:t>
      </w:r>
      <w:r w:rsidRPr="00486075">
        <w:rPr>
          <w:rFonts w:ascii="Helvetica" w:hAnsi="Helvetica"/>
        </w:rPr>
        <w:t>s</w:t>
      </w:r>
      <w:r w:rsidR="004E07C6" w:rsidRPr="00486075">
        <w:rPr>
          <w:rFonts w:ascii="Helvetica" w:hAnsi="Helvetica"/>
        </w:rPr>
        <w:t xml:space="preserve"> the</w:t>
      </w:r>
      <w:r w:rsidR="00DC3614" w:rsidRPr="00486075">
        <w:rPr>
          <w:rFonts w:ascii="Helvetica" w:hAnsi="Helvetica"/>
        </w:rPr>
        <w:t xml:space="preserve"> </w:t>
      </w:r>
      <w:r w:rsidR="004E07C6" w:rsidRPr="00486075">
        <w:rPr>
          <w:rFonts w:ascii="Helvetica" w:hAnsi="Helvetica"/>
        </w:rPr>
        <w:t>ACAR and places management</w:t>
      </w:r>
      <w:r w:rsidR="00DC3614" w:rsidRPr="00486075">
        <w:rPr>
          <w:rFonts w:ascii="Helvetica" w:hAnsi="Helvetica"/>
        </w:rPr>
        <w:t xml:space="preserve"> framework</w:t>
      </w:r>
      <w:r w:rsidRPr="00486075">
        <w:rPr>
          <w:rFonts w:ascii="Helvetica" w:hAnsi="Helvetica"/>
        </w:rPr>
        <w:t xml:space="preserve">, but </w:t>
      </w:r>
      <w:r w:rsidR="007D2969" w:rsidRPr="00486075">
        <w:rPr>
          <w:rFonts w:ascii="Helvetica" w:hAnsi="Helvetica"/>
        </w:rPr>
        <w:t>investigate</w:t>
      </w:r>
      <w:r w:rsidR="00C17119" w:rsidRPr="00486075">
        <w:rPr>
          <w:rFonts w:ascii="Helvetica" w:hAnsi="Helvetica"/>
        </w:rPr>
        <w:t>s</w:t>
      </w:r>
      <w:r w:rsidR="007D2969" w:rsidRPr="00486075">
        <w:rPr>
          <w:rFonts w:ascii="Helvetica" w:hAnsi="Helvetica"/>
        </w:rPr>
        <w:t xml:space="preserve"> options to</w:t>
      </w:r>
      <w:r w:rsidR="00B74DC6" w:rsidRPr="00486075">
        <w:rPr>
          <w:rFonts w:ascii="Helvetica" w:hAnsi="Helvetica"/>
        </w:rPr>
        <w:t>:</w:t>
      </w:r>
    </w:p>
    <w:p w14:paraId="36FD46C4" w14:textId="77777777" w:rsidR="00B74DC6" w:rsidRPr="00486075" w:rsidRDefault="00EB65D3" w:rsidP="00216A0E">
      <w:pPr>
        <w:pStyle w:val="ListParagraph"/>
        <w:numPr>
          <w:ilvl w:val="0"/>
          <w:numId w:val="35"/>
        </w:numPr>
        <w:pBdr>
          <w:top w:val="single" w:sz="24" w:space="1" w:color="auto"/>
          <w:left w:val="single" w:sz="24" w:space="4" w:color="auto"/>
          <w:bottom w:val="single" w:sz="24" w:space="1" w:color="auto"/>
          <w:right w:val="single" w:sz="24" w:space="4" w:color="auto"/>
        </w:pBdr>
        <w:spacing w:after="120"/>
        <w:rPr>
          <w:rFonts w:ascii="Helvetica" w:hAnsi="Helvetica"/>
        </w:rPr>
      </w:pPr>
      <w:r w:rsidRPr="00486075">
        <w:rPr>
          <w:rFonts w:ascii="Helvetica" w:hAnsi="Helvetica"/>
        </w:rPr>
        <w:t>r</w:t>
      </w:r>
      <w:r w:rsidR="00E85550" w:rsidRPr="00486075">
        <w:rPr>
          <w:rFonts w:ascii="Helvetica" w:hAnsi="Helvetica"/>
        </w:rPr>
        <w:t>educe locational controls on the distribution of residential aged care places</w:t>
      </w:r>
      <w:r w:rsidR="000B6234" w:rsidRPr="00486075">
        <w:rPr>
          <w:rFonts w:ascii="Helvetica" w:hAnsi="Helvetica"/>
        </w:rPr>
        <w:t>; and/or</w:t>
      </w:r>
    </w:p>
    <w:p w14:paraId="2D908E78" w14:textId="77777777" w:rsidR="00B74DC6" w:rsidRPr="00486075" w:rsidRDefault="005E3A1D" w:rsidP="00216A0E">
      <w:pPr>
        <w:pStyle w:val="ListParagraph"/>
        <w:numPr>
          <w:ilvl w:val="0"/>
          <w:numId w:val="35"/>
        </w:numPr>
        <w:pBdr>
          <w:top w:val="single" w:sz="24" w:space="1" w:color="auto"/>
          <w:left w:val="single" w:sz="24" w:space="4" w:color="auto"/>
          <w:bottom w:val="single" w:sz="24" w:space="1" w:color="auto"/>
          <w:right w:val="single" w:sz="24" w:space="4" w:color="auto"/>
        </w:pBdr>
        <w:spacing w:after="120"/>
        <w:rPr>
          <w:rFonts w:ascii="Helvetica" w:hAnsi="Helvetica"/>
        </w:rPr>
      </w:pPr>
      <w:r w:rsidRPr="00486075">
        <w:rPr>
          <w:rFonts w:ascii="Helvetica" w:hAnsi="Helvetica"/>
        </w:rPr>
        <w:t xml:space="preserve">reduce the number of non-operational </w:t>
      </w:r>
      <w:r w:rsidR="00754F48" w:rsidRPr="00486075">
        <w:rPr>
          <w:rFonts w:ascii="Helvetica" w:hAnsi="Helvetica"/>
        </w:rPr>
        <w:t xml:space="preserve">residential aged care </w:t>
      </w:r>
      <w:r w:rsidRPr="00486075">
        <w:rPr>
          <w:rFonts w:ascii="Helvetica" w:hAnsi="Helvetica"/>
        </w:rPr>
        <w:t xml:space="preserve">places to </w:t>
      </w:r>
      <w:r w:rsidR="00EB65D3" w:rsidRPr="00486075">
        <w:rPr>
          <w:rFonts w:ascii="Helvetica" w:hAnsi="Helvetica"/>
        </w:rPr>
        <w:t xml:space="preserve">maximise </w:t>
      </w:r>
      <w:r w:rsidR="009F4741" w:rsidRPr="00486075">
        <w:rPr>
          <w:rFonts w:ascii="Helvetica" w:hAnsi="Helvetica"/>
        </w:rPr>
        <w:t xml:space="preserve">the </w:t>
      </w:r>
      <w:r w:rsidR="00EB65D3" w:rsidRPr="00486075">
        <w:rPr>
          <w:rFonts w:ascii="Helvetica" w:hAnsi="Helvetica"/>
        </w:rPr>
        <w:t>availability of places to consumers</w:t>
      </w:r>
      <w:r w:rsidR="000B6234" w:rsidRPr="00486075">
        <w:rPr>
          <w:rFonts w:ascii="Helvetica" w:hAnsi="Helvetica"/>
        </w:rPr>
        <w:t>; and/or</w:t>
      </w:r>
    </w:p>
    <w:p w14:paraId="1DB64D17" w14:textId="77777777" w:rsidR="00AF33B2" w:rsidRPr="00486075" w:rsidRDefault="00EB65D3" w:rsidP="00216A0E">
      <w:pPr>
        <w:pStyle w:val="ListParagraph"/>
        <w:numPr>
          <w:ilvl w:val="0"/>
          <w:numId w:val="35"/>
        </w:numPr>
        <w:pBdr>
          <w:top w:val="single" w:sz="24" w:space="1" w:color="auto"/>
          <w:left w:val="single" w:sz="24" w:space="4" w:color="auto"/>
          <w:bottom w:val="single" w:sz="24" w:space="1" w:color="auto"/>
          <w:right w:val="single" w:sz="24" w:space="4" w:color="auto"/>
        </w:pBdr>
        <w:spacing w:after="120"/>
        <w:ind w:left="357" w:hanging="357"/>
        <w:contextualSpacing w:val="0"/>
        <w:rPr>
          <w:rFonts w:ascii="Helvetica" w:hAnsi="Helvetica"/>
        </w:rPr>
      </w:pPr>
      <w:r w:rsidRPr="00486075">
        <w:rPr>
          <w:rFonts w:ascii="Helvetica" w:hAnsi="Helvetica"/>
        </w:rPr>
        <w:t xml:space="preserve">improve the </w:t>
      </w:r>
      <w:r w:rsidR="00B23976" w:rsidRPr="00486075">
        <w:rPr>
          <w:rFonts w:ascii="Helvetica" w:hAnsi="Helvetica"/>
        </w:rPr>
        <w:t xml:space="preserve">administration of </w:t>
      </w:r>
      <w:r w:rsidRPr="00486075">
        <w:rPr>
          <w:rFonts w:ascii="Helvetica" w:hAnsi="Helvetica"/>
        </w:rPr>
        <w:t>ACAR and places management processes</w:t>
      </w:r>
      <w:r w:rsidR="000B6234" w:rsidRPr="00486075">
        <w:rPr>
          <w:rFonts w:ascii="Helvetica" w:hAnsi="Helvetica"/>
        </w:rPr>
        <w:t>.</w:t>
      </w:r>
      <w:r w:rsidRPr="00486075">
        <w:rPr>
          <w:rFonts w:ascii="Helvetica" w:hAnsi="Helvetica"/>
        </w:rPr>
        <w:t xml:space="preserve"> </w:t>
      </w:r>
    </w:p>
    <w:p w14:paraId="75B8275F" w14:textId="77777777" w:rsidR="00CE029D" w:rsidRPr="00486075" w:rsidRDefault="00CE029D" w:rsidP="00CE029D">
      <w:pPr>
        <w:pBdr>
          <w:top w:val="single" w:sz="24" w:space="1" w:color="auto"/>
          <w:left w:val="single" w:sz="24" w:space="4" w:color="auto"/>
          <w:bottom w:val="single" w:sz="24" w:space="1" w:color="auto"/>
          <w:right w:val="single" w:sz="24" w:space="4" w:color="auto"/>
        </w:pBdr>
        <w:spacing w:after="120"/>
        <w:rPr>
          <w:rFonts w:ascii="Helvetica" w:hAnsi="Helvetica"/>
          <w:sz w:val="2"/>
        </w:rPr>
      </w:pPr>
    </w:p>
    <w:p w14:paraId="34CB544F" w14:textId="38CA8B8A" w:rsidR="0036340B" w:rsidRPr="00486075" w:rsidRDefault="0036340B" w:rsidP="001B6A24">
      <w:pPr>
        <w:pStyle w:val="Heading3"/>
      </w:pPr>
      <w:bookmarkStart w:id="53" w:name="_Toc31293677"/>
      <w:r w:rsidRPr="00486075">
        <w:t xml:space="preserve">Reduce </w:t>
      </w:r>
      <w:r w:rsidR="00FE28B8" w:rsidRPr="00486075">
        <w:t>locational</w:t>
      </w:r>
      <w:r w:rsidR="00EB65D3" w:rsidRPr="00486075">
        <w:t xml:space="preserve"> controls on</w:t>
      </w:r>
      <w:r w:rsidRPr="00486075">
        <w:t xml:space="preserve"> </w:t>
      </w:r>
      <w:r w:rsidR="006E2E54" w:rsidRPr="00486075">
        <w:t xml:space="preserve">the </w:t>
      </w:r>
      <w:r w:rsidRPr="00486075">
        <w:t xml:space="preserve">distribution of </w:t>
      </w:r>
      <w:r w:rsidR="00BE12A4" w:rsidRPr="00486075">
        <w:t xml:space="preserve">residential aged care </w:t>
      </w:r>
      <w:r w:rsidRPr="00486075">
        <w:t>places</w:t>
      </w:r>
      <w:bookmarkEnd w:id="53"/>
    </w:p>
    <w:p w14:paraId="776E2AA5" w14:textId="77777777" w:rsidR="00521D34" w:rsidRPr="00486075" w:rsidRDefault="00D03ABF" w:rsidP="00BB6C6D">
      <w:pPr>
        <w:spacing w:after="120"/>
        <w:rPr>
          <w:rFonts w:ascii="Helvetica" w:hAnsi="Helvetica"/>
        </w:rPr>
      </w:pPr>
      <w:r w:rsidRPr="00486075">
        <w:rPr>
          <w:rFonts w:ascii="Helvetica" w:hAnsi="Helvetica"/>
        </w:rPr>
        <w:t>Since t</w:t>
      </w:r>
      <w:r w:rsidR="00BB6C6D" w:rsidRPr="00486075">
        <w:rPr>
          <w:rFonts w:ascii="Helvetica" w:hAnsi="Helvetica"/>
        </w:rPr>
        <w:t>he</w:t>
      </w:r>
      <w:r w:rsidR="0036760D" w:rsidRPr="00486075">
        <w:rPr>
          <w:rFonts w:ascii="Helvetica" w:hAnsi="Helvetica"/>
        </w:rPr>
        <w:t xml:space="preserve"> </w:t>
      </w:r>
      <w:r w:rsidR="00623D10" w:rsidRPr="00486075">
        <w:rPr>
          <w:rFonts w:ascii="Helvetica" w:hAnsi="Helvetica"/>
        </w:rPr>
        <w:t>2016-17 ACAR</w:t>
      </w:r>
      <w:r w:rsidRPr="00486075">
        <w:rPr>
          <w:rFonts w:ascii="Helvetica" w:hAnsi="Helvetica"/>
        </w:rPr>
        <w:t>,</w:t>
      </w:r>
      <w:r w:rsidR="00E82586" w:rsidRPr="00486075">
        <w:rPr>
          <w:rFonts w:ascii="Helvetica" w:hAnsi="Helvetica"/>
        </w:rPr>
        <w:t xml:space="preserve"> </w:t>
      </w:r>
      <w:r w:rsidR="00BC1617" w:rsidRPr="00486075">
        <w:rPr>
          <w:rFonts w:ascii="Helvetica" w:hAnsi="Helvetica"/>
        </w:rPr>
        <w:t>new</w:t>
      </w:r>
      <w:r w:rsidR="0036340B" w:rsidRPr="00486075">
        <w:rPr>
          <w:rFonts w:ascii="Helvetica" w:hAnsi="Helvetica"/>
        </w:rPr>
        <w:t xml:space="preserve"> places</w:t>
      </w:r>
      <w:r w:rsidRPr="00486075">
        <w:rPr>
          <w:rFonts w:ascii="Helvetica" w:hAnsi="Helvetica"/>
        </w:rPr>
        <w:t xml:space="preserve"> have been</w:t>
      </w:r>
      <w:r w:rsidR="0036340B" w:rsidRPr="00486075">
        <w:rPr>
          <w:rFonts w:ascii="Helvetica" w:hAnsi="Helvetica"/>
        </w:rPr>
        <w:t xml:space="preserve"> </w:t>
      </w:r>
      <w:r w:rsidRPr="00486075">
        <w:rPr>
          <w:rFonts w:ascii="Helvetica" w:hAnsi="Helvetica"/>
        </w:rPr>
        <w:t xml:space="preserve">allocated </w:t>
      </w:r>
      <w:r w:rsidR="00521D34" w:rsidRPr="00486075">
        <w:rPr>
          <w:rFonts w:ascii="Helvetica" w:hAnsi="Helvetica"/>
        </w:rPr>
        <w:t xml:space="preserve">at the state and territory level rather than </w:t>
      </w:r>
      <w:r w:rsidR="00E82586" w:rsidRPr="00486075">
        <w:rPr>
          <w:rFonts w:ascii="Helvetica" w:hAnsi="Helvetica"/>
        </w:rPr>
        <w:t>within</w:t>
      </w:r>
      <w:r w:rsidR="00521D34" w:rsidRPr="00486075">
        <w:rPr>
          <w:rFonts w:ascii="Helvetica" w:hAnsi="Helvetica"/>
        </w:rPr>
        <w:t xml:space="preserve"> each Aged Care Planning Region</w:t>
      </w:r>
      <w:r w:rsidR="00B143AF" w:rsidRPr="00486075">
        <w:rPr>
          <w:rStyle w:val="FootnoteReference"/>
          <w:rFonts w:ascii="Helvetica" w:hAnsi="Helvetica"/>
        </w:rPr>
        <w:footnoteReference w:id="26"/>
      </w:r>
      <w:r w:rsidR="00521D34" w:rsidRPr="00486075">
        <w:rPr>
          <w:rFonts w:ascii="Helvetica" w:hAnsi="Helvetica"/>
        </w:rPr>
        <w:t xml:space="preserve"> (ACPR) or grouping of ACPRs. This approach has </w:t>
      </w:r>
      <w:r w:rsidR="00E82586" w:rsidRPr="00486075">
        <w:rPr>
          <w:rFonts w:ascii="Helvetica" w:hAnsi="Helvetica"/>
        </w:rPr>
        <w:t xml:space="preserve">given providers greater flexibility </w:t>
      </w:r>
      <w:r w:rsidR="007021DC" w:rsidRPr="00486075">
        <w:rPr>
          <w:rFonts w:ascii="Helvetica" w:hAnsi="Helvetica"/>
        </w:rPr>
        <w:t xml:space="preserve">and a more strategic focus </w:t>
      </w:r>
      <w:r w:rsidR="00E82586" w:rsidRPr="00486075">
        <w:rPr>
          <w:rFonts w:ascii="Helvetica" w:hAnsi="Helvetica"/>
        </w:rPr>
        <w:t>to apply for</w:t>
      </w:r>
      <w:r w:rsidR="00B143AF" w:rsidRPr="00486075">
        <w:rPr>
          <w:rFonts w:ascii="Helvetica" w:hAnsi="Helvetica"/>
        </w:rPr>
        <w:t>, as well as transfer,</w:t>
      </w:r>
      <w:r w:rsidR="00E82586" w:rsidRPr="00486075">
        <w:rPr>
          <w:rFonts w:ascii="Helvetica" w:hAnsi="Helvetica"/>
        </w:rPr>
        <w:t xml:space="preserve"> places b</w:t>
      </w:r>
      <w:r w:rsidR="0036340B" w:rsidRPr="00486075">
        <w:rPr>
          <w:rFonts w:ascii="Helvetica" w:hAnsi="Helvetica"/>
        </w:rPr>
        <w:t>ase</w:t>
      </w:r>
      <w:r w:rsidR="00E82586" w:rsidRPr="00486075">
        <w:rPr>
          <w:rFonts w:ascii="Helvetica" w:hAnsi="Helvetica"/>
        </w:rPr>
        <w:t>d on</w:t>
      </w:r>
      <w:r w:rsidR="0036340B" w:rsidRPr="00486075">
        <w:rPr>
          <w:rFonts w:ascii="Helvetica" w:hAnsi="Helvetica"/>
        </w:rPr>
        <w:t xml:space="preserve"> the</w:t>
      </w:r>
      <w:r w:rsidR="00E82586" w:rsidRPr="00486075">
        <w:rPr>
          <w:rFonts w:ascii="Helvetica" w:hAnsi="Helvetica"/>
        </w:rPr>
        <w:t xml:space="preserve">ir </w:t>
      </w:r>
      <w:r w:rsidR="0036340B" w:rsidRPr="00486075">
        <w:rPr>
          <w:rFonts w:ascii="Helvetica" w:hAnsi="Helvetica"/>
        </w:rPr>
        <w:t>service proj</w:t>
      </w:r>
      <w:r w:rsidR="00521D34" w:rsidRPr="00486075">
        <w:rPr>
          <w:rFonts w:ascii="Helvetica" w:hAnsi="Helvetica"/>
        </w:rPr>
        <w:t>ections and identified need</w:t>
      </w:r>
      <w:r w:rsidR="00E82586" w:rsidRPr="00486075">
        <w:rPr>
          <w:rFonts w:ascii="Helvetica" w:hAnsi="Helvetica"/>
        </w:rPr>
        <w:t xml:space="preserve">, often at an </w:t>
      </w:r>
      <w:r w:rsidR="007021DC" w:rsidRPr="00486075">
        <w:rPr>
          <w:rFonts w:ascii="Helvetica" w:hAnsi="Helvetica"/>
        </w:rPr>
        <w:t>organisational</w:t>
      </w:r>
      <w:r w:rsidR="00E82586" w:rsidRPr="00486075">
        <w:rPr>
          <w:rFonts w:ascii="Helvetica" w:hAnsi="Helvetica"/>
        </w:rPr>
        <w:t xml:space="preserve"> level</w:t>
      </w:r>
      <w:r w:rsidR="007021DC" w:rsidRPr="00486075">
        <w:rPr>
          <w:rFonts w:ascii="Helvetica" w:hAnsi="Helvetica"/>
        </w:rPr>
        <w:t>,</w:t>
      </w:r>
      <w:r w:rsidR="00E82586" w:rsidRPr="00486075">
        <w:rPr>
          <w:rFonts w:ascii="Helvetica" w:hAnsi="Helvetica"/>
        </w:rPr>
        <w:t xml:space="preserve"> rather than a</w:t>
      </w:r>
      <w:r w:rsidR="007021DC" w:rsidRPr="00486075">
        <w:rPr>
          <w:rFonts w:ascii="Helvetica" w:hAnsi="Helvetica"/>
        </w:rPr>
        <w:t>t a</w:t>
      </w:r>
      <w:r w:rsidR="00E82586" w:rsidRPr="00486075">
        <w:rPr>
          <w:rFonts w:ascii="Helvetica" w:hAnsi="Helvetica"/>
        </w:rPr>
        <w:t xml:space="preserve"> service outlet level </w:t>
      </w:r>
      <w:r w:rsidR="007021DC" w:rsidRPr="00486075">
        <w:rPr>
          <w:rFonts w:ascii="Helvetica" w:hAnsi="Helvetica"/>
        </w:rPr>
        <w:t xml:space="preserve">within a designated </w:t>
      </w:r>
      <w:r w:rsidR="00521D34" w:rsidRPr="00486075">
        <w:rPr>
          <w:rFonts w:ascii="Helvetica" w:hAnsi="Helvetica"/>
        </w:rPr>
        <w:t xml:space="preserve">ACPR. </w:t>
      </w:r>
    </w:p>
    <w:p w14:paraId="5866F4E0" w14:textId="77777777" w:rsidR="00900459" w:rsidRPr="00486075" w:rsidRDefault="007021DC" w:rsidP="00BB6C6D">
      <w:pPr>
        <w:spacing w:after="120"/>
        <w:rPr>
          <w:rFonts w:ascii="Helvetica" w:hAnsi="Helvetica"/>
        </w:rPr>
      </w:pPr>
      <w:r w:rsidRPr="00486075">
        <w:rPr>
          <w:rFonts w:ascii="Helvetica" w:hAnsi="Helvetica"/>
        </w:rPr>
        <w:t xml:space="preserve">Further options to reduce </w:t>
      </w:r>
      <w:r w:rsidR="00364D7D" w:rsidRPr="00486075">
        <w:rPr>
          <w:rFonts w:ascii="Helvetica" w:hAnsi="Helvetica"/>
        </w:rPr>
        <w:t xml:space="preserve">locational </w:t>
      </w:r>
      <w:r w:rsidRPr="00486075">
        <w:rPr>
          <w:rFonts w:ascii="Helvetica" w:hAnsi="Helvetica"/>
        </w:rPr>
        <w:t>controls may</w:t>
      </w:r>
      <w:r w:rsidR="000B6234" w:rsidRPr="00486075">
        <w:rPr>
          <w:rFonts w:ascii="Helvetica" w:hAnsi="Helvetica"/>
        </w:rPr>
        <w:t xml:space="preserve"> </w:t>
      </w:r>
      <w:r w:rsidR="00900459" w:rsidRPr="00486075">
        <w:rPr>
          <w:rFonts w:ascii="Helvetica" w:hAnsi="Helvetica"/>
        </w:rPr>
        <w:t>include:</w:t>
      </w:r>
    </w:p>
    <w:p w14:paraId="00CD15D0" w14:textId="77777777" w:rsidR="00900459" w:rsidRPr="00486075" w:rsidRDefault="00350461" w:rsidP="00216A0E">
      <w:pPr>
        <w:pStyle w:val="ListParagraph"/>
        <w:numPr>
          <w:ilvl w:val="0"/>
          <w:numId w:val="13"/>
        </w:numPr>
        <w:spacing w:after="120"/>
        <w:ind w:left="782" w:hanging="357"/>
        <w:contextualSpacing w:val="0"/>
        <w:rPr>
          <w:rFonts w:ascii="Helvetica" w:hAnsi="Helvetica"/>
        </w:rPr>
      </w:pPr>
      <w:r w:rsidRPr="00486075">
        <w:rPr>
          <w:rFonts w:ascii="Helvetica" w:hAnsi="Helvetica"/>
        </w:rPr>
        <w:t>e</w:t>
      </w:r>
      <w:r w:rsidR="00BC1617" w:rsidRPr="00486075">
        <w:rPr>
          <w:rFonts w:ascii="Helvetica" w:hAnsi="Helvetica"/>
        </w:rPr>
        <w:t>xtend</w:t>
      </w:r>
      <w:r w:rsidR="00C17119" w:rsidRPr="00486075">
        <w:rPr>
          <w:rFonts w:ascii="Helvetica" w:hAnsi="Helvetica"/>
        </w:rPr>
        <w:t>ing</w:t>
      </w:r>
      <w:r w:rsidR="00BC1617" w:rsidRPr="00486075">
        <w:rPr>
          <w:rFonts w:ascii="Helvetica" w:hAnsi="Helvetica"/>
        </w:rPr>
        <w:t xml:space="preserve"> the state and territory level </w:t>
      </w:r>
      <w:r w:rsidR="00AA0C25" w:rsidRPr="00486075">
        <w:rPr>
          <w:rFonts w:ascii="Helvetica" w:hAnsi="Helvetica"/>
        </w:rPr>
        <w:t xml:space="preserve">approach </w:t>
      </w:r>
      <w:r w:rsidR="00BC1617" w:rsidRPr="00486075">
        <w:rPr>
          <w:rFonts w:ascii="Helvetica" w:hAnsi="Helvetica"/>
        </w:rPr>
        <w:t xml:space="preserve">to </w:t>
      </w:r>
      <w:r w:rsidR="007021DC" w:rsidRPr="00486075">
        <w:rPr>
          <w:rFonts w:ascii="Helvetica" w:hAnsi="Helvetica"/>
        </w:rPr>
        <w:t xml:space="preserve">all </w:t>
      </w:r>
      <w:r w:rsidR="00EC31A0" w:rsidRPr="00486075">
        <w:rPr>
          <w:rFonts w:ascii="Helvetica" w:hAnsi="Helvetica"/>
        </w:rPr>
        <w:t>residential a</w:t>
      </w:r>
      <w:r w:rsidR="00BC1617" w:rsidRPr="00486075">
        <w:rPr>
          <w:rFonts w:ascii="Helvetica" w:hAnsi="Helvetica"/>
        </w:rPr>
        <w:t>ged care places</w:t>
      </w:r>
      <w:r w:rsidR="007021DC" w:rsidRPr="00486075">
        <w:rPr>
          <w:rFonts w:ascii="Helvetica" w:hAnsi="Helvetica"/>
        </w:rPr>
        <w:t>, regardless of when they were allocated</w:t>
      </w:r>
      <w:r w:rsidR="00C17119" w:rsidRPr="00486075">
        <w:rPr>
          <w:rFonts w:ascii="Helvetica" w:hAnsi="Helvetica"/>
        </w:rPr>
        <w:t>; and</w:t>
      </w:r>
      <w:r w:rsidR="00BC1617" w:rsidRPr="00486075">
        <w:rPr>
          <w:rFonts w:ascii="Helvetica" w:hAnsi="Helvetica"/>
        </w:rPr>
        <w:t xml:space="preserve"> </w:t>
      </w:r>
    </w:p>
    <w:p w14:paraId="56CA7745" w14:textId="77777777" w:rsidR="00900459" w:rsidRPr="00486075" w:rsidRDefault="00350461" w:rsidP="00216A0E">
      <w:pPr>
        <w:pStyle w:val="ListParagraph"/>
        <w:numPr>
          <w:ilvl w:val="0"/>
          <w:numId w:val="13"/>
        </w:numPr>
        <w:spacing w:after="120"/>
        <w:ind w:left="782" w:hanging="357"/>
        <w:contextualSpacing w:val="0"/>
        <w:rPr>
          <w:rFonts w:ascii="Helvetica" w:hAnsi="Helvetica"/>
        </w:rPr>
      </w:pPr>
      <w:r w:rsidRPr="00486075">
        <w:rPr>
          <w:rFonts w:ascii="Helvetica" w:hAnsi="Helvetica"/>
        </w:rPr>
        <w:t>a</w:t>
      </w:r>
      <w:r w:rsidR="00900459" w:rsidRPr="00486075">
        <w:rPr>
          <w:rFonts w:ascii="Helvetica" w:hAnsi="Helvetica"/>
        </w:rPr>
        <w:t>llow</w:t>
      </w:r>
      <w:r w:rsidR="00C17119" w:rsidRPr="00486075">
        <w:rPr>
          <w:rFonts w:ascii="Helvetica" w:hAnsi="Helvetica"/>
        </w:rPr>
        <w:t>ing</w:t>
      </w:r>
      <w:r w:rsidR="00403D3B" w:rsidRPr="00486075">
        <w:rPr>
          <w:rFonts w:ascii="Helvetica" w:hAnsi="Helvetica"/>
        </w:rPr>
        <w:t xml:space="preserve"> </w:t>
      </w:r>
      <w:r w:rsidR="000A1A3E" w:rsidRPr="00486075">
        <w:rPr>
          <w:rFonts w:ascii="Helvetica" w:hAnsi="Helvetica"/>
        </w:rPr>
        <w:t xml:space="preserve">the </w:t>
      </w:r>
      <w:r w:rsidR="003A48C2" w:rsidRPr="00486075">
        <w:rPr>
          <w:rFonts w:ascii="Helvetica" w:hAnsi="Helvetica"/>
        </w:rPr>
        <w:t>transfer</w:t>
      </w:r>
      <w:r w:rsidR="00B12ADB" w:rsidRPr="00486075">
        <w:rPr>
          <w:rFonts w:ascii="Helvetica" w:hAnsi="Helvetica"/>
        </w:rPr>
        <w:t xml:space="preserve"> of</w:t>
      </w:r>
      <w:r w:rsidR="00B143AF" w:rsidRPr="00486075">
        <w:rPr>
          <w:rFonts w:ascii="Helvetica" w:hAnsi="Helvetica"/>
        </w:rPr>
        <w:t xml:space="preserve"> </w:t>
      </w:r>
      <w:r w:rsidR="00B12ADB" w:rsidRPr="00486075">
        <w:rPr>
          <w:rFonts w:ascii="Helvetica" w:hAnsi="Helvetica"/>
        </w:rPr>
        <w:t>residential aged care places</w:t>
      </w:r>
      <w:r w:rsidR="00364D7D" w:rsidRPr="00486075">
        <w:rPr>
          <w:rFonts w:ascii="Helvetica" w:hAnsi="Helvetica"/>
        </w:rPr>
        <w:t xml:space="preserve"> between providers</w:t>
      </w:r>
      <w:r w:rsidR="00B12ADB" w:rsidRPr="00486075">
        <w:rPr>
          <w:rFonts w:ascii="Helvetica" w:hAnsi="Helvetica"/>
        </w:rPr>
        <w:t xml:space="preserve"> </w:t>
      </w:r>
      <w:r w:rsidR="00403D3B" w:rsidRPr="00486075">
        <w:rPr>
          <w:rFonts w:ascii="Helvetica" w:hAnsi="Helvetica"/>
        </w:rPr>
        <w:t xml:space="preserve">to occur at a </w:t>
      </w:r>
      <w:r w:rsidR="00B143AF" w:rsidRPr="00486075">
        <w:rPr>
          <w:rFonts w:ascii="Helvetica" w:hAnsi="Helvetica"/>
        </w:rPr>
        <w:t>state and territory</w:t>
      </w:r>
      <w:r w:rsidR="00403D3B" w:rsidRPr="00486075">
        <w:rPr>
          <w:rFonts w:ascii="Helvetica" w:hAnsi="Helvetica"/>
        </w:rPr>
        <w:t xml:space="preserve"> leve</w:t>
      </w:r>
      <w:r w:rsidR="00B143AF" w:rsidRPr="00486075">
        <w:rPr>
          <w:rFonts w:ascii="Helvetica" w:hAnsi="Helvetica"/>
        </w:rPr>
        <w:t>l, regardless of when they were allocated</w:t>
      </w:r>
      <w:r w:rsidR="00403D3B" w:rsidRPr="00486075">
        <w:rPr>
          <w:rFonts w:ascii="Helvetica" w:hAnsi="Helvetica"/>
        </w:rPr>
        <w:t>.</w:t>
      </w:r>
    </w:p>
    <w:p w14:paraId="304E8070" w14:textId="77777777" w:rsidR="001E5552" w:rsidRPr="00486075" w:rsidRDefault="00BE12A4" w:rsidP="00B27670">
      <w:pPr>
        <w:spacing w:after="240"/>
        <w:rPr>
          <w:rFonts w:ascii="Helvetica" w:hAnsi="Helvetica"/>
        </w:rPr>
      </w:pPr>
      <w:r w:rsidRPr="00486075">
        <w:rPr>
          <w:rFonts w:ascii="Helvetica" w:hAnsi="Helvetica"/>
        </w:rPr>
        <w:t>An element of locational</w:t>
      </w:r>
      <w:r w:rsidR="003601B9" w:rsidRPr="00486075">
        <w:rPr>
          <w:rFonts w:ascii="Helvetica" w:hAnsi="Helvetica"/>
        </w:rPr>
        <w:t xml:space="preserve"> targeting or</w:t>
      </w:r>
      <w:r w:rsidRPr="00486075">
        <w:rPr>
          <w:rFonts w:ascii="Helvetica" w:hAnsi="Helvetica"/>
        </w:rPr>
        <w:t xml:space="preserve"> control </w:t>
      </w:r>
      <w:r w:rsidR="001E5552" w:rsidRPr="00486075">
        <w:rPr>
          <w:rFonts w:ascii="Helvetica" w:hAnsi="Helvetica"/>
        </w:rPr>
        <w:t>c</w:t>
      </w:r>
      <w:r w:rsidR="008927B1" w:rsidRPr="00486075">
        <w:rPr>
          <w:rFonts w:ascii="Helvetica" w:hAnsi="Helvetica"/>
        </w:rPr>
        <w:t>ould</w:t>
      </w:r>
      <w:r w:rsidR="00403D3B" w:rsidRPr="00486075">
        <w:rPr>
          <w:rFonts w:ascii="Helvetica" w:hAnsi="Helvetica"/>
        </w:rPr>
        <w:t xml:space="preserve"> be</w:t>
      </w:r>
      <w:r w:rsidRPr="00486075">
        <w:rPr>
          <w:rFonts w:ascii="Helvetica" w:hAnsi="Helvetica"/>
        </w:rPr>
        <w:t xml:space="preserve"> </w:t>
      </w:r>
      <w:r w:rsidR="00403D3B" w:rsidRPr="00486075">
        <w:rPr>
          <w:rFonts w:ascii="Helvetica" w:hAnsi="Helvetica"/>
        </w:rPr>
        <w:t>enacted as required</w:t>
      </w:r>
      <w:r w:rsidRPr="00486075">
        <w:rPr>
          <w:rFonts w:ascii="Helvetica" w:hAnsi="Helvetica"/>
        </w:rPr>
        <w:t xml:space="preserve"> to </w:t>
      </w:r>
      <w:r w:rsidR="001E5552" w:rsidRPr="00486075">
        <w:rPr>
          <w:rFonts w:ascii="Helvetica" w:hAnsi="Helvetica"/>
        </w:rPr>
        <w:t xml:space="preserve">encourage </w:t>
      </w:r>
      <w:r w:rsidR="00403D3B" w:rsidRPr="00486075">
        <w:rPr>
          <w:rFonts w:ascii="Helvetica" w:hAnsi="Helvetica"/>
        </w:rPr>
        <w:t>services to invest</w:t>
      </w:r>
      <w:r w:rsidRPr="00486075">
        <w:rPr>
          <w:rFonts w:ascii="Helvetica" w:hAnsi="Helvetica"/>
        </w:rPr>
        <w:t xml:space="preserve"> in thin markets or </w:t>
      </w:r>
      <w:r w:rsidR="001E5552" w:rsidRPr="00486075">
        <w:rPr>
          <w:rFonts w:ascii="Helvetica" w:hAnsi="Helvetica"/>
        </w:rPr>
        <w:t xml:space="preserve">in </w:t>
      </w:r>
      <w:r w:rsidRPr="00486075">
        <w:rPr>
          <w:rFonts w:ascii="Helvetica" w:hAnsi="Helvetica"/>
        </w:rPr>
        <w:t xml:space="preserve">ACPRs that are significantly </w:t>
      </w:r>
      <w:r w:rsidR="00825705" w:rsidRPr="00486075">
        <w:rPr>
          <w:rFonts w:ascii="Helvetica" w:hAnsi="Helvetica"/>
        </w:rPr>
        <w:t xml:space="preserve">below </w:t>
      </w:r>
      <w:r w:rsidRPr="00486075">
        <w:rPr>
          <w:rFonts w:ascii="Helvetica" w:hAnsi="Helvetica"/>
        </w:rPr>
        <w:t xml:space="preserve">the aged care provision ratio. </w:t>
      </w:r>
    </w:p>
    <w:p w14:paraId="4EA21CFB" w14:textId="3E975875" w:rsidR="00BE12A4" w:rsidRPr="00486075" w:rsidRDefault="00CE4104" w:rsidP="001B6A24">
      <w:pPr>
        <w:pStyle w:val="Heading3"/>
      </w:pPr>
      <w:bookmarkStart w:id="54" w:name="_Toc31293678"/>
      <w:r w:rsidRPr="00486075">
        <w:t>Reduce the number of non-operational residential aged care places</w:t>
      </w:r>
      <w:bookmarkEnd w:id="54"/>
    </w:p>
    <w:p w14:paraId="3C3EB049" w14:textId="77777777" w:rsidR="00BE12A4" w:rsidRPr="00486075" w:rsidRDefault="00825705" w:rsidP="00FE4808">
      <w:pPr>
        <w:spacing w:after="120"/>
        <w:rPr>
          <w:rFonts w:ascii="Helvetica" w:hAnsi="Helvetica"/>
        </w:rPr>
      </w:pPr>
      <w:r w:rsidRPr="00486075">
        <w:rPr>
          <w:rFonts w:ascii="Helvetica" w:hAnsi="Helvetica"/>
        </w:rPr>
        <w:t>Changes</w:t>
      </w:r>
      <w:r w:rsidR="00B164F8" w:rsidRPr="00486075">
        <w:rPr>
          <w:rFonts w:ascii="Helvetica" w:hAnsi="Helvetica"/>
        </w:rPr>
        <w:t xml:space="preserve"> </w:t>
      </w:r>
      <w:r w:rsidRPr="00486075">
        <w:rPr>
          <w:rFonts w:ascii="Helvetica" w:hAnsi="Helvetica"/>
        </w:rPr>
        <w:t>could be</w:t>
      </w:r>
      <w:r w:rsidR="00B164F8" w:rsidRPr="00486075">
        <w:rPr>
          <w:rFonts w:ascii="Helvetica" w:hAnsi="Helvetica"/>
        </w:rPr>
        <w:t xml:space="preserve"> made to </w:t>
      </w:r>
      <w:r w:rsidR="000A1A3E" w:rsidRPr="00486075">
        <w:rPr>
          <w:rFonts w:ascii="Helvetica" w:hAnsi="Helvetica"/>
        </w:rPr>
        <w:t xml:space="preserve">require and/or </w:t>
      </w:r>
      <w:r w:rsidR="00B164F8" w:rsidRPr="00486075">
        <w:rPr>
          <w:rFonts w:ascii="Helvetica" w:hAnsi="Helvetica"/>
        </w:rPr>
        <w:t xml:space="preserve">encourage providers to make allocated </w:t>
      </w:r>
      <w:r w:rsidR="007452FF" w:rsidRPr="00486075">
        <w:rPr>
          <w:rFonts w:ascii="Helvetica" w:hAnsi="Helvetica"/>
        </w:rPr>
        <w:t xml:space="preserve">residential aged care </w:t>
      </w:r>
      <w:r w:rsidR="00B164F8" w:rsidRPr="00486075">
        <w:rPr>
          <w:rFonts w:ascii="Helvetica" w:hAnsi="Helvetica"/>
        </w:rPr>
        <w:t>places available to consumers</w:t>
      </w:r>
      <w:r w:rsidR="00B45447" w:rsidRPr="00486075">
        <w:rPr>
          <w:rFonts w:ascii="Helvetica" w:hAnsi="Helvetica"/>
        </w:rPr>
        <w:t xml:space="preserve"> </w:t>
      </w:r>
      <w:r w:rsidR="00B164F8" w:rsidRPr="00486075">
        <w:rPr>
          <w:rFonts w:ascii="Helvetica" w:hAnsi="Helvetica"/>
        </w:rPr>
        <w:t>more quickly</w:t>
      </w:r>
      <w:r w:rsidR="00403D3B" w:rsidRPr="00486075">
        <w:rPr>
          <w:rFonts w:ascii="Helvetica" w:hAnsi="Helvetica"/>
        </w:rPr>
        <w:t>, such as:</w:t>
      </w:r>
    </w:p>
    <w:p w14:paraId="4BFDB7F6" w14:textId="77777777" w:rsidR="00B74DC6" w:rsidRPr="00486075" w:rsidRDefault="0072629A" w:rsidP="00216A0E">
      <w:pPr>
        <w:pStyle w:val="ListParagraph"/>
        <w:numPr>
          <w:ilvl w:val="0"/>
          <w:numId w:val="14"/>
        </w:numPr>
        <w:spacing w:after="120"/>
        <w:ind w:left="714" w:hanging="357"/>
        <w:contextualSpacing w:val="0"/>
        <w:rPr>
          <w:rFonts w:ascii="Helvetica" w:eastAsiaTheme="majorEastAsia" w:hAnsi="Helvetica" w:cstheme="majorBidi"/>
          <w:i/>
          <w:color w:val="1F3763" w:themeColor="accent1" w:themeShade="7F"/>
        </w:rPr>
      </w:pPr>
      <w:r w:rsidRPr="00486075">
        <w:rPr>
          <w:rFonts w:ascii="Helvetica" w:hAnsi="Helvetica"/>
        </w:rPr>
        <w:t>s</w:t>
      </w:r>
      <w:r w:rsidR="00C523F7" w:rsidRPr="00486075">
        <w:rPr>
          <w:rFonts w:ascii="Helvetica" w:hAnsi="Helvetica"/>
        </w:rPr>
        <w:t xml:space="preserve">trengthening </w:t>
      </w:r>
      <w:r w:rsidR="00403D3B" w:rsidRPr="00486075">
        <w:rPr>
          <w:rFonts w:ascii="Helvetica" w:hAnsi="Helvetica"/>
        </w:rPr>
        <w:t xml:space="preserve">the </w:t>
      </w:r>
      <w:r w:rsidR="00C523F7" w:rsidRPr="00486075">
        <w:rPr>
          <w:rFonts w:ascii="Helvetica" w:hAnsi="Helvetica"/>
        </w:rPr>
        <w:t xml:space="preserve">monitoring of offline places </w:t>
      </w:r>
      <w:r w:rsidR="00600D13" w:rsidRPr="00486075">
        <w:rPr>
          <w:rFonts w:ascii="Helvetica" w:hAnsi="Helvetica"/>
        </w:rPr>
        <w:t>and r</w:t>
      </w:r>
      <w:r w:rsidR="00C523F7" w:rsidRPr="00486075">
        <w:rPr>
          <w:rFonts w:ascii="Helvetica" w:hAnsi="Helvetica"/>
        </w:rPr>
        <w:t>equire providers to bring their offline places back online within a required timeframe</w:t>
      </w:r>
      <w:r w:rsidR="00600D13" w:rsidRPr="00486075">
        <w:rPr>
          <w:rFonts w:ascii="Helvetica" w:hAnsi="Helvetica"/>
        </w:rPr>
        <w:t>. The</w:t>
      </w:r>
      <w:r w:rsidR="00C523F7" w:rsidRPr="00486075">
        <w:rPr>
          <w:rFonts w:ascii="Helvetica" w:hAnsi="Helvetica"/>
        </w:rPr>
        <w:t xml:space="preserve"> department</w:t>
      </w:r>
      <w:r w:rsidR="00600D13" w:rsidRPr="00486075">
        <w:rPr>
          <w:rFonts w:ascii="Helvetica" w:hAnsi="Helvetica"/>
        </w:rPr>
        <w:t xml:space="preserve"> could</w:t>
      </w:r>
      <w:r w:rsidR="00C523F7" w:rsidRPr="00486075">
        <w:rPr>
          <w:rFonts w:ascii="Helvetica" w:hAnsi="Helvetica"/>
        </w:rPr>
        <w:t xml:space="preserve"> reclaim</w:t>
      </w:r>
      <w:r w:rsidR="00ED1E4E" w:rsidRPr="00486075">
        <w:rPr>
          <w:rFonts w:ascii="Helvetica" w:hAnsi="Helvetica"/>
        </w:rPr>
        <w:t xml:space="preserve"> and reallocate</w:t>
      </w:r>
      <w:r w:rsidR="00C523F7" w:rsidRPr="00486075">
        <w:rPr>
          <w:rFonts w:ascii="Helvetica" w:hAnsi="Helvetica"/>
        </w:rPr>
        <w:t xml:space="preserve"> these places where providers have not complied with these requirements</w:t>
      </w:r>
      <w:r w:rsidR="00897D63" w:rsidRPr="00486075">
        <w:rPr>
          <w:rFonts w:ascii="Helvetica" w:hAnsi="Helvetica"/>
        </w:rPr>
        <w:t>.</w:t>
      </w:r>
      <w:r w:rsidR="001E5552" w:rsidRPr="00486075">
        <w:rPr>
          <w:rFonts w:ascii="Helvetica" w:hAnsi="Helvetica"/>
        </w:rPr>
        <w:t xml:space="preserve"> </w:t>
      </w:r>
      <w:r w:rsidR="00600D13" w:rsidRPr="00486075">
        <w:rPr>
          <w:rFonts w:ascii="Helvetica" w:hAnsi="Helvetica"/>
        </w:rPr>
        <w:t xml:space="preserve"> </w:t>
      </w:r>
    </w:p>
    <w:p w14:paraId="5F87313B" w14:textId="7C927539" w:rsidR="00600D13" w:rsidRPr="00486075" w:rsidRDefault="00EB65D3" w:rsidP="001B6A24">
      <w:pPr>
        <w:pStyle w:val="Heading3"/>
      </w:pPr>
      <w:bookmarkStart w:id="55" w:name="_Toc31293679"/>
      <w:r w:rsidRPr="00486075">
        <w:t xml:space="preserve">Improve </w:t>
      </w:r>
      <w:r w:rsidR="00C414DA" w:rsidRPr="00486075">
        <w:t>the</w:t>
      </w:r>
      <w:r w:rsidR="00B23976" w:rsidRPr="00486075">
        <w:t xml:space="preserve"> administration of </w:t>
      </w:r>
      <w:r w:rsidRPr="00486075">
        <w:t>ACAR and places management processes</w:t>
      </w:r>
      <w:bookmarkEnd w:id="55"/>
    </w:p>
    <w:p w14:paraId="60788E9B" w14:textId="77777777" w:rsidR="00600D13" w:rsidRPr="00486075" w:rsidRDefault="00403D3B" w:rsidP="00FE4808">
      <w:pPr>
        <w:spacing w:after="120"/>
        <w:rPr>
          <w:rFonts w:ascii="Helvetica" w:hAnsi="Helvetica"/>
        </w:rPr>
      </w:pPr>
      <w:r w:rsidRPr="00486075">
        <w:rPr>
          <w:rFonts w:ascii="Helvetica" w:hAnsi="Helvetica"/>
        </w:rPr>
        <w:t>I</w:t>
      </w:r>
      <w:r w:rsidR="00600D13" w:rsidRPr="00486075">
        <w:rPr>
          <w:rFonts w:ascii="Helvetica" w:hAnsi="Helvetica"/>
        </w:rPr>
        <w:t xml:space="preserve">mprovements </w:t>
      </w:r>
      <w:r w:rsidR="001A405A" w:rsidRPr="00486075">
        <w:rPr>
          <w:rFonts w:ascii="Helvetica" w:hAnsi="Helvetica"/>
        </w:rPr>
        <w:t xml:space="preserve">to the </w:t>
      </w:r>
      <w:r w:rsidR="00B23976" w:rsidRPr="00486075">
        <w:rPr>
          <w:rFonts w:ascii="Helvetica" w:hAnsi="Helvetica"/>
        </w:rPr>
        <w:t xml:space="preserve">administration of </w:t>
      </w:r>
      <w:r w:rsidR="001A405A" w:rsidRPr="00486075">
        <w:rPr>
          <w:rFonts w:ascii="Helvetica" w:hAnsi="Helvetica"/>
        </w:rPr>
        <w:t xml:space="preserve">ACAR and places management process </w:t>
      </w:r>
      <w:r w:rsidR="00600D13" w:rsidRPr="00486075">
        <w:rPr>
          <w:rFonts w:ascii="Helvetica" w:hAnsi="Helvetica"/>
        </w:rPr>
        <w:t xml:space="preserve">could </w:t>
      </w:r>
      <w:r w:rsidR="00B164F8" w:rsidRPr="00486075">
        <w:rPr>
          <w:rFonts w:ascii="Helvetica" w:hAnsi="Helvetica"/>
        </w:rPr>
        <w:t xml:space="preserve">also </w:t>
      </w:r>
      <w:r w:rsidR="00600D13" w:rsidRPr="00486075">
        <w:rPr>
          <w:rFonts w:ascii="Helvetica" w:hAnsi="Helvetica"/>
        </w:rPr>
        <w:t xml:space="preserve">be </w:t>
      </w:r>
      <w:r w:rsidR="001A405A" w:rsidRPr="00486075">
        <w:rPr>
          <w:rFonts w:ascii="Helvetica" w:hAnsi="Helvetica"/>
        </w:rPr>
        <w:t>considered</w:t>
      </w:r>
      <w:r w:rsidR="00350461" w:rsidRPr="00486075">
        <w:rPr>
          <w:rFonts w:ascii="Helvetica" w:hAnsi="Helvetica"/>
        </w:rPr>
        <w:t>,</w:t>
      </w:r>
      <w:r w:rsidRPr="00486075">
        <w:rPr>
          <w:rFonts w:ascii="Helvetica" w:hAnsi="Helvetica"/>
        </w:rPr>
        <w:t xml:space="preserve"> such as:</w:t>
      </w:r>
      <w:r w:rsidR="001A405A" w:rsidRPr="00486075">
        <w:rPr>
          <w:rFonts w:ascii="Helvetica" w:hAnsi="Helvetica"/>
        </w:rPr>
        <w:t xml:space="preserve"> </w:t>
      </w:r>
    </w:p>
    <w:p w14:paraId="0C03B8E9" w14:textId="77777777" w:rsidR="003A48C2" w:rsidRPr="00DA1637" w:rsidRDefault="0072629A" w:rsidP="00B74DC6">
      <w:pPr>
        <w:pStyle w:val="ListParagraph"/>
        <w:numPr>
          <w:ilvl w:val="0"/>
          <w:numId w:val="9"/>
        </w:numPr>
        <w:spacing w:after="120"/>
        <w:ind w:left="771" w:hanging="357"/>
        <w:contextualSpacing w:val="0"/>
        <w:rPr>
          <w:rFonts w:ascii="Helvetica" w:hAnsi="Helvetica"/>
        </w:rPr>
      </w:pPr>
      <w:r w:rsidRPr="00486075">
        <w:rPr>
          <w:rFonts w:ascii="Helvetica" w:hAnsi="Helvetica"/>
        </w:rPr>
        <w:t>i</w:t>
      </w:r>
      <w:r w:rsidR="001A405A" w:rsidRPr="00486075">
        <w:rPr>
          <w:rFonts w:ascii="Helvetica" w:hAnsi="Helvetica"/>
        </w:rPr>
        <w:t>ntroducing the a</w:t>
      </w:r>
      <w:r w:rsidR="0010770E" w:rsidRPr="00486075">
        <w:rPr>
          <w:rFonts w:ascii="Helvetica" w:hAnsi="Helvetica"/>
        </w:rPr>
        <w:t>bility</w:t>
      </w:r>
      <w:r w:rsidR="001A405A" w:rsidRPr="00486075">
        <w:rPr>
          <w:rFonts w:ascii="Helvetica" w:hAnsi="Helvetica"/>
        </w:rPr>
        <w:t xml:space="preserve"> for providers</w:t>
      </w:r>
      <w:r w:rsidR="0010770E" w:rsidRPr="00486075">
        <w:rPr>
          <w:rFonts w:ascii="Helvetica" w:hAnsi="Helvetica"/>
        </w:rPr>
        <w:t xml:space="preserve"> to </w:t>
      </w:r>
      <w:r w:rsidR="001A405A" w:rsidRPr="00486075">
        <w:rPr>
          <w:rFonts w:ascii="Helvetica" w:hAnsi="Helvetica"/>
        </w:rPr>
        <w:t>‘top up’ residential aged care places</w:t>
      </w:r>
      <w:r w:rsidR="0010770E" w:rsidRPr="00486075">
        <w:rPr>
          <w:rFonts w:ascii="Helvetica" w:hAnsi="Helvetica"/>
        </w:rPr>
        <w:t xml:space="preserve"> to </w:t>
      </w:r>
      <w:r w:rsidR="0010770E" w:rsidRPr="00DA1637">
        <w:rPr>
          <w:rFonts w:ascii="Helvetica" w:hAnsi="Helvetica"/>
        </w:rPr>
        <w:t xml:space="preserve">address </w:t>
      </w:r>
      <w:r w:rsidR="001A405A" w:rsidRPr="00DA1637">
        <w:rPr>
          <w:rFonts w:ascii="Helvetica" w:hAnsi="Helvetica"/>
        </w:rPr>
        <w:t xml:space="preserve">consumer </w:t>
      </w:r>
      <w:r w:rsidR="0010770E" w:rsidRPr="00DA1637">
        <w:rPr>
          <w:rFonts w:ascii="Helvetica" w:hAnsi="Helvetica"/>
        </w:rPr>
        <w:t xml:space="preserve">demand, outside of </w:t>
      </w:r>
      <w:r w:rsidR="001A405A" w:rsidRPr="00DA1637">
        <w:rPr>
          <w:rFonts w:ascii="Helvetica" w:hAnsi="Helvetica"/>
        </w:rPr>
        <w:t>the</w:t>
      </w:r>
      <w:r w:rsidR="0010770E" w:rsidRPr="00DA1637">
        <w:rPr>
          <w:rFonts w:ascii="Helvetica" w:hAnsi="Helvetica"/>
        </w:rPr>
        <w:t xml:space="preserve"> ACAR</w:t>
      </w:r>
      <w:r w:rsidR="00C835FD" w:rsidRPr="00DA1637">
        <w:rPr>
          <w:rFonts w:ascii="Helvetica" w:hAnsi="Helvetica"/>
        </w:rPr>
        <w:t xml:space="preserve">; </w:t>
      </w:r>
    </w:p>
    <w:p w14:paraId="05D98C01" w14:textId="77777777" w:rsidR="00053297" w:rsidRPr="00486075" w:rsidRDefault="0072629A" w:rsidP="00B74DC6">
      <w:pPr>
        <w:pStyle w:val="ListParagraph"/>
        <w:numPr>
          <w:ilvl w:val="0"/>
          <w:numId w:val="9"/>
        </w:numPr>
        <w:spacing w:after="120"/>
        <w:ind w:left="771" w:hanging="357"/>
        <w:contextualSpacing w:val="0"/>
        <w:rPr>
          <w:rFonts w:ascii="Helvetica" w:hAnsi="Helvetica"/>
        </w:rPr>
      </w:pPr>
      <w:r w:rsidRPr="00DA1637">
        <w:rPr>
          <w:rFonts w:ascii="Helvetica" w:hAnsi="Helvetica"/>
        </w:rPr>
        <w:t>s</w:t>
      </w:r>
      <w:r w:rsidR="007918DC" w:rsidRPr="00DA1637">
        <w:rPr>
          <w:rFonts w:ascii="Helvetica" w:hAnsi="Helvetica"/>
        </w:rPr>
        <w:t xml:space="preserve">implifying the </w:t>
      </w:r>
      <w:r w:rsidR="00F621FF" w:rsidRPr="00DA1637">
        <w:rPr>
          <w:rFonts w:ascii="Helvetica" w:hAnsi="Helvetica"/>
        </w:rPr>
        <w:t xml:space="preserve">administrative </w:t>
      </w:r>
      <w:r w:rsidR="007918DC" w:rsidRPr="00DA1637">
        <w:rPr>
          <w:rFonts w:ascii="Helvetica" w:hAnsi="Helvetica"/>
        </w:rPr>
        <w:t>process for p</w:t>
      </w:r>
      <w:r w:rsidR="00F621FF" w:rsidRPr="00DA1637">
        <w:rPr>
          <w:rFonts w:ascii="Helvetica" w:hAnsi="Helvetica"/>
        </w:rPr>
        <w:t xml:space="preserve">roviders to use a residential aged care place to deliver </w:t>
      </w:r>
      <w:r w:rsidR="007918DC" w:rsidRPr="00DA1637">
        <w:rPr>
          <w:rFonts w:ascii="Helvetica" w:hAnsi="Helvetica"/>
        </w:rPr>
        <w:t>residential respite</w:t>
      </w:r>
      <w:r w:rsidR="00F621FF" w:rsidRPr="00DA1637">
        <w:rPr>
          <w:rFonts w:ascii="Helvetica" w:hAnsi="Helvetica"/>
        </w:rPr>
        <w:t xml:space="preserve"> </w:t>
      </w:r>
      <w:r w:rsidR="00C565E3" w:rsidRPr="00DA1637">
        <w:rPr>
          <w:rFonts w:ascii="Helvetica" w:hAnsi="Helvetica"/>
        </w:rPr>
        <w:t>care</w:t>
      </w:r>
      <w:r w:rsidR="004C213F" w:rsidRPr="00DA1637">
        <w:rPr>
          <w:rFonts w:ascii="Helvetica" w:hAnsi="Helvetica"/>
        </w:rPr>
        <w:t>, including</w:t>
      </w:r>
      <w:r w:rsidR="004C213F" w:rsidRPr="00486075">
        <w:rPr>
          <w:rFonts w:ascii="Helvetica" w:hAnsi="Helvetica"/>
        </w:rPr>
        <w:t xml:space="preserve"> requirements</w:t>
      </w:r>
      <w:r w:rsidR="00B421CF" w:rsidRPr="00486075">
        <w:rPr>
          <w:rFonts w:ascii="Helvetica" w:hAnsi="Helvetica"/>
        </w:rPr>
        <w:t xml:space="preserve"> relating to</w:t>
      </w:r>
      <w:r w:rsidR="00E37164" w:rsidRPr="00486075">
        <w:rPr>
          <w:rFonts w:ascii="Helvetica" w:hAnsi="Helvetica"/>
        </w:rPr>
        <w:t xml:space="preserve"> managing a residential respite allocation </w:t>
      </w:r>
      <w:r w:rsidR="00B421CF" w:rsidRPr="00486075">
        <w:rPr>
          <w:rFonts w:ascii="Helvetica" w:hAnsi="Helvetica"/>
        </w:rPr>
        <w:t>and</w:t>
      </w:r>
      <w:r w:rsidR="00E37164" w:rsidRPr="00486075">
        <w:rPr>
          <w:rFonts w:ascii="Helvetica" w:hAnsi="Helvetica"/>
        </w:rPr>
        <w:t xml:space="preserve"> the incentive supplement</w:t>
      </w:r>
      <w:r w:rsidR="00B43D94" w:rsidRPr="00486075">
        <w:rPr>
          <w:rStyle w:val="FootnoteReference"/>
          <w:rFonts w:ascii="Helvetica" w:hAnsi="Helvetica"/>
        </w:rPr>
        <w:footnoteReference w:id="27"/>
      </w:r>
      <w:r w:rsidR="00C835FD" w:rsidRPr="00486075">
        <w:rPr>
          <w:rFonts w:ascii="Helvetica" w:hAnsi="Helvetica"/>
        </w:rPr>
        <w:t>;</w:t>
      </w:r>
    </w:p>
    <w:p w14:paraId="05DCAF2D" w14:textId="56836CBF" w:rsidR="00842FC1" w:rsidRPr="00486075" w:rsidRDefault="0072629A" w:rsidP="005A4E81">
      <w:pPr>
        <w:pStyle w:val="ListParagraph"/>
        <w:numPr>
          <w:ilvl w:val="0"/>
          <w:numId w:val="9"/>
        </w:numPr>
        <w:spacing w:after="120"/>
        <w:ind w:left="771" w:hanging="357"/>
        <w:contextualSpacing w:val="0"/>
        <w:rPr>
          <w:rFonts w:ascii="Helvetica" w:hAnsi="Helvetica"/>
        </w:rPr>
      </w:pPr>
      <w:r w:rsidRPr="00486075">
        <w:rPr>
          <w:rFonts w:ascii="Helvetica" w:hAnsi="Helvetica"/>
        </w:rPr>
        <w:lastRenderedPageBreak/>
        <w:t>f</w:t>
      </w:r>
      <w:r w:rsidR="006E0F3E" w:rsidRPr="00486075">
        <w:rPr>
          <w:rFonts w:ascii="Helvetica" w:hAnsi="Helvetica"/>
        </w:rPr>
        <w:t xml:space="preserve">urther </w:t>
      </w:r>
      <w:r w:rsidR="00C414DA" w:rsidRPr="00486075">
        <w:rPr>
          <w:rFonts w:ascii="Helvetica" w:hAnsi="Helvetica"/>
        </w:rPr>
        <w:t>streamlining</w:t>
      </w:r>
      <w:r w:rsidR="00A563DC" w:rsidRPr="00486075">
        <w:rPr>
          <w:rFonts w:ascii="Helvetica" w:hAnsi="Helvetica"/>
        </w:rPr>
        <w:t xml:space="preserve"> the ACAR application process</w:t>
      </w:r>
      <w:r w:rsidR="00C414DA" w:rsidRPr="00486075">
        <w:rPr>
          <w:rFonts w:ascii="Helvetica" w:hAnsi="Helvetica"/>
        </w:rPr>
        <w:t xml:space="preserve"> by </w:t>
      </w:r>
      <w:r w:rsidR="0085710D" w:rsidRPr="00486075">
        <w:rPr>
          <w:rFonts w:ascii="Helvetica" w:hAnsi="Helvetica"/>
        </w:rPr>
        <w:t>exploring opportunities to improve data/information linkages with other processes or systems</w:t>
      </w:r>
      <w:r w:rsidR="00C835FD" w:rsidRPr="00486075">
        <w:rPr>
          <w:rFonts w:ascii="Helvetica" w:hAnsi="Helvetica"/>
        </w:rPr>
        <w:t>; and</w:t>
      </w:r>
    </w:p>
    <w:p w14:paraId="7E38F649" w14:textId="11BEBD87" w:rsidR="00F26085" w:rsidRPr="00486075" w:rsidRDefault="009726F4" w:rsidP="00F26085">
      <w:pPr>
        <w:pStyle w:val="ListParagraph"/>
        <w:numPr>
          <w:ilvl w:val="0"/>
          <w:numId w:val="9"/>
        </w:numPr>
        <w:spacing w:after="120"/>
        <w:ind w:left="771" w:hanging="357"/>
        <w:contextualSpacing w:val="0"/>
        <w:rPr>
          <w:rFonts w:ascii="Helvetica" w:hAnsi="Helvetica"/>
        </w:rPr>
      </w:pPr>
      <w:r w:rsidRPr="00486075">
        <w:rPr>
          <w:rFonts w:ascii="Helvetica" w:hAnsi="Helvetica"/>
        </w:rPr>
        <w:t>enhanced transparency in processes relating to the ACAR</w:t>
      </w:r>
      <w:r w:rsidR="00842FC1" w:rsidRPr="00486075">
        <w:rPr>
          <w:rFonts w:ascii="Helvetica" w:hAnsi="Helvetica"/>
        </w:rPr>
        <w:t>.</w:t>
      </w:r>
    </w:p>
    <w:p w14:paraId="6A4D3D69" w14:textId="239847BD" w:rsidR="00F26085" w:rsidRPr="00661934" w:rsidRDefault="00F26085" w:rsidP="00661934">
      <w:pPr>
        <w:spacing w:before="240"/>
        <w:rPr>
          <w:rFonts w:ascii="Helvetica" w:hAnsi="Helvetica"/>
        </w:rPr>
      </w:pPr>
      <w:r w:rsidRPr="00661934">
        <w:rPr>
          <w:rFonts w:ascii="Helvetica" w:hAnsi="Helvetica"/>
        </w:rPr>
        <w:t>An overview of Model 1 from the consumer and provider perspectives is at Figure 1.</w:t>
      </w:r>
    </w:p>
    <w:p w14:paraId="3039DEC1" w14:textId="2EEFF3AF" w:rsidR="00F26085" w:rsidRPr="00486075" w:rsidRDefault="00F26085" w:rsidP="00661934">
      <w:pPr>
        <w:spacing w:before="240"/>
        <w:rPr>
          <w:rFonts w:ascii="Helvetica" w:hAnsi="Helvetica"/>
          <w:b/>
        </w:rPr>
      </w:pPr>
      <w:r w:rsidRPr="00486075">
        <w:rPr>
          <w:rFonts w:ascii="Helvetica" w:hAnsi="Helvetica"/>
          <w:b/>
        </w:rPr>
        <w:t>Figure 1. Overview of Model 1</w:t>
      </w:r>
    </w:p>
    <w:p w14:paraId="37236463" w14:textId="0415B5FD" w:rsidR="00F26085" w:rsidRPr="00486075" w:rsidRDefault="00EE46F2" w:rsidP="00FF4BF9">
      <w:r>
        <w:rPr>
          <w:noProof/>
        </w:rPr>
        <w:drawing>
          <wp:anchor distT="0" distB="0" distL="114300" distR="114300" simplePos="0" relativeHeight="251658240" behindDoc="0" locked="0" layoutInCell="1" allowOverlap="1" wp14:anchorId="5D888DF0" wp14:editId="2F704684">
            <wp:simplePos x="0" y="0"/>
            <wp:positionH relativeFrom="margin">
              <wp:posOffset>1165860</wp:posOffset>
            </wp:positionH>
            <wp:positionV relativeFrom="paragraph">
              <wp:posOffset>434340</wp:posOffset>
            </wp:positionV>
            <wp:extent cx="571500" cy="453659"/>
            <wp:effectExtent l="0" t="0" r="0" b="3810"/>
            <wp:wrapNone/>
            <wp:docPr id="2" name="Picture 2" descr="My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0026\AppData\Local\Microsoft\Windows\INetCache\Content.Word\My Aged Care inline logo.jpg"/>
                    <pic:cNvPicPr>
                      <a:picLocks noChangeAspect="1" noChangeArrowheads="1"/>
                    </pic:cNvPicPr>
                  </pic:nvPicPr>
                  <pic:blipFill rotWithShape="1">
                    <a:blip r:embed="rId30" cstate="hqprint">
                      <a:extLst>
                        <a:ext uri="{BEBA8EAE-BF5A-486C-A8C5-ECC9F3942E4B}">
                          <a14:imgProps xmlns:a14="http://schemas.microsoft.com/office/drawing/2010/main">
                            <a14:imgLayer r:embed="rId31">
                              <a14:imgEffect>
                                <a14:backgroundRemoval t="0" b="98571" l="9709" r="89806">
                                  <a14:foregroundMark x1="26214" y1="4286" x2="20874" y2="18571"/>
                                  <a14:foregroundMark x1="19903" y1="20714" x2="26699" y2="33571"/>
                                  <a14:foregroundMark x1="32039" y1="35000" x2="40291" y2="30000"/>
                                  <a14:foregroundMark x1="40777" y1="30000" x2="43689" y2="22143"/>
                                  <a14:foregroundMark x1="24757" y1="40000" x2="17961" y2="45000"/>
                                  <a14:foregroundMark x1="17961" y1="45714" x2="11650" y2="60000"/>
                                  <a14:foregroundMark x1="11650" y1="72143" x2="15049" y2="80714"/>
                                  <a14:foregroundMark x1="17961" y1="72857" x2="26699" y2="66429"/>
                                  <a14:foregroundMark x1="26699" y1="67857" x2="37379" y2="75000"/>
                                  <a14:foregroundMark x1="38835" y1="74286" x2="46117" y2="72143"/>
                                  <a14:foregroundMark x1="46117" y1="71429" x2="56796" y2="66429"/>
                                  <a14:foregroundMark x1="68932" y1="24286" x2="65534" y2="30000"/>
                                  <a14:foregroundMark x1="78155" y1="20714" x2="88350" y2="30714"/>
                                  <a14:foregroundMark x1="30583" y1="40714" x2="53883" y2="59286"/>
                                  <a14:backgroundMark x1="20388" y1="19286" x2="20388" y2="22857"/>
                                  <a14:backgroundMark x1="20388" y1="17857" x2="20388" y2="17857"/>
                                  <a14:backgroundMark x1="19903" y1="75000" x2="19903" y2="75000"/>
                                  <a14:backgroundMark x1="20388" y1="72857" x2="20388" y2="72857"/>
                                  <a14:backgroundMark x1="21845" y1="72857" x2="21845" y2="72857"/>
                                  <a14:backgroundMark x1="22816" y1="72143" x2="22816" y2="72143"/>
                                  <a14:backgroundMark x1="23786" y1="70714" x2="23786" y2="70714"/>
                                </a14:backgroundRemoval>
                              </a14:imgEffect>
                            </a14:imgLayer>
                          </a14:imgProps>
                        </a:ext>
                        <a:ext uri="{28A0092B-C50C-407E-A947-70E740481C1C}">
                          <a14:useLocalDpi xmlns:a14="http://schemas.microsoft.com/office/drawing/2010/main" val="0"/>
                        </a:ext>
                      </a:extLst>
                    </a:blip>
                    <a:srcRect t="-16826"/>
                    <a:stretch/>
                  </pic:blipFill>
                  <pic:spPr bwMode="auto">
                    <a:xfrm>
                      <a:off x="0" y="0"/>
                      <a:ext cx="571500" cy="4536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6085" w:rsidRPr="00486075">
        <w:rPr>
          <w:noProof/>
        </w:rPr>
        <w:drawing>
          <wp:inline distT="0" distB="0" distL="0" distR="0" wp14:anchorId="34D844C0" wp14:editId="6466ECA0">
            <wp:extent cx="6393683" cy="3090441"/>
            <wp:effectExtent l="0" t="0" r="7620" b="0"/>
            <wp:docPr id="7" name="Picture 7" descr="From the consumer perspective: &#10;1. Consumer registered with My Aged Care and assessed as eligible for residential aged care&#10;2. Consumer finds and selects Approved Provider with a vacant residential aged care place.&#10;3. Approved Provider offers place to consumer who enters formal agreement with provider (means testing and aged care home costs continue to apply).&#10;&#10;From the provider perspective:&#10;1. Provider applies for new places in improved ACAR&#10;2. Places are allocated to Approved Provider successful in ACAR. Places are allocated with: reduced locational controls (with safeguards), requirement to reduce non-operational places, improved management of places.&#10;3. Approved Provider offers place to eligible consumer.&#10;" title="Infographic overview of mode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r="980"/>
                    <a:stretch/>
                  </pic:blipFill>
                  <pic:spPr bwMode="auto">
                    <a:xfrm>
                      <a:off x="0" y="0"/>
                      <a:ext cx="6495552" cy="3139680"/>
                    </a:xfrm>
                    <a:prstGeom prst="rect">
                      <a:avLst/>
                    </a:prstGeom>
                    <a:ln>
                      <a:noFill/>
                    </a:ln>
                    <a:extLst>
                      <a:ext uri="{53640926-AAD7-44D8-BBD7-CCE9431645EC}">
                        <a14:shadowObscured xmlns:a14="http://schemas.microsoft.com/office/drawing/2010/main"/>
                      </a:ext>
                    </a:extLst>
                  </pic:spPr>
                </pic:pic>
              </a:graphicData>
            </a:graphic>
          </wp:inline>
        </w:drawing>
      </w:r>
    </w:p>
    <w:p w14:paraId="63CEEE5F" w14:textId="5A109B5D" w:rsidR="00245D63" w:rsidRPr="00486075" w:rsidRDefault="0040453D" w:rsidP="00553BEF">
      <w:pPr>
        <w:pStyle w:val="Heading2"/>
      </w:pPr>
      <w:bookmarkStart w:id="56" w:name="_Toc31293680"/>
      <w:r w:rsidRPr="00486075">
        <w:t xml:space="preserve">Exploring </w:t>
      </w:r>
      <w:r w:rsidR="00EA0515" w:rsidRPr="00486075">
        <w:t xml:space="preserve">the </w:t>
      </w:r>
      <w:r w:rsidRPr="00486075">
        <w:t>potential impact</w:t>
      </w:r>
      <w:r w:rsidR="001E5552" w:rsidRPr="00486075">
        <w:t>s</w:t>
      </w:r>
      <w:bookmarkEnd w:id="56"/>
    </w:p>
    <w:p w14:paraId="149BAC7F" w14:textId="7D986891" w:rsidR="00F8222A" w:rsidRPr="00486075" w:rsidRDefault="00B4297B" w:rsidP="001B6A24">
      <w:pPr>
        <w:pStyle w:val="Heading3"/>
      </w:pPr>
      <w:bookmarkStart w:id="57" w:name="_Toc31293681"/>
      <w:r w:rsidRPr="00486075">
        <w:t>B</w:t>
      </w:r>
      <w:r w:rsidR="00D55969" w:rsidRPr="00486075">
        <w:t>enefits</w:t>
      </w:r>
      <w:bookmarkEnd w:id="57"/>
    </w:p>
    <w:tbl>
      <w:tblPr>
        <w:tblStyle w:val="ListTable3-Accent61"/>
        <w:tblW w:w="10064" w:type="dxa"/>
        <w:tblLook w:val="04A0" w:firstRow="1" w:lastRow="0" w:firstColumn="1" w:lastColumn="0" w:noHBand="0" w:noVBand="1"/>
        <w:tblCaption w:val="Benefits of model 1"/>
        <w:tblDescription w:val="This table lists key benefits of model 1 from the consumer and provider perspectives "/>
      </w:tblPr>
      <w:tblGrid>
        <w:gridCol w:w="5032"/>
        <w:gridCol w:w="5032"/>
      </w:tblGrid>
      <w:tr w:rsidR="00242367" w:rsidRPr="00486075" w14:paraId="2FEDB059" w14:textId="77777777" w:rsidTr="00486075">
        <w:trPr>
          <w:cnfStyle w:val="100000000000" w:firstRow="1" w:lastRow="0" w:firstColumn="0" w:lastColumn="0" w:oddVBand="0" w:evenVBand="0" w:oddHBand="0" w:evenHBand="0" w:firstRowFirstColumn="0" w:firstRowLastColumn="0" w:lastRowFirstColumn="0" w:lastRowLastColumn="0"/>
          <w:trHeight w:val="385"/>
          <w:tblHeader/>
        </w:trPr>
        <w:tc>
          <w:tcPr>
            <w:cnfStyle w:val="001000000100" w:firstRow="0" w:lastRow="0" w:firstColumn="1" w:lastColumn="0" w:oddVBand="0" w:evenVBand="0" w:oddHBand="0" w:evenHBand="0" w:firstRowFirstColumn="1" w:firstRowLastColumn="0" w:lastRowFirstColumn="0" w:lastRowLastColumn="0"/>
            <w:tcW w:w="5032" w:type="dxa"/>
          </w:tcPr>
          <w:p w14:paraId="333552E3" w14:textId="77777777" w:rsidR="00242367" w:rsidRPr="00486075" w:rsidRDefault="00242367" w:rsidP="00FE4808">
            <w:pPr>
              <w:spacing w:after="120"/>
              <w:rPr>
                <w:rFonts w:ascii="Helvetica" w:hAnsi="Helvetica"/>
                <w:color w:val="auto"/>
              </w:rPr>
            </w:pPr>
            <w:r w:rsidRPr="00486075">
              <w:rPr>
                <w:rFonts w:ascii="Helvetica" w:hAnsi="Helvetica"/>
                <w:color w:val="auto"/>
              </w:rPr>
              <w:t>Consumer</w:t>
            </w:r>
            <w:r w:rsidR="00BE04C2" w:rsidRPr="00486075">
              <w:rPr>
                <w:rFonts w:ascii="Helvetica" w:hAnsi="Helvetica"/>
                <w:color w:val="auto"/>
              </w:rPr>
              <w:t>s’</w:t>
            </w:r>
            <w:r w:rsidR="00053297" w:rsidRPr="00486075">
              <w:rPr>
                <w:rFonts w:ascii="Helvetica" w:hAnsi="Helvetica"/>
                <w:color w:val="auto"/>
              </w:rPr>
              <w:t xml:space="preserve"> perspective</w:t>
            </w:r>
          </w:p>
        </w:tc>
        <w:tc>
          <w:tcPr>
            <w:tcW w:w="5032" w:type="dxa"/>
          </w:tcPr>
          <w:p w14:paraId="1FB9A4A2" w14:textId="4C089078" w:rsidR="00242367" w:rsidRPr="00486075" w:rsidRDefault="00242367" w:rsidP="00FE4808">
            <w:pPr>
              <w:spacing w:after="120"/>
              <w:cnfStyle w:val="100000000000" w:firstRow="1" w:lastRow="0" w:firstColumn="0" w:lastColumn="0" w:oddVBand="0" w:evenVBand="0" w:oddHBand="0" w:evenHBand="0" w:firstRowFirstColumn="0" w:firstRowLastColumn="0" w:lastRowFirstColumn="0" w:lastRowLastColumn="0"/>
              <w:rPr>
                <w:rFonts w:ascii="Helvetica" w:hAnsi="Helvetica"/>
                <w:color w:val="auto"/>
              </w:rPr>
            </w:pPr>
            <w:r w:rsidRPr="00486075">
              <w:rPr>
                <w:rFonts w:ascii="Helvetica" w:hAnsi="Helvetica"/>
                <w:color w:val="auto"/>
              </w:rPr>
              <w:t>Provider</w:t>
            </w:r>
            <w:r w:rsidR="00BE04C2" w:rsidRPr="00486075">
              <w:rPr>
                <w:rFonts w:ascii="Helvetica" w:hAnsi="Helvetica"/>
                <w:color w:val="auto"/>
              </w:rPr>
              <w:t>s’</w:t>
            </w:r>
            <w:r w:rsidR="00053297" w:rsidRPr="00486075">
              <w:rPr>
                <w:rFonts w:ascii="Helvetica" w:hAnsi="Helvetica"/>
                <w:color w:val="auto"/>
              </w:rPr>
              <w:t xml:space="preserve"> perspective</w:t>
            </w:r>
          </w:p>
        </w:tc>
      </w:tr>
      <w:tr w:rsidR="00242367" w:rsidRPr="00486075" w14:paraId="65235A5A" w14:textId="77777777" w:rsidTr="00486075">
        <w:trPr>
          <w:cnfStyle w:val="000000100000" w:firstRow="0" w:lastRow="0" w:firstColumn="0" w:lastColumn="0" w:oddVBand="0" w:evenVBand="0" w:oddHBand="1" w:evenHBand="0" w:firstRowFirstColumn="0" w:firstRowLastColumn="0" w:lastRowFirstColumn="0" w:lastRowLastColumn="0"/>
          <w:trHeight w:val="4350"/>
        </w:trPr>
        <w:tc>
          <w:tcPr>
            <w:cnfStyle w:val="001000000000" w:firstRow="0" w:lastRow="0" w:firstColumn="1" w:lastColumn="0" w:oddVBand="0" w:evenVBand="0" w:oddHBand="0" w:evenHBand="0" w:firstRowFirstColumn="0" w:firstRowLastColumn="0" w:lastRowFirstColumn="0" w:lastRowLastColumn="0"/>
            <w:tcW w:w="5032" w:type="dxa"/>
          </w:tcPr>
          <w:p w14:paraId="4C930379" w14:textId="45FD6F61" w:rsidR="002869D8" w:rsidRPr="00486075" w:rsidRDefault="002869D8" w:rsidP="00216A0E">
            <w:pPr>
              <w:pStyle w:val="ListParagraph"/>
              <w:numPr>
                <w:ilvl w:val="0"/>
                <w:numId w:val="25"/>
              </w:numPr>
              <w:spacing w:after="120"/>
              <w:rPr>
                <w:rFonts w:ascii="Helvetica" w:hAnsi="Helvetica"/>
                <w:b w:val="0"/>
              </w:rPr>
            </w:pPr>
            <w:r w:rsidRPr="00486075">
              <w:rPr>
                <w:rFonts w:ascii="Helvetica" w:hAnsi="Helvetica"/>
                <w:b w:val="0"/>
              </w:rPr>
              <w:t>May be better able to access care where and when they need it, as providers can distribute/obtain places more flexibly</w:t>
            </w:r>
          </w:p>
          <w:p w14:paraId="3EF91B30" w14:textId="77777777" w:rsidR="00242367" w:rsidRPr="00486075" w:rsidRDefault="00242367" w:rsidP="00216A0E">
            <w:pPr>
              <w:pStyle w:val="ListParagraph"/>
              <w:numPr>
                <w:ilvl w:val="0"/>
                <w:numId w:val="25"/>
              </w:numPr>
              <w:spacing w:after="120"/>
              <w:rPr>
                <w:rFonts w:ascii="Helvetica" w:hAnsi="Helvetica"/>
                <w:b w:val="0"/>
              </w:rPr>
            </w:pPr>
            <w:r w:rsidRPr="00486075">
              <w:rPr>
                <w:rFonts w:ascii="Helvetica" w:hAnsi="Helvetica"/>
                <w:b w:val="0"/>
              </w:rPr>
              <w:t>Greater competition</w:t>
            </w:r>
            <w:r w:rsidR="002869D8" w:rsidRPr="00486075">
              <w:rPr>
                <w:rFonts w:ascii="Helvetica" w:hAnsi="Helvetica"/>
                <w:b w:val="0"/>
              </w:rPr>
              <w:t xml:space="preserve"> in some areas</w:t>
            </w:r>
            <w:r w:rsidRPr="00486075">
              <w:rPr>
                <w:rFonts w:ascii="Helvetica" w:hAnsi="Helvetica"/>
                <w:b w:val="0"/>
              </w:rPr>
              <w:t xml:space="preserve"> may drive improvements in </w:t>
            </w:r>
            <w:r w:rsidR="002869D8" w:rsidRPr="00486075">
              <w:rPr>
                <w:rFonts w:ascii="Helvetica" w:hAnsi="Helvetica"/>
                <w:b w:val="0"/>
              </w:rPr>
              <w:t>service or accommodation offerings</w:t>
            </w:r>
            <w:r w:rsidRPr="00486075">
              <w:rPr>
                <w:rFonts w:ascii="Helvetica" w:hAnsi="Helvetica"/>
                <w:b w:val="0"/>
              </w:rPr>
              <w:t xml:space="preserve"> </w:t>
            </w:r>
          </w:p>
          <w:p w14:paraId="7594DF4B" w14:textId="77777777" w:rsidR="006A3CB3" w:rsidRPr="00486075" w:rsidRDefault="006A3CB3" w:rsidP="00216A0E">
            <w:pPr>
              <w:pStyle w:val="ListParagraph"/>
              <w:numPr>
                <w:ilvl w:val="0"/>
                <w:numId w:val="25"/>
              </w:numPr>
              <w:spacing w:after="120"/>
              <w:rPr>
                <w:rFonts w:ascii="Helvetica" w:hAnsi="Helvetica"/>
                <w:b w:val="0"/>
              </w:rPr>
            </w:pPr>
            <w:r w:rsidRPr="00486075">
              <w:rPr>
                <w:rFonts w:ascii="Helvetica" w:hAnsi="Helvetica"/>
                <w:b w:val="0"/>
              </w:rPr>
              <w:t>Broader range of local providers to choose from in some areas</w:t>
            </w:r>
          </w:p>
          <w:p w14:paraId="6B473ECC" w14:textId="77777777" w:rsidR="00242367" w:rsidRPr="00486075" w:rsidRDefault="006A3CB3" w:rsidP="00216A0E">
            <w:pPr>
              <w:pStyle w:val="ListParagraph"/>
              <w:numPr>
                <w:ilvl w:val="0"/>
                <w:numId w:val="25"/>
              </w:numPr>
              <w:spacing w:after="120"/>
              <w:rPr>
                <w:rFonts w:ascii="Helvetica" w:hAnsi="Helvetica"/>
              </w:rPr>
            </w:pPr>
            <w:r w:rsidRPr="00486075">
              <w:rPr>
                <w:rFonts w:ascii="Helvetica" w:hAnsi="Helvetica"/>
                <w:b w:val="0"/>
              </w:rPr>
              <w:t xml:space="preserve">May be easier </w:t>
            </w:r>
            <w:r w:rsidR="000A1A3E" w:rsidRPr="00486075">
              <w:rPr>
                <w:rFonts w:ascii="Helvetica" w:hAnsi="Helvetica"/>
                <w:b w:val="0"/>
              </w:rPr>
              <w:t xml:space="preserve">to </w:t>
            </w:r>
            <w:r w:rsidRPr="00486075">
              <w:rPr>
                <w:rFonts w:ascii="Helvetica" w:hAnsi="Helvetica"/>
                <w:b w:val="0"/>
              </w:rPr>
              <w:t>access residential respite care (as administrative proce</w:t>
            </w:r>
            <w:r w:rsidR="00CE029D" w:rsidRPr="00486075">
              <w:rPr>
                <w:rFonts w:ascii="Helvetica" w:hAnsi="Helvetica"/>
                <w:b w:val="0"/>
              </w:rPr>
              <w:t>ss becomes easier for providers</w:t>
            </w:r>
            <w:r w:rsidRPr="00486075">
              <w:rPr>
                <w:rFonts w:ascii="Helvetica" w:hAnsi="Helvetica"/>
                <w:b w:val="0"/>
              </w:rPr>
              <w:t>)</w:t>
            </w:r>
            <w:r w:rsidRPr="00486075">
              <w:rPr>
                <w:rFonts w:ascii="Helvetica" w:hAnsi="Helvetica"/>
              </w:rPr>
              <w:t xml:space="preserve"> </w:t>
            </w:r>
          </w:p>
        </w:tc>
        <w:tc>
          <w:tcPr>
            <w:tcW w:w="5032" w:type="dxa"/>
          </w:tcPr>
          <w:p w14:paraId="2741105F" w14:textId="634468B8" w:rsidR="006A3CB3" w:rsidRPr="00486075" w:rsidRDefault="00242367" w:rsidP="00216A0E">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Ability to manage their places more strategically across a wider area and be more agile to respond to changes in consumer demand</w:t>
            </w:r>
          </w:p>
          <w:p w14:paraId="061DD486" w14:textId="4F3481F6" w:rsidR="00242367" w:rsidRPr="00486075" w:rsidRDefault="006A3CB3" w:rsidP="00216A0E">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Easier for providers to expand</w:t>
            </w:r>
            <w:r w:rsidR="00B43D94" w:rsidRPr="00486075">
              <w:rPr>
                <w:rFonts w:ascii="Helvetica" w:hAnsi="Helvetica"/>
              </w:rPr>
              <w:t xml:space="preserve"> and innovate</w:t>
            </w:r>
          </w:p>
          <w:p w14:paraId="416EBB26" w14:textId="77777777" w:rsidR="006A3CB3" w:rsidRPr="00486075" w:rsidRDefault="006A3CB3" w:rsidP="00216A0E">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Retaining the certainty of the ACAR may underpin future growth and investment in the aged care sector</w:t>
            </w:r>
          </w:p>
          <w:p w14:paraId="500E698F" w14:textId="3AA70C86" w:rsidR="00B43D94" w:rsidRPr="00486075" w:rsidRDefault="00242367" w:rsidP="00216A0E">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A more efficient ACAR</w:t>
            </w:r>
            <w:r w:rsidR="006A3CB3" w:rsidRPr="00486075">
              <w:rPr>
                <w:rFonts w:ascii="Helvetica" w:hAnsi="Helvetica"/>
              </w:rPr>
              <w:t xml:space="preserve"> application process</w:t>
            </w:r>
            <w:r w:rsidRPr="00486075">
              <w:rPr>
                <w:rFonts w:ascii="Helvetica" w:hAnsi="Helvetica"/>
              </w:rPr>
              <w:t xml:space="preserve"> may </w:t>
            </w:r>
            <w:r w:rsidR="006A3CB3" w:rsidRPr="00486075">
              <w:rPr>
                <w:rFonts w:ascii="Helvetica" w:hAnsi="Helvetica"/>
              </w:rPr>
              <w:t xml:space="preserve">encourage </w:t>
            </w:r>
            <w:r w:rsidRPr="00486075">
              <w:rPr>
                <w:rFonts w:ascii="Helvetica" w:hAnsi="Helvetica"/>
              </w:rPr>
              <w:t xml:space="preserve">smaller providers </w:t>
            </w:r>
            <w:r w:rsidR="006A3CB3" w:rsidRPr="00486075">
              <w:rPr>
                <w:rFonts w:ascii="Helvetica" w:hAnsi="Helvetica"/>
              </w:rPr>
              <w:t>to apply</w:t>
            </w:r>
            <w:r w:rsidR="00B43D94" w:rsidRPr="00486075">
              <w:rPr>
                <w:rFonts w:ascii="Helvetica" w:hAnsi="Helvetica"/>
              </w:rPr>
              <w:t xml:space="preserve"> </w:t>
            </w:r>
          </w:p>
          <w:p w14:paraId="53F47B19" w14:textId="77777777" w:rsidR="00242367" w:rsidRPr="00486075" w:rsidRDefault="00B43D94" w:rsidP="00216A0E">
            <w:pPr>
              <w:pStyle w:val="ListParagraph"/>
              <w:numPr>
                <w:ilvl w:val="0"/>
                <w:numId w:val="24"/>
              </w:numPr>
              <w:spacing w:after="12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Streamlining of administrative processes would allow providers to direct their time and resources to service delivery</w:t>
            </w:r>
          </w:p>
        </w:tc>
      </w:tr>
    </w:tbl>
    <w:p w14:paraId="58B40112" w14:textId="35C97089" w:rsidR="00085CF2" w:rsidRPr="00486075" w:rsidRDefault="00085CF2" w:rsidP="001B6A24">
      <w:pPr>
        <w:pStyle w:val="Heading3"/>
      </w:pPr>
    </w:p>
    <w:p w14:paraId="076D01FC" w14:textId="1505D125" w:rsidR="00085CF2" w:rsidRPr="00486075" w:rsidRDefault="00085CF2">
      <w:pPr>
        <w:rPr>
          <w:rFonts w:ascii="Helvetica" w:eastAsiaTheme="majorEastAsia" w:hAnsi="Helvetica" w:cstheme="majorBidi"/>
          <w:color w:val="1F3763" w:themeColor="accent1" w:themeShade="7F"/>
        </w:rPr>
      </w:pPr>
      <w:r w:rsidRPr="00486075">
        <w:br w:type="page"/>
      </w:r>
    </w:p>
    <w:p w14:paraId="184E1A98" w14:textId="5B54C0DE" w:rsidR="00B4297B" w:rsidRPr="00486075" w:rsidRDefault="00B4297B" w:rsidP="001B6A24">
      <w:pPr>
        <w:pStyle w:val="Heading3"/>
      </w:pPr>
      <w:bookmarkStart w:id="58" w:name="_Toc31293682"/>
      <w:r w:rsidRPr="00486075">
        <w:lastRenderedPageBreak/>
        <w:t>Risks</w:t>
      </w:r>
      <w:bookmarkEnd w:id="58"/>
    </w:p>
    <w:tbl>
      <w:tblPr>
        <w:tblStyle w:val="GridTable4-Accent41"/>
        <w:tblW w:w="9994" w:type="dxa"/>
        <w:tblLook w:val="04A0" w:firstRow="1" w:lastRow="0" w:firstColumn="1" w:lastColumn="0" w:noHBand="0" w:noVBand="1"/>
        <w:tblCaption w:val="Risks of model 1"/>
        <w:tblDescription w:val="This table lists key risks of model 1 from the consumer and provider perspectives "/>
      </w:tblPr>
      <w:tblGrid>
        <w:gridCol w:w="4997"/>
        <w:gridCol w:w="4997"/>
      </w:tblGrid>
      <w:tr w:rsidR="00B4297B" w:rsidRPr="00486075" w14:paraId="5620EF24" w14:textId="77777777" w:rsidTr="00486075">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4997" w:type="dxa"/>
          </w:tcPr>
          <w:p w14:paraId="075F0247" w14:textId="77777777" w:rsidR="00B4297B" w:rsidRPr="00486075" w:rsidRDefault="00B4297B" w:rsidP="00FE4808">
            <w:pPr>
              <w:spacing w:after="120"/>
              <w:rPr>
                <w:rFonts w:ascii="Helvetica" w:hAnsi="Helvetica"/>
                <w:color w:val="auto"/>
              </w:rPr>
            </w:pPr>
            <w:r w:rsidRPr="00486075">
              <w:rPr>
                <w:rFonts w:ascii="Helvetica" w:hAnsi="Helvetica"/>
                <w:color w:val="auto"/>
              </w:rPr>
              <w:t>Consumer</w:t>
            </w:r>
            <w:r w:rsidR="00BE04C2" w:rsidRPr="00486075">
              <w:rPr>
                <w:rFonts w:ascii="Helvetica" w:hAnsi="Helvetica"/>
                <w:color w:val="auto"/>
              </w:rPr>
              <w:t>s’</w:t>
            </w:r>
            <w:r w:rsidR="00053297" w:rsidRPr="00486075">
              <w:rPr>
                <w:rFonts w:ascii="Helvetica" w:hAnsi="Helvetica"/>
                <w:color w:val="auto"/>
              </w:rPr>
              <w:t xml:space="preserve"> perspective</w:t>
            </w:r>
          </w:p>
        </w:tc>
        <w:tc>
          <w:tcPr>
            <w:tcW w:w="4997" w:type="dxa"/>
          </w:tcPr>
          <w:p w14:paraId="62E71517" w14:textId="57D65C75" w:rsidR="00B4297B" w:rsidRPr="00486075" w:rsidRDefault="00B4297B" w:rsidP="00FE4808">
            <w:pPr>
              <w:spacing w:after="120"/>
              <w:cnfStyle w:val="100000000000" w:firstRow="1" w:lastRow="0" w:firstColumn="0" w:lastColumn="0" w:oddVBand="0" w:evenVBand="0" w:oddHBand="0" w:evenHBand="0" w:firstRowFirstColumn="0" w:firstRowLastColumn="0" w:lastRowFirstColumn="0" w:lastRowLastColumn="0"/>
              <w:rPr>
                <w:rFonts w:ascii="Helvetica" w:hAnsi="Helvetica"/>
                <w:color w:val="auto"/>
              </w:rPr>
            </w:pPr>
            <w:r w:rsidRPr="00486075">
              <w:rPr>
                <w:rFonts w:ascii="Helvetica" w:hAnsi="Helvetica"/>
                <w:color w:val="auto"/>
              </w:rPr>
              <w:t>Provider</w:t>
            </w:r>
            <w:r w:rsidR="00BE04C2" w:rsidRPr="00486075">
              <w:rPr>
                <w:rFonts w:ascii="Helvetica" w:hAnsi="Helvetica"/>
                <w:color w:val="auto"/>
              </w:rPr>
              <w:t>s’</w:t>
            </w:r>
            <w:r w:rsidR="00053297" w:rsidRPr="00486075">
              <w:rPr>
                <w:rFonts w:ascii="Helvetica" w:hAnsi="Helvetica"/>
                <w:color w:val="auto"/>
              </w:rPr>
              <w:t xml:space="preserve"> perspective</w:t>
            </w:r>
          </w:p>
        </w:tc>
      </w:tr>
      <w:tr w:rsidR="00B4297B" w:rsidRPr="00486075" w14:paraId="4C3AF21D" w14:textId="77777777" w:rsidTr="00486075">
        <w:trPr>
          <w:cnfStyle w:val="000000100000" w:firstRow="0" w:lastRow="0" w:firstColumn="0" w:lastColumn="0" w:oddVBand="0" w:evenVBand="0" w:oddHBand="1" w:evenHBand="0" w:firstRowFirstColumn="0" w:firstRowLastColumn="0" w:lastRowFirstColumn="0" w:lastRowLastColumn="0"/>
          <w:trHeight w:val="2884"/>
        </w:trPr>
        <w:tc>
          <w:tcPr>
            <w:cnfStyle w:val="001000000000" w:firstRow="0" w:lastRow="0" w:firstColumn="1" w:lastColumn="0" w:oddVBand="0" w:evenVBand="0" w:oddHBand="0" w:evenHBand="0" w:firstRowFirstColumn="0" w:firstRowLastColumn="0" w:lastRowFirstColumn="0" w:lastRowLastColumn="0"/>
            <w:tcW w:w="4997" w:type="dxa"/>
            <w:shd w:val="clear" w:color="auto" w:fill="auto"/>
          </w:tcPr>
          <w:p w14:paraId="48832579" w14:textId="10B9860B" w:rsidR="00B4297B" w:rsidRPr="00486075" w:rsidRDefault="00566BE8" w:rsidP="00216A0E">
            <w:pPr>
              <w:pStyle w:val="ListParagraph"/>
              <w:numPr>
                <w:ilvl w:val="0"/>
                <w:numId w:val="25"/>
              </w:numPr>
              <w:spacing w:after="120"/>
              <w:rPr>
                <w:rFonts w:ascii="Helvetica" w:hAnsi="Helvetica"/>
                <w:b w:val="0"/>
              </w:rPr>
            </w:pPr>
            <w:r w:rsidRPr="00486075">
              <w:rPr>
                <w:rFonts w:ascii="Helvetica" w:hAnsi="Helvetica"/>
                <w:b w:val="0"/>
              </w:rPr>
              <w:t>May be more difficult to find a place in rural, regional and remote areas if there is an</w:t>
            </w:r>
            <w:r w:rsidR="00B4297B" w:rsidRPr="00486075">
              <w:rPr>
                <w:rFonts w:ascii="Helvetica" w:hAnsi="Helvetica"/>
                <w:b w:val="0"/>
              </w:rPr>
              <w:t xml:space="preserve"> outflow of existing places to metropolitan areas where cost</w:t>
            </w:r>
            <w:r w:rsidRPr="00486075">
              <w:rPr>
                <w:rFonts w:ascii="Helvetica" w:hAnsi="Helvetica"/>
                <w:b w:val="0"/>
              </w:rPr>
              <w:t xml:space="preserve">s </w:t>
            </w:r>
            <w:r w:rsidR="00B4297B" w:rsidRPr="00486075">
              <w:rPr>
                <w:rFonts w:ascii="Helvetica" w:hAnsi="Helvetica"/>
                <w:b w:val="0"/>
              </w:rPr>
              <w:t>may be lower</w:t>
            </w:r>
          </w:p>
          <w:p w14:paraId="6A417449" w14:textId="77777777" w:rsidR="00B4297B" w:rsidRPr="00486075" w:rsidRDefault="00566BE8" w:rsidP="00216A0E">
            <w:pPr>
              <w:pStyle w:val="ListParagraph"/>
              <w:numPr>
                <w:ilvl w:val="0"/>
                <w:numId w:val="25"/>
              </w:numPr>
              <w:spacing w:after="120"/>
              <w:rPr>
                <w:rFonts w:ascii="Helvetica" w:hAnsi="Helvetica"/>
              </w:rPr>
            </w:pPr>
            <w:r w:rsidRPr="00486075">
              <w:rPr>
                <w:rFonts w:ascii="Helvetica" w:hAnsi="Helvetica"/>
                <w:b w:val="0"/>
              </w:rPr>
              <w:t>May be a disruption to service or</w:t>
            </w:r>
            <w:r w:rsidR="00053297" w:rsidRPr="00486075">
              <w:rPr>
                <w:rFonts w:ascii="Helvetica" w:hAnsi="Helvetica"/>
                <w:b w:val="0"/>
              </w:rPr>
              <w:t xml:space="preserve"> reduction in </w:t>
            </w:r>
            <w:r w:rsidRPr="00486075">
              <w:rPr>
                <w:rFonts w:ascii="Helvetica" w:hAnsi="Helvetica"/>
                <w:b w:val="0"/>
              </w:rPr>
              <w:t>available</w:t>
            </w:r>
            <w:r w:rsidR="00053297" w:rsidRPr="00486075">
              <w:rPr>
                <w:rFonts w:ascii="Helvetica" w:hAnsi="Helvetica"/>
                <w:b w:val="0"/>
              </w:rPr>
              <w:t xml:space="preserve"> aged care places if </w:t>
            </w:r>
            <w:r w:rsidRPr="00486075">
              <w:rPr>
                <w:rFonts w:ascii="Helvetica" w:hAnsi="Helvetica"/>
                <w:b w:val="0"/>
              </w:rPr>
              <w:t xml:space="preserve">some </w:t>
            </w:r>
            <w:r w:rsidR="00053297" w:rsidRPr="00486075">
              <w:rPr>
                <w:rFonts w:ascii="Helvetica" w:hAnsi="Helvetica"/>
                <w:b w:val="0"/>
              </w:rPr>
              <w:t>providers exit the market in an unplanned manner</w:t>
            </w:r>
            <w:r w:rsidRPr="00486075">
              <w:rPr>
                <w:rFonts w:ascii="Helvetica" w:hAnsi="Helvetica"/>
                <w:b w:val="0"/>
              </w:rPr>
              <w:t xml:space="preserve"> (due to increased competition pressures)</w:t>
            </w:r>
          </w:p>
        </w:tc>
        <w:tc>
          <w:tcPr>
            <w:tcW w:w="4997" w:type="dxa"/>
            <w:shd w:val="clear" w:color="auto" w:fill="auto"/>
          </w:tcPr>
          <w:p w14:paraId="6C1712D9" w14:textId="622CA9EC" w:rsidR="00B4297B" w:rsidRPr="00486075" w:rsidRDefault="004A5FC8" w:rsidP="00216A0E">
            <w:pPr>
              <w:pStyle w:val="ListParagraph"/>
              <w:numPr>
                <w:ilvl w:val="0"/>
                <w:numId w:val="25"/>
              </w:numPr>
              <w:spacing w:after="12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Some providers with less popular homes may experience increased vacancies as other providers with more popular consumer offerings expand. This may lead to some providers exiting the market in an unplanned manner.</w:t>
            </w:r>
          </w:p>
        </w:tc>
      </w:tr>
    </w:tbl>
    <w:p w14:paraId="0C670FF1" w14:textId="5D8929F2" w:rsidR="009964FE" w:rsidRPr="00486075" w:rsidRDefault="009964FE" w:rsidP="0061259F">
      <w:pPr>
        <w:pStyle w:val="Heading2"/>
        <w:spacing w:before="360"/>
      </w:pPr>
      <w:bookmarkStart w:id="59" w:name="_Toc31293683"/>
      <w:r w:rsidRPr="00486075">
        <w:t>Implementation and transition considerations</w:t>
      </w:r>
      <w:bookmarkEnd w:id="59"/>
      <w:r w:rsidRPr="00486075">
        <w:t xml:space="preserve"> </w:t>
      </w:r>
    </w:p>
    <w:p w14:paraId="68DB3603" w14:textId="0166CC1C" w:rsidR="0050387F" w:rsidRPr="00486075" w:rsidRDefault="00342ED3" w:rsidP="00FE4808">
      <w:pPr>
        <w:spacing w:after="120"/>
        <w:rPr>
          <w:rFonts w:ascii="Helvetica" w:hAnsi="Helvetica"/>
        </w:rPr>
      </w:pPr>
      <w:r w:rsidRPr="00486075">
        <w:rPr>
          <w:rFonts w:ascii="Helvetica" w:hAnsi="Helvetica"/>
        </w:rPr>
        <w:t>Although this model is not considered to be</w:t>
      </w:r>
      <w:r w:rsidR="00311F57" w:rsidRPr="00486075">
        <w:rPr>
          <w:rFonts w:ascii="Helvetica" w:hAnsi="Helvetica"/>
        </w:rPr>
        <w:t xml:space="preserve"> a</w:t>
      </w:r>
      <w:r w:rsidRPr="00486075">
        <w:rPr>
          <w:rFonts w:ascii="Helvetica" w:hAnsi="Helvetica"/>
        </w:rPr>
        <w:t xml:space="preserve"> struc</w:t>
      </w:r>
      <w:r w:rsidR="0050387F" w:rsidRPr="00486075">
        <w:rPr>
          <w:rFonts w:ascii="Helvetica" w:hAnsi="Helvetica"/>
        </w:rPr>
        <w:t>tural change for the sector, the changes would benefit from a gradual roll-out to allow time for</w:t>
      </w:r>
      <w:r w:rsidR="00F87821" w:rsidRPr="00486075">
        <w:rPr>
          <w:rFonts w:ascii="Helvetica" w:hAnsi="Helvetica"/>
        </w:rPr>
        <w:t xml:space="preserve"> </w:t>
      </w:r>
      <w:r w:rsidR="001824EB" w:rsidRPr="00486075">
        <w:rPr>
          <w:rFonts w:ascii="Helvetica" w:hAnsi="Helvetica"/>
        </w:rPr>
        <w:t>transition and adaptation</w:t>
      </w:r>
      <w:r w:rsidR="006C6679" w:rsidRPr="00486075">
        <w:rPr>
          <w:rFonts w:ascii="Helvetica" w:hAnsi="Helvetica"/>
        </w:rPr>
        <w:t xml:space="preserve"> in the sector</w:t>
      </w:r>
      <w:r w:rsidR="0050387F" w:rsidRPr="00486075">
        <w:rPr>
          <w:rFonts w:ascii="Helvetica" w:hAnsi="Helvetica"/>
        </w:rPr>
        <w:t>.</w:t>
      </w:r>
      <w:r w:rsidR="004E70CB" w:rsidRPr="00486075">
        <w:rPr>
          <w:rFonts w:ascii="Helvetica" w:hAnsi="Helvetica"/>
        </w:rPr>
        <w:t xml:space="preserve"> </w:t>
      </w:r>
    </w:p>
    <w:p w14:paraId="3CB40A66" w14:textId="355CEE4D" w:rsidR="0050387F" w:rsidRPr="00486075" w:rsidRDefault="0050387F" w:rsidP="00FE4808">
      <w:pPr>
        <w:spacing w:after="120"/>
        <w:rPr>
          <w:rFonts w:ascii="Helvetica" w:hAnsi="Helvetica"/>
        </w:rPr>
      </w:pPr>
      <w:r w:rsidRPr="00486075">
        <w:rPr>
          <w:rFonts w:ascii="Helvetica" w:hAnsi="Helvetica"/>
        </w:rPr>
        <w:t>The implementation timeframe would also need to allow for:</w:t>
      </w:r>
    </w:p>
    <w:p w14:paraId="61FFC7D0" w14:textId="34846876" w:rsidR="0050387F" w:rsidRPr="00486075" w:rsidRDefault="0050387F" w:rsidP="00216A0E">
      <w:pPr>
        <w:pStyle w:val="ListParagraph"/>
        <w:numPr>
          <w:ilvl w:val="0"/>
          <w:numId w:val="19"/>
        </w:numPr>
        <w:spacing w:after="120"/>
        <w:rPr>
          <w:rFonts w:ascii="Helvetica" w:hAnsi="Helvetica"/>
        </w:rPr>
      </w:pPr>
      <w:r w:rsidRPr="00486075">
        <w:rPr>
          <w:rFonts w:ascii="Helvetica" w:hAnsi="Helvetica"/>
        </w:rPr>
        <w:t>Legislative amendments to the Act and relevant subordinate legislation</w:t>
      </w:r>
      <w:r w:rsidR="00C835FD" w:rsidRPr="00486075">
        <w:rPr>
          <w:rFonts w:ascii="Helvetica" w:hAnsi="Helvetica"/>
        </w:rPr>
        <w:t>; and</w:t>
      </w:r>
      <w:r w:rsidRPr="00486075">
        <w:rPr>
          <w:rFonts w:ascii="Helvetica" w:hAnsi="Helvetica"/>
        </w:rPr>
        <w:t xml:space="preserve"> </w:t>
      </w:r>
    </w:p>
    <w:p w14:paraId="2CA171D2" w14:textId="27456DDB" w:rsidR="0050387F" w:rsidRPr="00486075" w:rsidRDefault="0050387F" w:rsidP="00216A0E">
      <w:pPr>
        <w:pStyle w:val="ListParagraph"/>
        <w:numPr>
          <w:ilvl w:val="0"/>
          <w:numId w:val="19"/>
        </w:numPr>
        <w:spacing w:after="120"/>
        <w:rPr>
          <w:rFonts w:ascii="Helvetica" w:hAnsi="Helvetica"/>
        </w:rPr>
      </w:pPr>
      <w:r w:rsidRPr="00486075">
        <w:rPr>
          <w:rFonts w:ascii="Helvetica" w:hAnsi="Helvetica"/>
        </w:rPr>
        <w:t>Administrative changes to ICT systems</w:t>
      </w:r>
      <w:r w:rsidR="00C835FD" w:rsidRPr="00486075">
        <w:rPr>
          <w:rFonts w:ascii="Helvetica" w:hAnsi="Helvetica"/>
        </w:rPr>
        <w:t>.</w:t>
      </w:r>
      <w:r w:rsidRPr="00486075">
        <w:rPr>
          <w:rFonts w:ascii="Helvetica" w:hAnsi="Helvetica"/>
        </w:rPr>
        <w:t xml:space="preserve"> </w:t>
      </w:r>
    </w:p>
    <w:p w14:paraId="48985769" w14:textId="7FCA41E3" w:rsidR="0061259F" w:rsidRPr="00486075" w:rsidRDefault="0061259F">
      <w:pPr>
        <w:rPr>
          <w:rFonts w:ascii="Helvetica" w:hAnsi="Helvetica"/>
          <w:b/>
          <w:i/>
          <w:color w:val="0070C0"/>
        </w:rPr>
      </w:pPr>
      <w:r w:rsidRPr="00486075">
        <w:rPr>
          <w:rFonts w:ascii="Helvetica" w:hAnsi="Helvetica"/>
          <w:b/>
          <w:i/>
          <w:color w:val="0070C0"/>
        </w:rPr>
        <w:br w:type="page"/>
      </w:r>
    </w:p>
    <w:p w14:paraId="175E33FC" w14:textId="20E196C7" w:rsidR="00CE029D" w:rsidRPr="00486075" w:rsidRDefault="00BC684E" w:rsidP="00BC684E">
      <w:pPr>
        <w:rPr>
          <w:rFonts w:ascii="Helvetica" w:hAnsi="Helvetica"/>
          <w:b/>
          <w:i/>
          <w:color w:val="00B0F0"/>
        </w:rPr>
      </w:pPr>
      <w:r w:rsidRPr="00486075">
        <w:rPr>
          <w:rFonts w:ascii="Helvetica" w:hAnsi="Helvetica"/>
          <w:b/>
          <w:i/>
          <w:color w:val="0070C0"/>
        </w:rPr>
        <w:lastRenderedPageBreak/>
        <w:t>Model 1</w:t>
      </w:r>
      <w:r w:rsidR="000B7E9D" w:rsidRPr="00486075">
        <w:rPr>
          <w:rFonts w:ascii="Helvetica" w:hAnsi="Helvetica"/>
          <w:b/>
          <w:i/>
          <w:color w:val="0070C0"/>
        </w:rPr>
        <w:t>.</w:t>
      </w:r>
      <w:r w:rsidRPr="00486075">
        <w:rPr>
          <w:rFonts w:ascii="Helvetica" w:hAnsi="Helvetica"/>
          <w:b/>
          <w:i/>
          <w:color w:val="0070C0"/>
        </w:rPr>
        <w:t xml:space="preserve"> </w:t>
      </w:r>
      <w:r w:rsidR="000B7E9D" w:rsidRPr="00486075">
        <w:rPr>
          <w:rFonts w:ascii="Helvetica" w:hAnsi="Helvetica"/>
          <w:b/>
          <w:i/>
          <w:color w:val="0070C0"/>
        </w:rPr>
        <w:t xml:space="preserve">Improve the ACAR and places management: </w:t>
      </w:r>
      <w:r w:rsidRPr="00486075">
        <w:rPr>
          <w:rFonts w:ascii="Helvetica" w:hAnsi="Helvetica"/>
          <w:b/>
          <w:i/>
          <w:color w:val="0070C0"/>
        </w:rPr>
        <w:t>Questions for discussion</w:t>
      </w:r>
    </w:p>
    <w:p w14:paraId="13FD000C" w14:textId="77777777" w:rsidR="00076830" w:rsidRPr="00486075" w:rsidRDefault="00076830" w:rsidP="00076830">
      <w:pPr>
        <w:rPr>
          <w:rFonts w:ascii="Helvetica" w:hAnsi="Helvetica"/>
        </w:rPr>
      </w:pPr>
    </w:p>
    <w:p w14:paraId="6BF79A5B" w14:textId="77777777" w:rsidR="00076830" w:rsidRPr="00486075" w:rsidRDefault="00076830" w:rsidP="00076830">
      <w:pPr>
        <w:pBdr>
          <w:top w:val="single" w:sz="36" w:space="1" w:color="00B0F0"/>
        </w:pBdr>
        <w:tabs>
          <w:tab w:val="left" w:pos="1473"/>
        </w:tabs>
        <w:rPr>
          <w:rFonts w:ascii="Helvetica" w:hAnsi="Helvetica"/>
          <w:sz w:val="2"/>
          <w:szCs w:val="2"/>
        </w:rPr>
      </w:pPr>
    </w:p>
    <w:p w14:paraId="14E998A3" w14:textId="15F7AB60" w:rsidR="00B923DF" w:rsidRPr="00486075" w:rsidRDefault="00B923DF" w:rsidP="00B923DF">
      <w:pPr>
        <w:pBdr>
          <w:bottom w:val="single" w:sz="36" w:space="1" w:color="00B0F0"/>
        </w:pBdr>
        <w:rPr>
          <w:rFonts w:ascii="Helvetica" w:hAnsi="Helvetica"/>
          <w:b/>
        </w:rPr>
      </w:pPr>
      <w:r w:rsidRPr="00486075">
        <w:rPr>
          <w:rFonts w:ascii="Helvetica" w:hAnsi="Helvetica"/>
          <w:b/>
        </w:rPr>
        <w:t>Overall model</w:t>
      </w:r>
    </w:p>
    <w:p w14:paraId="60915731" w14:textId="77777777" w:rsidR="00076830" w:rsidRPr="00486075" w:rsidRDefault="00076830" w:rsidP="00076830">
      <w:pPr>
        <w:pBdr>
          <w:bottom w:val="single" w:sz="36" w:space="1" w:color="00B0F0"/>
        </w:pBdr>
        <w:spacing w:after="120"/>
        <w:rPr>
          <w:rFonts w:ascii="Helvetica" w:hAnsi="Helvetica"/>
          <w:color w:val="000000" w:themeColor="text1"/>
        </w:rPr>
      </w:pPr>
      <w:r w:rsidRPr="00486075">
        <w:rPr>
          <w:rFonts w:ascii="Helvetica" w:hAnsi="Helvetica"/>
        </w:rPr>
        <w:t>What are your views on the suggested improvements proposed under this model?</w:t>
      </w:r>
    </w:p>
    <w:p w14:paraId="42CAD28F" w14:textId="77777777" w:rsidR="00076830" w:rsidRPr="00486075" w:rsidRDefault="00076830" w:rsidP="00076830">
      <w:pPr>
        <w:rPr>
          <w:rFonts w:ascii="Helvetica" w:hAnsi="Helvetica"/>
          <w:b/>
          <w:i/>
          <w:color w:val="0070C0"/>
        </w:rPr>
      </w:pPr>
    </w:p>
    <w:p w14:paraId="79FC9708" w14:textId="77777777" w:rsidR="00B923DF" w:rsidRPr="00486075" w:rsidRDefault="00B923DF" w:rsidP="00076830">
      <w:pPr>
        <w:rPr>
          <w:rFonts w:ascii="Helvetica" w:hAnsi="Helvetica"/>
          <w:b/>
          <w:i/>
          <w:color w:val="0070C0"/>
        </w:rPr>
      </w:pPr>
    </w:p>
    <w:p w14:paraId="6A3AFB00" w14:textId="0F73AB50" w:rsidR="00B923DF" w:rsidRPr="00486075" w:rsidRDefault="00B923DF" w:rsidP="00B923DF">
      <w:pPr>
        <w:pBdr>
          <w:top w:val="single" w:sz="36" w:space="1" w:color="00B0F0"/>
        </w:pBdr>
        <w:rPr>
          <w:rFonts w:ascii="Helvetica" w:hAnsi="Helvetica"/>
          <w:b/>
        </w:rPr>
      </w:pPr>
      <w:r w:rsidRPr="00486075">
        <w:rPr>
          <w:rFonts w:ascii="Helvetica" w:hAnsi="Helvetica"/>
          <w:b/>
        </w:rPr>
        <w:t>Key design considerations</w:t>
      </w:r>
    </w:p>
    <w:p w14:paraId="73BC1AD2" w14:textId="531F29C9" w:rsidR="00076830" w:rsidRPr="00414DC3" w:rsidRDefault="00076830" w:rsidP="00216A0E">
      <w:pPr>
        <w:pStyle w:val="ListParagraph"/>
        <w:numPr>
          <w:ilvl w:val="0"/>
          <w:numId w:val="33"/>
        </w:numPr>
        <w:pBdr>
          <w:top w:val="single" w:sz="36" w:space="1" w:color="00B0F0"/>
        </w:pBdr>
        <w:spacing w:before="120" w:after="120"/>
        <w:ind w:left="357" w:hanging="357"/>
        <w:contextualSpacing w:val="0"/>
        <w:rPr>
          <w:rFonts w:ascii="Helvetica" w:hAnsi="Helvetica"/>
        </w:rPr>
      </w:pPr>
      <w:r w:rsidRPr="00414DC3">
        <w:rPr>
          <w:rFonts w:ascii="Helvetica" w:hAnsi="Helvetica"/>
        </w:rPr>
        <w:t>How can this model ensure/encourage adequate supply of and equitable access to residential aged care and residential respite care (aside from increasing funding or revising the funding model), including:</w:t>
      </w:r>
    </w:p>
    <w:p w14:paraId="125DD2BE" w14:textId="12220A9A" w:rsidR="00076830" w:rsidRPr="00486075" w:rsidRDefault="00076830" w:rsidP="00216A0E">
      <w:pPr>
        <w:pStyle w:val="ListParagraph"/>
        <w:numPr>
          <w:ilvl w:val="1"/>
          <w:numId w:val="39"/>
        </w:numPr>
        <w:spacing w:before="120" w:after="120"/>
        <w:contextualSpacing w:val="0"/>
        <w:rPr>
          <w:rFonts w:ascii="Helvetica" w:hAnsi="Helvetica"/>
        </w:rPr>
      </w:pPr>
      <w:r w:rsidRPr="00414DC3">
        <w:rPr>
          <w:rFonts w:ascii="Helvetica" w:hAnsi="Helvetica"/>
        </w:rPr>
        <w:t>in rural, regional and remote areas and</w:t>
      </w:r>
      <w:r w:rsidRPr="00486075">
        <w:rPr>
          <w:rFonts w:ascii="Helvetica" w:hAnsi="Helvetica"/>
        </w:rPr>
        <w:t xml:space="preserve"> other thin markets?</w:t>
      </w:r>
    </w:p>
    <w:p w14:paraId="346A7E98" w14:textId="3AC01DEA" w:rsidR="00076830" w:rsidRPr="00486075" w:rsidRDefault="00076830" w:rsidP="00216A0E">
      <w:pPr>
        <w:pStyle w:val="ListParagraph"/>
        <w:numPr>
          <w:ilvl w:val="1"/>
          <w:numId w:val="39"/>
        </w:numPr>
        <w:spacing w:before="120" w:after="120"/>
        <w:contextualSpacing w:val="0"/>
        <w:rPr>
          <w:rFonts w:ascii="Helvetica" w:hAnsi="Helvetica"/>
        </w:rPr>
      </w:pPr>
      <w:r w:rsidRPr="00486075">
        <w:rPr>
          <w:rFonts w:ascii="Helvetica" w:hAnsi="Helvetica"/>
        </w:rPr>
        <w:t xml:space="preserve">for consumers from vulnerable cohorts (such as Special Needs Groups, consumers with dementia)? </w:t>
      </w:r>
    </w:p>
    <w:p w14:paraId="74875034" w14:textId="796EBDE9" w:rsidR="00076830" w:rsidRPr="00486075" w:rsidRDefault="00076830" w:rsidP="00216A0E">
      <w:pPr>
        <w:pStyle w:val="ListParagraph"/>
        <w:numPr>
          <w:ilvl w:val="0"/>
          <w:numId w:val="39"/>
        </w:numPr>
        <w:spacing w:before="120" w:after="120"/>
        <w:contextualSpacing w:val="0"/>
        <w:rPr>
          <w:rFonts w:ascii="Helvetica" w:hAnsi="Helvetica"/>
        </w:rPr>
      </w:pPr>
      <w:r w:rsidRPr="00486075">
        <w:rPr>
          <w:rFonts w:ascii="Helvetica" w:hAnsi="Helvetica"/>
        </w:rPr>
        <w:t>Are there variations to this model which should be included in the impact analysis?</w:t>
      </w:r>
    </w:p>
    <w:p w14:paraId="061CC392" w14:textId="23892833" w:rsidR="00076830" w:rsidRPr="00486075" w:rsidRDefault="00076830" w:rsidP="00216A0E">
      <w:pPr>
        <w:pStyle w:val="ListParagraph"/>
        <w:numPr>
          <w:ilvl w:val="0"/>
          <w:numId w:val="39"/>
        </w:numPr>
        <w:spacing w:before="120"/>
        <w:ind w:left="357" w:hanging="357"/>
        <w:contextualSpacing w:val="0"/>
      </w:pPr>
      <w:r w:rsidRPr="00486075">
        <w:rPr>
          <w:rFonts w:ascii="Helvetica" w:hAnsi="Helvetica"/>
        </w:rPr>
        <w:t>What other key changes could be made to the existing ACAR and/or places management arrangements to encourage a more consumer driven and competitive residential aged care sector?</w:t>
      </w:r>
    </w:p>
    <w:p w14:paraId="18876214" w14:textId="692FBE08" w:rsidR="00076830" w:rsidRPr="00486075" w:rsidRDefault="00076830" w:rsidP="00076830">
      <w:pPr>
        <w:pBdr>
          <w:bottom w:val="single" w:sz="36" w:space="1" w:color="00B0F0"/>
        </w:pBdr>
        <w:spacing w:after="120"/>
        <w:rPr>
          <w:rFonts w:ascii="Helvetica" w:hAnsi="Helvetica"/>
          <w:sz w:val="2"/>
          <w:szCs w:val="2"/>
        </w:rPr>
      </w:pPr>
    </w:p>
    <w:p w14:paraId="1CCA48EC" w14:textId="0DAE00B5" w:rsidR="00076830" w:rsidRPr="00486075" w:rsidRDefault="00076830" w:rsidP="00B923DF">
      <w:pPr>
        <w:spacing w:before="240" w:after="120"/>
      </w:pPr>
    </w:p>
    <w:p w14:paraId="175C4D4B" w14:textId="7C54B478" w:rsidR="00B923DF" w:rsidRPr="00486075" w:rsidRDefault="00B923DF" w:rsidP="00B923DF">
      <w:pPr>
        <w:pBdr>
          <w:top w:val="single" w:sz="36" w:space="1" w:color="00B0F0"/>
          <w:bottom w:val="single" w:sz="36" w:space="1" w:color="00B0F0"/>
        </w:pBdr>
        <w:spacing w:before="120" w:after="120"/>
        <w:rPr>
          <w:rFonts w:ascii="Helvetica" w:hAnsi="Helvetica"/>
          <w:b/>
        </w:rPr>
      </w:pPr>
      <w:r w:rsidRPr="00486075">
        <w:rPr>
          <w:rFonts w:ascii="Helvetica" w:hAnsi="Helvetica"/>
          <w:b/>
        </w:rPr>
        <w:t>Exploring the potential impacts</w:t>
      </w:r>
    </w:p>
    <w:p w14:paraId="4B0DFBA1" w14:textId="46E3E179" w:rsidR="00076830" w:rsidRPr="00486075" w:rsidRDefault="00076830" w:rsidP="00216A0E">
      <w:pPr>
        <w:pStyle w:val="ListParagraph"/>
        <w:numPr>
          <w:ilvl w:val="0"/>
          <w:numId w:val="33"/>
        </w:numPr>
        <w:pBdr>
          <w:top w:val="single" w:sz="36" w:space="1" w:color="00B0F0"/>
          <w:bottom w:val="single" w:sz="36" w:space="1" w:color="00B0F0"/>
        </w:pBdr>
        <w:spacing w:before="120" w:after="120"/>
        <w:ind w:left="357" w:hanging="357"/>
        <w:contextualSpacing w:val="0"/>
        <w:rPr>
          <w:rFonts w:ascii="Helvetica" w:hAnsi="Helvetica"/>
        </w:rPr>
      </w:pPr>
      <w:r w:rsidRPr="00486075">
        <w:rPr>
          <w:rFonts w:ascii="Helvetica" w:hAnsi="Helvetica"/>
        </w:rPr>
        <w:t>In overview, what would be the potential impact of this model (consider benefits, costs and risks) on you or the stakeholder group or organisation you represent?</w:t>
      </w:r>
    </w:p>
    <w:p w14:paraId="727B30F8" w14:textId="77777777" w:rsidR="00622D7F" w:rsidRPr="00486075" w:rsidRDefault="00622D7F" w:rsidP="00216A0E">
      <w:pPr>
        <w:pStyle w:val="ListParagraph"/>
        <w:numPr>
          <w:ilvl w:val="0"/>
          <w:numId w:val="33"/>
        </w:numPr>
        <w:pBdr>
          <w:top w:val="single" w:sz="36" w:space="1" w:color="00B0F0"/>
          <w:bottom w:val="single" w:sz="36" w:space="1" w:color="00B0F0"/>
        </w:pBdr>
        <w:spacing w:before="120" w:after="120"/>
        <w:ind w:left="357" w:hanging="357"/>
        <w:contextualSpacing w:val="0"/>
        <w:rPr>
          <w:rFonts w:ascii="Helvetica" w:hAnsi="Helvetica"/>
        </w:rPr>
      </w:pPr>
      <w:r w:rsidRPr="00486075">
        <w:rPr>
          <w:rFonts w:ascii="Helvetica" w:hAnsi="Helvetica"/>
        </w:rPr>
        <w:t>What</w:t>
      </w:r>
      <w:r w:rsidR="000A0646" w:rsidRPr="00486075">
        <w:rPr>
          <w:rFonts w:ascii="Helvetica" w:hAnsi="Helvetica"/>
        </w:rPr>
        <w:t xml:space="preserve"> do you think</w:t>
      </w:r>
      <w:r w:rsidRPr="00486075">
        <w:rPr>
          <w:rFonts w:ascii="Helvetica" w:hAnsi="Helvetica"/>
        </w:rPr>
        <w:t xml:space="preserve"> might be the impact</w:t>
      </w:r>
      <w:r w:rsidR="000A0646" w:rsidRPr="00486075">
        <w:rPr>
          <w:rFonts w:ascii="Helvetica" w:hAnsi="Helvetica"/>
        </w:rPr>
        <w:t xml:space="preserve"> on the residential aged care sector overall</w:t>
      </w:r>
      <w:r w:rsidRPr="00486075">
        <w:rPr>
          <w:rFonts w:ascii="Helvetica" w:hAnsi="Helvetica"/>
        </w:rPr>
        <w:t>?</w:t>
      </w:r>
    </w:p>
    <w:p w14:paraId="7B127FFE" w14:textId="335856AC" w:rsidR="00076830" w:rsidRPr="00486075" w:rsidRDefault="00076830" w:rsidP="00216A0E">
      <w:pPr>
        <w:pStyle w:val="ListParagraph"/>
        <w:numPr>
          <w:ilvl w:val="0"/>
          <w:numId w:val="33"/>
        </w:numPr>
        <w:pBdr>
          <w:top w:val="single" w:sz="36" w:space="1" w:color="00B0F0"/>
          <w:bottom w:val="single" w:sz="36" w:space="1" w:color="00B0F0"/>
        </w:pBdr>
        <w:spacing w:before="120" w:after="120"/>
        <w:ind w:left="357" w:hanging="357"/>
        <w:contextualSpacing w:val="0"/>
      </w:pPr>
      <w:r w:rsidRPr="00486075">
        <w:rPr>
          <w:rFonts w:ascii="Helvetica" w:hAnsi="Helvetica"/>
        </w:rPr>
        <w:t>If this model were to be implemented, what are the potential impacts</w:t>
      </w:r>
      <w:r w:rsidR="00E8681E" w:rsidRPr="00486075">
        <w:rPr>
          <w:rFonts w:ascii="Helvetica" w:hAnsi="Helvetica"/>
        </w:rPr>
        <w:t xml:space="preserve"> on</w:t>
      </w:r>
      <w:r w:rsidRPr="00486075">
        <w:rPr>
          <w:rFonts w:ascii="Helvetica" w:hAnsi="Helvetica"/>
        </w:rPr>
        <w:t>, linkages or interdependencies with</w:t>
      </w:r>
      <w:r w:rsidR="00E8681E" w:rsidRPr="00486075">
        <w:rPr>
          <w:rFonts w:ascii="Helvetica" w:hAnsi="Helvetica"/>
        </w:rPr>
        <w:t>,</w:t>
      </w:r>
      <w:r w:rsidRPr="00486075">
        <w:rPr>
          <w:rFonts w:ascii="Helvetica" w:hAnsi="Helvetica"/>
        </w:rPr>
        <w:t xml:space="preserve"> other programs or reforms in aged care that might impact you or the stakeholder group or organisation you represent?</w:t>
      </w:r>
    </w:p>
    <w:p w14:paraId="0FC534AE" w14:textId="740EE469" w:rsidR="00076830" w:rsidRPr="00486075" w:rsidRDefault="00076830" w:rsidP="00076830">
      <w:pPr>
        <w:rPr>
          <w:rFonts w:ascii="Helvetica" w:hAnsi="Helvetica"/>
          <w:b/>
        </w:rPr>
      </w:pPr>
    </w:p>
    <w:p w14:paraId="1B829F00" w14:textId="77777777" w:rsidR="00B923DF" w:rsidRPr="00486075" w:rsidRDefault="00B923DF" w:rsidP="00076830">
      <w:pPr>
        <w:rPr>
          <w:rFonts w:ascii="Helvetica" w:hAnsi="Helvetica"/>
          <w:b/>
        </w:rPr>
      </w:pPr>
    </w:p>
    <w:p w14:paraId="7D1A87C8" w14:textId="648EAB90" w:rsidR="00B923DF" w:rsidRPr="00486075" w:rsidRDefault="00B923DF" w:rsidP="00B923DF">
      <w:pPr>
        <w:pBdr>
          <w:top w:val="single" w:sz="36" w:space="1" w:color="00B0F0"/>
        </w:pBdr>
        <w:spacing w:after="120"/>
        <w:rPr>
          <w:rFonts w:ascii="Helvetica" w:hAnsi="Helvetica"/>
          <w:b/>
          <w:color w:val="000000" w:themeColor="text1"/>
        </w:rPr>
      </w:pPr>
      <w:r w:rsidRPr="00486075">
        <w:rPr>
          <w:rFonts w:ascii="Helvetica" w:hAnsi="Helvetica"/>
          <w:b/>
          <w:color w:val="000000" w:themeColor="text1"/>
        </w:rPr>
        <w:t>Implementation and transition considerations</w:t>
      </w:r>
    </w:p>
    <w:p w14:paraId="7DD7FA1D" w14:textId="59097D24" w:rsidR="00076830" w:rsidRPr="00486075" w:rsidRDefault="00076830" w:rsidP="00216A0E">
      <w:pPr>
        <w:pStyle w:val="ListParagraph"/>
        <w:numPr>
          <w:ilvl w:val="0"/>
          <w:numId w:val="38"/>
        </w:numPr>
        <w:pBdr>
          <w:top w:val="single" w:sz="36" w:space="1" w:color="00B0F0"/>
        </w:pBdr>
        <w:spacing w:after="120"/>
        <w:ind w:left="357" w:hanging="357"/>
        <w:contextualSpacing w:val="0"/>
        <w:rPr>
          <w:rFonts w:ascii="Helvetica" w:hAnsi="Helvetica"/>
          <w:color w:val="000000" w:themeColor="text1"/>
        </w:rPr>
      </w:pPr>
      <w:r w:rsidRPr="00486075">
        <w:rPr>
          <w:rFonts w:ascii="Helvetica" w:hAnsi="Helvetica"/>
          <w:color w:val="000000" w:themeColor="text1"/>
        </w:rPr>
        <w:t>How could implementation of this model maximise the benefits and minimise risks/disruption</w:t>
      </w:r>
      <w:r w:rsidR="00E560C0" w:rsidRPr="00486075">
        <w:rPr>
          <w:rFonts w:ascii="Helvetica" w:hAnsi="Helvetica"/>
          <w:color w:val="000000" w:themeColor="text1"/>
        </w:rPr>
        <w:t>s</w:t>
      </w:r>
      <w:r w:rsidRPr="00486075">
        <w:rPr>
          <w:rFonts w:ascii="Helvetica" w:hAnsi="Helvetica"/>
          <w:color w:val="000000" w:themeColor="text1"/>
        </w:rPr>
        <w:t xml:space="preserve">? </w:t>
      </w:r>
    </w:p>
    <w:p w14:paraId="61A3317B" w14:textId="1A16EAA4" w:rsidR="00076830" w:rsidRPr="00486075" w:rsidRDefault="00076830" w:rsidP="00216A0E">
      <w:pPr>
        <w:pStyle w:val="ListParagraph"/>
        <w:numPr>
          <w:ilvl w:val="1"/>
          <w:numId w:val="38"/>
        </w:numPr>
        <w:spacing w:after="120"/>
        <w:contextualSpacing w:val="0"/>
        <w:rPr>
          <w:rFonts w:ascii="Helvetica" w:hAnsi="Helvetica"/>
          <w:color w:val="000000" w:themeColor="text1"/>
        </w:rPr>
      </w:pPr>
      <w:r w:rsidRPr="00486075">
        <w:rPr>
          <w:rFonts w:ascii="Helvetica" w:hAnsi="Helvetica"/>
          <w:color w:val="000000" w:themeColor="text1"/>
        </w:rPr>
        <w:t xml:space="preserve">What steps/sequencing and timeframes would be appropriate to facilitate a smooth transition? </w:t>
      </w:r>
    </w:p>
    <w:p w14:paraId="4CAE1AC4" w14:textId="371B5BDA" w:rsidR="00076830" w:rsidRPr="00486075" w:rsidRDefault="00076830" w:rsidP="00216A0E">
      <w:pPr>
        <w:pStyle w:val="ListParagraph"/>
        <w:numPr>
          <w:ilvl w:val="1"/>
          <w:numId w:val="38"/>
        </w:numPr>
        <w:ind w:left="1077" w:hanging="357"/>
        <w:contextualSpacing w:val="0"/>
        <w:rPr>
          <w:rFonts w:ascii="Helvetica" w:hAnsi="Helvetica"/>
          <w:color w:val="000000" w:themeColor="text1"/>
        </w:rPr>
      </w:pPr>
      <w:r w:rsidRPr="00486075">
        <w:rPr>
          <w:rFonts w:ascii="Helvetica" w:hAnsi="Helvetica"/>
          <w:color w:val="000000" w:themeColor="text1"/>
        </w:rPr>
        <w:t>What specific supports or enablers would be required to ensure the changes are understood by all stakeholders and successfully implemented?</w:t>
      </w:r>
    </w:p>
    <w:p w14:paraId="4E45BE4C" w14:textId="7DB122DE" w:rsidR="00076830" w:rsidRPr="00486075" w:rsidRDefault="00076830" w:rsidP="00076830">
      <w:pPr>
        <w:pStyle w:val="ListParagraph"/>
        <w:pBdr>
          <w:bottom w:val="single" w:sz="36" w:space="1" w:color="00B0F0"/>
        </w:pBdr>
        <w:spacing w:after="120"/>
        <w:ind w:left="0"/>
        <w:contextualSpacing w:val="0"/>
        <w:rPr>
          <w:rFonts w:ascii="Helvetica" w:hAnsi="Helvetica"/>
          <w:sz w:val="2"/>
          <w:szCs w:val="2"/>
        </w:rPr>
      </w:pPr>
    </w:p>
    <w:p w14:paraId="64A2556E" w14:textId="12FD3E3F" w:rsidR="00076830" w:rsidRPr="00486075" w:rsidRDefault="00076830" w:rsidP="00076830">
      <w:pPr>
        <w:rPr>
          <w:rFonts w:ascii="Helvetica" w:hAnsi="Helvetica"/>
        </w:rPr>
      </w:pPr>
    </w:p>
    <w:p w14:paraId="42B44569" w14:textId="12B5F3B8" w:rsidR="00076830" w:rsidRPr="00486075" w:rsidRDefault="00076830" w:rsidP="00076830">
      <w:pPr>
        <w:rPr>
          <w:rFonts w:ascii="Helvetica" w:hAnsi="Helvetica"/>
        </w:rPr>
      </w:pPr>
      <w:r w:rsidRPr="00486075">
        <w:rPr>
          <w:rFonts w:ascii="Helvetica" w:hAnsi="Helvetica"/>
        </w:rPr>
        <w:br w:type="page"/>
      </w:r>
    </w:p>
    <w:p w14:paraId="18D7AEEE" w14:textId="4CF772F7" w:rsidR="000374D8" w:rsidRPr="00486075" w:rsidRDefault="00E00E1B" w:rsidP="00383D9B">
      <w:pPr>
        <w:pStyle w:val="Heading1Black"/>
      </w:pPr>
      <w:bookmarkStart w:id="60" w:name="_Toc31293684"/>
      <w:r w:rsidRPr="00486075">
        <w:lastRenderedPageBreak/>
        <w:t>Model 2</w:t>
      </w:r>
      <w:r w:rsidR="00E13E29" w:rsidRPr="00486075">
        <w:t xml:space="preserve">. </w:t>
      </w:r>
      <w:r w:rsidR="00F4786E" w:rsidRPr="00486075">
        <w:t>Assign r</w:t>
      </w:r>
      <w:r w:rsidR="00152FC3" w:rsidRPr="00486075">
        <w:t>esidential aged care places to consumers</w:t>
      </w:r>
      <w:bookmarkEnd w:id="60"/>
      <w:r w:rsidR="00056A86" w:rsidRPr="00486075">
        <w:t xml:space="preserve"> </w:t>
      </w:r>
    </w:p>
    <w:p w14:paraId="255E9583" w14:textId="632AFDCA" w:rsidR="003560C4" w:rsidRPr="00486075" w:rsidRDefault="003560C4" w:rsidP="00553BEF">
      <w:pPr>
        <w:pStyle w:val="Heading2"/>
      </w:pPr>
      <w:bookmarkStart w:id="61" w:name="_Toc31293685"/>
      <w:r w:rsidRPr="00486075">
        <w:t>Description of the model</w:t>
      </w:r>
      <w:bookmarkEnd w:id="61"/>
      <w:r w:rsidRPr="00486075">
        <w:t xml:space="preserve"> </w:t>
      </w:r>
    </w:p>
    <w:p w14:paraId="389A8D25" w14:textId="29DB607F" w:rsidR="00180D31" w:rsidRPr="00486075" w:rsidRDefault="00053297" w:rsidP="00BC684E">
      <w:pPr>
        <w:pBdr>
          <w:top w:val="single" w:sz="24" w:space="1" w:color="auto"/>
          <w:left w:val="single" w:sz="24" w:space="4" w:color="auto"/>
          <w:bottom w:val="single" w:sz="24" w:space="1" w:color="auto"/>
          <w:right w:val="single" w:sz="24" w:space="4" w:color="auto"/>
        </w:pBdr>
        <w:spacing w:after="120"/>
        <w:rPr>
          <w:rFonts w:ascii="Helvetica" w:hAnsi="Helvetica"/>
        </w:rPr>
      </w:pPr>
      <w:r w:rsidRPr="00486075">
        <w:rPr>
          <w:rFonts w:ascii="Helvetica" w:hAnsi="Helvetica"/>
        </w:rPr>
        <w:t xml:space="preserve">This </w:t>
      </w:r>
      <w:r w:rsidR="00350461" w:rsidRPr="00486075">
        <w:rPr>
          <w:rFonts w:ascii="Helvetica" w:hAnsi="Helvetica"/>
        </w:rPr>
        <w:t xml:space="preserve">reform option </w:t>
      </w:r>
      <w:r w:rsidRPr="00486075">
        <w:rPr>
          <w:rFonts w:ascii="Helvetica" w:hAnsi="Helvetica"/>
        </w:rPr>
        <w:t>proposes c</w:t>
      </w:r>
      <w:r w:rsidR="00DC2AFA" w:rsidRPr="00486075">
        <w:rPr>
          <w:rFonts w:ascii="Helvetica" w:hAnsi="Helvetica"/>
        </w:rPr>
        <w:t>easing</w:t>
      </w:r>
      <w:r w:rsidR="0011241B" w:rsidRPr="00486075">
        <w:rPr>
          <w:rFonts w:ascii="Helvetica" w:hAnsi="Helvetica"/>
        </w:rPr>
        <w:t xml:space="preserve"> the allocation of </w:t>
      </w:r>
      <w:r w:rsidR="00311F57" w:rsidRPr="00486075">
        <w:rPr>
          <w:rFonts w:ascii="Helvetica" w:hAnsi="Helvetica"/>
        </w:rPr>
        <w:t xml:space="preserve">residential aged care </w:t>
      </w:r>
      <w:r w:rsidR="0011241B" w:rsidRPr="00486075">
        <w:rPr>
          <w:rFonts w:ascii="Helvetica" w:hAnsi="Helvetica"/>
        </w:rPr>
        <w:t xml:space="preserve">places </w:t>
      </w:r>
      <w:r w:rsidR="00311F57" w:rsidRPr="00486075">
        <w:rPr>
          <w:rFonts w:ascii="Helvetica" w:hAnsi="Helvetica"/>
        </w:rPr>
        <w:t xml:space="preserve">to </w:t>
      </w:r>
      <w:r w:rsidR="00EA00AE" w:rsidRPr="00486075">
        <w:rPr>
          <w:rFonts w:ascii="Helvetica" w:hAnsi="Helvetica"/>
        </w:rPr>
        <w:t>a</w:t>
      </w:r>
      <w:r w:rsidR="0042601E" w:rsidRPr="00486075">
        <w:rPr>
          <w:rFonts w:ascii="Helvetica" w:hAnsi="Helvetica"/>
        </w:rPr>
        <w:t>n approved</w:t>
      </w:r>
      <w:r w:rsidR="00EA00AE" w:rsidRPr="00486075">
        <w:rPr>
          <w:rFonts w:ascii="Helvetica" w:hAnsi="Helvetica"/>
        </w:rPr>
        <w:t xml:space="preserve"> </w:t>
      </w:r>
      <w:r w:rsidR="00311F57" w:rsidRPr="00486075">
        <w:rPr>
          <w:rFonts w:ascii="Helvetica" w:hAnsi="Helvetica"/>
        </w:rPr>
        <w:t>provide</w:t>
      </w:r>
      <w:r w:rsidR="0042601E" w:rsidRPr="00486075">
        <w:rPr>
          <w:rFonts w:ascii="Helvetica" w:hAnsi="Helvetica"/>
        </w:rPr>
        <w:t>r</w:t>
      </w:r>
      <w:r w:rsidR="00224051" w:rsidRPr="00486075">
        <w:rPr>
          <w:rFonts w:ascii="Helvetica" w:hAnsi="Helvetica"/>
        </w:rPr>
        <w:t>, and instead a</w:t>
      </w:r>
      <w:r w:rsidR="00180D31" w:rsidRPr="00486075">
        <w:rPr>
          <w:rFonts w:ascii="Helvetica" w:hAnsi="Helvetica"/>
        </w:rPr>
        <w:t xml:space="preserve">ssigning </w:t>
      </w:r>
      <w:r w:rsidR="00FC468C" w:rsidRPr="00486075">
        <w:rPr>
          <w:rFonts w:ascii="Helvetica" w:hAnsi="Helvetica"/>
        </w:rPr>
        <w:t xml:space="preserve">a </w:t>
      </w:r>
      <w:r w:rsidR="00224051" w:rsidRPr="00486075">
        <w:rPr>
          <w:rFonts w:ascii="Helvetica" w:hAnsi="Helvetica"/>
        </w:rPr>
        <w:t xml:space="preserve">‘place’ to </w:t>
      </w:r>
      <w:r w:rsidR="0042601E" w:rsidRPr="00486075">
        <w:rPr>
          <w:rFonts w:ascii="Helvetica" w:hAnsi="Helvetica"/>
        </w:rPr>
        <w:t xml:space="preserve">a </w:t>
      </w:r>
      <w:r w:rsidR="00224051" w:rsidRPr="00486075">
        <w:rPr>
          <w:rFonts w:ascii="Helvetica" w:hAnsi="Helvetica"/>
        </w:rPr>
        <w:t>consumer</w:t>
      </w:r>
      <w:r w:rsidR="00EA00AE" w:rsidRPr="00486075">
        <w:rPr>
          <w:rFonts w:ascii="Helvetica" w:hAnsi="Helvetica"/>
        </w:rPr>
        <w:t xml:space="preserve">. </w:t>
      </w:r>
      <w:r w:rsidR="00180D31" w:rsidRPr="00486075">
        <w:rPr>
          <w:rFonts w:ascii="Helvetica" w:hAnsi="Helvetica"/>
        </w:rPr>
        <w:t xml:space="preserve">Consumers with an assigned residential aged care place </w:t>
      </w:r>
      <w:r w:rsidR="00EA00AE" w:rsidRPr="00486075">
        <w:rPr>
          <w:rFonts w:ascii="Helvetica" w:hAnsi="Helvetica"/>
        </w:rPr>
        <w:t>would be able to</w:t>
      </w:r>
      <w:r w:rsidR="00180D31" w:rsidRPr="00486075">
        <w:rPr>
          <w:rFonts w:ascii="Helvetica" w:hAnsi="Helvetica"/>
        </w:rPr>
        <w:t xml:space="preserve"> receive subsidised residential aged care from any approved provider </w:t>
      </w:r>
      <w:r w:rsidR="00EA00AE" w:rsidRPr="00486075">
        <w:rPr>
          <w:rFonts w:ascii="Helvetica" w:hAnsi="Helvetica"/>
        </w:rPr>
        <w:t>with</w:t>
      </w:r>
      <w:r w:rsidR="00180D31" w:rsidRPr="00486075">
        <w:rPr>
          <w:rFonts w:ascii="Helvetica" w:hAnsi="Helvetica"/>
        </w:rPr>
        <w:t xml:space="preserve"> an available bed in their aged care home</w:t>
      </w:r>
      <w:r w:rsidR="00EA00AE" w:rsidRPr="00486075">
        <w:rPr>
          <w:rFonts w:ascii="Helvetica" w:hAnsi="Helvetica"/>
        </w:rPr>
        <w:t xml:space="preserve"> (and is able to deliver the required care and services)</w:t>
      </w:r>
      <w:r w:rsidR="008D2B6B" w:rsidRPr="00486075">
        <w:rPr>
          <w:rFonts w:ascii="Helvetica" w:hAnsi="Helvetica"/>
        </w:rPr>
        <w:t>.</w:t>
      </w:r>
    </w:p>
    <w:p w14:paraId="1C259405" w14:textId="6EFD4F89" w:rsidR="002A2887" w:rsidRPr="00486075" w:rsidRDefault="00180D31" w:rsidP="00BC684E">
      <w:pPr>
        <w:pBdr>
          <w:top w:val="single" w:sz="24" w:space="1" w:color="auto"/>
          <w:left w:val="single" w:sz="24" w:space="4" w:color="auto"/>
          <w:bottom w:val="single" w:sz="24" w:space="1" w:color="auto"/>
          <w:right w:val="single" w:sz="24" w:space="4" w:color="auto"/>
        </w:pBdr>
        <w:spacing w:after="120"/>
        <w:rPr>
          <w:rFonts w:ascii="Helvetica" w:hAnsi="Helvetica"/>
        </w:rPr>
      </w:pPr>
      <w:r w:rsidRPr="00486075">
        <w:rPr>
          <w:rFonts w:ascii="Helvetica" w:hAnsi="Helvetica"/>
        </w:rPr>
        <w:t xml:space="preserve">Approved providers would no longer </w:t>
      </w:r>
      <w:r w:rsidR="00714B6C" w:rsidRPr="00486075">
        <w:rPr>
          <w:rFonts w:ascii="Helvetica" w:hAnsi="Helvetica"/>
        </w:rPr>
        <w:t>need to</w:t>
      </w:r>
      <w:r w:rsidRPr="00486075">
        <w:rPr>
          <w:rFonts w:ascii="Helvetica" w:hAnsi="Helvetica"/>
        </w:rPr>
        <w:t xml:space="preserve"> obtain places through the ACAR or through tran</w:t>
      </w:r>
      <w:r w:rsidR="009D171A" w:rsidRPr="00486075">
        <w:rPr>
          <w:rFonts w:ascii="Helvetica" w:hAnsi="Helvetica"/>
        </w:rPr>
        <w:t>sfer from other providers in order to deliver residential aged care</w:t>
      </w:r>
      <w:r w:rsidR="008D2B6B" w:rsidRPr="00486075">
        <w:rPr>
          <w:rFonts w:ascii="Helvetica" w:hAnsi="Helvetica"/>
        </w:rPr>
        <w:t xml:space="preserve">. </w:t>
      </w:r>
      <w:r w:rsidR="009D171A" w:rsidRPr="00486075">
        <w:rPr>
          <w:rFonts w:ascii="Helvetica" w:hAnsi="Helvetica"/>
        </w:rPr>
        <w:t>P</w:t>
      </w:r>
      <w:r w:rsidR="004D4055" w:rsidRPr="00486075">
        <w:rPr>
          <w:rFonts w:ascii="Helvetica" w:hAnsi="Helvetica"/>
        </w:rPr>
        <w:t xml:space="preserve">ayment of </w:t>
      </w:r>
      <w:r w:rsidR="00FC468C" w:rsidRPr="00486075">
        <w:rPr>
          <w:rFonts w:ascii="Helvetica" w:hAnsi="Helvetica"/>
        </w:rPr>
        <w:t xml:space="preserve">the </w:t>
      </w:r>
      <w:r w:rsidR="004D4055" w:rsidRPr="00486075">
        <w:rPr>
          <w:rFonts w:ascii="Helvetica" w:hAnsi="Helvetica"/>
        </w:rPr>
        <w:t>residential aged care subsidy w</w:t>
      </w:r>
      <w:r w:rsidR="00714B6C" w:rsidRPr="00486075">
        <w:rPr>
          <w:rFonts w:ascii="Helvetica" w:hAnsi="Helvetica"/>
        </w:rPr>
        <w:t>ould</w:t>
      </w:r>
      <w:r w:rsidR="004D4055" w:rsidRPr="00486075">
        <w:rPr>
          <w:rFonts w:ascii="Helvetica" w:hAnsi="Helvetica"/>
        </w:rPr>
        <w:t xml:space="preserve"> no longer be linked to the provider holding an allocated place</w:t>
      </w:r>
      <w:r w:rsidRPr="00486075">
        <w:rPr>
          <w:rFonts w:ascii="Helvetica" w:hAnsi="Helvetica"/>
        </w:rPr>
        <w:t xml:space="preserve"> occupied by a consumer</w:t>
      </w:r>
      <w:r w:rsidR="00714B6C" w:rsidRPr="00486075">
        <w:rPr>
          <w:rFonts w:ascii="Helvetica" w:hAnsi="Helvetica"/>
        </w:rPr>
        <w:t>, but rather be contingent upon</w:t>
      </w:r>
      <w:r w:rsidRPr="00486075">
        <w:rPr>
          <w:rFonts w:ascii="Helvetica" w:hAnsi="Helvetica"/>
        </w:rPr>
        <w:t xml:space="preserve"> a</w:t>
      </w:r>
      <w:r w:rsidR="00714B6C" w:rsidRPr="00486075">
        <w:rPr>
          <w:rFonts w:ascii="Helvetica" w:hAnsi="Helvetica"/>
        </w:rPr>
        <w:t xml:space="preserve"> consumer </w:t>
      </w:r>
      <w:r w:rsidRPr="00486075">
        <w:rPr>
          <w:rFonts w:ascii="Helvetica" w:hAnsi="Helvetica"/>
        </w:rPr>
        <w:t xml:space="preserve">with an assigned place </w:t>
      </w:r>
      <w:r w:rsidR="009D171A" w:rsidRPr="00486075">
        <w:rPr>
          <w:rFonts w:ascii="Helvetica" w:hAnsi="Helvetica"/>
        </w:rPr>
        <w:t>accessing a</w:t>
      </w:r>
      <w:r w:rsidR="00714B6C" w:rsidRPr="00486075">
        <w:rPr>
          <w:rFonts w:ascii="Helvetica" w:hAnsi="Helvetica"/>
        </w:rPr>
        <w:t xml:space="preserve"> bed in the provider</w:t>
      </w:r>
      <w:r w:rsidRPr="00486075">
        <w:rPr>
          <w:rFonts w:ascii="Helvetica" w:hAnsi="Helvetica"/>
        </w:rPr>
        <w:t>’</w:t>
      </w:r>
      <w:r w:rsidR="00714B6C" w:rsidRPr="00486075">
        <w:rPr>
          <w:rFonts w:ascii="Helvetica" w:hAnsi="Helvetica"/>
        </w:rPr>
        <w:t xml:space="preserve">s aged care home. </w:t>
      </w:r>
    </w:p>
    <w:p w14:paraId="68AC338B" w14:textId="77777777" w:rsidR="00BC684E" w:rsidRPr="00486075" w:rsidRDefault="00BC684E" w:rsidP="00BC684E">
      <w:pPr>
        <w:pBdr>
          <w:top w:val="single" w:sz="24" w:space="1" w:color="auto"/>
          <w:left w:val="single" w:sz="24" w:space="4" w:color="auto"/>
          <w:bottom w:val="single" w:sz="24" w:space="1" w:color="auto"/>
          <w:right w:val="single" w:sz="24" w:space="4" w:color="auto"/>
        </w:pBdr>
        <w:spacing w:after="120"/>
        <w:rPr>
          <w:rFonts w:ascii="Helvetica" w:hAnsi="Helvetica"/>
          <w:sz w:val="2"/>
          <w:szCs w:val="2"/>
        </w:rPr>
      </w:pPr>
    </w:p>
    <w:p w14:paraId="31425063" w14:textId="08AB4597" w:rsidR="00BD10B2" w:rsidRPr="00486075" w:rsidRDefault="00BD10B2" w:rsidP="00553BEF">
      <w:pPr>
        <w:pStyle w:val="Heading2"/>
      </w:pPr>
      <w:bookmarkStart w:id="62" w:name="_Toc31293686"/>
      <w:r w:rsidRPr="00486075">
        <w:t>From the consumers’ perspective</w:t>
      </w:r>
      <w:bookmarkEnd w:id="62"/>
    </w:p>
    <w:p w14:paraId="5812A73A" w14:textId="5803C6D8" w:rsidR="00BD10B2" w:rsidRPr="00486075" w:rsidRDefault="00BD10B2" w:rsidP="00FE4808">
      <w:pPr>
        <w:spacing w:after="120"/>
        <w:rPr>
          <w:rFonts w:ascii="Helvetica" w:hAnsi="Helvetica"/>
        </w:rPr>
      </w:pPr>
      <w:r w:rsidRPr="00486075">
        <w:rPr>
          <w:rFonts w:ascii="Helvetica" w:hAnsi="Helvetica"/>
        </w:rPr>
        <w:t>In order to receive subsidised residential aged care</w:t>
      </w:r>
      <w:r w:rsidR="00F8349B" w:rsidRPr="00486075">
        <w:rPr>
          <w:rFonts w:ascii="Helvetica" w:hAnsi="Helvetica"/>
        </w:rPr>
        <w:t xml:space="preserve"> </w:t>
      </w:r>
      <w:r w:rsidRPr="00486075">
        <w:rPr>
          <w:rFonts w:ascii="Helvetica" w:hAnsi="Helvetica"/>
        </w:rPr>
        <w:t>under this model, a person must:</w:t>
      </w:r>
    </w:p>
    <w:p w14:paraId="5EA63DED" w14:textId="77777777" w:rsidR="00BD10B2" w:rsidRPr="00486075" w:rsidRDefault="00BD10B2" w:rsidP="00BE04C2">
      <w:pPr>
        <w:pStyle w:val="ListParagraph"/>
        <w:numPr>
          <w:ilvl w:val="0"/>
          <w:numId w:val="7"/>
        </w:numPr>
        <w:spacing w:after="120"/>
        <w:ind w:left="771" w:hanging="357"/>
        <w:contextualSpacing w:val="0"/>
        <w:rPr>
          <w:rFonts w:ascii="Helvetica" w:hAnsi="Helvetica"/>
        </w:rPr>
      </w:pPr>
      <w:r w:rsidRPr="00486075">
        <w:rPr>
          <w:rFonts w:ascii="Helvetica" w:hAnsi="Helvetica"/>
        </w:rPr>
        <w:t>be registered with</w:t>
      </w:r>
      <w:r w:rsidR="000C0D40" w:rsidRPr="00486075">
        <w:rPr>
          <w:rFonts w:ascii="Helvetica" w:hAnsi="Helvetica"/>
        </w:rPr>
        <w:t xml:space="preserve"> My Aged Care</w:t>
      </w:r>
      <w:r w:rsidRPr="00486075">
        <w:rPr>
          <w:rFonts w:ascii="Helvetica" w:hAnsi="Helvetica"/>
        </w:rPr>
        <w:t xml:space="preserve"> and assessed as</w:t>
      </w:r>
      <w:r w:rsidR="002A388B" w:rsidRPr="00486075">
        <w:rPr>
          <w:rFonts w:ascii="Helvetica" w:hAnsi="Helvetica"/>
        </w:rPr>
        <w:t xml:space="preserve"> </w:t>
      </w:r>
      <w:r w:rsidR="000C0D40" w:rsidRPr="00486075">
        <w:rPr>
          <w:rFonts w:ascii="Helvetica" w:hAnsi="Helvetica"/>
        </w:rPr>
        <w:t xml:space="preserve">being </w:t>
      </w:r>
      <w:r w:rsidRPr="00486075">
        <w:rPr>
          <w:rFonts w:ascii="Helvetica" w:hAnsi="Helvetica"/>
        </w:rPr>
        <w:t>eligible for subsidised residential aged care</w:t>
      </w:r>
      <w:r w:rsidR="00C835FD" w:rsidRPr="00486075">
        <w:rPr>
          <w:rFonts w:ascii="Helvetica" w:hAnsi="Helvetica"/>
        </w:rPr>
        <w:t>;</w:t>
      </w:r>
      <w:r w:rsidR="002A388B" w:rsidRPr="00486075">
        <w:rPr>
          <w:rFonts w:ascii="Helvetica" w:hAnsi="Helvetica"/>
        </w:rPr>
        <w:t xml:space="preserve"> </w:t>
      </w:r>
    </w:p>
    <w:p w14:paraId="2AA28F7B" w14:textId="0FA2F3B8" w:rsidR="008714D0" w:rsidRPr="00486075" w:rsidRDefault="008714D0" w:rsidP="00BE04C2">
      <w:pPr>
        <w:pStyle w:val="ListParagraph"/>
        <w:numPr>
          <w:ilvl w:val="0"/>
          <w:numId w:val="7"/>
        </w:numPr>
        <w:spacing w:after="120"/>
        <w:ind w:left="771" w:hanging="357"/>
        <w:contextualSpacing w:val="0"/>
        <w:rPr>
          <w:rFonts w:ascii="Helvetica" w:hAnsi="Helvetica"/>
        </w:rPr>
      </w:pPr>
      <w:r w:rsidRPr="00486075">
        <w:rPr>
          <w:rFonts w:ascii="Helvetica" w:hAnsi="Helvetica"/>
        </w:rPr>
        <w:t xml:space="preserve">be </w:t>
      </w:r>
      <w:r w:rsidR="0042601E" w:rsidRPr="00486075">
        <w:rPr>
          <w:rFonts w:ascii="Helvetica" w:hAnsi="Helvetica"/>
        </w:rPr>
        <w:t>included in</w:t>
      </w:r>
      <w:r w:rsidRPr="00486075">
        <w:rPr>
          <w:rFonts w:ascii="Helvetica" w:hAnsi="Helvetica"/>
        </w:rPr>
        <w:t xml:space="preserve"> a queue by way of a prioritisation framework</w:t>
      </w:r>
      <w:r w:rsidR="00C835FD" w:rsidRPr="00486075">
        <w:rPr>
          <w:rFonts w:ascii="Helvetica" w:hAnsi="Helvetica"/>
        </w:rPr>
        <w:t>;</w:t>
      </w:r>
      <w:r w:rsidRPr="00486075">
        <w:rPr>
          <w:rFonts w:ascii="Helvetica" w:hAnsi="Helvetica"/>
        </w:rPr>
        <w:t xml:space="preserve"> </w:t>
      </w:r>
    </w:p>
    <w:p w14:paraId="3967281E" w14:textId="77777777" w:rsidR="00BD10B2" w:rsidRPr="00486075" w:rsidRDefault="00BD10B2" w:rsidP="00BE04C2">
      <w:pPr>
        <w:pStyle w:val="ListParagraph"/>
        <w:numPr>
          <w:ilvl w:val="0"/>
          <w:numId w:val="7"/>
        </w:numPr>
        <w:spacing w:after="120"/>
        <w:ind w:left="771" w:hanging="357"/>
        <w:contextualSpacing w:val="0"/>
        <w:rPr>
          <w:rFonts w:ascii="Helvetica" w:hAnsi="Helvetica"/>
        </w:rPr>
      </w:pPr>
      <w:r w:rsidRPr="00486075">
        <w:rPr>
          <w:rFonts w:ascii="Helvetica" w:hAnsi="Helvetica"/>
        </w:rPr>
        <w:t>be assigned a residential aged care place</w:t>
      </w:r>
      <w:r w:rsidR="00C835FD" w:rsidRPr="00486075">
        <w:rPr>
          <w:rFonts w:ascii="Helvetica" w:hAnsi="Helvetica"/>
        </w:rPr>
        <w:t>; and</w:t>
      </w:r>
      <w:r w:rsidRPr="00486075">
        <w:rPr>
          <w:rFonts w:ascii="Helvetica" w:hAnsi="Helvetica"/>
        </w:rPr>
        <w:t xml:space="preserve"> </w:t>
      </w:r>
    </w:p>
    <w:p w14:paraId="457AD6D9" w14:textId="77777777" w:rsidR="00C342BE" w:rsidRPr="00486075" w:rsidRDefault="00BD10B2" w:rsidP="00BE04C2">
      <w:pPr>
        <w:pStyle w:val="ListParagraph"/>
        <w:numPr>
          <w:ilvl w:val="0"/>
          <w:numId w:val="7"/>
        </w:numPr>
        <w:spacing w:after="120"/>
        <w:ind w:left="771" w:hanging="357"/>
        <w:contextualSpacing w:val="0"/>
        <w:rPr>
          <w:rFonts w:ascii="Helvetica" w:hAnsi="Helvetica"/>
        </w:rPr>
      </w:pPr>
      <w:r w:rsidRPr="00486075">
        <w:rPr>
          <w:rFonts w:ascii="Helvetica" w:hAnsi="Helvetica"/>
        </w:rPr>
        <w:t xml:space="preserve">find an approved provider </w:t>
      </w:r>
      <w:r w:rsidR="00224051" w:rsidRPr="00486075">
        <w:rPr>
          <w:rFonts w:ascii="Helvetica" w:hAnsi="Helvetica"/>
        </w:rPr>
        <w:t xml:space="preserve">of their choice </w:t>
      </w:r>
      <w:r w:rsidRPr="00486075">
        <w:rPr>
          <w:rFonts w:ascii="Helvetica" w:hAnsi="Helvetica"/>
        </w:rPr>
        <w:t>with a vacan</w:t>
      </w:r>
      <w:r w:rsidR="00D644D7" w:rsidRPr="00486075">
        <w:rPr>
          <w:rFonts w:ascii="Helvetica" w:hAnsi="Helvetica"/>
        </w:rPr>
        <w:t xml:space="preserve">cy </w:t>
      </w:r>
      <w:r w:rsidRPr="00486075">
        <w:rPr>
          <w:rFonts w:ascii="Helvetica" w:hAnsi="Helvetica"/>
        </w:rPr>
        <w:t xml:space="preserve">and be offered that </w:t>
      </w:r>
      <w:r w:rsidR="00D644D7" w:rsidRPr="00486075">
        <w:rPr>
          <w:rFonts w:ascii="Helvetica" w:hAnsi="Helvetica"/>
        </w:rPr>
        <w:t>vacancy</w:t>
      </w:r>
      <w:r w:rsidR="00C835FD" w:rsidRPr="00486075">
        <w:rPr>
          <w:rFonts w:ascii="Helvetica" w:hAnsi="Helvetica"/>
        </w:rPr>
        <w:t>.</w:t>
      </w:r>
    </w:p>
    <w:p w14:paraId="14911568" w14:textId="23C70D91" w:rsidR="00BD10B2" w:rsidRPr="00486075" w:rsidRDefault="00587087" w:rsidP="00553BEF">
      <w:pPr>
        <w:pStyle w:val="Heading2"/>
      </w:pPr>
      <w:bookmarkStart w:id="63" w:name="_Toc31293687"/>
      <w:r w:rsidRPr="00486075">
        <w:t xml:space="preserve">Key </w:t>
      </w:r>
      <w:r w:rsidR="00AD01F6" w:rsidRPr="00486075">
        <w:t xml:space="preserve">design </w:t>
      </w:r>
      <w:r w:rsidRPr="00486075">
        <w:t>considerations</w:t>
      </w:r>
      <w:r w:rsidR="00BE04C2" w:rsidRPr="00486075">
        <w:t xml:space="preserve"> (consumers)</w:t>
      </w:r>
      <w:bookmarkEnd w:id="63"/>
    </w:p>
    <w:p w14:paraId="1CEEF0B4" w14:textId="0CA17C0B" w:rsidR="007C4B4B" w:rsidRPr="00486075" w:rsidRDefault="007C4B4B" w:rsidP="001B6A24">
      <w:pPr>
        <w:pStyle w:val="Heading3"/>
      </w:pPr>
      <w:bookmarkStart w:id="64" w:name="_Toc31293688"/>
      <w:r w:rsidRPr="00486075">
        <w:t>Creation of a queue</w:t>
      </w:r>
      <w:bookmarkEnd w:id="64"/>
      <w:r w:rsidR="001D736F" w:rsidRPr="00486075">
        <w:t xml:space="preserve"> </w:t>
      </w:r>
    </w:p>
    <w:p w14:paraId="1594EC87" w14:textId="77777777" w:rsidR="00516B91" w:rsidRPr="00486075" w:rsidRDefault="00935CBF" w:rsidP="00AA0F45">
      <w:pPr>
        <w:spacing w:after="120"/>
        <w:rPr>
          <w:rFonts w:ascii="Helvetica" w:hAnsi="Helvetica"/>
          <w:i/>
          <w:color w:val="000000" w:themeColor="text1"/>
        </w:rPr>
      </w:pPr>
      <w:r w:rsidRPr="00486075">
        <w:rPr>
          <w:rFonts w:ascii="Helvetica" w:hAnsi="Helvetica"/>
          <w:i/>
          <w:color w:val="000000" w:themeColor="text1"/>
        </w:rPr>
        <w:t>Pressure points with the h</w:t>
      </w:r>
      <w:r w:rsidR="00516B91" w:rsidRPr="00486075">
        <w:rPr>
          <w:rFonts w:ascii="Helvetica" w:hAnsi="Helvetica"/>
          <w:i/>
          <w:color w:val="000000" w:themeColor="text1"/>
        </w:rPr>
        <w:t xml:space="preserve">ome care </w:t>
      </w:r>
      <w:r w:rsidR="00660690" w:rsidRPr="00486075">
        <w:rPr>
          <w:rFonts w:ascii="Helvetica" w:hAnsi="Helvetica"/>
          <w:i/>
          <w:color w:val="000000" w:themeColor="text1"/>
        </w:rPr>
        <w:t>prioritisation system</w:t>
      </w:r>
    </w:p>
    <w:p w14:paraId="0D42C74B" w14:textId="133082C7" w:rsidR="002320CC" w:rsidRPr="00486075" w:rsidRDefault="00153A22" w:rsidP="00AA0F45">
      <w:pPr>
        <w:spacing w:after="120"/>
        <w:rPr>
          <w:rFonts w:ascii="Helvetica" w:hAnsi="Helvetica"/>
          <w:color w:val="000000" w:themeColor="text1"/>
        </w:rPr>
      </w:pPr>
      <w:r w:rsidRPr="00486075">
        <w:rPr>
          <w:rFonts w:ascii="Helvetica" w:hAnsi="Helvetica"/>
        </w:rPr>
        <w:t xml:space="preserve">In home care, there is a national prioritisation </w:t>
      </w:r>
      <w:r w:rsidR="00660690" w:rsidRPr="00486075">
        <w:rPr>
          <w:rFonts w:ascii="Helvetica" w:hAnsi="Helvetica"/>
        </w:rPr>
        <w:t>system used to assign</w:t>
      </w:r>
      <w:r w:rsidRPr="00486075">
        <w:rPr>
          <w:rFonts w:ascii="Helvetica" w:hAnsi="Helvetica"/>
        </w:rPr>
        <w:t xml:space="preserve"> packages. </w:t>
      </w:r>
      <w:r w:rsidR="00516B91" w:rsidRPr="00486075">
        <w:rPr>
          <w:rFonts w:ascii="Helvetica" w:hAnsi="Helvetica"/>
        </w:rPr>
        <w:t>T</w:t>
      </w:r>
      <w:r w:rsidRPr="00486075">
        <w:rPr>
          <w:rFonts w:ascii="Helvetica" w:hAnsi="Helvetica"/>
        </w:rPr>
        <w:t xml:space="preserve">he establishment of a national </w:t>
      </w:r>
      <w:r w:rsidR="00660690" w:rsidRPr="00486075">
        <w:rPr>
          <w:rFonts w:ascii="Helvetica" w:hAnsi="Helvetica"/>
        </w:rPr>
        <w:t xml:space="preserve">system </w:t>
      </w:r>
      <w:r w:rsidRPr="00486075">
        <w:rPr>
          <w:rFonts w:ascii="Helvetica" w:hAnsi="Helvetica"/>
        </w:rPr>
        <w:t xml:space="preserve">has enabled the centralisation of information, </w:t>
      </w:r>
      <w:r w:rsidR="0042601E" w:rsidRPr="00486075">
        <w:rPr>
          <w:rFonts w:ascii="Helvetica" w:hAnsi="Helvetica"/>
        </w:rPr>
        <w:t xml:space="preserve">thus </w:t>
      </w:r>
      <w:r w:rsidRPr="00486075">
        <w:rPr>
          <w:rFonts w:ascii="Helvetica" w:hAnsi="Helvetica"/>
        </w:rPr>
        <w:t>providing greater visibility of overall demand levels for the first tim</w:t>
      </w:r>
      <w:r w:rsidR="00516B91" w:rsidRPr="00486075">
        <w:rPr>
          <w:rFonts w:ascii="Helvetica" w:hAnsi="Helvetica"/>
        </w:rPr>
        <w:t>e</w:t>
      </w:r>
      <w:r w:rsidR="00660690" w:rsidRPr="00486075">
        <w:rPr>
          <w:rFonts w:ascii="Helvetica" w:hAnsi="Helvetica"/>
        </w:rPr>
        <w:t>, and packages to be assigned more equitably, not based on location</w:t>
      </w:r>
      <w:r w:rsidR="00516B91" w:rsidRPr="00486075">
        <w:rPr>
          <w:rFonts w:ascii="Helvetica" w:hAnsi="Helvetica"/>
        </w:rPr>
        <w:t>. However</w:t>
      </w:r>
      <w:r w:rsidRPr="00486075">
        <w:rPr>
          <w:rFonts w:ascii="Helvetica" w:hAnsi="Helvetica"/>
        </w:rPr>
        <w:t>, it is not without some significant pressure points. As the supply of packages is capped</w:t>
      </w:r>
      <w:r w:rsidR="00660690" w:rsidRPr="00486075">
        <w:rPr>
          <w:rFonts w:ascii="Helvetica" w:hAnsi="Helvetica"/>
        </w:rPr>
        <w:t xml:space="preserve"> in line with available budget</w:t>
      </w:r>
      <w:r w:rsidRPr="00486075">
        <w:rPr>
          <w:rFonts w:ascii="Helvetica" w:hAnsi="Helvetica"/>
        </w:rPr>
        <w:t xml:space="preserve"> and demand for home care continues to increase, at any given time there are consumers waiting for access to a home care package. </w:t>
      </w:r>
    </w:p>
    <w:p w14:paraId="55E45053" w14:textId="1DEAC409" w:rsidR="002320CC" w:rsidRPr="00486075" w:rsidRDefault="002320CC" w:rsidP="00AA0F45">
      <w:pPr>
        <w:spacing w:after="120"/>
        <w:rPr>
          <w:rFonts w:ascii="Helvetica" w:hAnsi="Helvetica"/>
          <w:i/>
          <w:color w:val="000000" w:themeColor="text1"/>
        </w:rPr>
      </w:pPr>
      <w:r w:rsidRPr="00486075">
        <w:rPr>
          <w:rFonts w:ascii="Helvetica" w:hAnsi="Helvetica"/>
          <w:i/>
          <w:color w:val="000000" w:themeColor="text1"/>
        </w:rPr>
        <w:t>Unmet demand and actual wait times for residential aged care are unknown</w:t>
      </w:r>
    </w:p>
    <w:p w14:paraId="32EA7651" w14:textId="2EDFB895" w:rsidR="007071BD" w:rsidRPr="00486075" w:rsidRDefault="00B53D12" w:rsidP="0056003C">
      <w:pPr>
        <w:spacing w:after="120"/>
        <w:rPr>
          <w:rFonts w:ascii="Helvetica" w:hAnsi="Helvetica"/>
          <w:color w:val="000000" w:themeColor="text1"/>
        </w:rPr>
      </w:pPr>
      <w:r w:rsidRPr="00486075">
        <w:rPr>
          <w:rFonts w:ascii="Helvetica" w:hAnsi="Helvetica"/>
          <w:color w:val="000000" w:themeColor="text1"/>
        </w:rPr>
        <w:t>T</w:t>
      </w:r>
      <w:r w:rsidR="00167B1B" w:rsidRPr="00486075">
        <w:rPr>
          <w:rFonts w:ascii="Helvetica" w:hAnsi="Helvetica"/>
          <w:color w:val="000000" w:themeColor="text1"/>
        </w:rPr>
        <w:t xml:space="preserve">here is limited visibility of actual demand and wait times for residential aged care. </w:t>
      </w:r>
      <w:r w:rsidR="00D8042F" w:rsidRPr="00486075">
        <w:rPr>
          <w:rFonts w:ascii="Helvetica" w:hAnsi="Helvetica"/>
          <w:color w:val="000000" w:themeColor="text1"/>
        </w:rPr>
        <w:t>In 2017</w:t>
      </w:r>
      <w:r w:rsidR="00ED3F6A" w:rsidRPr="00486075">
        <w:rPr>
          <w:rFonts w:ascii="Helvetica" w:hAnsi="Helvetica"/>
          <w:color w:val="000000" w:themeColor="text1"/>
        </w:rPr>
        <w:noBreakHyphen/>
      </w:r>
      <w:r w:rsidR="00D8042F" w:rsidRPr="00486075">
        <w:rPr>
          <w:rFonts w:ascii="Helvetica" w:hAnsi="Helvetica"/>
          <w:color w:val="000000" w:themeColor="text1"/>
        </w:rPr>
        <w:t>18, there were 119,638 people approved as being eligible for residential aged care</w:t>
      </w:r>
      <w:r w:rsidR="00ED3F6A" w:rsidRPr="00486075">
        <w:rPr>
          <w:rFonts w:ascii="Helvetica" w:hAnsi="Helvetica"/>
          <w:color w:val="000000" w:themeColor="text1"/>
        </w:rPr>
        <w:t xml:space="preserve"> compared with</w:t>
      </w:r>
      <w:r w:rsidR="00D8042F" w:rsidRPr="00486075">
        <w:rPr>
          <w:rFonts w:ascii="Helvetica" w:hAnsi="Helvetica"/>
          <w:color w:val="000000" w:themeColor="text1"/>
        </w:rPr>
        <w:t xml:space="preserve"> only 61,997 first admissions to residential aged care that same year</w:t>
      </w:r>
      <w:r w:rsidR="00ED3F6A" w:rsidRPr="00486075">
        <w:rPr>
          <w:rStyle w:val="FootnoteReference"/>
          <w:rFonts w:ascii="Helvetica" w:hAnsi="Helvetica"/>
          <w:color w:val="000000" w:themeColor="text1"/>
        </w:rPr>
        <w:footnoteReference w:id="28"/>
      </w:r>
      <w:r w:rsidR="00D8042F" w:rsidRPr="00486075">
        <w:rPr>
          <w:rFonts w:ascii="Helvetica" w:hAnsi="Helvetica"/>
          <w:color w:val="000000" w:themeColor="text1"/>
        </w:rPr>
        <w:t xml:space="preserve">. </w:t>
      </w:r>
      <w:r w:rsidR="00847AFE" w:rsidRPr="00486075">
        <w:rPr>
          <w:rFonts w:ascii="Helvetica" w:hAnsi="Helvetica"/>
          <w:color w:val="000000" w:themeColor="text1"/>
        </w:rPr>
        <w:t xml:space="preserve">That is, the number of people approved for residential aged care does not necessarily reflect </w:t>
      </w:r>
      <w:r w:rsidR="00465354" w:rsidRPr="00486075">
        <w:rPr>
          <w:rFonts w:ascii="Helvetica" w:hAnsi="Helvetica"/>
          <w:color w:val="000000" w:themeColor="text1"/>
        </w:rPr>
        <w:t xml:space="preserve">the number of people who are currently actively seeking to enter an aged care home. </w:t>
      </w:r>
      <w:r w:rsidR="00847AFE" w:rsidRPr="00486075">
        <w:rPr>
          <w:rFonts w:ascii="Helvetica" w:hAnsi="Helvetica"/>
          <w:color w:val="000000" w:themeColor="text1"/>
        </w:rPr>
        <w:t xml:space="preserve"> For example, </w:t>
      </w:r>
      <w:r w:rsidR="007071BD" w:rsidRPr="00486075">
        <w:rPr>
          <w:rFonts w:ascii="Helvetica" w:hAnsi="Helvetica"/>
        </w:rPr>
        <w:t xml:space="preserve">at 31 December 2018, 96,000 </w:t>
      </w:r>
      <w:r w:rsidR="00847AFE" w:rsidRPr="00486075">
        <w:rPr>
          <w:rFonts w:ascii="Helvetica" w:hAnsi="Helvetica"/>
        </w:rPr>
        <w:t xml:space="preserve">people waiting for a home care package at their approved level also had an approval for </w:t>
      </w:r>
      <w:r w:rsidR="007071BD" w:rsidRPr="00486075">
        <w:rPr>
          <w:rFonts w:ascii="Helvetica" w:hAnsi="Helvetica"/>
        </w:rPr>
        <w:t>residential aged care</w:t>
      </w:r>
      <w:r w:rsidR="00040C83" w:rsidRPr="00486075">
        <w:rPr>
          <w:rStyle w:val="FootnoteReference"/>
          <w:rFonts w:ascii="Helvetica" w:hAnsi="Helvetica"/>
        </w:rPr>
        <w:footnoteReference w:id="29"/>
      </w:r>
      <w:r w:rsidR="007071BD" w:rsidRPr="00486075">
        <w:rPr>
          <w:rFonts w:ascii="Helvetica" w:hAnsi="Helvetica"/>
        </w:rPr>
        <w:t>.</w:t>
      </w:r>
      <w:r w:rsidR="00ED3F6A" w:rsidRPr="00486075">
        <w:rPr>
          <w:rFonts w:ascii="Helvetica" w:hAnsi="Helvetica"/>
          <w:color w:val="000000" w:themeColor="text1"/>
        </w:rPr>
        <w:t xml:space="preserve"> </w:t>
      </w:r>
    </w:p>
    <w:p w14:paraId="67C9C60F" w14:textId="6632078B" w:rsidR="00870F68" w:rsidRPr="00486075" w:rsidRDefault="00167B1B" w:rsidP="0056003C">
      <w:pPr>
        <w:spacing w:after="120"/>
        <w:rPr>
          <w:rFonts w:ascii="Helvetica" w:hAnsi="Helvetica"/>
        </w:rPr>
      </w:pPr>
      <w:r w:rsidRPr="00486075">
        <w:rPr>
          <w:rFonts w:ascii="Helvetica" w:hAnsi="Helvetica"/>
          <w:color w:val="000000" w:themeColor="text1"/>
        </w:rPr>
        <w:lastRenderedPageBreak/>
        <w:t>As a proxy for wait times</w:t>
      </w:r>
      <w:r w:rsidRPr="00486075">
        <w:rPr>
          <w:rStyle w:val="FootnoteReference"/>
          <w:rFonts w:ascii="Helvetica" w:hAnsi="Helvetica"/>
          <w:color w:val="000000" w:themeColor="text1"/>
        </w:rPr>
        <w:footnoteReference w:id="30"/>
      </w:r>
      <w:r w:rsidR="007071BD" w:rsidRPr="00486075">
        <w:rPr>
          <w:rFonts w:ascii="Helvetica" w:hAnsi="Helvetica"/>
          <w:color w:val="000000" w:themeColor="text1"/>
        </w:rPr>
        <w:t xml:space="preserve"> for residential aged care</w:t>
      </w:r>
      <w:r w:rsidRPr="00486075">
        <w:rPr>
          <w:rFonts w:ascii="Helvetica" w:hAnsi="Helvetica"/>
          <w:color w:val="000000" w:themeColor="text1"/>
        </w:rPr>
        <w:t>,</w:t>
      </w:r>
      <w:r w:rsidRPr="00486075">
        <w:rPr>
          <w:rFonts w:ascii="Helvetica" w:hAnsi="Helvetica"/>
          <w:color w:val="000000" w:themeColor="text1"/>
          <w:szCs w:val="28"/>
          <w:lang w:val="en"/>
        </w:rPr>
        <w:t xml:space="preserve"> i</w:t>
      </w:r>
      <w:r w:rsidRPr="00486075">
        <w:rPr>
          <w:rFonts w:ascii="Helvetica" w:hAnsi="Helvetica"/>
          <w:color w:val="000000" w:themeColor="text1"/>
        </w:rPr>
        <w:t>n 2017</w:t>
      </w:r>
      <w:r w:rsidR="00516B91" w:rsidRPr="00486075">
        <w:rPr>
          <w:rFonts w:ascii="Helvetica" w:hAnsi="Helvetica"/>
          <w:color w:val="000000" w:themeColor="text1"/>
        </w:rPr>
        <w:noBreakHyphen/>
      </w:r>
      <w:r w:rsidRPr="00486075">
        <w:rPr>
          <w:rFonts w:ascii="Helvetica" w:hAnsi="Helvetica"/>
          <w:color w:val="000000" w:themeColor="text1"/>
        </w:rPr>
        <w:t>18</w:t>
      </w:r>
      <w:r w:rsidR="00516B91" w:rsidRPr="00486075">
        <w:rPr>
          <w:rFonts w:ascii="Helvetica" w:hAnsi="Helvetica"/>
          <w:color w:val="000000" w:themeColor="text1"/>
        </w:rPr>
        <w:t xml:space="preserve"> the</w:t>
      </w:r>
      <w:r w:rsidRPr="00486075">
        <w:rPr>
          <w:rFonts w:ascii="Helvetica" w:hAnsi="Helvetica"/>
          <w:color w:val="000000" w:themeColor="text1"/>
        </w:rPr>
        <w:t xml:space="preserve"> </w:t>
      </w:r>
      <w:r w:rsidR="00516B91" w:rsidRPr="00486075">
        <w:rPr>
          <w:rFonts w:ascii="Helvetica" w:hAnsi="Helvetica"/>
          <w:color w:val="000000" w:themeColor="text1"/>
        </w:rPr>
        <w:t xml:space="preserve">median elapsed time </w:t>
      </w:r>
      <w:r w:rsidR="00D8042F" w:rsidRPr="00486075">
        <w:rPr>
          <w:rFonts w:ascii="Helvetica" w:hAnsi="Helvetica"/>
          <w:color w:val="000000" w:themeColor="text1"/>
        </w:rPr>
        <w:t>between a consumer’s</w:t>
      </w:r>
      <w:r w:rsidR="00516B91" w:rsidRPr="00486075">
        <w:rPr>
          <w:rFonts w:ascii="Helvetica" w:hAnsi="Helvetica"/>
          <w:color w:val="000000" w:themeColor="text1"/>
        </w:rPr>
        <w:t xml:space="preserve"> ACAT approval and entering an aged care home was 121 days, with</w:t>
      </w:r>
      <w:r w:rsidR="00D8042F" w:rsidRPr="00486075">
        <w:rPr>
          <w:rFonts w:ascii="Helvetica" w:hAnsi="Helvetica"/>
          <w:color w:val="000000" w:themeColor="text1"/>
        </w:rPr>
        <w:t xml:space="preserve"> around 64 per cent </w:t>
      </w:r>
      <w:r w:rsidRPr="00486075">
        <w:rPr>
          <w:rFonts w:ascii="Helvetica" w:hAnsi="Helvetica"/>
          <w:color w:val="000000" w:themeColor="text1"/>
        </w:rPr>
        <w:t>enter</w:t>
      </w:r>
      <w:r w:rsidR="00D8042F" w:rsidRPr="00486075">
        <w:rPr>
          <w:rFonts w:ascii="Helvetica" w:hAnsi="Helvetica"/>
          <w:color w:val="000000" w:themeColor="text1"/>
        </w:rPr>
        <w:t>ing</w:t>
      </w:r>
      <w:r w:rsidRPr="00486075">
        <w:rPr>
          <w:rFonts w:ascii="Helvetica" w:hAnsi="Helvetica"/>
          <w:color w:val="000000" w:themeColor="text1"/>
        </w:rPr>
        <w:t xml:space="preserve"> an aged care home within </w:t>
      </w:r>
      <w:r w:rsidR="00D8042F" w:rsidRPr="00486075">
        <w:rPr>
          <w:rFonts w:ascii="Helvetica" w:hAnsi="Helvetica"/>
          <w:color w:val="000000" w:themeColor="text1"/>
        </w:rPr>
        <w:t>nine</w:t>
      </w:r>
      <w:r w:rsidRPr="00486075">
        <w:rPr>
          <w:rFonts w:ascii="Helvetica" w:hAnsi="Helvetica"/>
          <w:color w:val="000000" w:themeColor="text1"/>
        </w:rPr>
        <w:t xml:space="preserve"> months</w:t>
      </w:r>
      <w:r w:rsidR="006E38A7" w:rsidRPr="00486075">
        <w:rPr>
          <w:rStyle w:val="FootnoteReference"/>
          <w:rFonts w:ascii="Helvetica" w:hAnsi="Helvetica"/>
          <w:color w:val="000000" w:themeColor="text1"/>
        </w:rPr>
        <w:footnoteReference w:id="31"/>
      </w:r>
      <w:r w:rsidRPr="00486075">
        <w:rPr>
          <w:rFonts w:ascii="Helvetica" w:hAnsi="Helvetica"/>
          <w:color w:val="000000" w:themeColor="text1"/>
        </w:rPr>
        <w:t xml:space="preserve">. </w:t>
      </w:r>
      <w:r w:rsidR="00ED3F6A" w:rsidRPr="00486075">
        <w:rPr>
          <w:rFonts w:ascii="Helvetica" w:hAnsi="Helvetica"/>
          <w:color w:val="000000" w:themeColor="text1"/>
        </w:rPr>
        <w:t xml:space="preserve">However, this is an </w:t>
      </w:r>
      <w:r w:rsidR="0042601E" w:rsidRPr="00486075">
        <w:rPr>
          <w:rFonts w:ascii="Helvetica" w:hAnsi="Helvetica"/>
          <w:color w:val="000000" w:themeColor="text1"/>
        </w:rPr>
        <w:t>over-</w:t>
      </w:r>
      <w:r w:rsidR="00ED3F6A" w:rsidRPr="00486075">
        <w:rPr>
          <w:rFonts w:ascii="Helvetica" w:hAnsi="Helvetica"/>
          <w:color w:val="000000" w:themeColor="text1"/>
        </w:rPr>
        <w:t xml:space="preserve">estimate of actual wait times as it includes any period between </w:t>
      </w:r>
      <w:r w:rsidR="0042601E" w:rsidRPr="00486075">
        <w:rPr>
          <w:rFonts w:ascii="Helvetica" w:hAnsi="Helvetica"/>
          <w:color w:val="000000" w:themeColor="text1"/>
        </w:rPr>
        <w:t xml:space="preserve">the </w:t>
      </w:r>
      <w:r w:rsidR="00ED3F6A" w:rsidRPr="00486075">
        <w:rPr>
          <w:rFonts w:ascii="Helvetica" w:hAnsi="Helvetica"/>
          <w:color w:val="000000" w:themeColor="text1"/>
        </w:rPr>
        <w:t xml:space="preserve">date of </w:t>
      </w:r>
      <w:r w:rsidR="0042601E" w:rsidRPr="00486075">
        <w:rPr>
          <w:rFonts w:ascii="Helvetica" w:hAnsi="Helvetica"/>
          <w:color w:val="000000" w:themeColor="text1"/>
        </w:rPr>
        <w:t xml:space="preserve">ACAT </w:t>
      </w:r>
      <w:r w:rsidR="00ED3F6A" w:rsidRPr="00486075">
        <w:rPr>
          <w:rFonts w:ascii="Helvetica" w:hAnsi="Helvetica"/>
          <w:color w:val="000000" w:themeColor="text1"/>
        </w:rPr>
        <w:t xml:space="preserve">approval and </w:t>
      </w:r>
      <w:r w:rsidR="0042601E" w:rsidRPr="00486075">
        <w:rPr>
          <w:rFonts w:ascii="Helvetica" w:hAnsi="Helvetica"/>
          <w:color w:val="000000" w:themeColor="text1"/>
        </w:rPr>
        <w:t xml:space="preserve">the </w:t>
      </w:r>
      <w:r w:rsidR="00ED3F6A" w:rsidRPr="00486075">
        <w:rPr>
          <w:rFonts w:ascii="Helvetica" w:hAnsi="Helvetica"/>
          <w:color w:val="000000" w:themeColor="text1"/>
        </w:rPr>
        <w:t xml:space="preserve">date at which a consumer </w:t>
      </w:r>
      <w:r w:rsidR="00ED3F6A" w:rsidRPr="00486075">
        <w:rPr>
          <w:rFonts w:ascii="Helvetica" w:hAnsi="Helvetica"/>
        </w:rPr>
        <w:t xml:space="preserve">was </w:t>
      </w:r>
      <w:r w:rsidR="00C3191E" w:rsidRPr="00486075">
        <w:rPr>
          <w:rFonts w:ascii="Helvetica" w:hAnsi="Helvetica"/>
        </w:rPr>
        <w:t xml:space="preserve">actively seeking </w:t>
      </w:r>
      <w:r w:rsidR="00ED3F6A" w:rsidRPr="00486075">
        <w:rPr>
          <w:rFonts w:ascii="Helvetica" w:hAnsi="Helvetica"/>
        </w:rPr>
        <w:t xml:space="preserve">a place in an aged care home. </w:t>
      </w:r>
    </w:p>
    <w:p w14:paraId="42C015F9" w14:textId="2D2E3316" w:rsidR="00680542" w:rsidRPr="00486075" w:rsidRDefault="00680542" w:rsidP="0056003C">
      <w:pPr>
        <w:spacing w:after="120"/>
        <w:rPr>
          <w:rFonts w:ascii="Helvetica" w:hAnsi="Helvetica"/>
        </w:rPr>
      </w:pPr>
      <w:r w:rsidRPr="00486075">
        <w:rPr>
          <w:rFonts w:ascii="Helvetica" w:hAnsi="Helvetica"/>
        </w:rPr>
        <w:t xml:space="preserve">Further, as noted earlier, the </w:t>
      </w:r>
      <w:r w:rsidR="00D644D7" w:rsidRPr="00486075">
        <w:rPr>
          <w:rFonts w:ascii="Helvetica" w:hAnsi="Helvetica"/>
        </w:rPr>
        <w:t xml:space="preserve">current </w:t>
      </w:r>
      <w:r w:rsidRPr="00486075">
        <w:rPr>
          <w:rFonts w:ascii="Helvetica" w:hAnsi="Helvetica"/>
        </w:rPr>
        <w:t>occupancy rate</w:t>
      </w:r>
      <w:r w:rsidR="007071BD" w:rsidRPr="00486075">
        <w:rPr>
          <w:rFonts w:ascii="Helvetica" w:hAnsi="Helvetica"/>
        </w:rPr>
        <w:t>s</w:t>
      </w:r>
      <w:r w:rsidR="00D644D7" w:rsidRPr="00486075">
        <w:rPr>
          <w:rFonts w:ascii="Helvetica" w:hAnsi="Helvetica"/>
        </w:rPr>
        <w:t xml:space="preserve"> and trend</w:t>
      </w:r>
      <w:r w:rsidRPr="00486075">
        <w:rPr>
          <w:rFonts w:ascii="Helvetica" w:hAnsi="Helvetica"/>
        </w:rPr>
        <w:t xml:space="preserve"> suggest</w:t>
      </w:r>
      <w:r w:rsidR="007071BD" w:rsidRPr="00486075">
        <w:rPr>
          <w:rFonts w:ascii="Helvetica" w:hAnsi="Helvetica"/>
        </w:rPr>
        <w:t>s</w:t>
      </w:r>
      <w:r w:rsidRPr="00486075">
        <w:rPr>
          <w:rFonts w:ascii="Helvetica" w:hAnsi="Helvetica"/>
        </w:rPr>
        <w:t xml:space="preserve"> that</w:t>
      </w:r>
      <w:r w:rsidR="006E38A7" w:rsidRPr="00486075">
        <w:rPr>
          <w:rFonts w:ascii="Helvetica" w:hAnsi="Helvetica"/>
        </w:rPr>
        <w:t>,</w:t>
      </w:r>
      <w:r w:rsidRPr="00486075">
        <w:rPr>
          <w:rFonts w:ascii="Helvetica" w:hAnsi="Helvetica"/>
        </w:rPr>
        <w:t xml:space="preserve"> should a consumer with an assigned place be seeking a vacant </w:t>
      </w:r>
      <w:r w:rsidR="00240D61" w:rsidRPr="00486075">
        <w:rPr>
          <w:rFonts w:ascii="Helvetica" w:hAnsi="Helvetica"/>
        </w:rPr>
        <w:t>bed</w:t>
      </w:r>
      <w:r w:rsidRPr="00486075">
        <w:rPr>
          <w:rFonts w:ascii="Helvetica" w:hAnsi="Helvetica"/>
        </w:rPr>
        <w:t xml:space="preserve">, </w:t>
      </w:r>
      <w:r w:rsidR="00040C83" w:rsidRPr="00486075">
        <w:rPr>
          <w:rFonts w:ascii="Helvetica" w:hAnsi="Helvetica"/>
        </w:rPr>
        <w:t xml:space="preserve">there </w:t>
      </w:r>
      <w:r w:rsidRPr="00486075">
        <w:rPr>
          <w:rFonts w:ascii="Helvetica" w:hAnsi="Helvetica"/>
        </w:rPr>
        <w:t xml:space="preserve">would be </w:t>
      </w:r>
      <w:r w:rsidR="00040C83" w:rsidRPr="00486075">
        <w:rPr>
          <w:rFonts w:ascii="Helvetica" w:hAnsi="Helvetica"/>
        </w:rPr>
        <w:t xml:space="preserve">vacancies </w:t>
      </w:r>
      <w:r w:rsidRPr="00486075">
        <w:rPr>
          <w:rFonts w:ascii="Helvetica" w:hAnsi="Helvetica"/>
        </w:rPr>
        <w:t>in most regions. However, there are locational variations in occupancy rates as well as variations in the price, quality and appropriateness to consumer need</w:t>
      </w:r>
      <w:r w:rsidR="00040C83" w:rsidRPr="00486075">
        <w:rPr>
          <w:rFonts w:ascii="Helvetica" w:hAnsi="Helvetica"/>
        </w:rPr>
        <w:t>.</w:t>
      </w:r>
    </w:p>
    <w:p w14:paraId="5E17DA35" w14:textId="70908EDB" w:rsidR="00AA0F45" w:rsidRPr="00486075" w:rsidRDefault="00631849" w:rsidP="004F05A5">
      <w:pPr>
        <w:pStyle w:val="Default"/>
        <w:snapToGrid w:val="0"/>
        <w:spacing w:after="240"/>
        <w:rPr>
          <w:rFonts w:ascii="Helvetica" w:eastAsia="Times New Roman" w:hAnsi="Helvetica" w:cs="Times New Roman"/>
          <w:color w:val="000000" w:themeColor="text1"/>
          <w:lang w:eastAsia="en-AU"/>
        </w:rPr>
      </w:pPr>
      <w:r w:rsidRPr="00486075">
        <w:rPr>
          <w:rFonts w:ascii="Helvetica" w:eastAsia="Times New Roman" w:hAnsi="Helvetica" w:cs="Times New Roman"/>
          <w:color w:val="000000" w:themeColor="text1"/>
          <w:lang w:eastAsia="en-AU"/>
        </w:rPr>
        <w:t>As noted earlier, this impact analysis includes the assumption that the current fiscal constraints on government expenditure for subsidised residential aged care will be retained. As such,</w:t>
      </w:r>
      <w:r w:rsidRPr="00486075">
        <w:rPr>
          <w:rFonts w:ascii="Helvetica" w:hAnsi="Helvetica"/>
          <w:color w:val="000000" w:themeColor="text1"/>
        </w:rPr>
        <w:t xml:space="preserve"> </w:t>
      </w:r>
      <w:r w:rsidR="0021552B" w:rsidRPr="00486075">
        <w:rPr>
          <w:rFonts w:ascii="Helvetica" w:eastAsia="Times New Roman" w:hAnsi="Helvetica" w:cs="Times New Roman"/>
          <w:color w:val="000000" w:themeColor="text1"/>
          <w:lang w:eastAsia="en-AU"/>
        </w:rPr>
        <w:t>the total number of residential aged care places would continue to be capped</w:t>
      </w:r>
      <w:r w:rsidRPr="00486075">
        <w:rPr>
          <w:rFonts w:ascii="Helvetica" w:eastAsia="Times New Roman" w:hAnsi="Helvetica" w:cs="Times New Roman"/>
          <w:color w:val="000000" w:themeColor="text1"/>
          <w:lang w:eastAsia="en-AU"/>
        </w:rPr>
        <w:t>. Therefore,</w:t>
      </w:r>
      <w:r w:rsidR="0021552B" w:rsidRPr="00486075">
        <w:rPr>
          <w:rFonts w:ascii="Helvetica" w:eastAsia="Times New Roman" w:hAnsi="Helvetica" w:cs="Times New Roman"/>
          <w:color w:val="000000" w:themeColor="text1"/>
          <w:lang w:eastAsia="en-AU"/>
        </w:rPr>
        <w:t xml:space="preserve"> if the number of people requiring residential aged care exceeds the number of places available, a queue would be required to manage access.</w:t>
      </w:r>
    </w:p>
    <w:p w14:paraId="541AFA8B" w14:textId="32727D4A" w:rsidR="002C7AB0" w:rsidRPr="00486075" w:rsidRDefault="002C7AB0" w:rsidP="001B6A24">
      <w:pPr>
        <w:pStyle w:val="Heading3"/>
      </w:pPr>
      <w:bookmarkStart w:id="65" w:name="_Toc31293689"/>
      <w:r w:rsidRPr="00486075">
        <w:t xml:space="preserve">Prioritisation </w:t>
      </w:r>
      <w:r w:rsidR="007C4B4B" w:rsidRPr="00486075">
        <w:t>within the queue</w:t>
      </w:r>
      <w:bookmarkEnd w:id="65"/>
    </w:p>
    <w:p w14:paraId="2A0A97CA" w14:textId="2623E541" w:rsidR="00AF1D03" w:rsidRPr="00486075" w:rsidRDefault="00A950FF" w:rsidP="00583CF5">
      <w:pPr>
        <w:spacing w:after="120"/>
        <w:rPr>
          <w:rFonts w:ascii="Helvetica" w:hAnsi="Helvetica"/>
          <w:i/>
        </w:rPr>
      </w:pPr>
      <w:r w:rsidRPr="00486075">
        <w:rPr>
          <w:rFonts w:ascii="Helvetica" w:hAnsi="Helvetica"/>
          <w:i/>
        </w:rPr>
        <w:t>Prioritisation to determine</w:t>
      </w:r>
      <w:r w:rsidR="00AF1D03" w:rsidRPr="00486075">
        <w:rPr>
          <w:rFonts w:ascii="Helvetica" w:hAnsi="Helvetica"/>
          <w:i/>
        </w:rPr>
        <w:t xml:space="preserve"> a person’s position in the queue</w:t>
      </w:r>
    </w:p>
    <w:p w14:paraId="736DEC6F" w14:textId="123B3E97" w:rsidR="000B6661" w:rsidRPr="00486075" w:rsidRDefault="0021552B" w:rsidP="00583CF5">
      <w:pPr>
        <w:spacing w:after="120"/>
        <w:rPr>
          <w:rFonts w:ascii="Helvetica" w:hAnsi="Helvetica"/>
        </w:rPr>
      </w:pPr>
      <w:r w:rsidRPr="00486075">
        <w:rPr>
          <w:rFonts w:ascii="Helvetica" w:hAnsi="Helvetica"/>
        </w:rPr>
        <w:t>T</w:t>
      </w:r>
      <w:r w:rsidR="00587087" w:rsidRPr="00486075">
        <w:rPr>
          <w:rFonts w:ascii="Helvetica" w:hAnsi="Helvetica"/>
        </w:rPr>
        <w:t>his model propose</w:t>
      </w:r>
      <w:r w:rsidR="00BD77FE" w:rsidRPr="00486075">
        <w:rPr>
          <w:rFonts w:ascii="Helvetica" w:hAnsi="Helvetica"/>
        </w:rPr>
        <w:t xml:space="preserve">s </w:t>
      </w:r>
      <w:r w:rsidR="00631849" w:rsidRPr="00486075">
        <w:rPr>
          <w:rFonts w:ascii="Helvetica" w:hAnsi="Helvetica"/>
        </w:rPr>
        <w:t xml:space="preserve">that </w:t>
      </w:r>
      <w:r w:rsidR="00BD77FE" w:rsidRPr="00486075">
        <w:rPr>
          <w:rFonts w:ascii="Helvetica" w:hAnsi="Helvetica"/>
        </w:rPr>
        <w:t xml:space="preserve">a </w:t>
      </w:r>
      <w:r w:rsidR="00587087" w:rsidRPr="00486075">
        <w:rPr>
          <w:rFonts w:ascii="Helvetica" w:hAnsi="Helvetica"/>
        </w:rPr>
        <w:t>p</w:t>
      </w:r>
      <w:r w:rsidR="00C36AA3" w:rsidRPr="00486075">
        <w:rPr>
          <w:rFonts w:ascii="Helvetica" w:hAnsi="Helvetica"/>
        </w:rPr>
        <w:t xml:space="preserve">rioritisation </w:t>
      </w:r>
      <w:r w:rsidR="00BD77FE" w:rsidRPr="00486075">
        <w:rPr>
          <w:rFonts w:ascii="Helvetica" w:hAnsi="Helvetica"/>
        </w:rPr>
        <w:t xml:space="preserve">framework </w:t>
      </w:r>
      <w:r w:rsidR="00587087" w:rsidRPr="00486075">
        <w:rPr>
          <w:rFonts w:ascii="Helvetica" w:hAnsi="Helvetica"/>
        </w:rPr>
        <w:t>be established</w:t>
      </w:r>
      <w:r w:rsidR="00583CF5" w:rsidRPr="00486075">
        <w:rPr>
          <w:rFonts w:ascii="Helvetica" w:hAnsi="Helvetica"/>
        </w:rPr>
        <w:t xml:space="preserve"> </w:t>
      </w:r>
      <w:r w:rsidR="00C36AA3" w:rsidRPr="00486075">
        <w:rPr>
          <w:rFonts w:ascii="Helvetica" w:hAnsi="Helvetica"/>
        </w:rPr>
        <w:t xml:space="preserve">to </w:t>
      </w:r>
      <w:r w:rsidRPr="00486075">
        <w:rPr>
          <w:rFonts w:ascii="Helvetica" w:hAnsi="Helvetica"/>
        </w:rPr>
        <w:t>determine a person’s position on the queue.</w:t>
      </w:r>
      <w:r w:rsidR="00C36AA3" w:rsidRPr="00486075">
        <w:rPr>
          <w:rFonts w:ascii="Helvetica" w:hAnsi="Helvetica"/>
        </w:rPr>
        <w:t xml:space="preserve"> </w:t>
      </w:r>
      <w:r w:rsidR="00631849" w:rsidRPr="00486075">
        <w:rPr>
          <w:rFonts w:ascii="Helvetica" w:hAnsi="Helvetica"/>
        </w:rPr>
        <w:t>Newly available and additional p</w:t>
      </w:r>
      <w:r w:rsidR="00C36AA3" w:rsidRPr="00486075">
        <w:rPr>
          <w:rFonts w:ascii="Helvetica" w:hAnsi="Helvetica"/>
        </w:rPr>
        <w:t>laces would be released throughout the year</w:t>
      </w:r>
      <w:r w:rsidRPr="00486075">
        <w:rPr>
          <w:rFonts w:ascii="Helvetica" w:hAnsi="Helvetica"/>
        </w:rPr>
        <w:t xml:space="preserve"> and assigned to the person at the top of the queue. </w:t>
      </w:r>
    </w:p>
    <w:p w14:paraId="5B14462C" w14:textId="65EDA979" w:rsidR="00A950FF" w:rsidRPr="00486075" w:rsidRDefault="00A950FF" w:rsidP="00A950FF">
      <w:pPr>
        <w:spacing w:after="120"/>
        <w:rPr>
          <w:rFonts w:ascii="Helvetica" w:hAnsi="Helvetica"/>
          <w:i/>
        </w:rPr>
      </w:pPr>
      <w:r w:rsidRPr="00486075">
        <w:rPr>
          <w:rFonts w:ascii="Helvetica" w:hAnsi="Helvetica"/>
          <w:i/>
        </w:rPr>
        <w:t>Factors to consider in prioritisation</w:t>
      </w:r>
    </w:p>
    <w:p w14:paraId="33D4FCE6" w14:textId="66B361CD" w:rsidR="000B6661" w:rsidRPr="00486075" w:rsidRDefault="000B6661" w:rsidP="000B6661">
      <w:pPr>
        <w:spacing w:after="120"/>
        <w:rPr>
          <w:rFonts w:ascii="Helvetica" w:hAnsi="Helvetica"/>
        </w:rPr>
      </w:pPr>
      <w:r w:rsidRPr="00486075">
        <w:rPr>
          <w:rFonts w:ascii="Helvetica" w:hAnsi="Helvetica"/>
        </w:rPr>
        <w:t>A consistent basis for pr</w:t>
      </w:r>
      <w:r w:rsidR="00FF4158" w:rsidRPr="00486075">
        <w:rPr>
          <w:rFonts w:ascii="Helvetica" w:hAnsi="Helvetica"/>
        </w:rPr>
        <w:t>ioritising eligible consumers would be</w:t>
      </w:r>
      <w:r w:rsidRPr="00486075">
        <w:rPr>
          <w:rFonts w:ascii="Helvetica" w:hAnsi="Helvetica"/>
        </w:rPr>
        <w:t xml:space="preserve"> needed to ensure equitable access. In home care, </w:t>
      </w:r>
      <w:r w:rsidR="00DA283D" w:rsidRPr="00486075">
        <w:rPr>
          <w:rFonts w:ascii="Helvetica" w:hAnsi="Helvetica"/>
        </w:rPr>
        <w:t>prioritisation</w:t>
      </w:r>
      <w:r w:rsidRPr="00486075">
        <w:rPr>
          <w:rFonts w:ascii="Helvetica" w:hAnsi="Helvetica"/>
        </w:rPr>
        <w:t xml:space="preserve"> is based on two factors: the date of </w:t>
      </w:r>
      <w:r w:rsidR="004145E5" w:rsidRPr="00486075">
        <w:rPr>
          <w:rFonts w:ascii="Helvetica" w:hAnsi="Helvetica"/>
        </w:rPr>
        <w:t xml:space="preserve">a consumer’s </w:t>
      </w:r>
      <w:r w:rsidRPr="00486075">
        <w:rPr>
          <w:rFonts w:ascii="Helvetica" w:hAnsi="Helvetica"/>
        </w:rPr>
        <w:t xml:space="preserve">approval for home care and their priority for service (medium or high) as determined by the ACAT. Given the high acuity of care needs among consumers eligible for residential aged care, a more granulated approach to prioritisation </w:t>
      </w:r>
      <w:r w:rsidR="003C386C" w:rsidRPr="00486075">
        <w:rPr>
          <w:rFonts w:ascii="Helvetica" w:hAnsi="Helvetica"/>
        </w:rPr>
        <w:t>may well</w:t>
      </w:r>
      <w:r w:rsidRPr="00486075">
        <w:rPr>
          <w:rFonts w:ascii="Helvetica" w:hAnsi="Helvetica"/>
        </w:rPr>
        <w:t xml:space="preserve"> be required. </w:t>
      </w:r>
    </w:p>
    <w:p w14:paraId="0CF6C126" w14:textId="5AC286B0" w:rsidR="009A1BB4" w:rsidRPr="00486075" w:rsidRDefault="00153A22" w:rsidP="00583CF5">
      <w:pPr>
        <w:spacing w:after="120"/>
        <w:rPr>
          <w:rFonts w:ascii="Helvetica" w:hAnsi="Helvetica"/>
        </w:rPr>
      </w:pPr>
      <w:r w:rsidRPr="00486075">
        <w:rPr>
          <w:rFonts w:ascii="Helvetica" w:hAnsi="Helvetica"/>
        </w:rPr>
        <w:t>A potential prioritisation framework</w:t>
      </w:r>
      <w:r w:rsidR="000B6661" w:rsidRPr="00486075">
        <w:rPr>
          <w:rFonts w:ascii="Helvetica" w:hAnsi="Helvetica"/>
        </w:rPr>
        <w:t xml:space="preserve"> for residential aged care</w:t>
      </w:r>
      <w:r w:rsidRPr="00486075">
        <w:rPr>
          <w:rFonts w:ascii="Helvetica" w:hAnsi="Helvetica"/>
        </w:rPr>
        <w:t xml:space="preserve"> may n</w:t>
      </w:r>
      <w:r w:rsidR="009A1BB4" w:rsidRPr="00486075">
        <w:rPr>
          <w:rFonts w:ascii="Helvetica" w:hAnsi="Helvetica"/>
        </w:rPr>
        <w:t>eed to</w:t>
      </w:r>
      <w:r w:rsidR="00AF75B3" w:rsidRPr="00486075">
        <w:rPr>
          <w:rFonts w:ascii="Helvetica" w:hAnsi="Helvetica"/>
        </w:rPr>
        <w:t xml:space="preserve"> consider</w:t>
      </w:r>
      <w:r w:rsidR="000B6661" w:rsidRPr="00486075">
        <w:rPr>
          <w:rFonts w:ascii="Helvetica" w:hAnsi="Helvetica"/>
        </w:rPr>
        <w:t xml:space="preserve"> </w:t>
      </w:r>
      <w:r w:rsidR="00680542" w:rsidRPr="00486075">
        <w:rPr>
          <w:rFonts w:ascii="Helvetica" w:hAnsi="Helvetica"/>
        </w:rPr>
        <w:t>a range of</w:t>
      </w:r>
      <w:r w:rsidR="000B6661" w:rsidRPr="00486075">
        <w:rPr>
          <w:rFonts w:ascii="Helvetica" w:hAnsi="Helvetica"/>
        </w:rPr>
        <w:t xml:space="preserve"> factors</w:t>
      </w:r>
      <w:r w:rsidR="00D059F5" w:rsidRPr="00486075">
        <w:rPr>
          <w:rFonts w:ascii="Helvetica" w:hAnsi="Helvetica"/>
        </w:rPr>
        <w:t>, for example</w:t>
      </w:r>
      <w:r w:rsidR="009A1BB4" w:rsidRPr="00486075">
        <w:rPr>
          <w:rFonts w:ascii="Helvetica" w:hAnsi="Helvetica"/>
        </w:rPr>
        <w:t>:</w:t>
      </w:r>
    </w:p>
    <w:p w14:paraId="715C8E1E" w14:textId="1AAB24E2" w:rsidR="00680542" w:rsidRPr="00486075" w:rsidRDefault="00D702B6" w:rsidP="00216A0E">
      <w:pPr>
        <w:pStyle w:val="ListParagraph"/>
        <w:numPr>
          <w:ilvl w:val="0"/>
          <w:numId w:val="42"/>
        </w:numPr>
        <w:spacing w:after="120"/>
        <w:contextualSpacing w:val="0"/>
        <w:rPr>
          <w:rFonts w:ascii="Helvetica" w:hAnsi="Helvetica"/>
        </w:rPr>
      </w:pPr>
      <w:r w:rsidRPr="00486075">
        <w:rPr>
          <w:rFonts w:ascii="Helvetica" w:hAnsi="Helvetica"/>
        </w:rPr>
        <w:t>d</w:t>
      </w:r>
      <w:r w:rsidR="009A1BB4" w:rsidRPr="00486075">
        <w:rPr>
          <w:rFonts w:ascii="Helvetica" w:hAnsi="Helvetica"/>
        </w:rPr>
        <w:t>ate of approval</w:t>
      </w:r>
      <w:r w:rsidR="000B6661" w:rsidRPr="00486075">
        <w:rPr>
          <w:rFonts w:ascii="Helvetica" w:hAnsi="Helvetica"/>
        </w:rPr>
        <w:t xml:space="preserve"> for residential aged care</w:t>
      </w:r>
      <w:r w:rsidR="003A3AB0" w:rsidRPr="00486075">
        <w:rPr>
          <w:rFonts w:ascii="Helvetica" w:hAnsi="Helvetica"/>
        </w:rPr>
        <w:t>;</w:t>
      </w:r>
    </w:p>
    <w:p w14:paraId="06C50166" w14:textId="7F9A682B" w:rsidR="000B6661" w:rsidRPr="00486075" w:rsidRDefault="00680542" w:rsidP="00216A0E">
      <w:pPr>
        <w:pStyle w:val="ListParagraph"/>
        <w:numPr>
          <w:ilvl w:val="0"/>
          <w:numId w:val="42"/>
        </w:numPr>
        <w:spacing w:after="120"/>
        <w:contextualSpacing w:val="0"/>
        <w:rPr>
          <w:rFonts w:ascii="Helvetica" w:hAnsi="Helvetica"/>
        </w:rPr>
      </w:pPr>
      <w:r w:rsidRPr="00486075">
        <w:rPr>
          <w:rFonts w:ascii="Helvetica" w:hAnsi="Helvetica"/>
        </w:rPr>
        <w:t>date of actively seeking residential aged care</w:t>
      </w:r>
      <w:r w:rsidR="003A3AB0" w:rsidRPr="00486075">
        <w:rPr>
          <w:rFonts w:ascii="Helvetica" w:hAnsi="Helvetica"/>
        </w:rPr>
        <w:t>;</w:t>
      </w:r>
    </w:p>
    <w:p w14:paraId="4ED35A21" w14:textId="69C4E6BA" w:rsidR="000B6661" w:rsidRPr="00486075" w:rsidRDefault="00D702B6" w:rsidP="00216A0E">
      <w:pPr>
        <w:pStyle w:val="ListParagraph"/>
        <w:numPr>
          <w:ilvl w:val="0"/>
          <w:numId w:val="42"/>
        </w:numPr>
        <w:spacing w:after="120"/>
        <w:contextualSpacing w:val="0"/>
        <w:rPr>
          <w:rFonts w:ascii="Helvetica" w:hAnsi="Helvetica"/>
        </w:rPr>
      </w:pPr>
      <w:r w:rsidRPr="00486075">
        <w:rPr>
          <w:rFonts w:ascii="Helvetica" w:hAnsi="Helvetica"/>
        </w:rPr>
        <w:t>u</w:t>
      </w:r>
      <w:r w:rsidR="009A1BB4" w:rsidRPr="00486075">
        <w:rPr>
          <w:rFonts w:ascii="Helvetica" w:hAnsi="Helvetica"/>
        </w:rPr>
        <w:t>rgency</w:t>
      </w:r>
      <w:r w:rsidR="000B6661" w:rsidRPr="00486075">
        <w:rPr>
          <w:rFonts w:ascii="Helvetica" w:hAnsi="Helvetica"/>
        </w:rPr>
        <w:t xml:space="preserve"> of need, </w:t>
      </w:r>
      <w:r w:rsidR="00FF4158" w:rsidRPr="00486075">
        <w:rPr>
          <w:rFonts w:ascii="Helvetica" w:hAnsi="Helvetica"/>
        </w:rPr>
        <w:t>with</w:t>
      </w:r>
      <w:r w:rsidR="000B6661" w:rsidRPr="00486075">
        <w:rPr>
          <w:rFonts w:ascii="Helvetica" w:hAnsi="Helvetica"/>
        </w:rPr>
        <w:t xml:space="preserve"> </w:t>
      </w:r>
      <w:r w:rsidR="00FF4158" w:rsidRPr="00486075">
        <w:rPr>
          <w:rFonts w:ascii="Helvetica" w:hAnsi="Helvetica"/>
        </w:rPr>
        <w:t xml:space="preserve">possibly </w:t>
      </w:r>
      <w:r w:rsidR="000B6661" w:rsidRPr="00486075">
        <w:rPr>
          <w:rFonts w:ascii="Helvetica" w:hAnsi="Helvetica"/>
        </w:rPr>
        <w:t>several tiers of urgency (i.e. not limited to medium and high)</w:t>
      </w:r>
      <w:r w:rsidR="00FF4158" w:rsidRPr="00486075">
        <w:rPr>
          <w:rFonts w:ascii="Helvetica" w:hAnsi="Helvetica"/>
        </w:rPr>
        <w:t>. This may</w:t>
      </w:r>
      <w:r w:rsidR="002827BC" w:rsidRPr="00486075">
        <w:rPr>
          <w:rFonts w:ascii="Helvetica" w:hAnsi="Helvetica"/>
        </w:rPr>
        <w:t xml:space="preserve"> also</w:t>
      </w:r>
      <w:r w:rsidR="00FF4158" w:rsidRPr="00486075">
        <w:rPr>
          <w:rFonts w:ascii="Helvetica" w:hAnsi="Helvetica"/>
        </w:rPr>
        <w:t xml:space="preserve"> include consideration of whether the person is transitioning between service systems (such as acute care and disability services)</w:t>
      </w:r>
      <w:r w:rsidR="003A3AB0" w:rsidRPr="00486075">
        <w:rPr>
          <w:rFonts w:ascii="Helvetica" w:hAnsi="Helvetica"/>
        </w:rPr>
        <w:t>; and</w:t>
      </w:r>
    </w:p>
    <w:p w14:paraId="1D35870C" w14:textId="1DB35DEC" w:rsidR="000B6661" w:rsidRPr="00486075" w:rsidRDefault="00D702B6" w:rsidP="00216A0E">
      <w:pPr>
        <w:pStyle w:val="ListParagraph"/>
        <w:numPr>
          <w:ilvl w:val="0"/>
          <w:numId w:val="42"/>
        </w:numPr>
        <w:spacing w:after="120"/>
        <w:contextualSpacing w:val="0"/>
        <w:rPr>
          <w:rFonts w:ascii="Helvetica" w:hAnsi="Helvetica"/>
        </w:rPr>
      </w:pPr>
      <w:r w:rsidRPr="00486075">
        <w:rPr>
          <w:rFonts w:ascii="Helvetica" w:hAnsi="Helvetica"/>
        </w:rPr>
        <w:t>o</w:t>
      </w:r>
      <w:r w:rsidR="00AF75B3" w:rsidRPr="00486075">
        <w:rPr>
          <w:rFonts w:ascii="Helvetica" w:hAnsi="Helvetica"/>
        </w:rPr>
        <w:t>ther factor/s,</w:t>
      </w:r>
      <w:r w:rsidR="009A1BB4" w:rsidRPr="00486075">
        <w:rPr>
          <w:rFonts w:ascii="Helvetica" w:hAnsi="Helvetica"/>
        </w:rPr>
        <w:t xml:space="preserve"> possibly drawing on information beyond that collected during the comprehensive assessment</w:t>
      </w:r>
      <w:r w:rsidR="000B6661" w:rsidRPr="00486075">
        <w:rPr>
          <w:rFonts w:ascii="Helvetica" w:hAnsi="Helvetica"/>
        </w:rPr>
        <w:t xml:space="preserve">. </w:t>
      </w:r>
    </w:p>
    <w:p w14:paraId="298A8FC8" w14:textId="6416FA85" w:rsidR="00215738" w:rsidRPr="00486075" w:rsidRDefault="00215738" w:rsidP="001B6A24">
      <w:pPr>
        <w:pStyle w:val="Heading3"/>
      </w:pPr>
      <w:bookmarkStart w:id="66" w:name="_Toc31293690"/>
      <w:r w:rsidRPr="00486075">
        <w:t>Validity period of the assigned place</w:t>
      </w:r>
      <w:bookmarkEnd w:id="66"/>
    </w:p>
    <w:p w14:paraId="43BABCE1" w14:textId="498D3BBE" w:rsidR="00375D70" w:rsidRPr="00486075" w:rsidRDefault="00375D70" w:rsidP="004D1817">
      <w:pPr>
        <w:spacing w:after="120"/>
        <w:rPr>
          <w:rFonts w:ascii="Helvetica" w:hAnsi="Helvetica"/>
          <w:i/>
        </w:rPr>
      </w:pPr>
      <w:r w:rsidRPr="00486075">
        <w:rPr>
          <w:rFonts w:ascii="Helvetica" w:hAnsi="Helvetica"/>
          <w:i/>
        </w:rPr>
        <w:t>Set timeframe to enter a formal agreement for an aged care home</w:t>
      </w:r>
    </w:p>
    <w:p w14:paraId="6DECD9AE" w14:textId="74575F4D" w:rsidR="00BC451D" w:rsidRPr="00486075" w:rsidRDefault="00D246AE" w:rsidP="004D1817">
      <w:pPr>
        <w:spacing w:after="120"/>
        <w:rPr>
          <w:rFonts w:ascii="Helvetica" w:hAnsi="Helvetica"/>
        </w:rPr>
      </w:pPr>
      <w:r w:rsidRPr="00486075">
        <w:rPr>
          <w:rFonts w:ascii="Helvetica" w:hAnsi="Helvetica"/>
        </w:rPr>
        <w:t>O</w:t>
      </w:r>
      <w:r w:rsidR="00AB2C22" w:rsidRPr="00486075">
        <w:rPr>
          <w:rFonts w:ascii="Helvetica" w:hAnsi="Helvetica"/>
        </w:rPr>
        <w:t xml:space="preserve">nce assigned a </w:t>
      </w:r>
      <w:r w:rsidR="00696FE5" w:rsidRPr="00486075">
        <w:rPr>
          <w:rFonts w:ascii="Helvetica" w:hAnsi="Helvetica"/>
        </w:rPr>
        <w:t>residential</w:t>
      </w:r>
      <w:r w:rsidR="00AB2C22" w:rsidRPr="00486075">
        <w:rPr>
          <w:rFonts w:ascii="Helvetica" w:hAnsi="Helvetica"/>
        </w:rPr>
        <w:t xml:space="preserve"> aged care place,</w:t>
      </w:r>
      <w:r w:rsidR="008E78C9" w:rsidRPr="00486075">
        <w:rPr>
          <w:rFonts w:ascii="Helvetica" w:hAnsi="Helvetica"/>
        </w:rPr>
        <w:t xml:space="preserve"> the consumer </w:t>
      </w:r>
      <w:r w:rsidR="005F1330" w:rsidRPr="00486075">
        <w:rPr>
          <w:rFonts w:ascii="Helvetica" w:hAnsi="Helvetica"/>
        </w:rPr>
        <w:t>would be able to</w:t>
      </w:r>
      <w:r w:rsidR="008E78C9" w:rsidRPr="00486075">
        <w:rPr>
          <w:rFonts w:ascii="Helvetica" w:hAnsi="Helvetica"/>
        </w:rPr>
        <w:t xml:space="preserve"> </w:t>
      </w:r>
      <w:r w:rsidRPr="00486075">
        <w:rPr>
          <w:rFonts w:ascii="Helvetica" w:hAnsi="Helvetica"/>
        </w:rPr>
        <w:t>contact their</w:t>
      </w:r>
      <w:r w:rsidR="0059770B" w:rsidRPr="00486075">
        <w:rPr>
          <w:rFonts w:ascii="Helvetica" w:hAnsi="Helvetica"/>
        </w:rPr>
        <w:t xml:space="preserve"> preferred approved provider</w:t>
      </w:r>
      <w:r w:rsidRPr="00486075">
        <w:rPr>
          <w:rFonts w:ascii="Helvetica" w:hAnsi="Helvetica"/>
        </w:rPr>
        <w:t xml:space="preserve"> to</w:t>
      </w:r>
      <w:r w:rsidR="00F27151" w:rsidRPr="00486075">
        <w:rPr>
          <w:rFonts w:ascii="Helvetica" w:hAnsi="Helvetica"/>
        </w:rPr>
        <w:t xml:space="preserve"> request entry to their aged care home</w:t>
      </w:r>
      <w:r w:rsidR="00F23298" w:rsidRPr="00486075">
        <w:rPr>
          <w:rFonts w:ascii="Helvetica" w:hAnsi="Helvetica"/>
        </w:rPr>
        <w:t xml:space="preserve">. </w:t>
      </w:r>
      <w:r w:rsidR="00092313" w:rsidRPr="00486075">
        <w:rPr>
          <w:rFonts w:ascii="Helvetica" w:hAnsi="Helvetica"/>
        </w:rPr>
        <w:t xml:space="preserve">In line with home </w:t>
      </w:r>
      <w:r w:rsidR="00092313" w:rsidRPr="00486075">
        <w:rPr>
          <w:rFonts w:ascii="Helvetica" w:hAnsi="Helvetica"/>
        </w:rPr>
        <w:lastRenderedPageBreak/>
        <w:t>care arrangements, i</w:t>
      </w:r>
      <w:r w:rsidRPr="00486075">
        <w:rPr>
          <w:rFonts w:ascii="Helvetica" w:hAnsi="Helvetica"/>
        </w:rPr>
        <w:t xml:space="preserve">t is proposed that the consumer be given a set number of days </w:t>
      </w:r>
      <w:r w:rsidR="00BC451D" w:rsidRPr="00486075">
        <w:rPr>
          <w:rFonts w:ascii="Helvetica" w:hAnsi="Helvetica"/>
        </w:rPr>
        <w:t xml:space="preserve">(with an option for an extension of another set number of days) </w:t>
      </w:r>
      <w:r w:rsidRPr="00486075">
        <w:rPr>
          <w:rFonts w:ascii="Helvetica" w:hAnsi="Helvetica"/>
        </w:rPr>
        <w:t xml:space="preserve">to </w:t>
      </w:r>
      <w:r w:rsidR="00377F2E" w:rsidRPr="00486075">
        <w:rPr>
          <w:rFonts w:ascii="Helvetica" w:hAnsi="Helvetica"/>
        </w:rPr>
        <w:t xml:space="preserve">select </w:t>
      </w:r>
      <w:r w:rsidRPr="00486075">
        <w:rPr>
          <w:rFonts w:ascii="Helvetica" w:hAnsi="Helvetica"/>
        </w:rPr>
        <w:t>a provider and enter into a formal agreement for an aged care home</w:t>
      </w:r>
      <w:r w:rsidR="00BC451D" w:rsidRPr="00486075">
        <w:rPr>
          <w:rFonts w:ascii="Helvetica" w:hAnsi="Helvetica"/>
        </w:rPr>
        <w:t xml:space="preserve">. </w:t>
      </w:r>
      <w:r w:rsidR="00D059F5" w:rsidRPr="00486075">
        <w:rPr>
          <w:rFonts w:ascii="Helvetica" w:hAnsi="Helvetica"/>
        </w:rPr>
        <w:t xml:space="preserve">After that </w:t>
      </w:r>
      <w:r w:rsidR="00F526B6" w:rsidRPr="00486075">
        <w:rPr>
          <w:rFonts w:ascii="Helvetica" w:hAnsi="Helvetica"/>
        </w:rPr>
        <w:t>has occurred</w:t>
      </w:r>
      <w:r w:rsidR="00D059F5" w:rsidRPr="00486075">
        <w:rPr>
          <w:rFonts w:ascii="Helvetica" w:hAnsi="Helvetica"/>
        </w:rPr>
        <w:t>, t</w:t>
      </w:r>
      <w:r w:rsidR="00377F2E" w:rsidRPr="00486075">
        <w:rPr>
          <w:rFonts w:ascii="Helvetica" w:hAnsi="Helvetica"/>
        </w:rPr>
        <w:t>he</w:t>
      </w:r>
      <w:r w:rsidR="00375D70" w:rsidRPr="00486075">
        <w:rPr>
          <w:rFonts w:ascii="Helvetica" w:hAnsi="Helvetica"/>
        </w:rPr>
        <w:t xml:space="preserve"> place would remain assigned to the consumer until they no longer require residential aged care.</w:t>
      </w:r>
    </w:p>
    <w:p w14:paraId="3267CF2A" w14:textId="720B5A1D" w:rsidR="00375D70" w:rsidRPr="00486075" w:rsidRDefault="00375D70" w:rsidP="004D1817">
      <w:pPr>
        <w:spacing w:after="120"/>
        <w:rPr>
          <w:rFonts w:ascii="Helvetica" w:hAnsi="Helvetica"/>
          <w:i/>
        </w:rPr>
      </w:pPr>
      <w:r w:rsidRPr="00486075">
        <w:rPr>
          <w:rFonts w:ascii="Helvetica" w:hAnsi="Helvetica"/>
          <w:i/>
        </w:rPr>
        <w:t>Withdrawal of place if timeframe exceeded</w:t>
      </w:r>
    </w:p>
    <w:p w14:paraId="538347E9" w14:textId="77777777" w:rsidR="00377F2E" w:rsidRPr="00486075" w:rsidRDefault="00BC451D" w:rsidP="004D1817">
      <w:pPr>
        <w:spacing w:after="120"/>
        <w:rPr>
          <w:rFonts w:ascii="Helvetica" w:hAnsi="Helvetica"/>
        </w:rPr>
      </w:pPr>
      <w:r w:rsidRPr="00486075">
        <w:rPr>
          <w:rFonts w:ascii="Helvetica" w:hAnsi="Helvetica"/>
        </w:rPr>
        <w:t>To maximise the availability of places to other consumers waiting on the queue, it is proposed the place be</w:t>
      </w:r>
      <w:r w:rsidR="00B806AE" w:rsidRPr="00486075">
        <w:rPr>
          <w:rFonts w:ascii="Helvetica" w:hAnsi="Helvetica"/>
        </w:rPr>
        <w:t xml:space="preserve"> withdrawn and returned to the pool</w:t>
      </w:r>
      <w:r w:rsidRPr="00486075">
        <w:rPr>
          <w:rFonts w:ascii="Helvetica" w:hAnsi="Helvetica"/>
        </w:rPr>
        <w:t xml:space="preserve"> if a formal agreement with an approved provider is not entered into within the set timeframe. However,</w:t>
      </w:r>
      <w:r w:rsidR="00ED3486" w:rsidRPr="00486075">
        <w:rPr>
          <w:rFonts w:ascii="Helvetica" w:hAnsi="Helvetica"/>
        </w:rPr>
        <w:t xml:space="preserve"> where a place is withdrawn,</w:t>
      </w:r>
      <w:r w:rsidRPr="00486075">
        <w:rPr>
          <w:rFonts w:ascii="Helvetica" w:hAnsi="Helvetica"/>
        </w:rPr>
        <w:t xml:space="preserve"> </w:t>
      </w:r>
      <w:r w:rsidR="00F23298" w:rsidRPr="00486075">
        <w:rPr>
          <w:rFonts w:ascii="Helvetica" w:hAnsi="Helvetica"/>
        </w:rPr>
        <w:t>it is</w:t>
      </w:r>
      <w:r w:rsidR="00ED3486" w:rsidRPr="00486075">
        <w:rPr>
          <w:rFonts w:ascii="Helvetica" w:hAnsi="Helvetica"/>
        </w:rPr>
        <w:t xml:space="preserve"> </w:t>
      </w:r>
      <w:r w:rsidR="00F23298" w:rsidRPr="00486075">
        <w:rPr>
          <w:rFonts w:ascii="Helvetica" w:hAnsi="Helvetica"/>
        </w:rPr>
        <w:t xml:space="preserve">proposed </w:t>
      </w:r>
      <w:r w:rsidRPr="00486075">
        <w:rPr>
          <w:rFonts w:ascii="Helvetica" w:hAnsi="Helvetica"/>
        </w:rPr>
        <w:t>the consumer would be able</w:t>
      </w:r>
      <w:r w:rsidR="006E38A7" w:rsidRPr="00486075">
        <w:rPr>
          <w:rFonts w:ascii="Helvetica" w:hAnsi="Helvetica"/>
        </w:rPr>
        <w:t xml:space="preserve"> to re-join the queue and be re</w:t>
      </w:r>
      <w:r w:rsidR="006E38A7" w:rsidRPr="00486075">
        <w:rPr>
          <w:rFonts w:ascii="Helvetica" w:hAnsi="Helvetica"/>
        </w:rPr>
        <w:noBreakHyphen/>
      </w:r>
      <w:r w:rsidRPr="00486075">
        <w:rPr>
          <w:rFonts w:ascii="Helvetica" w:hAnsi="Helvetica"/>
        </w:rPr>
        <w:t>assigned a place if required</w:t>
      </w:r>
      <w:r w:rsidR="00ED3486" w:rsidRPr="00486075">
        <w:rPr>
          <w:rFonts w:ascii="Helvetica" w:hAnsi="Helvetica"/>
        </w:rPr>
        <w:t xml:space="preserve">. </w:t>
      </w:r>
    </w:p>
    <w:p w14:paraId="6E6AA4B0" w14:textId="264CEDEB" w:rsidR="00BC451D" w:rsidRPr="00486075" w:rsidRDefault="00237AEB" w:rsidP="004F05A5">
      <w:pPr>
        <w:spacing w:after="240"/>
        <w:rPr>
          <w:rFonts w:ascii="Helvetica" w:hAnsi="Helvetica"/>
        </w:rPr>
      </w:pPr>
      <w:r w:rsidRPr="00486075">
        <w:rPr>
          <w:rFonts w:ascii="Helvetica" w:hAnsi="Helvetica"/>
        </w:rPr>
        <w:t xml:space="preserve">An issue to consider is, if </w:t>
      </w:r>
      <w:r w:rsidR="00F23298" w:rsidRPr="00486075">
        <w:rPr>
          <w:rFonts w:ascii="Helvetica" w:hAnsi="Helvetica"/>
        </w:rPr>
        <w:t xml:space="preserve">time waited is counted from the </w:t>
      </w:r>
      <w:r w:rsidRPr="00486075">
        <w:rPr>
          <w:rFonts w:ascii="Helvetica" w:hAnsi="Helvetica"/>
        </w:rPr>
        <w:t xml:space="preserve">date of original approval, how to discourage people from joining the queue, turning down the assigned place </w:t>
      </w:r>
      <w:r w:rsidR="00ED3486" w:rsidRPr="00486075">
        <w:rPr>
          <w:rFonts w:ascii="Helvetica" w:hAnsi="Helvetica"/>
        </w:rPr>
        <w:t xml:space="preserve">(or allowing it to be withdrawn) </w:t>
      </w:r>
      <w:r w:rsidRPr="00486075">
        <w:rPr>
          <w:rFonts w:ascii="Helvetica" w:hAnsi="Helvetica"/>
        </w:rPr>
        <w:t>so they can</w:t>
      </w:r>
      <w:r w:rsidR="00ED3486" w:rsidRPr="00486075">
        <w:rPr>
          <w:rFonts w:ascii="Helvetica" w:hAnsi="Helvetica"/>
        </w:rPr>
        <w:t xml:space="preserve"> re</w:t>
      </w:r>
      <w:r w:rsidR="00ED3486" w:rsidRPr="00486075">
        <w:rPr>
          <w:rFonts w:ascii="Helvetica" w:hAnsi="Helvetica"/>
        </w:rPr>
        <w:noBreakHyphen/>
      </w:r>
      <w:r w:rsidRPr="00486075">
        <w:rPr>
          <w:rFonts w:ascii="Helvetica" w:hAnsi="Helvetica"/>
        </w:rPr>
        <w:t xml:space="preserve">join towards the top of the queue </w:t>
      </w:r>
      <w:r w:rsidR="00ED3486" w:rsidRPr="00486075">
        <w:rPr>
          <w:rFonts w:ascii="Helvetica" w:hAnsi="Helvetica"/>
        </w:rPr>
        <w:t xml:space="preserve">in the future. </w:t>
      </w:r>
    </w:p>
    <w:p w14:paraId="0C3CD51F" w14:textId="4E033788" w:rsidR="00C0247E" w:rsidRPr="00486075" w:rsidRDefault="00865FD2" w:rsidP="001B6A24">
      <w:pPr>
        <w:pStyle w:val="Heading3"/>
      </w:pPr>
      <w:bookmarkStart w:id="67" w:name="_Toc31293691"/>
      <w:r w:rsidRPr="00486075">
        <w:t>Request for entry into preferred aged care home</w:t>
      </w:r>
      <w:bookmarkEnd w:id="67"/>
    </w:p>
    <w:p w14:paraId="14C8D05E" w14:textId="77777777" w:rsidR="00575524" w:rsidRPr="00486075" w:rsidRDefault="00865FD2" w:rsidP="00583CF5">
      <w:pPr>
        <w:spacing w:after="120"/>
        <w:rPr>
          <w:rFonts w:ascii="Helvetica" w:hAnsi="Helvetica"/>
        </w:rPr>
      </w:pPr>
      <w:r w:rsidRPr="00486075">
        <w:rPr>
          <w:rFonts w:ascii="Helvetica" w:hAnsi="Helvetica"/>
        </w:rPr>
        <w:t>Once</w:t>
      </w:r>
      <w:r w:rsidR="00755D5F" w:rsidRPr="00486075">
        <w:rPr>
          <w:rFonts w:ascii="Helvetica" w:hAnsi="Helvetica"/>
        </w:rPr>
        <w:t xml:space="preserve"> a</w:t>
      </w:r>
      <w:r w:rsidRPr="00486075">
        <w:rPr>
          <w:rFonts w:ascii="Helvetica" w:hAnsi="Helvetica"/>
        </w:rPr>
        <w:t xml:space="preserve"> consumer has </w:t>
      </w:r>
      <w:r w:rsidR="00377F2E" w:rsidRPr="00486075">
        <w:rPr>
          <w:rFonts w:ascii="Helvetica" w:hAnsi="Helvetica"/>
        </w:rPr>
        <w:t xml:space="preserve">selected </w:t>
      </w:r>
      <w:r w:rsidRPr="00486075">
        <w:rPr>
          <w:rFonts w:ascii="Helvetica" w:hAnsi="Helvetica"/>
        </w:rPr>
        <w:t xml:space="preserve">their preferred aged care home, a request for entry would be </w:t>
      </w:r>
      <w:r w:rsidR="00CC4A68" w:rsidRPr="00486075">
        <w:rPr>
          <w:rFonts w:ascii="Helvetica" w:hAnsi="Helvetica"/>
        </w:rPr>
        <w:t>made</w:t>
      </w:r>
      <w:r w:rsidRPr="00486075">
        <w:rPr>
          <w:rFonts w:ascii="Helvetica" w:hAnsi="Helvetica"/>
        </w:rPr>
        <w:t xml:space="preserve">. The </w:t>
      </w:r>
      <w:r w:rsidR="00996A1E" w:rsidRPr="00486075">
        <w:rPr>
          <w:rFonts w:ascii="Helvetica" w:hAnsi="Helvetica"/>
        </w:rPr>
        <w:t>preferred approved</w:t>
      </w:r>
      <w:r w:rsidRPr="00486075">
        <w:rPr>
          <w:rFonts w:ascii="Helvetica" w:hAnsi="Helvetica"/>
        </w:rPr>
        <w:t xml:space="preserve"> provider would have the option to accept, reject or</w:t>
      </w:r>
      <w:r w:rsidR="00D059F5" w:rsidRPr="00486075">
        <w:rPr>
          <w:rFonts w:ascii="Helvetica" w:hAnsi="Helvetica"/>
        </w:rPr>
        <w:t xml:space="preserve">, where there are no vacancies, </w:t>
      </w:r>
      <w:r w:rsidR="002827BC" w:rsidRPr="00486075">
        <w:rPr>
          <w:rFonts w:ascii="Helvetica" w:hAnsi="Helvetica"/>
        </w:rPr>
        <w:t xml:space="preserve">add </w:t>
      </w:r>
      <w:r w:rsidRPr="00486075">
        <w:rPr>
          <w:rFonts w:ascii="Helvetica" w:hAnsi="Helvetica"/>
        </w:rPr>
        <w:t>the consumer</w:t>
      </w:r>
      <w:r w:rsidR="002827BC" w:rsidRPr="00486075">
        <w:rPr>
          <w:rFonts w:ascii="Helvetica" w:hAnsi="Helvetica"/>
        </w:rPr>
        <w:t xml:space="preserve"> to the aged care home’s waitlist</w:t>
      </w:r>
      <w:r w:rsidRPr="00486075">
        <w:rPr>
          <w:rFonts w:ascii="Helvetica" w:hAnsi="Helvetica"/>
        </w:rPr>
        <w:t>.</w:t>
      </w:r>
    </w:p>
    <w:p w14:paraId="76EE7246" w14:textId="6A9C19E4" w:rsidR="005D22FE" w:rsidRPr="00486075" w:rsidRDefault="00865FD2" w:rsidP="005D22FE">
      <w:pPr>
        <w:spacing w:after="120"/>
        <w:rPr>
          <w:rFonts w:ascii="Helvetica" w:hAnsi="Helvetica"/>
        </w:rPr>
      </w:pPr>
      <w:r w:rsidRPr="00486075">
        <w:rPr>
          <w:rFonts w:ascii="Helvetica" w:hAnsi="Helvetica"/>
        </w:rPr>
        <w:t xml:space="preserve">In line with current arrangements, it is proposed that relevant information about the consumer’s specific care needs and the consumer’s eligibility for government assistance with their accommodation costs be made available to the provider to assist them in determining if they can meet those needs and advise the consumer of any applicable accommodation payments. Once a provider has accepted the consumer’s request, they can </w:t>
      </w:r>
      <w:r w:rsidR="00377F2E" w:rsidRPr="00486075">
        <w:rPr>
          <w:rFonts w:ascii="Helvetica" w:hAnsi="Helvetica"/>
        </w:rPr>
        <w:t>commence</w:t>
      </w:r>
      <w:r w:rsidRPr="00486075">
        <w:rPr>
          <w:rFonts w:ascii="Helvetica" w:hAnsi="Helvetica"/>
        </w:rPr>
        <w:t xml:space="preserve"> negotiations and enter into formal agreement for services </w:t>
      </w:r>
      <w:r w:rsidR="00755D5F" w:rsidRPr="00486075">
        <w:rPr>
          <w:rFonts w:ascii="Helvetica" w:hAnsi="Helvetica"/>
        </w:rPr>
        <w:t>(</w:t>
      </w:r>
      <w:r w:rsidRPr="00486075">
        <w:rPr>
          <w:rFonts w:ascii="Helvetica" w:hAnsi="Helvetica"/>
        </w:rPr>
        <w:t>as per current arrangements</w:t>
      </w:r>
      <w:r w:rsidR="00755D5F" w:rsidRPr="00486075">
        <w:rPr>
          <w:rFonts w:ascii="Helvetica" w:hAnsi="Helvetica"/>
        </w:rPr>
        <w:t>)</w:t>
      </w:r>
      <w:r w:rsidR="005D22FE" w:rsidRPr="00486075">
        <w:rPr>
          <w:rFonts w:ascii="Helvetica" w:hAnsi="Helvetica"/>
        </w:rPr>
        <w:t>.</w:t>
      </w:r>
    </w:p>
    <w:p w14:paraId="34A2D640" w14:textId="75767B1E" w:rsidR="000A5086" w:rsidRPr="00486075" w:rsidRDefault="000A5086" w:rsidP="005D22FE">
      <w:pPr>
        <w:spacing w:after="120"/>
        <w:rPr>
          <w:rFonts w:ascii="Helvetica" w:hAnsi="Helvetica"/>
        </w:rPr>
      </w:pPr>
      <w:r w:rsidRPr="00486075">
        <w:rPr>
          <w:rFonts w:ascii="Helvetica" w:hAnsi="Helvetica"/>
        </w:rPr>
        <w:t xml:space="preserve">Consideration needs to be given to how best to ensure equitable access to appropriate care for all consumers and dissuade ‘cherry picking’ of consumers when the provider is actioning the request for entry, such as </w:t>
      </w:r>
      <w:r w:rsidR="00442C29" w:rsidRPr="00486075">
        <w:rPr>
          <w:rFonts w:ascii="Helvetica" w:hAnsi="Helvetica"/>
        </w:rPr>
        <w:t xml:space="preserve">giving </w:t>
      </w:r>
      <w:r w:rsidRPr="00486075">
        <w:rPr>
          <w:rFonts w:ascii="Helvetica" w:hAnsi="Helvetica"/>
        </w:rPr>
        <w:t>preferenc</w:t>
      </w:r>
      <w:r w:rsidR="00442C29" w:rsidRPr="00486075">
        <w:rPr>
          <w:rFonts w:ascii="Helvetica" w:hAnsi="Helvetica"/>
        </w:rPr>
        <w:t>e to</w:t>
      </w:r>
      <w:r w:rsidRPr="00486075">
        <w:rPr>
          <w:rFonts w:ascii="Helvetica" w:hAnsi="Helvetica"/>
        </w:rPr>
        <w:t xml:space="preserve"> consumers with a greater capacity to pay. </w:t>
      </w:r>
    </w:p>
    <w:p w14:paraId="6602219A" w14:textId="332A7494" w:rsidR="00215738" w:rsidRPr="00486075" w:rsidRDefault="00215738" w:rsidP="001B6A24">
      <w:pPr>
        <w:pStyle w:val="Heading3"/>
      </w:pPr>
      <w:bookmarkStart w:id="68" w:name="_Toc31293692"/>
      <w:r w:rsidRPr="00486075">
        <w:t>Changing providers or exiting</w:t>
      </w:r>
      <w:bookmarkEnd w:id="68"/>
      <w:r w:rsidRPr="00486075">
        <w:t xml:space="preserve"> </w:t>
      </w:r>
    </w:p>
    <w:p w14:paraId="7ACFEE4D" w14:textId="7373ED23" w:rsidR="00FC0F7B" w:rsidRPr="00486075" w:rsidRDefault="00FC0F7B" w:rsidP="004D1817">
      <w:pPr>
        <w:spacing w:after="120"/>
        <w:rPr>
          <w:rFonts w:ascii="Helvetica" w:hAnsi="Helvetica"/>
        </w:rPr>
      </w:pPr>
      <w:r w:rsidRPr="00486075">
        <w:rPr>
          <w:rFonts w:ascii="Helvetica" w:hAnsi="Helvetica"/>
        </w:rPr>
        <w:t>If a consumer</w:t>
      </w:r>
      <w:r w:rsidR="00C55116" w:rsidRPr="00486075">
        <w:rPr>
          <w:rFonts w:ascii="Helvetica" w:hAnsi="Helvetica"/>
        </w:rPr>
        <w:t xml:space="preserve"> later choose</w:t>
      </w:r>
      <w:r w:rsidRPr="00486075">
        <w:rPr>
          <w:rFonts w:ascii="Helvetica" w:hAnsi="Helvetica"/>
        </w:rPr>
        <w:t>s</w:t>
      </w:r>
      <w:r w:rsidR="00C55116" w:rsidRPr="00486075">
        <w:rPr>
          <w:rFonts w:ascii="Helvetica" w:hAnsi="Helvetica"/>
        </w:rPr>
        <w:t xml:space="preserve"> to move to another aged</w:t>
      </w:r>
      <w:r w:rsidR="005A44F4" w:rsidRPr="00486075">
        <w:rPr>
          <w:rFonts w:ascii="Helvetica" w:hAnsi="Helvetica"/>
        </w:rPr>
        <w:t xml:space="preserve"> care home</w:t>
      </w:r>
      <w:r w:rsidRPr="00486075">
        <w:rPr>
          <w:rFonts w:ascii="Helvetica" w:hAnsi="Helvetica"/>
        </w:rPr>
        <w:t xml:space="preserve">, their </w:t>
      </w:r>
      <w:r w:rsidR="005A44F4" w:rsidRPr="00486075">
        <w:rPr>
          <w:rFonts w:ascii="Helvetica" w:hAnsi="Helvetica"/>
        </w:rPr>
        <w:t>assigned place would follow them to the next aged care home.</w:t>
      </w:r>
      <w:r w:rsidRPr="00486075">
        <w:rPr>
          <w:rFonts w:ascii="Helvetica" w:hAnsi="Helvetica"/>
        </w:rPr>
        <w:t xml:space="preserve"> They would need to </w:t>
      </w:r>
      <w:r w:rsidR="00C0247E" w:rsidRPr="00486075">
        <w:rPr>
          <w:rFonts w:ascii="Helvetica" w:hAnsi="Helvetica"/>
        </w:rPr>
        <w:t>notify their existing provider and re-activate the process associated with</w:t>
      </w:r>
      <w:r w:rsidRPr="00486075">
        <w:rPr>
          <w:rFonts w:ascii="Helvetica" w:hAnsi="Helvetica"/>
        </w:rPr>
        <w:t xml:space="preserve"> requesting entry</w:t>
      </w:r>
      <w:r w:rsidR="00C0247E" w:rsidRPr="00486075">
        <w:rPr>
          <w:rFonts w:ascii="Helvetica" w:hAnsi="Helvetica"/>
        </w:rPr>
        <w:t xml:space="preserve"> to a</w:t>
      </w:r>
      <w:r w:rsidR="00996A1E" w:rsidRPr="00486075">
        <w:rPr>
          <w:rFonts w:ascii="Helvetica" w:hAnsi="Helvetica"/>
        </w:rPr>
        <w:t>n a</w:t>
      </w:r>
      <w:r w:rsidR="00C0247E" w:rsidRPr="00486075">
        <w:rPr>
          <w:rFonts w:ascii="Helvetica" w:hAnsi="Helvetica"/>
        </w:rPr>
        <w:t>ged care home</w:t>
      </w:r>
      <w:r w:rsidRPr="00486075">
        <w:rPr>
          <w:rFonts w:ascii="Helvetica" w:hAnsi="Helvetica"/>
        </w:rPr>
        <w:t xml:space="preserve">. </w:t>
      </w:r>
    </w:p>
    <w:p w14:paraId="15F60C9E" w14:textId="1BFFB0D4" w:rsidR="00C55116" w:rsidRPr="00486075" w:rsidRDefault="005A44F4" w:rsidP="004D1817">
      <w:pPr>
        <w:spacing w:after="120"/>
        <w:rPr>
          <w:rFonts w:ascii="Helvetica" w:hAnsi="Helvetica"/>
        </w:rPr>
      </w:pPr>
      <w:r w:rsidRPr="00486075">
        <w:rPr>
          <w:rFonts w:ascii="Helvetica" w:hAnsi="Helvetica"/>
        </w:rPr>
        <w:t xml:space="preserve">Where a consumer permanently exits </w:t>
      </w:r>
      <w:r w:rsidR="00035DCE" w:rsidRPr="00486075">
        <w:rPr>
          <w:rFonts w:ascii="Helvetica" w:hAnsi="Helvetica"/>
        </w:rPr>
        <w:t>residential</w:t>
      </w:r>
      <w:r w:rsidRPr="00486075">
        <w:rPr>
          <w:rFonts w:ascii="Helvetica" w:hAnsi="Helvetica"/>
        </w:rPr>
        <w:t xml:space="preserve"> aged care, their assigned place would be returned to the pool. </w:t>
      </w:r>
      <w:r w:rsidR="005B3625" w:rsidRPr="00486075">
        <w:rPr>
          <w:rFonts w:ascii="Helvetica" w:hAnsi="Helvetica"/>
        </w:rPr>
        <w:t>The returned place would be re-assigned to the next consumer on the queue.</w:t>
      </w:r>
    </w:p>
    <w:p w14:paraId="1B4EBAA1" w14:textId="631C9C98" w:rsidR="00A02C61" w:rsidRPr="00486075" w:rsidRDefault="00A02C61">
      <w:pPr>
        <w:rPr>
          <w:rFonts w:ascii="Helvetica" w:eastAsiaTheme="majorEastAsia" w:hAnsi="Helvetica" w:cstheme="majorBidi"/>
          <w:color w:val="2F5496" w:themeColor="accent1" w:themeShade="BF"/>
          <w:sz w:val="26"/>
          <w:szCs w:val="26"/>
        </w:rPr>
      </w:pPr>
      <w:r w:rsidRPr="00486075">
        <w:br w:type="page"/>
      </w:r>
    </w:p>
    <w:p w14:paraId="365A72ED" w14:textId="008A7BC4" w:rsidR="00005DDF" w:rsidRPr="00486075" w:rsidRDefault="00005DDF" w:rsidP="00553BEF">
      <w:pPr>
        <w:pStyle w:val="Heading2"/>
      </w:pPr>
      <w:bookmarkStart w:id="69" w:name="_Toc31293693"/>
      <w:r w:rsidRPr="00486075">
        <w:lastRenderedPageBreak/>
        <w:t>From the providers’ perspective</w:t>
      </w:r>
      <w:bookmarkEnd w:id="69"/>
    </w:p>
    <w:p w14:paraId="46F7D007" w14:textId="77777777" w:rsidR="00005DDF" w:rsidRPr="00486075" w:rsidRDefault="00005DDF" w:rsidP="00583CF5">
      <w:pPr>
        <w:spacing w:after="120"/>
        <w:rPr>
          <w:rFonts w:ascii="Helvetica" w:hAnsi="Helvetica"/>
        </w:rPr>
      </w:pPr>
      <w:r w:rsidRPr="00486075">
        <w:rPr>
          <w:rFonts w:ascii="Helvetica" w:hAnsi="Helvetica"/>
        </w:rPr>
        <w:t xml:space="preserve">In order to deliver </w:t>
      </w:r>
      <w:r w:rsidR="00442C29" w:rsidRPr="00486075">
        <w:rPr>
          <w:rFonts w:ascii="Helvetica" w:hAnsi="Helvetica"/>
        </w:rPr>
        <w:t xml:space="preserve">and be paid for delivering </w:t>
      </w:r>
      <w:r w:rsidRPr="00486075">
        <w:rPr>
          <w:rFonts w:ascii="Helvetica" w:hAnsi="Helvetica"/>
        </w:rPr>
        <w:t>subsidised residential aged care</w:t>
      </w:r>
      <w:r w:rsidR="006B4BD1" w:rsidRPr="00486075">
        <w:rPr>
          <w:rFonts w:ascii="Helvetica" w:hAnsi="Helvetica"/>
        </w:rPr>
        <w:t xml:space="preserve"> under </w:t>
      </w:r>
      <w:r w:rsidR="00F526B6" w:rsidRPr="00486075">
        <w:rPr>
          <w:rFonts w:ascii="Helvetica" w:hAnsi="Helvetica"/>
        </w:rPr>
        <w:t xml:space="preserve">this </w:t>
      </w:r>
      <w:r w:rsidR="00442C29" w:rsidRPr="00486075">
        <w:rPr>
          <w:rFonts w:ascii="Helvetica" w:hAnsi="Helvetica"/>
        </w:rPr>
        <w:t xml:space="preserve">proposed </w:t>
      </w:r>
      <w:r w:rsidR="006B4BD1" w:rsidRPr="00486075">
        <w:rPr>
          <w:rFonts w:ascii="Helvetica" w:hAnsi="Helvetica"/>
        </w:rPr>
        <w:t>model</w:t>
      </w:r>
      <w:r w:rsidRPr="00486075">
        <w:rPr>
          <w:rFonts w:ascii="Helvetica" w:hAnsi="Helvetica"/>
        </w:rPr>
        <w:t>, an organisation must:</w:t>
      </w:r>
    </w:p>
    <w:p w14:paraId="2BF485E5" w14:textId="32B67BCA" w:rsidR="00005DDF" w:rsidRPr="00486075" w:rsidRDefault="00005DDF" w:rsidP="00583CF5">
      <w:pPr>
        <w:pStyle w:val="ListParagraph"/>
        <w:numPr>
          <w:ilvl w:val="0"/>
          <w:numId w:val="8"/>
        </w:numPr>
        <w:spacing w:after="120"/>
        <w:rPr>
          <w:rFonts w:ascii="Helvetica" w:hAnsi="Helvetica"/>
        </w:rPr>
      </w:pPr>
      <w:r w:rsidRPr="00486075">
        <w:rPr>
          <w:rFonts w:ascii="Helvetica" w:hAnsi="Helvetica"/>
        </w:rPr>
        <w:t>be an approved provider of residential aged care</w:t>
      </w:r>
      <w:r w:rsidR="00C7290C" w:rsidRPr="00486075">
        <w:rPr>
          <w:rFonts w:ascii="Helvetica" w:hAnsi="Helvetica"/>
        </w:rPr>
        <w:t xml:space="preserve"> (with an accredited aged care home)</w:t>
      </w:r>
      <w:r w:rsidR="007704EC" w:rsidRPr="00486075">
        <w:rPr>
          <w:rFonts w:ascii="Helvetica" w:hAnsi="Helvetica"/>
        </w:rPr>
        <w:t>; and</w:t>
      </w:r>
    </w:p>
    <w:p w14:paraId="5EC16480" w14:textId="229C0949" w:rsidR="004D4055" w:rsidRPr="00486075" w:rsidRDefault="00005DDF" w:rsidP="00583CF5">
      <w:pPr>
        <w:pStyle w:val="ListParagraph"/>
        <w:numPr>
          <w:ilvl w:val="0"/>
          <w:numId w:val="8"/>
        </w:numPr>
        <w:spacing w:after="120"/>
        <w:rPr>
          <w:rFonts w:ascii="Helvetica" w:hAnsi="Helvetica"/>
          <w:i/>
        </w:rPr>
      </w:pPr>
      <w:r w:rsidRPr="00486075">
        <w:rPr>
          <w:rFonts w:ascii="Helvetica" w:hAnsi="Helvetica"/>
        </w:rPr>
        <w:t>have</w:t>
      </w:r>
      <w:r w:rsidR="000F5783" w:rsidRPr="00486075">
        <w:rPr>
          <w:rFonts w:ascii="Helvetica" w:hAnsi="Helvetica"/>
        </w:rPr>
        <w:t xml:space="preserve"> accepted</w:t>
      </w:r>
      <w:r w:rsidRPr="00486075">
        <w:rPr>
          <w:rFonts w:ascii="Helvetica" w:hAnsi="Helvetica"/>
        </w:rPr>
        <w:t xml:space="preserve"> an eligible consumer with an assigned residential aged care place</w:t>
      </w:r>
      <w:r w:rsidR="007704EC" w:rsidRPr="00486075">
        <w:rPr>
          <w:rFonts w:ascii="Helvetica" w:hAnsi="Helvetica"/>
        </w:rPr>
        <w:t>.</w:t>
      </w:r>
    </w:p>
    <w:p w14:paraId="3C397930" w14:textId="4327B432" w:rsidR="006262B5" w:rsidRPr="00486075" w:rsidRDefault="006262B5" w:rsidP="00553BEF">
      <w:pPr>
        <w:pStyle w:val="Heading2"/>
      </w:pPr>
      <w:bookmarkStart w:id="70" w:name="_Toc31293694"/>
      <w:r w:rsidRPr="00486075">
        <w:t xml:space="preserve">Key </w:t>
      </w:r>
      <w:r w:rsidR="00AD01F6" w:rsidRPr="00486075">
        <w:t xml:space="preserve">design </w:t>
      </w:r>
      <w:r w:rsidRPr="00486075">
        <w:t>considerations</w:t>
      </w:r>
      <w:r w:rsidR="00BE04C2" w:rsidRPr="00486075">
        <w:t xml:space="preserve"> (providers)</w:t>
      </w:r>
      <w:bookmarkEnd w:id="70"/>
    </w:p>
    <w:p w14:paraId="03EAF57E" w14:textId="1EE5A85E" w:rsidR="005D3625" w:rsidRPr="00486075" w:rsidRDefault="005D3625" w:rsidP="001B6A24">
      <w:pPr>
        <w:pStyle w:val="Heading3"/>
      </w:pPr>
      <w:bookmarkStart w:id="71" w:name="_Toc31293695"/>
      <w:r w:rsidRPr="00486075">
        <w:t xml:space="preserve">Supporting sector sustainability </w:t>
      </w:r>
      <w:r w:rsidR="00DA52D0" w:rsidRPr="00486075">
        <w:t>in a competitive market</w:t>
      </w:r>
      <w:bookmarkEnd w:id="71"/>
      <w:r w:rsidR="00DA52D0" w:rsidRPr="00486075">
        <w:t xml:space="preserve"> </w:t>
      </w:r>
    </w:p>
    <w:p w14:paraId="67D88816" w14:textId="4B4D53FE" w:rsidR="00CB1102" w:rsidRPr="00486075" w:rsidRDefault="00442C29" w:rsidP="00CB1102">
      <w:pPr>
        <w:rPr>
          <w:rFonts w:ascii="Helvetica" w:hAnsi="Helvetica"/>
        </w:rPr>
      </w:pPr>
      <w:r w:rsidRPr="00486075">
        <w:rPr>
          <w:rFonts w:ascii="Helvetica" w:hAnsi="Helvetica"/>
          <w:color w:val="000000" w:themeColor="text1"/>
        </w:rPr>
        <w:t>Approved p</w:t>
      </w:r>
      <w:r w:rsidR="005D3625" w:rsidRPr="00486075">
        <w:rPr>
          <w:rFonts w:ascii="Helvetica" w:hAnsi="Helvetica"/>
          <w:color w:val="000000" w:themeColor="text1"/>
        </w:rPr>
        <w:t xml:space="preserve">roviders’ existing </w:t>
      </w:r>
      <w:r w:rsidRPr="00486075">
        <w:rPr>
          <w:rFonts w:ascii="Helvetica" w:hAnsi="Helvetica"/>
          <w:color w:val="000000" w:themeColor="text1"/>
        </w:rPr>
        <w:t>operational</w:t>
      </w:r>
      <w:r w:rsidR="005D3625" w:rsidRPr="00486075">
        <w:rPr>
          <w:rFonts w:ascii="Helvetica" w:hAnsi="Helvetica"/>
          <w:color w:val="000000" w:themeColor="text1"/>
        </w:rPr>
        <w:t xml:space="preserve"> residential</w:t>
      </w:r>
      <w:r w:rsidR="00DA52D0" w:rsidRPr="00486075">
        <w:rPr>
          <w:rFonts w:ascii="Helvetica" w:hAnsi="Helvetica"/>
          <w:color w:val="000000" w:themeColor="text1"/>
        </w:rPr>
        <w:t xml:space="preserve"> aged care places would cease</w:t>
      </w:r>
      <w:r w:rsidRPr="00486075">
        <w:rPr>
          <w:rFonts w:ascii="Helvetica" w:hAnsi="Helvetica"/>
          <w:color w:val="000000" w:themeColor="text1"/>
        </w:rPr>
        <w:t xml:space="preserve"> to have regulatory relevance</w:t>
      </w:r>
      <w:r w:rsidR="005D3625" w:rsidRPr="00486075">
        <w:rPr>
          <w:rFonts w:ascii="Helvetica" w:hAnsi="Helvetica"/>
          <w:color w:val="000000" w:themeColor="text1"/>
        </w:rPr>
        <w:t xml:space="preserve">. </w:t>
      </w:r>
      <w:r w:rsidRPr="00486075">
        <w:rPr>
          <w:rFonts w:ascii="Helvetica" w:hAnsi="Helvetica"/>
          <w:color w:val="000000" w:themeColor="text1"/>
        </w:rPr>
        <w:t xml:space="preserve">In like manner, the concepts of provisionally allocated places and offline places would also cease to have regulatory significance. There would be no inherent value in owning a </w:t>
      </w:r>
      <w:r w:rsidR="0061466B" w:rsidRPr="00486075">
        <w:rPr>
          <w:rFonts w:ascii="Helvetica" w:hAnsi="Helvetica"/>
          <w:color w:val="000000" w:themeColor="text1"/>
        </w:rPr>
        <w:t>‘</w:t>
      </w:r>
      <w:r w:rsidRPr="00486075">
        <w:rPr>
          <w:rFonts w:ascii="Helvetica" w:hAnsi="Helvetica"/>
          <w:color w:val="000000" w:themeColor="text1"/>
        </w:rPr>
        <w:t>bed licence</w:t>
      </w:r>
      <w:r w:rsidR="0061466B" w:rsidRPr="00486075">
        <w:rPr>
          <w:rFonts w:ascii="Helvetica" w:hAnsi="Helvetica"/>
          <w:color w:val="000000" w:themeColor="text1"/>
        </w:rPr>
        <w:t>’</w:t>
      </w:r>
      <w:r w:rsidRPr="00486075">
        <w:rPr>
          <w:rFonts w:ascii="Helvetica" w:hAnsi="Helvetica"/>
          <w:color w:val="000000" w:themeColor="text1"/>
        </w:rPr>
        <w:t>. The o</w:t>
      </w:r>
      <w:r w:rsidR="00CB1102" w:rsidRPr="00486075">
        <w:rPr>
          <w:rFonts w:ascii="Helvetica" w:hAnsi="Helvetica"/>
        </w:rPr>
        <w:t xml:space="preserve">nly </w:t>
      </w:r>
      <w:r w:rsidR="002D50F1" w:rsidRPr="00486075">
        <w:rPr>
          <w:rFonts w:ascii="Helvetica" w:hAnsi="Helvetica"/>
        </w:rPr>
        <w:t xml:space="preserve">two requirements to deliver subsidised care to eligible consumers with assigned places would be having </w:t>
      </w:r>
      <w:r w:rsidR="00CB1102" w:rsidRPr="00486075">
        <w:rPr>
          <w:rFonts w:ascii="Helvetica" w:hAnsi="Helvetica"/>
        </w:rPr>
        <w:t xml:space="preserve">approved provider status (for residential aged care) and </w:t>
      </w:r>
      <w:r w:rsidR="002D50F1" w:rsidRPr="00486075">
        <w:rPr>
          <w:rFonts w:ascii="Helvetica" w:hAnsi="Helvetica"/>
        </w:rPr>
        <w:t xml:space="preserve">having </w:t>
      </w:r>
      <w:r w:rsidR="005C4D01" w:rsidRPr="00486075">
        <w:rPr>
          <w:rFonts w:ascii="Helvetica" w:hAnsi="Helvetica"/>
        </w:rPr>
        <w:t xml:space="preserve">an accredited aged care home. </w:t>
      </w:r>
    </w:p>
    <w:p w14:paraId="78E99F5C" w14:textId="21D594DB" w:rsidR="005D3625" w:rsidRPr="00486075" w:rsidRDefault="002B61E7" w:rsidP="005C4D01">
      <w:pPr>
        <w:spacing w:before="120" w:after="120"/>
        <w:rPr>
          <w:rFonts w:ascii="Helvetica" w:hAnsi="Helvetica"/>
          <w:color w:val="000000" w:themeColor="text1"/>
        </w:rPr>
      </w:pPr>
      <w:r w:rsidRPr="00486075">
        <w:rPr>
          <w:rFonts w:ascii="Helvetica" w:hAnsi="Helvetica"/>
          <w:color w:val="000000" w:themeColor="text1"/>
        </w:rPr>
        <w:t>In order to support</w:t>
      </w:r>
      <w:r w:rsidR="002D50F1" w:rsidRPr="00486075">
        <w:rPr>
          <w:rFonts w:ascii="Helvetica" w:hAnsi="Helvetica"/>
          <w:color w:val="000000" w:themeColor="text1"/>
        </w:rPr>
        <w:t xml:space="preserve"> their</w:t>
      </w:r>
      <w:r w:rsidRPr="00486075">
        <w:rPr>
          <w:rFonts w:ascii="Helvetica" w:hAnsi="Helvetica"/>
          <w:color w:val="000000" w:themeColor="text1"/>
        </w:rPr>
        <w:t xml:space="preserve"> ongoing sustainability, existing approved providers</w:t>
      </w:r>
      <w:r w:rsidR="002D50F1" w:rsidRPr="00486075">
        <w:rPr>
          <w:rFonts w:ascii="Helvetica" w:hAnsi="Helvetica"/>
          <w:color w:val="000000" w:themeColor="text1"/>
        </w:rPr>
        <w:t xml:space="preserve"> may need to consider one or more of the following matters</w:t>
      </w:r>
      <w:r w:rsidRPr="00486075">
        <w:rPr>
          <w:rFonts w:ascii="Helvetica" w:hAnsi="Helvetica"/>
          <w:color w:val="000000" w:themeColor="text1"/>
        </w:rPr>
        <w:t>:</w:t>
      </w:r>
    </w:p>
    <w:p w14:paraId="359397CA" w14:textId="5158B5D8" w:rsidR="005D3625" w:rsidRPr="00486075" w:rsidRDefault="007D734D" w:rsidP="00216A0E">
      <w:pPr>
        <w:pStyle w:val="ListParagraph"/>
        <w:numPr>
          <w:ilvl w:val="0"/>
          <w:numId w:val="29"/>
        </w:numPr>
        <w:spacing w:after="120"/>
        <w:contextualSpacing w:val="0"/>
        <w:rPr>
          <w:rFonts w:ascii="Helvetica" w:hAnsi="Helvetica"/>
          <w:color w:val="000000" w:themeColor="text1"/>
        </w:rPr>
      </w:pPr>
      <w:r w:rsidRPr="00486075">
        <w:rPr>
          <w:rFonts w:ascii="Helvetica" w:hAnsi="Helvetica"/>
          <w:color w:val="000000" w:themeColor="text1"/>
        </w:rPr>
        <w:t>those who have disclosed some or all of their residential aged care places as an intangible asset on the balance sheet on the basis of them having an indefinite useful life will have to consider impairment, writing off the value or amalgamating with purchased goodwill</w:t>
      </w:r>
      <w:r w:rsidR="007704EC" w:rsidRPr="00486075">
        <w:rPr>
          <w:rFonts w:ascii="Helvetica" w:hAnsi="Helvetica"/>
          <w:color w:val="000000" w:themeColor="text1"/>
        </w:rPr>
        <w:t>;</w:t>
      </w:r>
    </w:p>
    <w:p w14:paraId="7A32F486" w14:textId="3B19E903" w:rsidR="005D3625" w:rsidRPr="00486075" w:rsidRDefault="002D50F1" w:rsidP="00216A0E">
      <w:pPr>
        <w:pStyle w:val="ListParagraph"/>
        <w:numPr>
          <w:ilvl w:val="0"/>
          <w:numId w:val="29"/>
        </w:numPr>
        <w:spacing w:after="120"/>
        <w:ind w:left="714" w:hanging="357"/>
        <w:contextualSpacing w:val="0"/>
        <w:rPr>
          <w:rFonts w:ascii="Helvetica" w:hAnsi="Helvetica"/>
          <w:color w:val="000000" w:themeColor="text1"/>
        </w:rPr>
      </w:pPr>
      <w:r w:rsidRPr="00486075">
        <w:rPr>
          <w:rFonts w:ascii="Helvetica" w:hAnsi="Helvetica"/>
          <w:color w:val="000000" w:themeColor="text1"/>
        </w:rPr>
        <w:t xml:space="preserve">some providers </w:t>
      </w:r>
      <w:r w:rsidR="005D3625" w:rsidRPr="00486075">
        <w:rPr>
          <w:rFonts w:ascii="Helvetica" w:hAnsi="Helvetica"/>
          <w:color w:val="000000" w:themeColor="text1"/>
        </w:rPr>
        <w:t xml:space="preserve">may need to review their business, service and workforce models to remove any assumptions or settings linked to their </w:t>
      </w:r>
      <w:r w:rsidRPr="00486075">
        <w:rPr>
          <w:rFonts w:ascii="Helvetica" w:hAnsi="Helvetica"/>
          <w:color w:val="000000" w:themeColor="text1"/>
        </w:rPr>
        <w:t xml:space="preserve">current ACAR </w:t>
      </w:r>
      <w:r w:rsidR="005D3625" w:rsidRPr="00486075">
        <w:rPr>
          <w:rFonts w:ascii="Helvetica" w:hAnsi="Helvetica"/>
          <w:color w:val="000000" w:themeColor="text1"/>
        </w:rPr>
        <w:t>allocation of residential aged care places</w:t>
      </w:r>
      <w:r w:rsidR="007704EC" w:rsidRPr="00486075">
        <w:rPr>
          <w:rFonts w:ascii="Helvetica" w:hAnsi="Helvetica"/>
          <w:color w:val="000000" w:themeColor="text1"/>
        </w:rPr>
        <w:t>; and</w:t>
      </w:r>
    </w:p>
    <w:p w14:paraId="0FDBB836" w14:textId="54B3594A" w:rsidR="007760F2" w:rsidRPr="00486075" w:rsidRDefault="007704EC" w:rsidP="00216A0E">
      <w:pPr>
        <w:pStyle w:val="ListParagraph"/>
        <w:numPr>
          <w:ilvl w:val="0"/>
          <w:numId w:val="29"/>
        </w:numPr>
        <w:spacing w:after="120"/>
        <w:ind w:left="714" w:hanging="357"/>
        <w:contextualSpacing w:val="0"/>
        <w:rPr>
          <w:rFonts w:ascii="Helvetica" w:hAnsi="Helvetica"/>
          <w:color w:val="70AD47" w:themeColor="accent6"/>
        </w:rPr>
      </w:pPr>
      <w:r w:rsidRPr="00486075">
        <w:rPr>
          <w:rFonts w:ascii="Helvetica" w:hAnsi="Helvetica"/>
          <w:color w:val="000000" w:themeColor="text1"/>
        </w:rPr>
        <w:t>i</w:t>
      </w:r>
      <w:r w:rsidR="002D50F1" w:rsidRPr="00486075">
        <w:rPr>
          <w:rFonts w:ascii="Helvetica" w:hAnsi="Helvetica"/>
          <w:color w:val="000000" w:themeColor="text1"/>
        </w:rPr>
        <w:t>n general, providers would need to review their models</w:t>
      </w:r>
      <w:r w:rsidR="00803440" w:rsidRPr="00486075">
        <w:rPr>
          <w:rFonts w:ascii="Helvetica" w:hAnsi="Helvetica"/>
          <w:color w:val="000000" w:themeColor="text1"/>
        </w:rPr>
        <w:t xml:space="preserve"> to better position their </w:t>
      </w:r>
      <w:r w:rsidR="00C8410C" w:rsidRPr="00486075">
        <w:rPr>
          <w:rFonts w:ascii="Helvetica" w:hAnsi="Helvetica"/>
          <w:color w:val="000000" w:themeColor="text1"/>
        </w:rPr>
        <w:t>service and/or accommodation offerings</w:t>
      </w:r>
      <w:r w:rsidR="00803440" w:rsidRPr="00486075">
        <w:rPr>
          <w:rFonts w:ascii="Helvetica" w:hAnsi="Helvetica"/>
          <w:color w:val="000000" w:themeColor="text1"/>
        </w:rPr>
        <w:t xml:space="preserve"> to remain competitive and attractive to consumers. This may also involve increased market research and marketing/advertising activities. Greater efficiencies, while maintaining safety and quality </w:t>
      </w:r>
      <w:r w:rsidR="00803440" w:rsidRPr="00486075">
        <w:rPr>
          <w:rFonts w:ascii="Helvetica" w:hAnsi="Helvetica"/>
        </w:rPr>
        <w:t xml:space="preserve">standards, may need to be identified in order to offset any </w:t>
      </w:r>
      <w:r w:rsidR="00DA52D0" w:rsidRPr="00486075">
        <w:rPr>
          <w:rFonts w:ascii="Helvetica" w:hAnsi="Helvetica"/>
        </w:rPr>
        <w:t>associated</w:t>
      </w:r>
      <w:r w:rsidR="00803440" w:rsidRPr="00486075">
        <w:rPr>
          <w:rFonts w:ascii="Helvetica" w:hAnsi="Helvetica"/>
        </w:rPr>
        <w:t xml:space="preserve"> costs</w:t>
      </w:r>
      <w:r w:rsidR="00DA52D0" w:rsidRPr="00486075">
        <w:rPr>
          <w:rFonts w:ascii="Helvetica" w:hAnsi="Helvetica"/>
        </w:rPr>
        <w:t xml:space="preserve"> </w:t>
      </w:r>
      <w:r w:rsidR="00DA52D0" w:rsidRPr="00486075">
        <w:rPr>
          <w:rFonts w:ascii="Helvetica" w:hAnsi="Helvetica"/>
          <w:color w:val="000000" w:themeColor="text1"/>
        </w:rPr>
        <w:t>of these activities.</w:t>
      </w:r>
    </w:p>
    <w:p w14:paraId="7B36A915" w14:textId="21DD179D" w:rsidR="006262B5" w:rsidRPr="00486075" w:rsidRDefault="00504878" w:rsidP="001B6A24">
      <w:pPr>
        <w:pStyle w:val="Heading3"/>
      </w:pPr>
      <w:bookmarkStart w:id="72" w:name="_Toc31293696"/>
      <w:r w:rsidRPr="00486075">
        <w:t>Financing</w:t>
      </w:r>
      <w:r w:rsidR="00286AEC" w:rsidRPr="00486075">
        <w:t xml:space="preserve"> sector growth</w:t>
      </w:r>
      <w:bookmarkEnd w:id="72"/>
      <w:r w:rsidR="006262B5" w:rsidRPr="00486075">
        <w:t xml:space="preserve">  </w:t>
      </w:r>
    </w:p>
    <w:p w14:paraId="7B01970B" w14:textId="25515A0A" w:rsidR="008B675C" w:rsidRPr="00486075" w:rsidRDefault="005D3625" w:rsidP="00583CF5">
      <w:pPr>
        <w:spacing w:after="120"/>
        <w:rPr>
          <w:rFonts w:ascii="Helvetica" w:hAnsi="Helvetica"/>
          <w:color w:val="70AD47" w:themeColor="accent6"/>
        </w:rPr>
      </w:pPr>
      <w:r w:rsidRPr="00486075">
        <w:rPr>
          <w:rFonts w:ascii="Helvetica" w:hAnsi="Helvetica"/>
        </w:rPr>
        <w:t xml:space="preserve">The ability of </w:t>
      </w:r>
      <w:r w:rsidR="008B675C" w:rsidRPr="00486075">
        <w:rPr>
          <w:rFonts w:ascii="Helvetica" w:hAnsi="Helvetica"/>
        </w:rPr>
        <w:t xml:space="preserve">a number of </w:t>
      </w:r>
      <w:r w:rsidRPr="00486075">
        <w:rPr>
          <w:rFonts w:ascii="Helvetica" w:hAnsi="Helvetica"/>
        </w:rPr>
        <w:t>providers to obtain capital financing, which supports the</w:t>
      </w:r>
      <w:r w:rsidR="008B675C" w:rsidRPr="00486075">
        <w:rPr>
          <w:rFonts w:ascii="Helvetica" w:hAnsi="Helvetica"/>
        </w:rPr>
        <w:t>ir</w:t>
      </w:r>
      <w:r w:rsidRPr="00486075">
        <w:rPr>
          <w:rFonts w:ascii="Helvetica" w:hAnsi="Helvetica"/>
        </w:rPr>
        <w:t xml:space="preserve"> construction of new aged care homes and the refurbishment of existing homes, is integral to the continued </w:t>
      </w:r>
      <w:r w:rsidRPr="00486075">
        <w:rPr>
          <w:rFonts w:ascii="Helvetica" w:hAnsi="Helvetica"/>
          <w:color w:val="000000" w:themeColor="text1"/>
        </w:rPr>
        <w:t>growth of the sector.</w:t>
      </w:r>
      <w:r w:rsidRPr="00486075">
        <w:rPr>
          <w:rFonts w:ascii="Helvetica" w:hAnsi="Helvetica"/>
          <w:color w:val="70AD47" w:themeColor="accent6"/>
        </w:rPr>
        <w:t xml:space="preserve"> </w:t>
      </w:r>
    </w:p>
    <w:p w14:paraId="070C6A20" w14:textId="4DE4E010" w:rsidR="008B675C" w:rsidRPr="00486075" w:rsidRDefault="008B675C" w:rsidP="00583CF5">
      <w:pPr>
        <w:spacing w:after="120"/>
        <w:rPr>
          <w:rFonts w:ascii="Helvetica" w:hAnsi="Helvetica"/>
          <w:color w:val="000000" w:themeColor="text1"/>
        </w:rPr>
      </w:pPr>
      <w:r w:rsidRPr="00486075">
        <w:rPr>
          <w:rFonts w:ascii="Helvetica" w:hAnsi="Helvetica"/>
          <w:color w:val="000000" w:themeColor="text1"/>
        </w:rPr>
        <w:t xml:space="preserve">If the current aged care planning ratio remains a valid indicator of demand, then </w:t>
      </w:r>
      <w:r w:rsidR="006262B5" w:rsidRPr="00486075">
        <w:rPr>
          <w:rFonts w:ascii="Helvetica" w:hAnsi="Helvetica"/>
          <w:color w:val="000000" w:themeColor="text1"/>
        </w:rPr>
        <w:t>ACFA</w:t>
      </w:r>
      <w:r w:rsidR="00F526B6" w:rsidRPr="00486075">
        <w:rPr>
          <w:rStyle w:val="FootnoteReference"/>
          <w:rFonts w:ascii="Helvetica" w:hAnsi="Helvetica"/>
          <w:color w:val="000000" w:themeColor="text1"/>
        </w:rPr>
        <w:footnoteReference w:id="32"/>
      </w:r>
      <w:r w:rsidR="006262B5" w:rsidRPr="00486075">
        <w:rPr>
          <w:rFonts w:ascii="Helvetica" w:hAnsi="Helvetica"/>
          <w:color w:val="000000" w:themeColor="text1"/>
        </w:rPr>
        <w:t xml:space="preserve"> has estimated that the residential aged care sector will need to build an additional 88,110 places over the next decade in order to meet </w:t>
      </w:r>
      <w:r w:rsidRPr="00486075">
        <w:rPr>
          <w:rFonts w:ascii="Helvetica" w:hAnsi="Helvetica"/>
          <w:color w:val="000000" w:themeColor="text1"/>
        </w:rPr>
        <w:t>that</w:t>
      </w:r>
      <w:r w:rsidR="006262B5" w:rsidRPr="00486075">
        <w:rPr>
          <w:rFonts w:ascii="Helvetica" w:hAnsi="Helvetica"/>
          <w:color w:val="000000" w:themeColor="text1"/>
        </w:rPr>
        <w:t xml:space="preserve"> ratio (78 operational residential aged care places per 1,000 people aged 70 and over by 2021-22). </w:t>
      </w:r>
      <w:r w:rsidRPr="00486075">
        <w:rPr>
          <w:rFonts w:ascii="Helvetica" w:hAnsi="Helvetica"/>
          <w:color w:val="000000" w:themeColor="text1"/>
        </w:rPr>
        <w:t>T</w:t>
      </w:r>
      <w:r w:rsidR="006262B5" w:rsidRPr="00486075">
        <w:rPr>
          <w:rFonts w:ascii="Helvetica" w:hAnsi="Helvetica"/>
          <w:color w:val="000000" w:themeColor="text1"/>
        </w:rPr>
        <w:t xml:space="preserve">he estimated investment requirement of the sector over the next decade </w:t>
      </w:r>
      <w:r w:rsidR="00504878" w:rsidRPr="00486075">
        <w:rPr>
          <w:rFonts w:ascii="Helvetica" w:hAnsi="Helvetica"/>
          <w:color w:val="000000" w:themeColor="text1"/>
        </w:rPr>
        <w:t xml:space="preserve">would be </w:t>
      </w:r>
      <w:r w:rsidR="006262B5" w:rsidRPr="00486075">
        <w:rPr>
          <w:rFonts w:ascii="Helvetica" w:hAnsi="Helvetica"/>
          <w:color w:val="000000" w:themeColor="text1"/>
        </w:rPr>
        <w:t xml:space="preserve">in the order of $54 billion. </w:t>
      </w:r>
    </w:p>
    <w:p w14:paraId="024FFB1C" w14:textId="77777777" w:rsidR="00B611A5" w:rsidRPr="00486075" w:rsidRDefault="006262B5" w:rsidP="00583CF5">
      <w:pPr>
        <w:spacing w:after="120"/>
        <w:rPr>
          <w:rFonts w:ascii="Helvetica" w:hAnsi="Helvetica"/>
        </w:rPr>
      </w:pPr>
      <w:r w:rsidRPr="00486075">
        <w:rPr>
          <w:rFonts w:ascii="Helvetica" w:hAnsi="Helvetica"/>
        </w:rPr>
        <w:t xml:space="preserve">Capital for residential aged care providers is </w:t>
      </w:r>
      <w:r w:rsidR="00504878" w:rsidRPr="00486075">
        <w:rPr>
          <w:rFonts w:ascii="Helvetica" w:hAnsi="Helvetica"/>
        </w:rPr>
        <w:t>financed</w:t>
      </w:r>
      <w:r w:rsidRPr="00486075">
        <w:rPr>
          <w:rFonts w:ascii="Helvetica" w:hAnsi="Helvetica"/>
        </w:rPr>
        <w:t xml:space="preserve"> from equity investments; loans from financial institutions; interest free loans from residents in the form of RADs; capital investment support from government (e.g. capital grants); and retained earnings. </w:t>
      </w:r>
    </w:p>
    <w:p w14:paraId="51611E76" w14:textId="3B1ED8EF" w:rsidR="00C82C7E" w:rsidRPr="00486075" w:rsidRDefault="00C82C7E" w:rsidP="00583CF5">
      <w:pPr>
        <w:spacing w:after="120"/>
        <w:rPr>
          <w:rFonts w:ascii="Helvetica" w:hAnsi="Helvetica"/>
          <w:color w:val="000000" w:themeColor="text1"/>
        </w:rPr>
      </w:pPr>
      <w:r w:rsidRPr="00486075">
        <w:rPr>
          <w:rFonts w:ascii="Helvetica" w:hAnsi="Helvetica"/>
          <w:color w:val="000000" w:themeColor="text1"/>
        </w:rPr>
        <w:lastRenderedPageBreak/>
        <w:t>Under this proposed model:</w:t>
      </w:r>
    </w:p>
    <w:p w14:paraId="15DA850A" w14:textId="7F218E08" w:rsidR="005D3625" w:rsidRPr="00486075" w:rsidRDefault="008B675C" w:rsidP="00216A0E">
      <w:pPr>
        <w:pStyle w:val="ListParagraph"/>
        <w:numPr>
          <w:ilvl w:val="0"/>
          <w:numId w:val="31"/>
        </w:numPr>
        <w:spacing w:after="120"/>
        <w:ind w:left="357" w:hanging="357"/>
        <w:contextualSpacing w:val="0"/>
        <w:rPr>
          <w:rFonts w:ascii="Helvetica" w:hAnsi="Helvetica"/>
          <w:color w:val="000000" w:themeColor="text1"/>
        </w:rPr>
      </w:pPr>
      <w:r w:rsidRPr="00486075">
        <w:rPr>
          <w:rFonts w:ascii="Helvetica" w:hAnsi="Helvetica"/>
          <w:color w:val="000000" w:themeColor="text1"/>
        </w:rPr>
        <w:t xml:space="preserve">for providers </w:t>
      </w:r>
      <w:r w:rsidR="005D3625" w:rsidRPr="00486075">
        <w:rPr>
          <w:rFonts w:ascii="Helvetica" w:hAnsi="Helvetica"/>
          <w:color w:val="000000" w:themeColor="text1"/>
        </w:rPr>
        <w:t xml:space="preserve">seeking to obtain capital or external borrowing, </w:t>
      </w:r>
      <w:r w:rsidRPr="00486075">
        <w:rPr>
          <w:rFonts w:ascii="Helvetica" w:hAnsi="Helvetica"/>
          <w:color w:val="000000" w:themeColor="text1"/>
        </w:rPr>
        <w:t xml:space="preserve">they </w:t>
      </w:r>
      <w:r w:rsidR="005D3625" w:rsidRPr="00486075">
        <w:rPr>
          <w:rFonts w:ascii="Helvetica" w:hAnsi="Helvetica"/>
          <w:color w:val="000000" w:themeColor="text1"/>
        </w:rPr>
        <w:t>would no longer be able to use an allocation of residential aged care places to provide assurances of future revenue streams to financiers/investors or lenders</w:t>
      </w:r>
      <w:r w:rsidR="007704EC" w:rsidRPr="00486075">
        <w:rPr>
          <w:rFonts w:ascii="Helvetica" w:hAnsi="Helvetica"/>
          <w:color w:val="000000" w:themeColor="text1"/>
        </w:rPr>
        <w:t>; and</w:t>
      </w:r>
    </w:p>
    <w:p w14:paraId="7B2E97E3" w14:textId="321A1468" w:rsidR="00C82C7E" w:rsidRPr="00486075" w:rsidRDefault="00C82C7E" w:rsidP="00216A0E">
      <w:pPr>
        <w:pStyle w:val="ListParagraph"/>
        <w:numPr>
          <w:ilvl w:val="0"/>
          <w:numId w:val="31"/>
        </w:numPr>
        <w:spacing w:after="240"/>
        <w:ind w:left="357" w:hanging="357"/>
        <w:contextualSpacing w:val="0"/>
        <w:rPr>
          <w:rFonts w:ascii="Helvetica" w:hAnsi="Helvetica"/>
          <w:color w:val="000000" w:themeColor="text1"/>
        </w:rPr>
      </w:pPr>
      <w:r w:rsidRPr="00486075">
        <w:rPr>
          <w:rFonts w:ascii="Helvetica" w:hAnsi="Helvetica"/>
          <w:color w:val="000000" w:themeColor="text1"/>
        </w:rPr>
        <w:t xml:space="preserve">when assessing investment risk of providers’ proposals for capital/borrowing,  financiers/investors and lenders </w:t>
      </w:r>
      <w:r w:rsidR="00DA52D0" w:rsidRPr="00486075">
        <w:rPr>
          <w:rFonts w:ascii="Helvetica" w:hAnsi="Helvetica"/>
          <w:color w:val="000000" w:themeColor="text1"/>
        </w:rPr>
        <w:t>may</w:t>
      </w:r>
      <w:r w:rsidRPr="00486075">
        <w:rPr>
          <w:rFonts w:ascii="Helvetica" w:hAnsi="Helvetica"/>
          <w:color w:val="000000" w:themeColor="text1"/>
        </w:rPr>
        <w:t xml:space="preserve"> no longer have visibility of the</w:t>
      </w:r>
      <w:r w:rsidR="00DA52D0" w:rsidRPr="00486075">
        <w:rPr>
          <w:rFonts w:ascii="Helvetica" w:hAnsi="Helvetica"/>
          <w:color w:val="000000" w:themeColor="text1"/>
        </w:rPr>
        <w:t xml:space="preserve"> provider’s possible revenue stream,</w:t>
      </w:r>
      <w:r w:rsidRPr="00486075">
        <w:rPr>
          <w:rFonts w:ascii="Helvetica" w:hAnsi="Helvetica"/>
          <w:color w:val="000000" w:themeColor="text1"/>
        </w:rPr>
        <w:t xml:space="preserve"> </w:t>
      </w:r>
      <w:r w:rsidR="00DA52D0" w:rsidRPr="00486075">
        <w:rPr>
          <w:rFonts w:ascii="Helvetica" w:hAnsi="Helvetica"/>
          <w:color w:val="000000" w:themeColor="text1"/>
        </w:rPr>
        <w:t xml:space="preserve">or of </w:t>
      </w:r>
      <w:r w:rsidRPr="00486075">
        <w:rPr>
          <w:rFonts w:ascii="Helvetica" w:hAnsi="Helvetica"/>
          <w:color w:val="000000" w:themeColor="text1"/>
        </w:rPr>
        <w:t xml:space="preserve">future distribution of residential aged care places through the ACAR-related information sources. </w:t>
      </w:r>
    </w:p>
    <w:p w14:paraId="4585D5B4" w14:textId="01A4A5B3" w:rsidR="00575524" w:rsidRPr="00486075" w:rsidRDefault="00575524" w:rsidP="001B6A24">
      <w:pPr>
        <w:pStyle w:val="Heading3"/>
      </w:pPr>
      <w:bookmarkStart w:id="73" w:name="_Toc31293697"/>
      <w:r w:rsidRPr="00486075">
        <w:t>Encouraging service provision in thin markets</w:t>
      </w:r>
      <w:bookmarkEnd w:id="73"/>
    </w:p>
    <w:p w14:paraId="3A642625" w14:textId="714B4F09" w:rsidR="00D95BD2" w:rsidRPr="00486075" w:rsidRDefault="00973C31" w:rsidP="00B611A5">
      <w:pPr>
        <w:rPr>
          <w:rFonts w:ascii="Helvetica" w:hAnsi="Helvetica"/>
        </w:rPr>
      </w:pPr>
      <w:r w:rsidRPr="00486075">
        <w:rPr>
          <w:rFonts w:ascii="Helvetica" w:hAnsi="Helvetica"/>
        </w:rPr>
        <w:t xml:space="preserve">If the ability to target need through the ACAR and conditions of allocation is removed, consideration needs to be given to </w:t>
      </w:r>
      <w:r w:rsidR="00B611A5" w:rsidRPr="00486075">
        <w:rPr>
          <w:rFonts w:ascii="Helvetica" w:hAnsi="Helvetica"/>
        </w:rPr>
        <w:t>service provision and equitable access to care in</w:t>
      </w:r>
      <w:r w:rsidRPr="00486075">
        <w:rPr>
          <w:rFonts w:ascii="Helvetica" w:hAnsi="Helvetica"/>
        </w:rPr>
        <w:t xml:space="preserve"> thin markets. That is,</w:t>
      </w:r>
      <w:r w:rsidR="00B611A5" w:rsidRPr="00486075">
        <w:rPr>
          <w:rFonts w:ascii="Helvetica" w:hAnsi="Helvetica"/>
        </w:rPr>
        <w:t xml:space="preserve"> areas with a small number of providers and consumers (such as rural, remote and regional areas or locations that have relatively larger numbers of older persons from </w:t>
      </w:r>
      <w:r w:rsidR="00F526B6" w:rsidRPr="00486075">
        <w:rPr>
          <w:rFonts w:ascii="Helvetica" w:hAnsi="Helvetica"/>
        </w:rPr>
        <w:t>S</w:t>
      </w:r>
      <w:r w:rsidR="00B611A5" w:rsidRPr="00486075">
        <w:rPr>
          <w:rFonts w:ascii="Helvetica" w:hAnsi="Helvetica"/>
        </w:rPr>
        <w:t xml:space="preserve">pecial </w:t>
      </w:r>
      <w:r w:rsidR="00F526B6" w:rsidRPr="00486075">
        <w:rPr>
          <w:rFonts w:ascii="Helvetica" w:hAnsi="Helvetica"/>
        </w:rPr>
        <w:t>N</w:t>
      </w:r>
      <w:r w:rsidR="00B611A5" w:rsidRPr="00486075">
        <w:rPr>
          <w:rFonts w:ascii="Helvetica" w:hAnsi="Helvetica"/>
        </w:rPr>
        <w:t xml:space="preserve">eeds </w:t>
      </w:r>
      <w:r w:rsidR="00F526B6" w:rsidRPr="00486075">
        <w:rPr>
          <w:rFonts w:ascii="Helvetica" w:hAnsi="Helvetica"/>
        </w:rPr>
        <w:t>G</w:t>
      </w:r>
      <w:r w:rsidR="00B611A5" w:rsidRPr="00486075">
        <w:rPr>
          <w:rFonts w:ascii="Helvetica" w:hAnsi="Helvetica"/>
        </w:rPr>
        <w:t>roups</w:t>
      </w:r>
      <w:r w:rsidRPr="00486075">
        <w:rPr>
          <w:rFonts w:ascii="Helvetica" w:hAnsi="Helvetica"/>
        </w:rPr>
        <w:t xml:space="preserve">). </w:t>
      </w:r>
    </w:p>
    <w:p w14:paraId="2F18256C" w14:textId="75B2D3A6" w:rsidR="00973C31" w:rsidRPr="00486075" w:rsidRDefault="00973C31" w:rsidP="00D95BD2">
      <w:pPr>
        <w:spacing w:before="120"/>
        <w:rPr>
          <w:rFonts w:ascii="Helvetica" w:hAnsi="Helvetica"/>
        </w:rPr>
      </w:pPr>
      <w:r w:rsidRPr="00486075">
        <w:rPr>
          <w:rFonts w:ascii="Helvetica" w:hAnsi="Helvetica"/>
        </w:rPr>
        <w:t>It is recognised that this issue may be</w:t>
      </w:r>
      <w:r w:rsidR="00B611A5" w:rsidRPr="00486075">
        <w:rPr>
          <w:rFonts w:ascii="Helvetica" w:hAnsi="Helvetica"/>
        </w:rPr>
        <w:t xml:space="preserve"> a</w:t>
      </w:r>
      <w:r w:rsidRPr="00486075">
        <w:rPr>
          <w:rFonts w:ascii="Helvetica" w:hAnsi="Helvetica"/>
        </w:rPr>
        <w:t xml:space="preserve">ddressed </w:t>
      </w:r>
      <w:r w:rsidR="00B611A5" w:rsidRPr="00486075">
        <w:rPr>
          <w:rFonts w:ascii="Helvetica" w:hAnsi="Helvetica"/>
        </w:rPr>
        <w:t xml:space="preserve">through funding levers (e.g. capital grants, viability supplements, ‘reverse auctions’ where providers bid for the prices at which they are willing to deliver their services, or broader funding model reform) or other targeted programs such as the Multi-Purpose Services Program. </w:t>
      </w:r>
      <w:r w:rsidRPr="00486075">
        <w:rPr>
          <w:rFonts w:ascii="Helvetica" w:hAnsi="Helvetica"/>
        </w:rPr>
        <w:t xml:space="preserve">However, it is also worth exploring other </w:t>
      </w:r>
      <w:r w:rsidR="00F120BB" w:rsidRPr="00486075">
        <w:rPr>
          <w:rFonts w:ascii="Helvetica" w:hAnsi="Helvetica"/>
        </w:rPr>
        <w:t xml:space="preserve">non-funding related </w:t>
      </w:r>
      <w:r w:rsidRPr="00486075">
        <w:rPr>
          <w:rFonts w:ascii="Helvetica" w:hAnsi="Helvetica"/>
        </w:rPr>
        <w:t>mechanisms to encourage and support service provision in thin markets</w:t>
      </w:r>
      <w:r w:rsidR="0061466B" w:rsidRPr="00486075">
        <w:rPr>
          <w:rFonts w:ascii="Helvetica" w:hAnsi="Helvetica"/>
        </w:rPr>
        <w:t>, for example</w:t>
      </w:r>
      <w:r w:rsidR="00685639" w:rsidRPr="00486075">
        <w:rPr>
          <w:rFonts w:ascii="Helvetica" w:hAnsi="Helvetica"/>
        </w:rPr>
        <w:t xml:space="preserve"> the attachment of relevant conditions to approved provider status</w:t>
      </w:r>
      <w:r w:rsidR="0061466B" w:rsidRPr="00486075">
        <w:rPr>
          <w:rFonts w:ascii="Helvetica" w:hAnsi="Helvetica"/>
        </w:rPr>
        <w:t>.</w:t>
      </w:r>
    </w:p>
    <w:p w14:paraId="4C605AC1" w14:textId="064F48B5" w:rsidR="00F26085" w:rsidRPr="00661934" w:rsidRDefault="00F26085" w:rsidP="00661934">
      <w:pPr>
        <w:spacing w:before="240"/>
        <w:rPr>
          <w:rFonts w:ascii="Helvetica" w:hAnsi="Helvetica"/>
        </w:rPr>
      </w:pPr>
      <w:r w:rsidRPr="00661934">
        <w:rPr>
          <w:rFonts w:ascii="Helvetica" w:hAnsi="Helvetica"/>
        </w:rPr>
        <w:t>An overview of Model 2 from the consumer and prov</w:t>
      </w:r>
      <w:r w:rsidR="00160BCA" w:rsidRPr="00661934">
        <w:rPr>
          <w:rFonts w:ascii="Helvetica" w:hAnsi="Helvetica"/>
        </w:rPr>
        <w:t>ider perspectives is at Figure 2</w:t>
      </w:r>
      <w:r w:rsidRPr="00661934">
        <w:rPr>
          <w:rFonts w:ascii="Helvetica" w:hAnsi="Helvetica"/>
        </w:rPr>
        <w:t>.</w:t>
      </w:r>
    </w:p>
    <w:p w14:paraId="278672A2" w14:textId="6983D496" w:rsidR="00F26085" w:rsidRPr="00486075" w:rsidRDefault="00F26085" w:rsidP="00661934">
      <w:pPr>
        <w:spacing w:before="240"/>
        <w:rPr>
          <w:rFonts w:ascii="Helvetica" w:hAnsi="Helvetica"/>
          <w:b/>
        </w:rPr>
      </w:pPr>
      <w:r w:rsidRPr="00486075">
        <w:rPr>
          <w:rFonts w:ascii="Helvetica" w:hAnsi="Helvetica"/>
          <w:b/>
        </w:rPr>
        <w:t xml:space="preserve">Figure </w:t>
      </w:r>
      <w:r w:rsidR="00160BCA" w:rsidRPr="00486075">
        <w:rPr>
          <w:rFonts w:ascii="Helvetica" w:hAnsi="Helvetica"/>
          <w:b/>
        </w:rPr>
        <w:t>2</w:t>
      </w:r>
      <w:r w:rsidRPr="00486075">
        <w:rPr>
          <w:rFonts w:ascii="Helvetica" w:hAnsi="Helvetica"/>
          <w:b/>
        </w:rPr>
        <w:t>. Overview of Model 2</w:t>
      </w:r>
    </w:p>
    <w:p w14:paraId="6BE8867E" w14:textId="017F5BDB" w:rsidR="00F26085" w:rsidRPr="00486075" w:rsidRDefault="00EE46F2" w:rsidP="00F26085">
      <w:pPr>
        <w:rPr>
          <w:rFonts w:ascii="Helvetica" w:hAnsi="Helvetica"/>
          <w:b/>
        </w:rPr>
      </w:pPr>
      <w:r>
        <w:rPr>
          <w:noProof/>
        </w:rPr>
        <w:drawing>
          <wp:anchor distT="0" distB="0" distL="114300" distR="114300" simplePos="0" relativeHeight="251660288" behindDoc="0" locked="0" layoutInCell="1" allowOverlap="1" wp14:anchorId="18AA0A96" wp14:editId="3CB5944D">
            <wp:simplePos x="0" y="0"/>
            <wp:positionH relativeFrom="margin">
              <wp:posOffset>1117600</wp:posOffset>
            </wp:positionH>
            <wp:positionV relativeFrom="paragraph">
              <wp:posOffset>433705</wp:posOffset>
            </wp:positionV>
            <wp:extent cx="571500" cy="453659"/>
            <wp:effectExtent l="0" t="0" r="0" b="3810"/>
            <wp:wrapNone/>
            <wp:docPr id="5" name="Picture 5" descr="My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0026\AppData\Local\Microsoft\Windows\INetCache\Content.Word\My Aged Care inline logo.jpg"/>
                    <pic:cNvPicPr>
                      <a:picLocks noChangeAspect="1" noChangeArrowheads="1"/>
                    </pic:cNvPicPr>
                  </pic:nvPicPr>
                  <pic:blipFill rotWithShape="1">
                    <a:blip r:embed="rId30" cstate="hqprint">
                      <a:extLst>
                        <a:ext uri="{BEBA8EAE-BF5A-486C-A8C5-ECC9F3942E4B}">
                          <a14:imgProps xmlns:a14="http://schemas.microsoft.com/office/drawing/2010/main">
                            <a14:imgLayer r:embed="rId31">
                              <a14:imgEffect>
                                <a14:backgroundRemoval t="0" b="98571" l="9709" r="89806">
                                  <a14:foregroundMark x1="26214" y1="4286" x2="20874" y2="18571"/>
                                  <a14:foregroundMark x1="19903" y1="20714" x2="26699" y2="33571"/>
                                  <a14:foregroundMark x1="32039" y1="35000" x2="40291" y2="30000"/>
                                  <a14:foregroundMark x1="40777" y1="30000" x2="43689" y2="22143"/>
                                  <a14:foregroundMark x1="24757" y1="40000" x2="17961" y2="45000"/>
                                  <a14:foregroundMark x1="17961" y1="45714" x2="11650" y2="60000"/>
                                  <a14:foregroundMark x1="11650" y1="72143" x2="15049" y2="80714"/>
                                  <a14:foregroundMark x1="17961" y1="72857" x2="26699" y2="66429"/>
                                  <a14:foregroundMark x1="26699" y1="67857" x2="37379" y2="75000"/>
                                  <a14:foregroundMark x1="38835" y1="74286" x2="46117" y2="72143"/>
                                  <a14:foregroundMark x1="46117" y1="71429" x2="56796" y2="66429"/>
                                  <a14:foregroundMark x1="68932" y1="24286" x2="65534" y2="30000"/>
                                  <a14:foregroundMark x1="78155" y1="20714" x2="88350" y2="30714"/>
                                  <a14:foregroundMark x1="30583" y1="40714" x2="53883" y2="59286"/>
                                  <a14:backgroundMark x1="20388" y1="19286" x2="20388" y2="22857"/>
                                  <a14:backgroundMark x1="20388" y1="17857" x2="20388" y2="17857"/>
                                  <a14:backgroundMark x1="19903" y1="75000" x2="19903" y2="75000"/>
                                  <a14:backgroundMark x1="20388" y1="72857" x2="20388" y2="72857"/>
                                  <a14:backgroundMark x1="21845" y1="72857" x2="21845" y2="72857"/>
                                  <a14:backgroundMark x1="22816" y1="72143" x2="22816" y2="72143"/>
                                  <a14:backgroundMark x1="23786" y1="70714" x2="23786" y2="70714"/>
                                </a14:backgroundRemoval>
                              </a14:imgEffect>
                            </a14:imgLayer>
                          </a14:imgProps>
                        </a:ext>
                        <a:ext uri="{28A0092B-C50C-407E-A947-70E740481C1C}">
                          <a14:useLocalDpi xmlns:a14="http://schemas.microsoft.com/office/drawing/2010/main" val="0"/>
                        </a:ext>
                      </a:extLst>
                    </a:blip>
                    <a:srcRect t="-16826"/>
                    <a:stretch/>
                  </pic:blipFill>
                  <pic:spPr bwMode="auto">
                    <a:xfrm>
                      <a:off x="0" y="0"/>
                      <a:ext cx="571500" cy="45365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26085" w:rsidRPr="00486075">
        <w:rPr>
          <w:noProof/>
        </w:rPr>
        <w:drawing>
          <wp:inline distT="0" distB="0" distL="0" distR="0" wp14:anchorId="072BE414" wp14:editId="3FD6940A">
            <wp:extent cx="6308203" cy="3060700"/>
            <wp:effectExtent l="0" t="0" r="0" b="6350"/>
            <wp:docPr id="8" name="Picture 8" descr="From the consumer perspective:&#10;1. Consumer registered with My Aged Care and assessed as eligible for residential aged care&#10;2. Consumer joins prioritisation queue and is assigned a residential aged care place once they reach the top.&#10;3. Consumer finds and selects Approved Provider with vacancy&#10;4. Consumer is offered the service and enters into formal agreement with provider (means testing and aged care home costs continue to apply)&#10;&#10;From the provider perspective:&#10;1. Approved Providers can deliver residential aged care to as many eligible consumers who have been assigned places as they can attract and viably provide for. Approved Providers can deliver residential aged care anywhere in Australia, and no longer need to obtain places through ACAR to deliver residential aged care.&#10;2. Approved Provider offers service to eligible consumer with an assigned place." title="Infographic overview of Mode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a:srcRect l="695" r="378"/>
                    <a:stretch/>
                  </pic:blipFill>
                  <pic:spPr bwMode="auto">
                    <a:xfrm>
                      <a:off x="0" y="0"/>
                      <a:ext cx="6331204" cy="3071860"/>
                    </a:xfrm>
                    <a:prstGeom prst="rect">
                      <a:avLst/>
                    </a:prstGeom>
                    <a:ln>
                      <a:noFill/>
                    </a:ln>
                    <a:extLst>
                      <a:ext uri="{53640926-AAD7-44D8-BBD7-CCE9431645EC}">
                        <a14:shadowObscured xmlns:a14="http://schemas.microsoft.com/office/drawing/2010/main"/>
                      </a:ext>
                    </a:extLst>
                  </pic:spPr>
                </pic:pic>
              </a:graphicData>
            </a:graphic>
          </wp:inline>
        </w:drawing>
      </w:r>
    </w:p>
    <w:p w14:paraId="527C8137" w14:textId="7CB745BE" w:rsidR="00FF4BF9" w:rsidRPr="00486075" w:rsidRDefault="00FF4BF9">
      <w:pPr>
        <w:rPr>
          <w:rFonts w:ascii="Helvetica" w:eastAsiaTheme="majorEastAsia" w:hAnsi="Helvetica" w:cstheme="majorBidi"/>
          <w:color w:val="2F5496" w:themeColor="accent1" w:themeShade="BF"/>
          <w:sz w:val="26"/>
          <w:szCs w:val="26"/>
        </w:rPr>
      </w:pPr>
      <w:r w:rsidRPr="00486075">
        <w:br w:type="page"/>
      </w:r>
    </w:p>
    <w:p w14:paraId="0D75F51F" w14:textId="7479A885" w:rsidR="006F4BF0" w:rsidRPr="00486075" w:rsidRDefault="006F4BF0" w:rsidP="00553BEF">
      <w:pPr>
        <w:pStyle w:val="Heading2"/>
      </w:pPr>
      <w:bookmarkStart w:id="74" w:name="_Toc31293698"/>
      <w:r w:rsidRPr="00486075">
        <w:lastRenderedPageBreak/>
        <w:t xml:space="preserve">Exploring </w:t>
      </w:r>
      <w:r w:rsidR="000F5783" w:rsidRPr="00486075">
        <w:t xml:space="preserve">the </w:t>
      </w:r>
      <w:r w:rsidRPr="00486075">
        <w:t>potential impact</w:t>
      </w:r>
      <w:r w:rsidR="000F5783" w:rsidRPr="00486075">
        <w:t>s</w:t>
      </w:r>
      <w:bookmarkEnd w:id="74"/>
      <w:r w:rsidR="00EC5BB9" w:rsidRPr="00486075">
        <w:t xml:space="preserve"> </w:t>
      </w:r>
    </w:p>
    <w:p w14:paraId="01496D73" w14:textId="7A90B812" w:rsidR="00587087" w:rsidRPr="00486075" w:rsidRDefault="006B4BD1" w:rsidP="001B6A24">
      <w:pPr>
        <w:pStyle w:val="Heading3"/>
      </w:pPr>
      <w:bookmarkStart w:id="75" w:name="_Toc31293699"/>
      <w:r w:rsidRPr="00486075">
        <w:rPr>
          <w:rStyle w:val="Heading3Char"/>
        </w:rPr>
        <w:t>Benefits</w:t>
      </w:r>
      <w:bookmarkEnd w:id="75"/>
    </w:p>
    <w:tbl>
      <w:tblPr>
        <w:tblStyle w:val="GridTable4-Accent61"/>
        <w:tblW w:w="9968" w:type="dxa"/>
        <w:tblLook w:val="04A0" w:firstRow="1" w:lastRow="0" w:firstColumn="1" w:lastColumn="0" w:noHBand="0" w:noVBand="1"/>
        <w:tblCaption w:val="Benefits of model 2"/>
        <w:tblDescription w:val="This table lists key benefits of model 2 from the consumer and provider perspectives "/>
      </w:tblPr>
      <w:tblGrid>
        <w:gridCol w:w="4984"/>
        <w:gridCol w:w="4984"/>
      </w:tblGrid>
      <w:tr w:rsidR="003417E6" w:rsidRPr="00486075" w14:paraId="60E51528" w14:textId="77777777" w:rsidTr="00486075">
        <w:trPr>
          <w:cnfStyle w:val="100000000000" w:firstRow="1" w:lastRow="0" w:firstColumn="0" w:lastColumn="0" w:oddVBand="0" w:evenVBand="0" w:oddHBand="0" w:evenHBand="0" w:firstRowFirstColumn="0" w:firstRowLastColumn="0" w:lastRowFirstColumn="0" w:lastRowLastColumn="0"/>
          <w:trHeight w:val="332"/>
          <w:tblHeader/>
        </w:trPr>
        <w:tc>
          <w:tcPr>
            <w:cnfStyle w:val="001000000000" w:firstRow="0" w:lastRow="0" w:firstColumn="1" w:lastColumn="0" w:oddVBand="0" w:evenVBand="0" w:oddHBand="0" w:evenHBand="0" w:firstRowFirstColumn="0" w:firstRowLastColumn="0" w:lastRowFirstColumn="0" w:lastRowLastColumn="0"/>
            <w:tcW w:w="4984" w:type="dxa"/>
          </w:tcPr>
          <w:p w14:paraId="78F87751" w14:textId="77777777" w:rsidR="00587087" w:rsidRPr="00486075" w:rsidRDefault="00587087" w:rsidP="00583CF5">
            <w:pPr>
              <w:pStyle w:val="Heading4"/>
              <w:spacing w:before="0" w:after="120"/>
              <w:outlineLvl w:val="3"/>
              <w:rPr>
                <w:rFonts w:ascii="Helvetica" w:hAnsi="Helvetica" w:cs="Times New Roman"/>
                <w:i w:val="0"/>
                <w:color w:val="auto"/>
              </w:rPr>
            </w:pPr>
            <w:r w:rsidRPr="00486075">
              <w:rPr>
                <w:rFonts w:ascii="Helvetica" w:hAnsi="Helvetica" w:cs="Times New Roman"/>
                <w:i w:val="0"/>
                <w:color w:val="auto"/>
              </w:rPr>
              <w:t>Consumer</w:t>
            </w:r>
            <w:r w:rsidR="00BD6455" w:rsidRPr="00486075">
              <w:rPr>
                <w:rFonts w:ascii="Helvetica" w:hAnsi="Helvetica" w:cs="Times New Roman"/>
                <w:i w:val="0"/>
                <w:color w:val="auto"/>
              </w:rPr>
              <w:t>s’</w:t>
            </w:r>
            <w:r w:rsidRPr="00486075">
              <w:rPr>
                <w:rFonts w:ascii="Helvetica" w:hAnsi="Helvetica" w:cs="Times New Roman"/>
                <w:i w:val="0"/>
                <w:color w:val="auto"/>
              </w:rPr>
              <w:t xml:space="preserve"> perspective</w:t>
            </w:r>
          </w:p>
        </w:tc>
        <w:tc>
          <w:tcPr>
            <w:tcW w:w="4984" w:type="dxa"/>
          </w:tcPr>
          <w:p w14:paraId="6F065483" w14:textId="77777777" w:rsidR="00587087" w:rsidRPr="00486075" w:rsidRDefault="00587087" w:rsidP="00583CF5">
            <w:pPr>
              <w:pStyle w:val="Heading4"/>
              <w:spacing w:before="0" w:after="120"/>
              <w:outlineLvl w:val="3"/>
              <w:cnfStyle w:val="100000000000" w:firstRow="1" w:lastRow="0" w:firstColumn="0" w:lastColumn="0" w:oddVBand="0" w:evenVBand="0" w:oddHBand="0" w:evenHBand="0" w:firstRowFirstColumn="0" w:firstRowLastColumn="0" w:lastRowFirstColumn="0" w:lastRowLastColumn="0"/>
              <w:rPr>
                <w:rFonts w:ascii="Helvetica" w:hAnsi="Helvetica" w:cs="Times New Roman"/>
                <w:i w:val="0"/>
                <w:color w:val="auto"/>
              </w:rPr>
            </w:pPr>
            <w:r w:rsidRPr="00486075">
              <w:rPr>
                <w:rFonts w:ascii="Helvetica" w:hAnsi="Helvetica" w:cs="Times New Roman"/>
                <w:i w:val="0"/>
                <w:color w:val="auto"/>
              </w:rPr>
              <w:t>Provider</w:t>
            </w:r>
            <w:r w:rsidR="00BD6455" w:rsidRPr="00486075">
              <w:rPr>
                <w:rFonts w:ascii="Helvetica" w:hAnsi="Helvetica" w:cs="Times New Roman"/>
                <w:i w:val="0"/>
                <w:color w:val="auto"/>
              </w:rPr>
              <w:t>s’</w:t>
            </w:r>
            <w:r w:rsidRPr="00486075">
              <w:rPr>
                <w:rFonts w:ascii="Helvetica" w:hAnsi="Helvetica" w:cs="Times New Roman"/>
                <w:i w:val="0"/>
                <w:color w:val="auto"/>
              </w:rPr>
              <w:t xml:space="preserve"> perspective</w:t>
            </w:r>
          </w:p>
        </w:tc>
      </w:tr>
      <w:tr w:rsidR="003417E6" w:rsidRPr="00486075" w14:paraId="446E93CB" w14:textId="77777777" w:rsidTr="00486075">
        <w:trPr>
          <w:cnfStyle w:val="000000100000" w:firstRow="0" w:lastRow="0" w:firstColumn="0" w:lastColumn="0" w:oddVBand="0" w:evenVBand="0" w:oddHBand="1" w:evenHBand="0" w:firstRowFirstColumn="0" w:firstRowLastColumn="0" w:lastRowFirstColumn="0" w:lastRowLastColumn="0"/>
          <w:trHeight w:val="4343"/>
        </w:trPr>
        <w:tc>
          <w:tcPr>
            <w:cnfStyle w:val="001000000000" w:firstRow="0" w:lastRow="0" w:firstColumn="1" w:lastColumn="0" w:oddVBand="0" w:evenVBand="0" w:oddHBand="0" w:evenHBand="0" w:firstRowFirstColumn="0" w:firstRowLastColumn="0" w:lastRowFirstColumn="0" w:lastRowLastColumn="0"/>
            <w:tcW w:w="4984" w:type="dxa"/>
            <w:shd w:val="clear" w:color="auto" w:fill="auto"/>
          </w:tcPr>
          <w:p w14:paraId="4F698B34" w14:textId="77777777" w:rsidR="00830D05" w:rsidRPr="00486075" w:rsidRDefault="00830D05" w:rsidP="00216A0E">
            <w:pPr>
              <w:pStyle w:val="ListParagraph"/>
              <w:numPr>
                <w:ilvl w:val="0"/>
                <w:numId w:val="26"/>
              </w:numPr>
              <w:spacing w:after="120"/>
              <w:rPr>
                <w:rFonts w:ascii="Helvetica" w:hAnsi="Helvetica"/>
                <w:b w:val="0"/>
              </w:rPr>
            </w:pPr>
            <w:r w:rsidRPr="00486075">
              <w:rPr>
                <w:rFonts w:ascii="Helvetica" w:hAnsi="Helvetica"/>
                <w:b w:val="0"/>
              </w:rPr>
              <w:t>Greater responsiveness from providers to consumers’ needs and preferences</w:t>
            </w:r>
          </w:p>
          <w:p w14:paraId="1F0E2468" w14:textId="77777777" w:rsidR="00830D05" w:rsidRPr="00486075" w:rsidRDefault="00D702B6" w:rsidP="00216A0E">
            <w:pPr>
              <w:pStyle w:val="ListParagraph"/>
              <w:numPr>
                <w:ilvl w:val="0"/>
                <w:numId w:val="26"/>
              </w:numPr>
              <w:spacing w:after="120"/>
              <w:rPr>
                <w:rFonts w:ascii="Helvetica" w:hAnsi="Helvetica"/>
                <w:b w:val="0"/>
              </w:rPr>
            </w:pPr>
            <w:r w:rsidRPr="00486075">
              <w:rPr>
                <w:rFonts w:ascii="Helvetica" w:hAnsi="Helvetica"/>
                <w:b w:val="0"/>
              </w:rPr>
              <w:t>Improved</w:t>
            </w:r>
            <w:r w:rsidR="00166400" w:rsidRPr="00486075">
              <w:rPr>
                <w:rFonts w:ascii="Helvetica" w:hAnsi="Helvetica"/>
                <w:b w:val="0"/>
              </w:rPr>
              <w:t>,</w:t>
            </w:r>
            <w:r w:rsidR="00830D05" w:rsidRPr="00486075">
              <w:rPr>
                <w:rFonts w:ascii="Helvetica" w:hAnsi="Helvetica"/>
                <w:b w:val="0"/>
              </w:rPr>
              <w:t xml:space="preserve"> </w:t>
            </w:r>
            <w:r w:rsidR="008B675C" w:rsidRPr="00486075">
              <w:rPr>
                <w:rFonts w:ascii="Helvetica" w:hAnsi="Helvetica"/>
                <w:b w:val="0"/>
              </w:rPr>
              <w:t xml:space="preserve">more </w:t>
            </w:r>
            <w:r w:rsidR="00830D05" w:rsidRPr="00486075">
              <w:rPr>
                <w:rFonts w:ascii="Helvetica" w:hAnsi="Helvetica"/>
                <w:b w:val="0"/>
              </w:rPr>
              <w:t xml:space="preserve">diverse </w:t>
            </w:r>
            <w:r w:rsidR="008B675C" w:rsidRPr="00486075">
              <w:rPr>
                <w:rFonts w:ascii="Helvetica" w:hAnsi="Helvetica"/>
                <w:b w:val="0"/>
              </w:rPr>
              <w:t xml:space="preserve">and </w:t>
            </w:r>
            <w:r w:rsidR="00830D05" w:rsidRPr="00486075">
              <w:rPr>
                <w:rFonts w:ascii="Helvetica" w:hAnsi="Helvetica"/>
                <w:b w:val="0"/>
              </w:rPr>
              <w:t xml:space="preserve">innovative service and accommodation offerings as providers seek to differentiate themselves </w:t>
            </w:r>
          </w:p>
          <w:p w14:paraId="7C976D70" w14:textId="77777777" w:rsidR="003417E6" w:rsidRPr="00486075" w:rsidRDefault="00166400" w:rsidP="00216A0E">
            <w:pPr>
              <w:pStyle w:val="ListParagraph"/>
              <w:numPr>
                <w:ilvl w:val="0"/>
                <w:numId w:val="26"/>
              </w:numPr>
              <w:spacing w:after="120"/>
              <w:rPr>
                <w:rFonts w:ascii="Helvetica" w:hAnsi="Helvetica"/>
                <w:b w:val="0"/>
              </w:rPr>
            </w:pPr>
            <w:r w:rsidRPr="00486075">
              <w:rPr>
                <w:rFonts w:ascii="Helvetica" w:hAnsi="Helvetica"/>
                <w:b w:val="0"/>
              </w:rPr>
              <w:t>W</w:t>
            </w:r>
            <w:r w:rsidR="003417E6" w:rsidRPr="00486075">
              <w:rPr>
                <w:rFonts w:ascii="Helvetica" w:hAnsi="Helvetica"/>
                <w:b w:val="0"/>
              </w:rPr>
              <w:t>ider range of price points</w:t>
            </w:r>
            <w:r w:rsidRPr="00486075">
              <w:rPr>
                <w:rFonts w:ascii="Helvetica" w:hAnsi="Helvetica"/>
                <w:b w:val="0"/>
              </w:rPr>
              <w:t>,</w:t>
            </w:r>
            <w:r w:rsidR="003417E6" w:rsidRPr="00486075">
              <w:rPr>
                <w:rFonts w:ascii="Helvetica" w:hAnsi="Helvetica"/>
                <w:b w:val="0"/>
              </w:rPr>
              <w:t xml:space="preserve"> from competitive pricing to specialised or premium services to cater for those who want more and can pay for more </w:t>
            </w:r>
          </w:p>
          <w:p w14:paraId="584E62B6" w14:textId="77777777" w:rsidR="003417E6" w:rsidRPr="00486075" w:rsidRDefault="00166400" w:rsidP="00216A0E">
            <w:pPr>
              <w:pStyle w:val="ListParagraph"/>
              <w:numPr>
                <w:ilvl w:val="0"/>
                <w:numId w:val="26"/>
              </w:numPr>
              <w:spacing w:after="120"/>
              <w:rPr>
                <w:rFonts w:ascii="Helvetica" w:hAnsi="Helvetica"/>
                <w:b w:val="0"/>
                <w:i/>
              </w:rPr>
            </w:pPr>
            <w:r w:rsidRPr="00486075">
              <w:rPr>
                <w:rFonts w:ascii="Helvetica" w:hAnsi="Helvetica"/>
                <w:b w:val="0"/>
              </w:rPr>
              <w:t>As</w:t>
            </w:r>
            <w:r w:rsidR="003417E6" w:rsidRPr="00486075">
              <w:rPr>
                <w:rFonts w:ascii="Helvetica" w:hAnsi="Helvetica"/>
                <w:b w:val="0"/>
              </w:rPr>
              <w:t xml:space="preserve"> </w:t>
            </w:r>
            <w:r w:rsidR="008B675C" w:rsidRPr="00486075">
              <w:rPr>
                <w:rFonts w:ascii="Helvetica" w:hAnsi="Helvetica"/>
                <w:b w:val="0"/>
              </w:rPr>
              <w:t xml:space="preserve">an assigned </w:t>
            </w:r>
            <w:r w:rsidR="003417E6" w:rsidRPr="00486075">
              <w:rPr>
                <w:rFonts w:ascii="Helvetica" w:hAnsi="Helvetica"/>
                <w:b w:val="0"/>
              </w:rPr>
              <w:t xml:space="preserve">place </w:t>
            </w:r>
            <w:r w:rsidR="008B675C" w:rsidRPr="00486075">
              <w:rPr>
                <w:rFonts w:ascii="Helvetica" w:hAnsi="Helvetica"/>
                <w:b w:val="0"/>
              </w:rPr>
              <w:t xml:space="preserve">would be </w:t>
            </w:r>
            <w:r w:rsidR="003417E6" w:rsidRPr="00486075">
              <w:rPr>
                <w:rFonts w:ascii="Helvetica" w:hAnsi="Helvetica"/>
                <w:b w:val="0"/>
              </w:rPr>
              <w:t xml:space="preserve">‘owned’ by </w:t>
            </w:r>
            <w:r w:rsidR="008B675C" w:rsidRPr="00486075">
              <w:rPr>
                <w:rFonts w:ascii="Helvetica" w:hAnsi="Helvetica"/>
                <w:b w:val="0"/>
              </w:rPr>
              <w:t xml:space="preserve">the </w:t>
            </w:r>
            <w:r w:rsidR="003417E6" w:rsidRPr="00486075">
              <w:rPr>
                <w:rFonts w:ascii="Helvetica" w:hAnsi="Helvetica"/>
                <w:b w:val="0"/>
              </w:rPr>
              <w:t>consumer</w:t>
            </w:r>
            <w:r w:rsidRPr="00486075">
              <w:rPr>
                <w:rFonts w:ascii="Helvetica" w:hAnsi="Helvetica"/>
                <w:b w:val="0"/>
              </w:rPr>
              <w:t xml:space="preserve">, they </w:t>
            </w:r>
            <w:r w:rsidR="003417E6" w:rsidRPr="00486075">
              <w:rPr>
                <w:rFonts w:ascii="Helvetica" w:hAnsi="Helvetica"/>
                <w:b w:val="0"/>
              </w:rPr>
              <w:t xml:space="preserve">may feel more in control and empowered to negotiate better offerings with providers or to ‘vote with their feet’ if </w:t>
            </w:r>
            <w:r w:rsidR="0089311B" w:rsidRPr="00486075">
              <w:rPr>
                <w:rFonts w:ascii="Helvetica" w:hAnsi="Helvetica"/>
                <w:b w:val="0"/>
              </w:rPr>
              <w:t>not satisfied with the provider</w:t>
            </w:r>
          </w:p>
        </w:tc>
        <w:tc>
          <w:tcPr>
            <w:tcW w:w="4984" w:type="dxa"/>
            <w:shd w:val="clear" w:color="auto" w:fill="auto"/>
          </w:tcPr>
          <w:p w14:paraId="522DD83A" w14:textId="77777777" w:rsidR="00166400" w:rsidRPr="00486075" w:rsidRDefault="00166400" w:rsidP="00216A0E">
            <w:pPr>
              <w:pStyle w:val="ListParagraph"/>
              <w:numPr>
                <w:ilvl w:val="0"/>
                <w:numId w:val="26"/>
              </w:numPr>
              <w:spacing w:after="12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Approved providers able to deliver residential aged care to as many eligible consumers, in as many parts of Australia</w:t>
            </w:r>
            <w:r w:rsidR="008B675C" w:rsidRPr="00486075">
              <w:rPr>
                <w:rFonts w:ascii="Helvetica" w:hAnsi="Helvetica"/>
              </w:rPr>
              <w:t>,</w:t>
            </w:r>
            <w:r w:rsidRPr="00486075">
              <w:rPr>
                <w:rFonts w:ascii="Helvetica" w:hAnsi="Helvetica"/>
              </w:rPr>
              <w:t xml:space="preserve"> as they can attract and viably provide for</w:t>
            </w:r>
          </w:p>
          <w:p w14:paraId="43CD096E" w14:textId="77777777" w:rsidR="003417E6" w:rsidRPr="00486075" w:rsidRDefault="00166400" w:rsidP="00216A0E">
            <w:pPr>
              <w:pStyle w:val="ListParagraph"/>
              <w:numPr>
                <w:ilvl w:val="0"/>
                <w:numId w:val="26"/>
              </w:numPr>
              <w:spacing w:after="12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Small, n</w:t>
            </w:r>
            <w:r w:rsidR="003417E6" w:rsidRPr="00486075">
              <w:rPr>
                <w:rFonts w:ascii="Helvetica" w:hAnsi="Helvetica"/>
              </w:rPr>
              <w:t>iche providers could grow and specialise</w:t>
            </w:r>
          </w:p>
          <w:p w14:paraId="2BEF8B11" w14:textId="77777777" w:rsidR="003417E6" w:rsidRPr="00486075" w:rsidRDefault="003417E6" w:rsidP="00216A0E">
            <w:pPr>
              <w:pStyle w:val="ListParagraph"/>
              <w:numPr>
                <w:ilvl w:val="0"/>
                <w:numId w:val="26"/>
              </w:numPr>
              <w:spacing w:after="12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 xml:space="preserve">New providers </w:t>
            </w:r>
            <w:r w:rsidR="00166400" w:rsidRPr="00486075">
              <w:rPr>
                <w:rFonts w:ascii="Helvetica" w:hAnsi="Helvetica"/>
              </w:rPr>
              <w:t>could</w:t>
            </w:r>
            <w:r w:rsidRPr="00486075">
              <w:rPr>
                <w:rFonts w:ascii="Helvetica" w:hAnsi="Helvetica"/>
              </w:rPr>
              <w:t xml:space="preserve"> more quickly enter the market (subject to becoming an approved provider)</w:t>
            </w:r>
            <w:r w:rsidR="00166400" w:rsidRPr="00486075">
              <w:rPr>
                <w:rFonts w:ascii="Helvetica" w:hAnsi="Helvetica"/>
              </w:rPr>
              <w:t>, including potential opportunities for providers of private assisted living facilities</w:t>
            </w:r>
          </w:p>
          <w:p w14:paraId="1FB6D74E" w14:textId="77777777" w:rsidR="003417E6" w:rsidRPr="00486075" w:rsidRDefault="003417E6" w:rsidP="004D1817">
            <w:pPr>
              <w:spacing w:after="120"/>
              <w:cnfStyle w:val="000000100000" w:firstRow="0" w:lastRow="0" w:firstColumn="0" w:lastColumn="0" w:oddVBand="0" w:evenVBand="0" w:oddHBand="1" w:evenHBand="0" w:firstRowFirstColumn="0" w:firstRowLastColumn="0" w:lastRowFirstColumn="0" w:lastRowLastColumn="0"/>
              <w:rPr>
                <w:rFonts w:ascii="Helvetica" w:hAnsi="Helvetica"/>
              </w:rPr>
            </w:pPr>
          </w:p>
        </w:tc>
      </w:tr>
    </w:tbl>
    <w:p w14:paraId="61289F05" w14:textId="77777777" w:rsidR="00EE31B2" w:rsidRPr="00486075" w:rsidRDefault="00EE31B2" w:rsidP="004D1817">
      <w:pPr>
        <w:rPr>
          <w:rFonts w:ascii="Helvetica" w:hAnsi="Helvetica"/>
        </w:rPr>
      </w:pPr>
    </w:p>
    <w:p w14:paraId="604FEE70" w14:textId="36E6F1A1" w:rsidR="00EB6E0A" w:rsidRPr="00486075" w:rsidRDefault="00EB6E0A" w:rsidP="00486075">
      <w:pPr>
        <w:pStyle w:val="Heading3"/>
        <w:rPr>
          <w:rStyle w:val="Heading3Char"/>
        </w:rPr>
      </w:pPr>
      <w:bookmarkStart w:id="76" w:name="_Toc31293700"/>
      <w:r w:rsidRPr="00486075">
        <w:rPr>
          <w:rStyle w:val="Heading3Char"/>
        </w:rPr>
        <w:t>Risks</w:t>
      </w:r>
      <w:bookmarkEnd w:id="76"/>
    </w:p>
    <w:tbl>
      <w:tblPr>
        <w:tblStyle w:val="GridTable4-Accent41"/>
        <w:tblW w:w="9918" w:type="dxa"/>
        <w:tblLook w:val="04A0" w:firstRow="1" w:lastRow="0" w:firstColumn="1" w:lastColumn="0" w:noHBand="0" w:noVBand="1"/>
        <w:tblCaption w:val="Risk of model 2"/>
        <w:tblDescription w:val="This table lists key risks of model 2 from the consumer and provider perspectives "/>
      </w:tblPr>
      <w:tblGrid>
        <w:gridCol w:w="4957"/>
        <w:gridCol w:w="4961"/>
      </w:tblGrid>
      <w:tr w:rsidR="00167B1B" w:rsidRPr="00486075" w14:paraId="626895F4" w14:textId="77777777" w:rsidTr="0048607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7" w:type="dxa"/>
          </w:tcPr>
          <w:p w14:paraId="757B15D3" w14:textId="77777777" w:rsidR="00167B1B" w:rsidRPr="00486075" w:rsidRDefault="00167B1B" w:rsidP="00583CF5">
            <w:pPr>
              <w:spacing w:after="120"/>
              <w:rPr>
                <w:rFonts w:ascii="Helvetica" w:hAnsi="Helvetica"/>
                <w:color w:val="auto"/>
              </w:rPr>
            </w:pPr>
            <w:r w:rsidRPr="00486075">
              <w:rPr>
                <w:rFonts w:ascii="Helvetica" w:hAnsi="Helvetica"/>
                <w:color w:val="auto"/>
              </w:rPr>
              <w:t>Consumers’ perspective</w:t>
            </w:r>
          </w:p>
        </w:tc>
        <w:tc>
          <w:tcPr>
            <w:tcW w:w="4961" w:type="dxa"/>
          </w:tcPr>
          <w:p w14:paraId="0E014960" w14:textId="77777777" w:rsidR="00167B1B" w:rsidRPr="00486075" w:rsidRDefault="00167B1B" w:rsidP="00583CF5">
            <w:pPr>
              <w:spacing w:after="120"/>
              <w:cnfStyle w:val="100000000000" w:firstRow="1" w:lastRow="0" w:firstColumn="0" w:lastColumn="0" w:oddVBand="0" w:evenVBand="0" w:oddHBand="0" w:evenHBand="0" w:firstRowFirstColumn="0" w:firstRowLastColumn="0" w:lastRowFirstColumn="0" w:lastRowLastColumn="0"/>
              <w:rPr>
                <w:rFonts w:ascii="Helvetica" w:hAnsi="Helvetica"/>
                <w:color w:val="auto"/>
              </w:rPr>
            </w:pPr>
            <w:r w:rsidRPr="00486075">
              <w:rPr>
                <w:rFonts w:ascii="Helvetica" w:hAnsi="Helvetica"/>
                <w:color w:val="auto"/>
              </w:rPr>
              <w:t>Providers’ perspective</w:t>
            </w:r>
          </w:p>
        </w:tc>
      </w:tr>
      <w:tr w:rsidR="00167B1B" w:rsidRPr="00486075" w14:paraId="6F9E5211" w14:textId="77777777" w:rsidTr="004860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shd w:val="clear" w:color="auto" w:fill="auto"/>
          </w:tcPr>
          <w:p w14:paraId="614DA6AD" w14:textId="77777777" w:rsidR="00302B45" w:rsidRPr="00486075" w:rsidRDefault="00166400" w:rsidP="00216A0E">
            <w:pPr>
              <w:pStyle w:val="ListParagraph"/>
              <w:numPr>
                <w:ilvl w:val="0"/>
                <w:numId w:val="27"/>
              </w:numPr>
              <w:spacing w:after="120"/>
              <w:ind w:left="360"/>
              <w:rPr>
                <w:rFonts w:ascii="Helvetica" w:hAnsi="Helvetica"/>
                <w:b w:val="0"/>
                <w:color w:val="000000" w:themeColor="text1"/>
              </w:rPr>
            </w:pPr>
            <w:r w:rsidRPr="00486075">
              <w:rPr>
                <w:rFonts w:ascii="Helvetica" w:hAnsi="Helvetica"/>
                <w:b w:val="0"/>
                <w:color w:val="000000" w:themeColor="text1"/>
              </w:rPr>
              <w:t>Possible delays in accessing care due to prioritisation queue</w:t>
            </w:r>
            <w:r w:rsidR="00302B45" w:rsidRPr="00486075">
              <w:rPr>
                <w:rFonts w:ascii="Helvetica" w:hAnsi="Helvetica"/>
                <w:b w:val="0"/>
              </w:rPr>
              <w:t xml:space="preserve"> </w:t>
            </w:r>
          </w:p>
          <w:p w14:paraId="7B003068" w14:textId="77777777" w:rsidR="00566BE8" w:rsidRPr="00486075" w:rsidRDefault="00566BE8" w:rsidP="00216A0E">
            <w:pPr>
              <w:pStyle w:val="ListParagraph"/>
              <w:numPr>
                <w:ilvl w:val="0"/>
                <w:numId w:val="27"/>
              </w:numPr>
              <w:spacing w:after="120"/>
              <w:ind w:left="360"/>
              <w:rPr>
                <w:rFonts w:ascii="Helvetica" w:hAnsi="Helvetica"/>
                <w:b w:val="0"/>
                <w:color w:val="000000" w:themeColor="text1"/>
              </w:rPr>
            </w:pPr>
            <w:r w:rsidRPr="00486075">
              <w:rPr>
                <w:rFonts w:ascii="Helvetica" w:hAnsi="Helvetica"/>
                <w:b w:val="0"/>
                <w:color w:val="000000" w:themeColor="text1"/>
              </w:rPr>
              <w:t xml:space="preserve">May be disruption to service if </w:t>
            </w:r>
            <w:r w:rsidR="009341D5" w:rsidRPr="00486075">
              <w:rPr>
                <w:rFonts w:ascii="Helvetica" w:hAnsi="Helvetica"/>
                <w:b w:val="0"/>
                <w:color w:val="000000" w:themeColor="text1"/>
              </w:rPr>
              <w:t xml:space="preserve">an uncompetitive </w:t>
            </w:r>
            <w:r w:rsidRPr="00486075">
              <w:rPr>
                <w:rFonts w:ascii="Helvetica" w:hAnsi="Helvetica"/>
                <w:b w:val="0"/>
                <w:color w:val="000000" w:themeColor="text1"/>
              </w:rPr>
              <w:t>provider exits in an unplanned manner</w:t>
            </w:r>
          </w:p>
          <w:p w14:paraId="514E05C2" w14:textId="77777777" w:rsidR="000B55EE" w:rsidRPr="00486075" w:rsidRDefault="000B55EE" w:rsidP="00216A0E">
            <w:pPr>
              <w:pStyle w:val="ListParagraph"/>
              <w:numPr>
                <w:ilvl w:val="0"/>
                <w:numId w:val="27"/>
              </w:numPr>
              <w:spacing w:after="120"/>
              <w:ind w:left="360"/>
              <w:rPr>
                <w:rFonts w:ascii="Helvetica" w:hAnsi="Helvetica"/>
                <w:b w:val="0"/>
              </w:rPr>
            </w:pPr>
            <w:r w:rsidRPr="00486075">
              <w:rPr>
                <w:rFonts w:ascii="Helvetica" w:hAnsi="Helvetica"/>
                <w:b w:val="0"/>
                <w:color w:val="000000" w:themeColor="text1"/>
              </w:rPr>
              <w:t>Priorit</w:t>
            </w:r>
            <w:r w:rsidR="00150C09" w:rsidRPr="00486075">
              <w:rPr>
                <w:rFonts w:ascii="Helvetica" w:hAnsi="Helvetica"/>
                <w:b w:val="0"/>
                <w:color w:val="000000" w:themeColor="text1"/>
              </w:rPr>
              <w:t>y of access for consumers from Special Needs G</w:t>
            </w:r>
            <w:r w:rsidRPr="00486075">
              <w:rPr>
                <w:rFonts w:ascii="Helvetica" w:hAnsi="Helvetica"/>
                <w:b w:val="0"/>
                <w:color w:val="000000" w:themeColor="text1"/>
              </w:rPr>
              <w:t xml:space="preserve">roups </w:t>
            </w:r>
            <w:r w:rsidR="00FF579F" w:rsidRPr="00486075">
              <w:rPr>
                <w:rFonts w:ascii="Helvetica" w:hAnsi="Helvetica"/>
                <w:b w:val="0"/>
                <w:color w:val="000000" w:themeColor="text1"/>
              </w:rPr>
              <w:t>no longer applies</w:t>
            </w:r>
            <w:r w:rsidR="009341D5" w:rsidRPr="00486075">
              <w:rPr>
                <w:rFonts w:ascii="Helvetica" w:hAnsi="Helvetica"/>
                <w:b w:val="0"/>
                <w:color w:val="000000" w:themeColor="text1"/>
              </w:rPr>
              <w:t xml:space="preserve"> </w:t>
            </w:r>
            <w:r w:rsidR="00302711" w:rsidRPr="00486075">
              <w:rPr>
                <w:rFonts w:ascii="Helvetica" w:hAnsi="Helvetica"/>
                <w:b w:val="0"/>
                <w:color w:val="000000" w:themeColor="text1"/>
              </w:rPr>
              <w:t>(</w:t>
            </w:r>
            <w:r w:rsidR="009341D5" w:rsidRPr="00486075">
              <w:rPr>
                <w:rFonts w:ascii="Helvetica" w:hAnsi="Helvetica"/>
                <w:b w:val="0"/>
                <w:color w:val="000000" w:themeColor="text1"/>
              </w:rPr>
              <w:t>unless it is tied to approved provider status</w:t>
            </w:r>
            <w:r w:rsidR="00302711" w:rsidRPr="00486075">
              <w:rPr>
                <w:rFonts w:ascii="Helvetica" w:hAnsi="Helvetica"/>
                <w:b w:val="0"/>
                <w:color w:val="000000" w:themeColor="text1"/>
              </w:rPr>
              <w:t>, or other mechanism)</w:t>
            </w:r>
          </w:p>
          <w:p w14:paraId="393FC69C" w14:textId="77777777" w:rsidR="000B55EE" w:rsidRPr="00486075" w:rsidRDefault="004A5FC8" w:rsidP="00216A0E">
            <w:pPr>
              <w:pStyle w:val="ListParagraph"/>
              <w:numPr>
                <w:ilvl w:val="0"/>
                <w:numId w:val="27"/>
              </w:numPr>
              <w:spacing w:after="120"/>
              <w:ind w:left="360"/>
              <w:rPr>
                <w:rFonts w:ascii="Helvetica" w:hAnsi="Helvetica"/>
                <w:b w:val="0"/>
                <w:color w:val="000000" w:themeColor="text1"/>
              </w:rPr>
            </w:pPr>
            <w:r w:rsidRPr="00486075">
              <w:rPr>
                <w:rFonts w:ascii="Helvetica" w:hAnsi="Helvetica"/>
                <w:b w:val="0"/>
                <w:color w:val="000000" w:themeColor="text1"/>
              </w:rPr>
              <w:t xml:space="preserve">Consumers in rural, regional and remote areas, in thin markets or in other areas that do not attract providers who have more popular consumer offerings </w:t>
            </w:r>
            <w:r w:rsidR="000B55EE" w:rsidRPr="00486075">
              <w:rPr>
                <w:rFonts w:ascii="Helvetica" w:hAnsi="Helvetica"/>
                <w:b w:val="0"/>
                <w:color w:val="000000" w:themeColor="text1"/>
              </w:rPr>
              <w:t>may not reap benefits of competitive market</w:t>
            </w:r>
            <w:r w:rsidR="00FF579F" w:rsidRPr="00486075">
              <w:rPr>
                <w:rFonts w:ascii="Helvetica" w:hAnsi="Helvetica"/>
                <w:b w:val="0"/>
                <w:color w:val="000000" w:themeColor="text1"/>
              </w:rPr>
              <w:t xml:space="preserve"> or may face challenges finding </w:t>
            </w:r>
            <w:r w:rsidR="00660690" w:rsidRPr="00486075">
              <w:rPr>
                <w:rFonts w:ascii="Helvetica" w:hAnsi="Helvetica"/>
                <w:b w:val="0"/>
                <w:color w:val="000000" w:themeColor="text1"/>
              </w:rPr>
              <w:t xml:space="preserve">local </w:t>
            </w:r>
            <w:r w:rsidR="00FF579F" w:rsidRPr="00486075">
              <w:rPr>
                <w:rFonts w:ascii="Helvetica" w:hAnsi="Helvetica"/>
                <w:b w:val="0"/>
                <w:color w:val="000000" w:themeColor="text1"/>
              </w:rPr>
              <w:t>providers</w:t>
            </w:r>
            <w:r w:rsidR="00660690" w:rsidRPr="00486075">
              <w:rPr>
                <w:rFonts w:ascii="Helvetica" w:hAnsi="Helvetica"/>
                <w:b w:val="0"/>
                <w:color w:val="000000" w:themeColor="text1"/>
              </w:rPr>
              <w:t xml:space="preserve"> </w:t>
            </w:r>
          </w:p>
          <w:p w14:paraId="5EB30E0F" w14:textId="77777777" w:rsidR="00167B1B" w:rsidRPr="00486075" w:rsidRDefault="000B55EE" w:rsidP="00216A0E">
            <w:pPr>
              <w:pStyle w:val="ListParagraph"/>
              <w:numPr>
                <w:ilvl w:val="0"/>
                <w:numId w:val="27"/>
              </w:numPr>
              <w:spacing w:after="120"/>
              <w:ind w:left="360"/>
              <w:rPr>
                <w:rFonts w:ascii="Helvetica" w:hAnsi="Helvetica"/>
                <w:b w:val="0"/>
              </w:rPr>
            </w:pPr>
            <w:r w:rsidRPr="00486075">
              <w:rPr>
                <w:rFonts w:ascii="Helvetica" w:hAnsi="Helvetica"/>
                <w:b w:val="0"/>
                <w:color w:val="000000" w:themeColor="text1"/>
              </w:rPr>
              <w:t xml:space="preserve">Additional burden and complexity, such as </w:t>
            </w:r>
            <w:r w:rsidRPr="00486075">
              <w:rPr>
                <w:rFonts w:ascii="Helvetica" w:hAnsi="Helvetica"/>
                <w:b w:val="0"/>
              </w:rPr>
              <w:t>administrative processes associated with</w:t>
            </w:r>
            <w:r w:rsidR="008721E2" w:rsidRPr="00486075">
              <w:rPr>
                <w:rFonts w:ascii="Helvetica" w:hAnsi="Helvetica"/>
                <w:b w:val="0"/>
              </w:rPr>
              <w:t xml:space="preserve"> </w:t>
            </w:r>
            <w:r w:rsidR="00F867BB" w:rsidRPr="00486075">
              <w:rPr>
                <w:rFonts w:ascii="Helvetica" w:hAnsi="Helvetica"/>
                <w:b w:val="0"/>
              </w:rPr>
              <w:t xml:space="preserve">prioritisation, </w:t>
            </w:r>
            <w:r w:rsidR="008721E2" w:rsidRPr="00486075">
              <w:rPr>
                <w:rFonts w:ascii="Helvetica" w:hAnsi="Helvetica"/>
                <w:b w:val="0"/>
              </w:rPr>
              <w:t xml:space="preserve">obtaining </w:t>
            </w:r>
            <w:r w:rsidRPr="00486075">
              <w:rPr>
                <w:rFonts w:ascii="Helvetica" w:hAnsi="Helvetica"/>
                <w:b w:val="0"/>
              </w:rPr>
              <w:t xml:space="preserve">a place and researching/accessing information to be able to exercise choice </w:t>
            </w:r>
          </w:p>
          <w:p w14:paraId="162F48EB" w14:textId="77777777" w:rsidR="009D7EC1" w:rsidRPr="00486075" w:rsidRDefault="009341D5" w:rsidP="00216A0E">
            <w:pPr>
              <w:pStyle w:val="ListParagraph"/>
              <w:numPr>
                <w:ilvl w:val="0"/>
                <w:numId w:val="27"/>
              </w:numPr>
              <w:spacing w:after="120"/>
              <w:ind w:left="360"/>
              <w:rPr>
                <w:rFonts w:ascii="Helvetica" w:hAnsi="Helvetica"/>
                <w:b w:val="0"/>
              </w:rPr>
            </w:pPr>
            <w:r w:rsidRPr="00486075">
              <w:rPr>
                <w:rFonts w:ascii="Helvetica" w:hAnsi="Helvetica"/>
                <w:b w:val="0"/>
              </w:rPr>
              <w:t>Consumers m</w:t>
            </w:r>
            <w:r w:rsidR="00167B1B" w:rsidRPr="00486075">
              <w:rPr>
                <w:rFonts w:ascii="Helvetica" w:hAnsi="Helvetica"/>
                <w:b w:val="0"/>
              </w:rPr>
              <w:t>ay</w:t>
            </w:r>
            <w:r w:rsidR="00CA0B1B" w:rsidRPr="00486075">
              <w:rPr>
                <w:rFonts w:ascii="Helvetica" w:hAnsi="Helvetica"/>
                <w:b w:val="0"/>
              </w:rPr>
              <w:t xml:space="preserve"> think they have same degree of CDC/</w:t>
            </w:r>
            <w:r w:rsidR="00167B1B" w:rsidRPr="00486075">
              <w:rPr>
                <w:rFonts w:ascii="Helvetica" w:hAnsi="Helvetica"/>
                <w:b w:val="0"/>
              </w:rPr>
              <w:t>choice</w:t>
            </w:r>
            <w:r w:rsidR="00CA0B1B" w:rsidRPr="00486075">
              <w:rPr>
                <w:rFonts w:ascii="Helvetica" w:hAnsi="Helvetica"/>
                <w:b w:val="0"/>
              </w:rPr>
              <w:t xml:space="preserve"> in residential </w:t>
            </w:r>
            <w:r w:rsidR="00D62DE6" w:rsidRPr="00486075">
              <w:rPr>
                <w:rFonts w:ascii="Helvetica" w:hAnsi="Helvetica"/>
                <w:b w:val="0"/>
              </w:rPr>
              <w:t xml:space="preserve">aged </w:t>
            </w:r>
            <w:r w:rsidR="00CA0B1B" w:rsidRPr="00486075">
              <w:rPr>
                <w:rFonts w:ascii="Helvetica" w:hAnsi="Helvetica"/>
                <w:b w:val="0"/>
              </w:rPr>
              <w:t xml:space="preserve">care as they do for home care – residential </w:t>
            </w:r>
            <w:r w:rsidR="00D62DE6" w:rsidRPr="00486075">
              <w:rPr>
                <w:rFonts w:ascii="Helvetica" w:hAnsi="Helvetica"/>
                <w:b w:val="0"/>
              </w:rPr>
              <w:t xml:space="preserve">aged </w:t>
            </w:r>
            <w:r w:rsidRPr="00486075">
              <w:rPr>
                <w:rFonts w:ascii="Helvetica" w:hAnsi="Helvetica"/>
                <w:b w:val="0"/>
              </w:rPr>
              <w:t xml:space="preserve">care </w:t>
            </w:r>
            <w:r w:rsidR="00CA0B1B" w:rsidRPr="00486075">
              <w:rPr>
                <w:rFonts w:ascii="Helvetica" w:hAnsi="Helvetica"/>
                <w:b w:val="0"/>
              </w:rPr>
              <w:t>could remain unattractive</w:t>
            </w:r>
          </w:p>
        </w:tc>
        <w:tc>
          <w:tcPr>
            <w:tcW w:w="4961" w:type="dxa"/>
            <w:shd w:val="clear" w:color="auto" w:fill="auto"/>
          </w:tcPr>
          <w:p w14:paraId="2F0D0F54" w14:textId="77777777" w:rsidR="00E26DEF" w:rsidRPr="00486075" w:rsidRDefault="00F21E42" w:rsidP="00216A0E">
            <w:pPr>
              <w:pStyle w:val="ListParagraph"/>
              <w:numPr>
                <w:ilvl w:val="0"/>
                <w:numId w:val="28"/>
              </w:numPr>
              <w:tabs>
                <w:tab w:val="left" w:pos="1082"/>
              </w:tabs>
              <w:spacing w:after="120"/>
              <w:ind w:left="36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 xml:space="preserve">Competition could lead to </w:t>
            </w:r>
            <w:r w:rsidR="009341D5" w:rsidRPr="00486075">
              <w:rPr>
                <w:rFonts w:ascii="Helvetica" w:hAnsi="Helvetica"/>
              </w:rPr>
              <w:t xml:space="preserve">more </w:t>
            </w:r>
            <w:r w:rsidR="00E26DEF" w:rsidRPr="00486075">
              <w:rPr>
                <w:rFonts w:ascii="Helvetica" w:hAnsi="Helvetica"/>
              </w:rPr>
              <w:t>variable vacancies for some providers (</w:t>
            </w:r>
            <w:r w:rsidR="009341D5" w:rsidRPr="00486075">
              <w:rPr>
                <w:rFonts w:ascii="Helvetica" w:hAnsi="Helvetica"/>
              </w:rPr>
              <w:t xml:space="preserve">with </w:t>
            </w:r>
            <w:r w:rsidR="00E26DEF" w:rsidRPr="00486075">
              <w:rPr>
                <w:rFonts w:ascii="Helvetica" w:hAnsi="Helvetica"/>
              </w:rPr>
              <w:t>overhead costs remain</w:t>
            </w:r>
            <w:r w:rsidR="009341D5" w:rsidRPr="00486075">
              <w:rPr>
                <w:rFonts w:ascii="Helvetica" w:hAnsi="Helvetica"/>
              </w:rPr>
              <w:t>ing largely</w:t>
            </w:r>
            <w:r w:rsidR="00E26DEF" w:rsidRPr="00486075">
              <w:rPr>
                <w:rFonts w:ascii="Helvetica" w:hAnsi="Helvetica"/>
              </w:rPr>
              <w:t xml:space="preserve"> fixed)</w:t>
            </w:r>
          </w:p>
          <w:p w14:paraId="2311C696" w14:textId="77777777" w:rsidR="00E26DEF" w:rsidRPr="00486075" w:rsidRDefault="00E26DEF" w:rsidP="00216A0E">
            <w:pPr>
              <w:pStyle w:val="ListParagraph"/>
              <w:numPr>
                <w:ilvl w:val="0"/>
                <w:numId w:val="28"/>
              </w:numPr>
              <w:spacing w:after="120"/>
              <w:ind w:left="36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Increased costs of running an aged care home (e.g. market research, advertising, product innovation/differentiation)</w:t>
            </w:r>
            <w:r w:rsidR="009341D5" w:rsidRPr="00486075">
              <w:rPr>
                <w:rFonts w:ascii="Helvetica" w:hAnsi="Helvetica"/>
              </w:rPr>
              <w:t xml:space="preserve"> </w:t>
            </w:r>
            <w:r w:rsidR="00F526B6" w:rsidRPr="00486075">
              <w:rPr>
                <w:rFonts w:ascii="Helvetica" w:hAnsi="Helvetica"/>
              </w:rPr>
              <w:t xml:space="preserve">and the reduction of any excess profits, </w:t>
            </w:r>
            <w:r w:rsidR="009341D5" w:rsidRPr="00486075">
              <w:rPr>
                <w:rFonts w:ascii="Helvetica" w:hAnsi="Helvetica"/>
              </w:rPr>
              <w:t xml:space="preserve">but competitive pressures may lead to reductions in management costs </w:t>
            </w:r>
          </w:p>
          <w:p w14:paraId="7BFC1D63" w14:textId="77777777" w:rsidR="00167B1B" w:rsidRPr="00486075" w:rsidRDefault="00EE31B2" w:rsidP="00216A0E">
            <w:pPr>
              <w:pStyle w:val="ListParagraph"/>
              <w:numPr>
                <w:ilvl w:val="0"/>
                <w:numId w:val="28"/>
              </w:numPr>
              <w:tabs>
                <w:tab w:val="left" w:pos="1082"/>
              </w:tabs>
              <w:spacing w:after="120"/>
              <w:ind w:left="36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Some providers may have large portfolios requiring redevelopment or a new rebuild to remain competitive</w:t>
            </w:r>
            <w:r w:rsidR="009341D5" w:rsidRPr="00486075">
              <w:rPr>
                <w:rFonts w:ascii="Helvetica" w:hAnsi="Helvetica"/>
              </w:rPr>
              <w:t xml:space="preserve"> </w:t>
            </w:r>
            <w:r w:rsidR="007A0BE7" w:rsidRPr="00486075">
              <w:t xml:space="preserve"> </w:t>
            </w:r>
          </w:p>
          <w:p w14:paraId="12006850" w14:textId="77777777" w:rsidR="00167B1B" w:rsidRPr="00486075" w:rsidRDefault="009341D5" w:rsidP="00216A0E">
            <w:pPr>
              <w:pStyle w:val="ListParagraph"/>
              <w:numPr>
                <w:ilvl w:val="0"/>
                <w:numId w:val="28"/>
              </w:numPr>
              <w:spacing w:after="120"/>
              <w:ind w:left="36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It may be m</w:t>
            </w:r>
            <w:r w:rsidR="00FF579F" w:rsidRPr="00486075">
              <w:rPr>
                <w:rFonts w:ascii="Helvetica" w:hAnsi="Helvetica"/>
              </w:rPr>
              <w:t>ore difficult or expensive to access capital</w:t>
            </w:r>
            <w:r w:rsidRPr="00486075">
              <w:rPr>
                <w:rFonts w:ascii="Helvetica" w:hAnsi="Helvetica"/>
              </w:rPr>
              <w:t xml:space="preserve"> for some providers</w:t>
            </w:r>
            <w:r w:rsidR="00FF579F" w:rsidRPr="00486075">
              <w:rPr>
                <w:rFonts w:ascii="Helvetica" w:hAnsi="Helvetica"/>
              </w:rPr>
              <w:t xml:space="preserve">, as investment risk may be higher </w:t>
            </w:r>
          </w:p>
          <w:p w14:paraId="34AE7697" w14:textId="77777777" w:rsidR="00EE31B2" w:rsidRPr="00486075" w:rsidRDefault="00EE31B2" w:rsidP="00216A0E">
            <w:pPr>
              <w:pStyle w:val="ListParagraph"/>
              <w:numPr>
                <w:ilvl w:val="0"/>
                <w:numId w:val="28"/>
              </w:numPr>
              <w:spacing w:after="120"/>
              <w:ind w:left="36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Balance sheet or cash flow shock from removal of allocated places</w:t>
            </w:r>
          </w:p>
          <w:p w14:paraId="24085B2B" w14:textId="77777777" w:rsidR="00167B1B" w:rsidRPr="00486075" w:rsidRDefault="00F21E42" w:rsidP="00216A0E">
            <w:pPr>
              <w:pStyle w:val="ListParagraph"/>
              <w:numPr>
                <w:ilvl w:val="0"/>
                <w:numId w:val="28"/>
              </w:numPr>
              <w:spacing w:after="120"/>
              <w:ind w:left="360"/>
              <w:cnfStyle w:val="000000100000" w:firstRow="0" w:lastRow="0" w:firstColumn="0" w:lastColumn="0" w:oddVBand="0" w:evenVBand="0" w:oddHBand="1" w:evenHBand="0" w:firstRowFirstColumn="0" w:firstRowLastColumn="0" w:lastRowFirstColumn="0" w:lastRowLastColumn="0"/>
              <w:rPr>
                <w:rFonts w:ascii="Helvetica" w:hAnsi="Helvetica"/>
              </w:rPr>
            </w:pPr>
            <w:r w:rsidRPr="00486075">
              <w:rPr>
                <w:rFonts w:ascii="Helvetica" w:hAnsi="Helvetica"/>
              </w:rPr>
              <w:t>May be more difficult to recruit or retain suitable workforce</w:t>
            </w:r>
            <w:r w:rsidR="00EE31B2" w:rsidRPr="00486075">
              <w:rPr>
                <w:rFonts w:ascii="Helvetica" w:hAnsi="Helvetica"/>
              </w:rPr>
              <w:t>, as</w:t>
            </w:r>
            <w:r w:rsidR="009341D5" w:rsidRPr="00486075">
              <w:rPr>
                <w:rFonts w:ascii="Helvetica" w:hAnsi="Helvetica"/>
              </w:rPr>
              <w:t xml:space="preserve"> there may be</w:t>
            </w:r>
            <w:r w:rsidR="00EE31B2" w:rsidRPr="00486075">
              <w:rPr>
                <w:rFonts w:ascii="Helvetica" w:hAnsi="Helvetica"/>
              </w:rPr>
              <w:t xml:space="preserve"> more providers and variable vacanc</w:t>
            </w:r>
            <w:r w:rsidR="009341D5" w:rsidRPr="00486075">
              <w:rPr>
                <w:rFonts w:ascii="Helvetica" w:hAnsi="Helvetica"/>
              </w:rPr>
              <w:t>y rates</w:t>
            </w:r>
            <w:r w:rsidRPr="00486075">
              <w:rPr>
                <w:rFonts w:ascii="Helvetica" w:hAnsi="Helvetica"/>
              </w:rPr>
              <w:t xml:space="preserve"> </w:t>
            </w:r>
          </w:p>
        </w:tc>
      </w:tr>
    </w:tbl>
    <w:p w14:paraId="27BF4106" w14:textId="6592563A" w:rsidR="00FC0D30" w:rsidRPr="00414DC3" w:rsidRDefault="007C5B67" w:rsidP="00553BEF">
      <w:pPr>
        <w:pStyle w:val="Heading2"/>
      </w:pPr>
      <w:bookmarkStart w:id="77" w:name="_Toc31293701"/>
      <w:r w:rsidRPr="00414DC3">
        <w:lastRenderedPageBreak/>
        <w:t>Directly a</w:t>
      </w:r>
      <w:r w:rsidR="00FC0D30" w:rsidRPr="00414DC3">
        <w:t>ffected aged care programs</w:t>
      </w:r>
      <w:bookmarkEnd w:id="77"/>
    </w:p>
    <w:p w14:paraId="6F2E5DEA" w14:textId="4DC44D73" w:rsidR="00FC0D30" w:rsidRPr="00414DC3" w:rsidRDefault="00FC0D30" w:rsidP="001B6A24">
      <w:pPr>
        <w:pStyle w:val="Heading3"/>
      </w:pPr>
      <w:bookmarkStart w:id="78" w:name="_Toc31293702"/>
      <w:r w:rsidRPr="00414DC3">
        <w:t>Residential respite care</w:t>
      </w:r>
      <w:bookmarkEnd w:id="78"/>
    </w:p>
    <w:p w14:paraId="60D5D8EF" w14:textId="77777777" w:rsidR="00BE04C2" w:rsidRPr="00414DC3" w:rsidRDefault="00FC0D30" w:rsidP="00BE04C2">
      <w:pPr>
        <w:spacing w:after="120"/>
        <w:rPr>
          <w:rFonts w:ascii="Helvetica" w:hAnsi="Helvetica"/>
        </w:rPr>
      </w:pPr>
      <w:r w:rsidRPr="00414DC3">
        <w:rPr>
          <w:rFonts w:ascii="Helvetica" w:hAnsi="Helvetica"/>
        </w:rPr>
        <w:t xml:space="preserve">As residential respite allocations would no longer </w:t>
      </w:r>
      <w:r w:rsidR="0089311B" w:rsidRPr="00414DC3">
        <w:rPr>
          <w:rFonts w:ascii="Helvetica" w:hAnsi="Helvetica"/>
        </w:rPr>
        <w:t xml:space="preserve">apply, for example </w:t>
      </w:r>
      <w:r w:rsidR="00685639" w:rsidRPr="00414DC3">
        <w:rPr>
          <w:rFonts w:ascii="Helvetica" w:hAnsi="Helvetica"/>
        </w:rPr>
        <w:t>through conditions</w:t>
      </w:r>
      <w:r w:rsidR="0089311B" w:rsidRPr="00414DC3">
        <w:rPr>
          <w:rFonts w:ascii="Helvetica" w:hAnsi="Helvetica"/>
        </w:rPr>
        <w:t xml:space="preserve"> of allocation,</w:t>
      </w:r>
      <w:r w:rsidRPr="00414DC3">
        <w:rPr>
          <w:rFonts w:ascii="Helvetica" w:hAnsi="Helvetica"/>
        </w:rPr>
        <w:t xml:space="preserve"> if </w:t>
      </w:r>
      <w:r w:rsidR="00685639" w:rsidRPr="00414DC3">
        <w:rPr>
          <w:rFonts w:ascii="Helvetica" w:hAnsi="Helvetica"/>
        </w:rPr>
        <w:t xml:space="preserve">allocated </w:t>
      </w:r>
      <w:r w:rsidRPr="00414DC3">
        <w:rPr>
          <w:rFonts w:ascii="Helvetica" w:hAnsi="Helvetica"/>
        </w:rPr>
        <w:t>res</w:t>
      </w:r>
      <w:r w:rsidR="0089311B" w:rsidRPr="00414DC3">
        <w:rPr>
          <w:rFonts w:ascii="Helvetica" w:hAnsi="Helvetica"/>
        </w:rPr>
        <w:t>idential aged care places cease</w:t>
      </w:r>
      <w:r w:rsidRPr="00414DC3">
        <w:rPr>
          <w:rFonts w:ascii="Helvetica" w:hAnsi="Helvetica"/>
        </w:rPr>
        <w:t xml:space="preserve"> an alternative </w:t>
      </w:r>
      <w:r w:rsidR="00CA48BE" w:rsidRPr="00414DC3">
        <w:rPr>
          <w:rFonts w:ascii="Helvetica" w:hAnsi="Helvetica"/>
        </w:rPr>
        <w:t xml:space="preserve">distribution </w:t>
      </w:r>
      <w:r w:rsidRPr="00414DC3">
        <w:rPr>
          <w:rFonts w:ascii="Helvetica" w:hAnsi="Helvetica"/>
        </w:rPr>
        <w:t xml:space="preserve">approach to enable continued availability of respite would be required. </w:t>
      </w:r>
    </w:p>
    <w:p w14:paraId="06F03DA4" w14:textId="77777777" w:rsidR="00C16712" w:rsidRPr="00414DC3" w:rsidRDefault="00C16712" w:rsidP="00BE04C2">
      <w:pPr>
        <w:spacing w:after="120"/>
        <w:rPr>
          <w:rFonts w:ascii="Helvetica" w:hAnsi="Helvetica"/>
        </w:rPr>
      </w:pPr>
      <w:r w:rsidRPr="00414DC3">
        <w:rPr>
          <w:rFonts w:ascii="Helvetica" w:hAnsi="Helvetica"/>
        </w:rPr>
        <w:t xml:space="preserve">As choice of residential aged care provider becomes more explicit, consumers may increasingly adopt a ‘try before you buy’ approach with respite before entering permanent residential </w:t>
      </w:r>
      <w:r w:rsidR="00D62DE6" w:rsidRPr="00414DC3">
        <w:rPr>
          <w:rFonts w:ascii="Helvetica" w:hAnsi="Helvetica"/>
        </w:rPr>
        <w:t xml:space="preserve">aged </w:t>
      </w:r>
      <w:r w:rsidRPr="00414DC3">
        <w:rPr>
          <w:rFonts w:ascii="Helvetica" w:hAnsi="Helvetica"/>
        </w:rPr>
        <w:t xml:space="preserve">care. ACFA has observed this trend is already happening, with an increasing proportion of respite consumers </w:t>
      </w:r>
      <w:r w:rsidR="00685639" w:rsidRPr="00414DC3">
        <w:rPr>
          <w:rFonts w:ascii="Helvetica" w:hAnsi="Helvetica"/>
        </w:rPr>
        <w:t>transferring</w:t>
      </w:r>
      <w:r w:rsidRPr="00414DC3">
        <w:rPr>
          <w:rFonts w:ascii="Helvetica" w:hAnsi="Helvetica"/>
        </w:rPr>
        <w:t xml:space="preserve"> directly into permanent care following a respite stay (an increase of 55 per cent from 2013</w:t>
      </w:r>
      <w:r w:rsidR="00D62DE6" w:rsidRPr="00414DC3">
        <w:rPr>
          <w:rFonts w:ascii="Helvetica" w:hAnsi="Helvetica"/>
        </w:rPr>
        <w:noBreakHyphen/>
      </w:r>
      <w:r w:rsidRPr="00414DC3">
        <w:rPr>
          <w:rFonts w:ascii="Helvetica" w:hAnsi="Helvetica"/>
        </w:rPr>
        <w:t>14 to 2017-18)</w:t>
      </w:r>
      <w:r w:rsidRPr="00414DC3">
        <w:rPr>
          <w:rStyle w:val="FootnoteReference"/>
          <w:rFonts w:ascii="Helvetica" w:hAnsi="Helvetica"/>
        </w:rPr>
        <w:footnoteReference w:id="33"/>
      </w:r>
      <w:r w:rsidRPr="00414DC3">
        <w:rPr>
          <w:rFonts w:ascii="Helvetica" w:hAnsi="Helvetica"/>
        </w:rPr>
        <w:t xml:space="preserve">. </w:t>
      </w:r>
    </w:p>
    <w:p w14:paraId="497976DF" w14:textId="77777777" w:rsidR="00FC0D30" w:rsidRPr="00486075" w:rsidRDefault="00FC0D30" w:rsidP="005C4D01">
      <w:pPr>
        <w:spacing w:after="240"/>
        <w:rPr>
          <w:rFonts w:ascii="Helvetica" w:hAnsi="Helvetica"/>
        </w:rPr>
      </w:pPr>
      <w:r w:rsidRPr="00414DC3">
        <w:rPr>
          <w:rFonts w:ascii="Helvetica" w:hAnsi="Helvetica"/>
        </w:rPr>
        <w:t>The approach</w:t>
      </w:r>
      <w:r w:rsidR="00C16712" w:rsidRPr="00414DC3">
        <w:rPr>
          <w:rFonts w:ascii="Helvetica" w:hAnsi="Helvetica"/>
        </w:rPr>
        <w:t xml:space="preserve"> to distributing residential respite care </w:t>
      </w:r>
      <w:r w:rsidR="00CA48BE" w:rsidRPr="00414DC3">
        <w:rPr>
          <w:rFonts w:ascii="Helvetica" w:hAnsi="Helvetica"/>
        </w:rPr>
        <w:t xml:space="preserve">places </w:t>
      </w:r>
      <w:r w:rsidRPr="00414DC3">
        <w:rPr>
          <w:rFonts w:ascii="Helvetica" w:hAnsi="Helvetica"/>
        </w:rPr>
        <w:t>would need to allow e</w:t>
      </w:r>
      <w:r w:rsidR="00C16712" w:rsidRPr="00414DC3">
        <w:rPr>
          <w:rFonts w:ascii="Helvetica" w:hAnsi="Helvetica"/>
        </w:rPr>
        <w:t>xpenditure to be controlled,</w:t>
      </w:r>
      <w:r w:rsidRPr="00414DC3">
        <w:rPr>
          <w:rFonts w:ascii="Helvetica" w:hAnsi="Helvetica"/>
        </w:rPr>
        <w:t xml:space="preserve"> support timely and equitable access to both residential aged care and respite care</w:t>
      </w:r>
      <w:r w:rsidR="00C16712" w:rsidRPr="00414DC3">
        <w:rPr>
          <w:rFonts w:ascii="Helvetica" w:hAnsi="Helvetica"/>
        </w:rPr>
        <w:t>, encourage approved providers to offer respite but not encourage the use of respite for purposes other than to provide the carer or consumer a break</w:t>
      </w:r>
      <w:r w:rsidR="00CA48BE" w:rsidRPr="00414DC3">
        <w:rPr>
          <w:rFonts w:ascii="Helvetica" w:hAnsi="Helvetica"/>
        </w:rPr>
        <w:t>.</w:t>
      </w:r>
      <w:r w:rsidR="00685639" w:rsidRPr="00486075">
        <w:rPr>
          <w:rFonts w:ascii="Helvetica" w:hAnsi="Helvetica"/>
        </w:rPr>
        <w:t xml:space="preserve"> </w:t>
      </w:r>
    </w:p>
    <w:p w14:paraId="53D22EFD" w14:textId="6E7339A6" w:rsidR="00FC0D30" w:rsidRPr="00486075" w:rsidRDefault="00FC0D30" w:rsidP="001B6A24">
      <w:pPr>
        <w:pStyle w:val="Heading3"/>
      </w:pPr>
      <w:bookmarkStart w:id="79" w:name="_Toc31293703"/>
      <w:r w:rsidRPr="00486075">
        <w:t>Extra service places</w:t>
      </w:r>
      <w:bookmarkEnd w:id="79"/>
    </w:p>
    <w:p w14:paraId="416181EB" w14:textId="77777777" w:rsidR="008F460B" w:rsidRPr="00486075" w:rsidRDefault="007C5B67" w:rsidP="005C4D01">
      <w:pPr>
        <w:spacing w:after="240"/>
        <w:rPr>
          <w:rFonts w:ascii="Helvetica" w:hAnsi="Helvetica"/>
        </w:rPr>
      </w:pPr>
      <w:r w:rsidRPr="00486075">
        <w:rPr>
          <w:rFonts w:ascii="Helvetica" w:hAnsi="Helvetica"/>
        </w:rPr>
        <w:t>Consideration is required as to the future of extra service places</w:t>
      </w:r>
      <w:r w:rsidR="005A4E81" w:rsidRPr="00486075">
        <w:rPr>
          <w:rFonts w:ascii="Helvetica" w:hAnsi="Helvetica"/>
        </w:rPr>
        <w:t xml:space="preserve"> </w:t>
      </w:r>
      <w:r w:rsidRPr="00486075">
        <w:rPr>
          <w:rFonts w:ascii="Helvetica" w:hAnsi="Helvetica"/>
        </w:rPr>
        <w:t>if providers’ allocation of residential aged care places no longer exist</w:t>
      </w:r>
      <w:r w:rsidR="00705152" w:rsidRPr="00486075">
        <w:rPr>
          <w:rFonts w:ascii="Helvetica" w:hAnsi="Helvetica"/>
        </w:rPr>
        <w:t xml:space="preserve"> </w:t>
      </w:r>
      <w:r w:rsidR="00134C3F" w:rsidRPr="00486075">
        <w:rPr>
          <w:rFonts w:ascii="Helvetica" w:hAnsi="Helvetica"/>
        </w:rPr>
        <w:t xml:space="preserve">– as well as </w:t>
      </w:r>
      <w:r w:rsidR="003A6D13" w:rsidRPr="00486075">
        <w:rPr>
          <w:rFonts w:ascii="Helvetica" w:hAnsi="Helvetica"/>
        </w:rPr>
        <w:t xml:space="preserve">the </w:t>
      </w:r>
      <w:r w:rsidR="00134C3F" w:rsidRPr="00486075">
        <w:rPr>
          <w:rFonts w:ascii="Helvetica" w:hAnsi="Helvetica"/>
        </w:rPr>
        <w:t xml:space="preserve">relationship </w:t>
      </w:r>
      <w:r w:rsidR="003A6D13" w:rsidRPr="00486075">
        <w:rPr>
          <w:rFonts w:ascii="Helvetica" w:hAnsi="Helvetica"/>
        </w:rPr>
        <w:t>between extra service and</w:t>
      </w:r>
      <w:r w:rsidR="00134C3F" w:rsidRPr="00486075">
        <w:rPr>
          <w:rFonts w:ascii="Helvetica" w:hAnsi="Helvetica"/>
        </w:rPr>
        <w:t xml:space="preserve"> additional services</w:t>
      </w:r>
      <w:r w:rsidRPr="00486075">
        <w:rPr>
          <w:rFonts w:ascii="Helvetica" w:hAnsi="Helvetica"/>
        </w:rPr>
        <w:t xml:space="preserve">. </w:t>
      </w:r>
    </w:p>
    <w:p w14:paraId="54C1DE53" w14:textId="486EF376" w:rsidR="008F460B" w:rsidRPr="00486075" w:rsidRDefault="008F460B" w:rsidP="008F460B">
      <w:pPr>
        <w:pStyle w:val="Heading3"/>
      </w:pPr>
      <w:bookmarkStart w:id="80" w:name="_Toc31293704"/>
      <w:r w:rsidRPr="00486075">
        <w:t>Additional Services</w:t>
      </w:r>
      <w:bookmarkEnd w:id="80"/>
    </w:p>
    <w:p w14:paraId="2C7AFAB5" w14:textId="77777777" w:rsidR="00FC0D30" w:rsidRPr="00486075" w:rsidRDefault="005A4E81" w:rsidP="005C4D01">
      <w:pPr>
        <w:spacing w:after="240"/>
        <w:rPr>
          <w:rFonts w:ascii="Helvetica" w:hAnsi="Helvetica"/>
        </w:rPr>
      </w:pPr>
      <w:r w:rsidRPr="00486075">
        <w:rPr>
          <w:rFonts w:ascii="Helvetica" w:hAnsi="Helvetica"/>
        </w:rPr>
        <w:t>In light of the trend towards offering</w:t>
      </w:r>
      <w:r w:rsidR="00FC0D30" w:rsidRPr="00486075">
        <w:rPr>
          <w:rFonts w:ascii="Helvetica" w:hAnsi="Helvetica"/>
        </w:rPr>
        <w:t xml:space="preserve"> </w:t>
      </w:r>
      <w:r w:rsidR="00D62DE6" w:rsidRPr="00486075">
        <w:rPr>
          <w:rFonts w:ascii="Helvetica" w:hAnsi="Helvetica"/>
        </w:rPr>
        <w:t>a</w:t>
      </w:r>
      <w:r w:rsidR="00FC0D30" w:rsidRPr="00486075">
        <w:rPr>
          <w:rFonts w:ascii="Helvetica" w:hAnsi="Helvetica"/>
        </w:rPr>
        <w:t xml:space="preserve">dditional </w:t>
      </w:r>
      <w:r w:rsidR="00D62DE6" w:rsidRPr="00486075">
        <w:rPr>
          <w:rFonts w:ascii="Helvetica" w:hAnsi="Helvetica"/>
        </w:rPr>
        <w:t>s</w:t>
      </w:r>
      <w:r w:rsidR="00FC0D30" w:rsidRPr="00486075">
        <w:rPr>
          <w:rFonts w:ascii="Helvetica" w:hAnsi="Helvetica"/>
        </w:rPr>
        <w:t>ervices</w:t>
      </w:r>
      <w:r w:rsidR="00134C3F" w:rsidRPr="00486075">
        <w:rPr>
          <w:rFonts w:ascii="Helvetica" w:hAnsi="Helvetica"/>
        </w:rPr>
        <w:t>, f</w:t>
      </w:r>
      <w:r w:rsidR="00FC0D30" w:rsidRPr="00486075">
        <w:rPr>
          <w:rFonts w:ascii="Helvetica" w:hAnsi="Helvetica"/>
        </w:rPr>
        <w:t xml:space="preserve">urther work would </w:t>
      </w:r>
      <w:r w:rsidR="00E8348D" w:rsidRPr="00486075">
        <w:rPr>
          <w:rFonts w:ascii="Helvetica" w:hAnsi="Helvetica"/>
        </w:rPr>
        <w:t xml:space="preserve">also </w:t>
      </w:r>
      <w:r w:rsidR="00FC0D30" w:rsidRPr="00486075">
        <w:rPr>
          <w:rFonts w:ascii="Helvetica" w:hAnsi="Helvetica"/>
        </w:rPr>
        <w:t xml:space="preserve">be required to clarify the scope of </w:t>
      </w:r>
      <w:r w:rsidR="00D62DE6" w:rsidRPr="00486075">
        <w:rPr>
          <w:rFonts w:ascii="Helvetica" w:hAnsi="Helvetica"/>
        </w:rPr>
        <w:t>a</w:t>
      </w:r>
      <w:r w:rsidR="00FC0D30" w:rsidRPr="00486075">
        <w:rPr>
          <w:rFonts w:ascii="Helvetica" w:hAnsi="Helvetica"/>
        </w:rPr>
        <w:t xml:space="preserve">dditional </w:t>
      </w:r>
      <w:r w:rsidR="00D62DE6" w:rsidRPr="00486075">
        <w:rPr>
          <w:rFonts w:ascii="Helvetica" w:hAnsi="Helvetica"/>
        </w:rPr>
        <w:t>s</w:t>
      </w:r>
      <w:r w:rsidR="00FC0D30" w:rsidRPr="00486075">
        <w:rPr>
          <w:rFonts w:ascii="Helvetica" w:hAnsi="Helvetica"/>
        </w:rPr>
        <w:t>ervices, particularly in the move to a more market</w:t>
      </w:r>
      <w:r w:rsidR="002B3E7F" w:rsidRPr="00486075">
        <w:rPr>
          <w:rFonts w:ascii="Helvetica" w:hAnsi="Helvetica"/>
        </w:rPr>
        <w:t xml:space="preserve"> </w:t>
      </w:r>
      <w:r w:rsidR="00FC0D30" w:rsidRPr="00486075">
        <w:rPr>
          <w:rFonts w:ascii="Helvetica" w:hAnsi="Helvetica"/>
        </w:rPr>
        <w:t>based system where service and product differentiation is key.</w:t>
      </w:r>
      <w:r w:rsidR="00134C3F" w:rsidRPr="00486075">
        <w:rPr>
          <w:rFonts w:ascii="Helvetica" w:hAnsi="Helvetica"/>
        </w:rPr>
        <w:t xml:space="preserve"> It is noted that this would be further to separate work underway to clarify current additional services arrangements.</w:t>
      </w:r>
    </w:p>
    <w:p w14:paraId="04F0C275" w14:textId="336B82A3" w:rsidR="007C5B67" w:rsidRPr="00486075" w:rsidRDefault="007C5B67" w:rsidP="001B6A24">
      <w:pPr>
        <w:pStyle w:val="Heading3"/>
      </w:pPr>
      <w:bookmarkStart w:id="81" w:name="_Toc31293705"/>
      <w:r w:rsidRPr="00486075">
        <w:t>Capital grants</w:t>
      </w:r>
      <w:bookmarkEnd w:id="81"/>
    </w:p>
    <w:p w14:paraId="2360A7AC" w14:textId="77777777" w:rsidR="0030718F" w:rsidRPr="00486075" w:rsidRDefault="007C5B67" w:rsidP="005C4D01">
      <w:pPr>
        <w:autoSpaceDE w:val="0"/>
        <w:autoSpaceDN w:val="0"/>
        <w:adjustRightInd w:val="0"/>
        <w:spacing w:after="240"/>
        <w:rPr>
          <w:rFonts w:ascii="Helvetica" w:eastAsiaTheme="minorHAnsi" w:hAnsi="Helvetica"/>
          <w:lang w:eastAsia="en-US"/>
        </w:rPr>
      </w:pPr>
      <w:r w:rsidRPr="00486075">
        <w:rPr>
          <w:rFonts w:ascii="Helvetica" w:eastAsiaTheme="minorHAnsi" w:hAnsi="Helvetica"/>
          <w:lang w:eastAsia="en-US"/>
        </w:rPr>
        <w:t>It is expected that capital grants would continue to be distributed to pr</w:t>
      </w:r>
      <w:r w:rsidR="003173F7" w:rsidRPr="00486075">
        <w:rPr>
          <w:rFonts w:ascii="Helvetica" w:eastAsiaTheme="minorHAnsi" w:hAnsi="Helvetica"/>
          <w:lang w:eastAsia="en-US"/>
        </w:rPr>
        <w:t>oviders on a competitive basis. T</w:t>
      </w:r>
      <w:r w:rsidRPr="00486075">
        <w:rPr>
          <w:rFonts w:ascii="Helvetica" w:eastAsiaTheme="minorHAnsi" w:hAnsi="Helvetica"/>
          <w:lang w:eastAsia="en-US"/>
        </w:rPr>
        <w:t xml:space="preserve">he </w:t>
      </w:r>
      <w:r w:rsidR="00DF77D7" w:rsidRPr="00486075">
        <w:rPr>
          <w:rFonts w:ascii="Helvetica" w:eastAsiaTheme="minorHAnsi" w:hAnsi="Helvetica"/>
          <w:lang w:eastAsia="en-US"/>
        </w:rPr>
        <w:t xml:space="preserve">allocation and administrative provisions for grants </w:t>
      </w:r>
      <w:r w:rsidR="00F526B6" w:rsidRPr="00486075">
        <w:rPr>
          <w:rFonts w:ascii="Helvetica" w:eastAsiaTheme="minorHAnsi" w:hAnsi="Helvetica"/>
          <w:lang w:eastAsia="en-US"/>
        </w:rPr>
        <w:t xml:space="preserve">would need to </w:t>
      </w:r>
      <w:r w:rsidRPr="00486075">
        <w:rPr>
          <w:rFonts w:ascii="Helvetica" w:eastAsiaTheme="minorHAnsi" w:hAnsi="Helvetica"/>
          <w:lang w:eastAsia="en-US"/>
        </w:rPr>
        <w:t xml:space="preserve">be reviewed to ensure it best supports the operation of the proposed model and its objectives. </w:t>
      </w:r>
    </w:p>
    <w:p w14:paraId="4E0D288E" w14:textId="70FF3EC5" w:rsidR="00057646" w:rsidRPr="00486075" w:rsidRDefault="00057646" w:rsidP="00553BEF">
      <w:pPr>
        <w:pStyle w:val="Heading2"/>
      </w:pPr>
      <w:bookmarkStart w:id="82" w:name="_Toc31293706"/>
      <w:r w:rsidRPr="00486075">
        <w:t>Implementation</w:t>
      </w:r>
      <w:r w:rsidR="00673965" w:rsidRPr="00486075">
        <w:t xml:space="preserve"> and transition</w:t>
      </w:r>
      <w:r w:rsidRPr="00486075">
        <w:t xml:space="preserve"> considerations</w:t>
      </w:r>
      <w:bookmarkEnd w:id="82"/>
      <w:r w:rsidRPr="00486075">
        <w:t xml:space="preserve"> </w:t>
      </w:r>
    </w:p>
    <w:p w14:paraId="69D9BCD4" w14:textId="77777777" w:rsidR="00FB09BD" w:rsidRPr="00486075" w:rsidRDefault="00160B86" w:rsidP="00583CF5">
      <w:pPr>
        <w:spacing w:after="120"/>
        <w:rPr>
          <w:rFonts w:ascii="Helvetica" w:hAnsi="Helvetica"/>
        </w:rPr>
      </w:pPr>
      <w:r w:rsidRPr="00486075">
        <w:rPr>
          <w:rFonts w:ascii="Helvetica" w:hAnsi="Helvetica"/>
        </w:rPr>
        <w:t xml:space="preserve">Given the complexity and structural changes associated with the proposed model, implementation would require long lead times and it would be important that all stakeholders are fully consulted and involved </w:t>
      </w:r>
      <w:r w:rsidR="003173F7" w:rsidRPr="00486075">
        <w:rPr>
          <w:rFonts w:ascii="Helvetica" w:hAnsi="Helvetica"/>
        </w:rPr>
        <w:t>in</w:t>
      </w:r>
      <w:r w:rsidRPr="00486075">
        <w:rPr>
          <w:rFonts w:ascii="Helvetica" w:hAnsi="Helvetica"/>
        </w:rPr>
        <w:t xml:space="preserve"> implementation and transition</w:t>
      </w:r>
      <w:r w:rsidR="003173F7" w:rsidRPr="00486075">
        <w:rPr>
          <w:rFonts w:ascii="Helvetica" w:hAnsi="Helvetica"/>
        </w:rPr>
        <w:t xml:space="preserve"> planning</w:t>
      </w:r>
      <w:r w:rsidRPr="00486075">
        <w:rPr>
          <w:rFonts w:ascii="Helvetica" w:hAnsi="Helvetica"/>
        </w:rPr>
        <w:t xml:space="preserve">. </w:t>
      </w:r>
      <w:r w:rsidR="00CE1022" w:rsidRPr="00486075">
        <w:rPr>
          <w:rFonts w:ascii="Helvetica" w:hAnsi="Helvetica"/>
        </w:rPr>
        <w:t>Moving towards a more consumer driven and market</w:t>
      </w:r>
      <w:r w:rsidR="00F526B6" w:rsidRPr="00486075">
        <w:rPr>
          <w:rFonts w:ascii="Helvetica" w:hAnsi="Helvetica"/>
        </w:rPr>
        <w:t xml:space="preserve"> </w:t>
      </w:r>
      <w:r w:rsidR="00CE1022" w:rsidRPr="00486075">
        <w:rPr>
          <w:rFonts w:ascii="Helvetica" w:hAnsi="Helvetica"/>
        </w:rPr>
        <w:t>based system will challenge traditional</w:t>
      </w:r>
      <w:r w:rsidR="007D6E75" w:rsidRPr="00486075">
        <w:rPr>
          <w:rFonts w:ascii="Helvetica" w:hAnsi="Helvetica"/>
        </w:rPr>
        <w:t xml:space="preserve"> models of</w:t>
      </w:r>
      <w:r w:rsidR="00CE1022" w:rsidRPr="00486075">
        <w:rPr>
          <w:rFonts w:ascii="Helvetica" w:hAnsi="Helvetica"/>
        </w:rPr>
        <w:t xml:space="preserve"> business, workforce and service </w:t>
      </w:r>
      <w:r w:rsidR="007D6E75" w:rsidRPr="00486075">
        <w:rPr>
          <w:rFonts w:ascii="Helvetica" w:hAnsi="Helvetica"/>
        </w:rPr>
        <w:t xml:space="preserve">delivery </w:t>
      </w:r>
      <w:r w:rsidR="00CE1022" w:rsidRPr="00486075">
        <w:rPr>
          <w:rFonts w:ascii="Helvetica" w:hAnsi="Helvetica"/>
        </w:rPr>
        <w:t xml:space="preserve">to be increasingly responsive and flexible to the needs and preferences of consumers. </w:t>
      </w:r>
    </w:p>
    <w:p w14:paraId="612E0AC6" w14:textId="77777777" w:rsidR="00FB09BD" w:rsidRPr="00486075" w:rsidRDefault="00F11F6D" w:rsidP="00583CF5">
      <w:pPr>
        <w:spacing w:after="120"/>
        <w:rPr>
          <w:rFonts w:ascii="Helvetica" w:hAnsi="Helvetica"/>
        </w:rPr>
      </w:pPr>
      <w:r w:rsidRPr="00486075">
        <w:rPr>
          <w:rFonts w:ascii="Helvetica" w:hAnsi="Helvetica"/>
        </w:rPr>
        <w:t xml:space="preserve">Realistic </w:t>
      </w:r>
      <w:r w:rsidR="00FB09BD" w:rsidRPr="00486075">
        <w:rPr>
          <w:rFonts w:ascii="Helvetica" w:hAnsi="Helvetica"/>
        </w:rPr>
        <w:t>transition arrangements and</w:t>
      </w:r>
      <w:r w:rsidRPr="00486075">
        <w:rPr>
          <w:rFonts w:ascii="Helvetica" w:hAnsi="Helvetica"/>
        </w:rPr>
        <w:t xml:space="preserve"> timeframes would be critical to avoid</w:t>
      </w:r>
      <w:r w:rsidR="00FB09BD" w:rsidRPr="00486075">
        <w:rPr>
          <w:rFonts w:ascii="Helvetica" w:hAnsi="Helvetica"/>
        </w:rPr>
        <w:t xml:space="preserve"> significant disruption to consumers and providers. </w:t>
      </w:r>
      <w:r w:rsidRPr="00486075">
        <w:rPr>
          <w:rFonts w:ascii="Helvetica" w:hAnsi="Helvetica"/>
        </w:rPr>
        <w:t>Some stakeholders have suggested that an ad</w:t>
      </w:r>
      <w:r w:rsidR="00FB09BD" w:rsidRPr="00486075">
        <w:rPr>
          <w:rFonts w:ascii="Helvetica" w:hAnsi="Helvetica"/>
        </w:rPr>
        <w:t xml:space="preserve">vance notice period between two to four years </w:t>
      </w:r>
      <w:r w:rsidRPr="00486075">
        <w:rPr>
          <w:rFonts w:ascii="Helvetica" w:hAnsi="Helvetica"/>
        </w:rPr>
        <w:t xml:space="preserve">would </w:t>
      </w:r>
      <w:r w:rsidR="007D6E75" w:rsidRPr="00486075">
        <w:rPr>
          <w:rFonts w:ascii="Helvetica" w:hAnsi="Helvetica"/>
        </w:rPr>
        <w:t>be required. Consumers would need time to understand the new arrangements. P</w:t>
      </w:r>
      <w:r w:rsidR="00FB09BD" w:rsidRPr="00486075">
        <w:rPr>
          <w:rFonts w:ascii="Helvetica" w:hAnsi="Helvetica"/>
        </w:rPr>
        <w:t xml:space="preserve">roviders </w:t>
      </w:r>
      <w:r w:rsidR="007D6E75" w:rsidRPr="00486075">
        <w:rPr>
          <w:rFonts w:ascii="Helvetica" w:hAnsi="Helvetica"/>
        </w:rPr>
        <w:t xml:space="preserve">would need </w:t>
      </w:r>
      <w:r w:rsidRPr="00486075">
        <w:rPr>
          <w:rFonts w:ascii="Helvetica" w:hAnsi="Helvetica"/>
        </w:rPr>
        <w:t>to</w:t>
      </w:r>
      <w:r w:rsidR="007D6E75" w:rsidRPr="00486075">
        <w:rPr>
          <w:rFonts w:ascii="Helvetica" w:hAnsi="Helvetica"/>
        </w:rPr>
        <w:t>: decide whether</w:t>
      </w:r>
      <w:r w:rsidR="00FB09BD" w:rsidRPr="00486075">
        <w:rPr>
          <w:rFonts w:ascii="Helvetica" w:hAnsi="Helvetica"/>
        </w:rPr>
        <w:t xml:space="preserve"> to stay or leave the market</w:t>
      </w:r>
      <w:r w:rsidR="007D6E75" w:rsidRPr="00486075">
        <w:rPr>
          <w:rFonts w:ascii="Helvetica" w:hAnsi="Helvetica"/>
        </w:rPr>
        <w:t xml:space="preserve">; </w:t>
      </w:r>
      <w:r w:rsidR="00FB09BD" w:rsidRPr="00486075">
        <w:rPr>
          <w:rFonts w:ascii="Helvetica" w:hAnsi="Helvetica"/>
        </w:rPr>
        <w:t xml:space="preserve">prepare </w:t>
      </w:r>
      <w:r w:rsidR="007D6E75" w:rsidRPr="00486075">
        <w:rPr>
          <w:rFonts w:ascii="Helvetica" w:hAnsi="Helvetica"/>
        </w:rPr>
        <w:t xml:space="preserve">for </w:t>
      </w:r>
      <w:r w:rsidR="00FB09BD" w:rsidRPr="00486075">
        <w:rPr>
          <w:rFonts w:ascii="Helvetica" w:hAnsi="Helvetica"/>
        </w:rPr>
        <w:t xml:space="preserve">and respond to the new arrangements – including operationalising </w:t>
      </w:r>
      <w:r w:rsidR="004E4591" w:rsidRPr="00486075">
        <w:rPr>
          <w:rFonts w:ascii="Helvetica" w:hAnsi="Helvetica"/>
        </w:rPr>
        <w:t xml:space="preserve">currently </w:t>
      </w:r>
      <w:r w:rsidR="00FB09BD" w:rsidRPr="00486075">
        <w:rPr>
          <w:rFonts w:ascii="Helvetica" w:hAnsi="Helvetica"/>
        </w:rPr>
        <w:t>allocated place</w:t>
      </w:r>
      <w:r w:rsidRPr="00486075">
        <w:rPr>
          <w:rFonts w:ascii="Helvetica" w:hAnsi="Helvetica"/>
        </w:rPr>
        <w:t>s</w:t>
      </w:r>
      <w:r w:rsidR="00FB09BD" w:rsidRPr="00486075">
        <w:rPr>
          <w:rFonts w:ascii="Helvetica" w:hAnsi="Helvetica"/>
        </w:rPr>
        <w:t xml:space="preserve"> (or </w:t>
      </w:r>
      <w:r w:rsidRPr="00486075">
        <w:rPr>
          <w:rFonts w:ascii="Helvetica" w:hAnsi="Helvetica"/>
        </w:rPr>
        <w:t>undertake building work</w:t>
      </w:r>
      <w:r w:rsidR="007D6E75" w:rsidRPr="00486075">
        <w:rPr>
          <w:rFonts w:ascii="Helvetica" w:hAnsi="Helvetica"/>
        </w:rPr>
        <w:t xml:space="preserve">); and </w:t>
      </w:r>
      <w:r w:rsidR="00FB09BD" w:rsidRPr="00486075">
        <w:rPr>
          <w:rFonts w:ascii="Helvetica" w:hAnsi="Helvetica"/>
        </w:rPr>
        <w:t>reconfigur</w:t>
      </w:r>
      <w:r w:rsidR="007D6E75" w:rsidRPr="00486075">
        <w:rPr>
          <w:rFonts w:ascii="Helvetica" w:hAnsi="Helvetica"/>
        </w:rPr>
        <w:t>e</w:t>
      </w:r>
      <w:r w:rsidR="00FB09BD" w:rsidRPr="00486075">
        <w:rPr>
          <w:rFonts w:ascii="Helvetica" w:hAnsi="Helvetica"/>
        </w:rPr>
        <w:t xml:space="preserve"> </w:t>
      </w:r>
      <w:r w:rsidR="00FB09BD" w:rsidRPr="00486075">
        <w:rPr>
          <w:rFonts w:ascii="Helvetica" w:hAnsi="Helvetica"/>
        </w:rPr>
        <w:lastRenderedPageBreak/>
        <w:t>business and financial structures</w:t>
      </w:r>
      <w:r w:rsidR="007D6E75" w:rsidRPr="00486075">
        <w:rPr>
          <w:rFonts w:ascii="Helvetica" w:hAnsi="Helvetica"/>
        </w:rPr>
        <w:t>. The</w:t>
      </w:r>
      <w:r w:rsidRPr="00486075">
        <w:rPr>
          <w:rFonts w:ascii="Helvetica" w:hAnsi="Helvetica"/>
        </w:rPr>
        <w:t xml:space="preserve"> finance sector </w:t>
      </w:r>
      <w:r w:rsidR="007D6E75" w:rsidRPr="00486075">
        <w:rPr>
          <w:rFonts w:ascii="Helvetica" w:hAnsi="Helvetica"/>
        </w:rPr>
        <w:t xml:space="preserve">would need </w:t>
      </w:r>
      <w:r w:rsidRPr="00486075">
        <w:rPr>
          <w:rFonts w:ascii="Helvetica" w:hAnsi="Helvetica"/>
        </w:rPr>
        <w:t>to review and adjust their lending and investment practices.</w:t>
      </w:r>
    </w:p>
    <w:p w14:paraId="3E602E23" w14:textId="77777777" w:rsidR="002727C0" w:rsidRPr="00486075" w:rsidRDefault="00F11F6D" w:rsidP="00583CF5">
      <w:pPr>
        <w:spacing w:after="120"/>
        <w:rPr>
          <w:rFonts w:ascii="Helvetica" w:hAnsi="Helvetica"/>
        </w:rPr>
      </w:pPr>
      <w:r w:rsidRPr="00486075">
        <w:rPr>
          <w:rFonts w:ascii="Helvetica" w:hAnsi="Helvetica"/>
        </w:rPr>
        <w:t xml:space="preserve">Appropriate sequencing </w:t>
      </w:r>
      <w:r w:rsidR="00716AAF" w:rsidRPr="00486075">
        <w:rPr>
          <w:rFonts w:ascii="Helvetica" w:hAnsi="Helvetica"/>
        </w:rPr>
        <w:t>with related reforms that provide the foundation for this model to operate effectively will be an important consideration</w:t>
      </w:r>
      <w:r w:rsidR="00565D34" w:rsidRPr="00486075">
        <w:rPr>
          <w:rFonts w:ascii="Helvetica" w:hAnsi="Helvetica"/>
        </w:rPr>
        <w:t xml:space="preserve">. </w:t>
      </w:r>
      <w:r w:rsidR="002727C0" w:rsidRPr="00486075">
        <w:rPr>
          <w:rFonts w:ascii="Helvetica" w:hAnsi="Helvetica"/>
        </w:rPr>
        <w:t xml:space="preserve">This includes </w:t>
      </w:r>
      <w:r w:rsidR="007D6E75" w:rsidRPr="00486075">
        <w:rPr>
          <w:rFonts w:ascii="Helvetica" w:hAnsi="Helvetica"/>
        </w:rPr>
        <w:t xml:space="preserve">decisions on </w:t>
      </w:r>
      <w:r w:rsidR="002727C0" w:rsidRPr="00486075">
        <w:rPr>
          <w:rFonts w:ascii="Helvetica" w:hAnsi="Helvetica"/>
        </w:rPr>
        <w:t>the new streamlined assessment model</w:t>
      </w:r>
      <w:r w:rsidR="007D6E75" w:rsidRPr="00486075">
        <w:rPr>
          <w:rFonts w:ascii="Helvetica" w:hAnsi="Helvetica"/>
        </w:rPr>
        <w:t xml:space="preserve"> and </w:t>
      </w:r>
      <w:r w:rsidR="003173F7" w:rsidRPr="00486075">
        <w:rPr>
          <w:rFonts w:ascii="Helvetica" w:hAnsi="Helvetica"/>
        </w:rPr>
        <w:t>workforce</w:t>
      </w:r>
      <w:r w:rsidR="00C029F5" w:rsidRPr="00486075">
        <w:rPr>
          <w:rFonts w:ascii="Helvetica" w:hAnsi="Helvetica"/>
        </w:rPr>
        <w:t xml:space="preserve"> and</w:t>
      </w:r>
      <w:r w:rsidR="002727C0" w:rsidRPr="00486075">
        <w:rPr>
          <w:rFonts w:ascii="Helvetica" w:hAnsi="Helvetica"/>
        </w:rPr>
        <w:t xml:space="preserve"> potential </w:t>
      </w:r>
      <w:r w:rsidR="000C1532" w:rsidRPr="00486075">
        <w:rPr>
          <w:rFonts w:ascii="Helvetica" w:hAnsi="Helvetica"/>
        </w:rPr>
        <w:t>future</w:t>
      </w:r>
      <w:r w:rsidR="002727C0" w:rsidRPr="00486075">
        <w:rPr>
          <w:rFonts w:ascii="Helvetica" w:hAnsi="Helvetica"/>
        </w:rPr>
        <w:t xml:space="preserve"> reform</w:t>
      </w:r>
      <w:r w:rsidR="000C1532" w:rsidRPr="00486075">
        <w:rPr>
          <w:rFonts w:ascii="Helvetica" w:hAnsi="Helvetica"/>
        </w:rPr>
        <w:t xml:space="preserve"> of the funding model for residential aged care</w:t>
      </w:r>
      <w:r w:rsidR="007D6E75" w:rsidRPr="00486075">
        <w:rPr>
          <w:rFonts w:ascii="Helvetica" w:hAnsi="Helvetica"/>
        </w:rPr>
        <w:t xml:space="preserve"> (</w:t>
      </w:r>
      <w:r w:rsidR="00C029F5" w:rsidRPr="00486075">
        <w:rPr>
          <w:rFonts w:ascii="Helvetica" w:hAnsi="Helvetica"/>
        </w:rPr>
        <w:t>including</w:t>
      </w:r>
      <w:r w:rsidR="007D6E75" w:rsidRPr="00486075">
        <w:rPr>
          <w:rFonts w:ascii="Helvetica" w:hAnsi="Helvetica"/>
        </w:rPr>
        <w:t xml:space="preserve"> independent assessment of funding </w:t>
      </w:r>
      <w:r w:rsidR="00C029F5" w:rsidRPr="00486075">
        <w:rPr>
          <w:rFonts w:ascii="Helvetica" w:hAnsi="Helvetica"/>
        </w:rPr>
        <w:t>for</w:t>
      </w:r>
      <w:r w:rsidR="007D6E75" w:rsidRPr="00486075">
        <w:rPr>
          <w:rFonts w:ascii="Helvetica" w:hAnsi="Helvetica"/>
        </w:rPr>
        <w:t xml:space="preserve"> individual consumers according to need</w:t>
      </w:r>
      <w:r w:rsidR="00C029F5" w:rsidRPr="00486075">
        <w:rPr>
          <w:rFonts w:ascii="Helvetica" w:hAnsi="Helvetica"/>
        </w:rPr>
        <w:t>)</w:t>
      </w:r>
      <w:r w:rsidR="002727C0" w:rsidRPr="00486075">
        <w:rPr>
          <w:rFonts w:ascii="Helvetica" w:hAnsi="Helvetica"/>
        </w:rPr>
        <w:t xml:space="preserve">. </w:t>
      </w:r>
    </w:p>
    <w:p w14:paraId="0AD6D740" w14:textId="77777777" w:rsidR="00565D34" w:rsidRPr="00486075" w:rsidRDefault="00565D34" w:rsidP="00BE04C2">
      <w:pPr>
        <w:rPr>
          <w:rFonts w:ascii="Helvetica" w:hAnsi="Helvetica"/>
        </w:rPr>
      </w:pPr>
      <w:r w:rsidRPr="00486075">
        <w:rPr>
          <w:rFonts w:ascii="Helvetica" w:hAnsi="Helvetica"/>
        </w:rPr>
        <w:t>System enablers would also need to be in place, including:</w:t>
      </w:r>
    </w:p>
    <w:p w14:paraId="6F0C6041" w14:textId="77777777" w:rsidR="00565D34" w:rsidRPr="00486075" w:rsidRDefault="00216A0E" w:rsidP="00F931B5">
      <w:pPr>
        <w:pStyle w:val="ListParagraph"/>
        <w:numPr>
          <w:ilvl w:val="0"/>
          <w:numId w:val="4"/>
        </w:numPr>
        <w:spacing w:after="120"/>
        <w:ind w:left="357" w:hanging="357"/>
        <w:contextualSpacing w:val="0"/>
        <w:rPr>
          <w:rFonts w:ascii="Helvetica" w:hAnsi="Helvetica"/>
        </w:rPr>
      </w:pPr>
      <w:r w:rsidRPr="00486075">
        <w:rPr>
          <w:rFonts w:ascii="Helvetica" w:hAnsi="Helvetica"/>
        </w:rPr>
        <w:t>p</w:t>
      </w:r>
      <w:r w:rsidR="00565D34" w:rsidRPr="00486075">
        <w:rPr>
          <w:rFonts w:ascii="Helvetica" w:hAnsi="Helvetica"/>
        </w:rPr>
        <w:t>otentially strengthened suitability criteria for becoming an approved provider of residential aged care to protect consumers and sector stability. This is because removing the ACAR would place a greater onus on the approved provider arrangements to regulate new providers wishing to enter the market</w:t>
      </w:r>
      <w:r w:rsidR="008D3AD7" w:rsidRPr="00486075">
        <w:rPr>
          <w:rFonts w:ascii="Helvetica" w:hAnsi="Helvetica"/>
        </w:rPr>
        <w:t>. Changes may also be required to introduce</w:t>
      </w:r>
      <w:r w:rsidR="007D6E75" w:rsidRPr="00486075">
        <w:rPr>
          <w:rFonts w:ascii="Helvetica" w:hAnsi="Helvetica"/>
        </w:rPr>
        <w:t xml:space="preserve"> the</w:t>
      </w:r>
      <w:r w:rsidR="008D3AD7" w:rsidRPr="00486075">
        <w:rPr>
          <w:rFonts w:ascii="Helvetica" w:hAnsi="Helvetica"/>
        </w:rPr>
        <w:t xml:space="preserve"> potential</w:t>
      </w:r>
      <w:r w:rsidR="007D6E75" w:rsidRPr="00486075">
        <w:rPr>
          <w:rFonts w:ascii="Helvetica" w:hAnsi="Helvetica"/>
        </w:rPr>
        <w:t xml:space="preserve"> attachment of a wider range of conditions to approved provider status</w:t>
      </w:r>
      <w:r w:rsidRPr="00486075">
        <w:rPr>
          <w:rFonts w:ascii="Helvetica" w:hAnsi="Helvetica"/>
        </w:rPr>
        <w:t>;</w:t>
      </w:r>
    </w:p>
    <w:p w14:paraId="48D58BAF" w14:textId="77777777" w:rsidR="00565D34" w:rsidRPr="00486075" w:rsidRDefault="00216A0E" w:rsidP="00F931B5">
      <w:pPr>
        <w:pStyle w:val="ListParagraph"/>
        <w:numPr>
          <w:ilvl w:val="0"/>
          <w:numId w:val="4"/>
        </w:numPr>
        <w:spacing w:after="120"/>
        <w:ind w:left="357" w:hanging="357"/>
        <w:contextualSpacing w:val="0"/>
        <w:rPr>
          <w:rFonts w:ascii="Helvetica" w:hAnsi="Helvetica"/>
        </w:rPr>
      </w:pPr>
      <w:r w:rsidRPr="00486075">
        <w:rPr>
          <w:rFonts w:ascii="Helvetica" w:hAnsi="Helvetica"/>
        </w:rPr>
        <w:t>e</w:t>
      </w:r>
      <w:r w:rsidR="00565D34" w:rsidRPr="00486075">
        <w:rPr>
          <w:rFonts w:ascii="Helvetica" w:hAnsi="Helvetica"/>
        </w:rPr>
        <w:t>nsuring that the</w:t>
      </w:r>
      <w:r w:rsidR="00160B86" w:rsidRPr="00486075">
        <w:rPr>
          <w:rFonts w:ascii="Helvetica" w:hAnsi="Helvetica"/>
        </w:rPr>
        <w:t xml:space="preserve"> regulatory</w:t>
      </w:r>
      <w:r w:rsidR="00565D34" w:rsidRPr="00486075">
        <w:rPr>
          <w:rFonts w:ascii="Helvetica" w:hAnsi="Helvetica"/>
        </w:rPr>
        <w:t xml:space="preserve"> framework does not </w:t>
      </w:r>
      <w:r w:rsidR="008D3AD7" w:rsidRPr="00486075">
        <w:rPr>
          <w:rFonts w:ascii="Helvetica" w:hAnsi="Helvetica"/>
        </w:rPr>
        <w:t xml:space="preserve">constrain </w:t>
      </w:r>
      <w:r w:rsidR="00565D34" w:rsidRPr="00486075">
        <w:rPr>
          <w:rFonts w:ascii="Helvetica" w:hAnsi="Helvetica"/>
        </w:rPr>
        <w:t xml:space="preserve">innovation and </w:t>
      </w:r>
      <w:r w:rsidR="006C0B12" w:rsidRPr="00486075">
        <w:rPr>
          <w:rFonts w:ascii="Helvetica" w:hAnsi="Helvetica"/>
        </w:rPr>
        <w:t xml:space="preserve">prevent </w:t>
      </w:r>
      <w:r w:rsidR="00565D34" w:rsidRPr="00486075">
        <w:rPr>
          <w:rFonts w:ascii="Helvetica" w:hAnsi="Helvetica"/>
        </w:rPr>
        <w:t>market diffe</w:t>
      </w:r>
      <w:r w:rsidR="0078312E" w:rsidRPr="00486075">
        <w:rPr>
          <w:rFonts w:ascii="Helvetica" w:hAnsi="Helvetica"/>
        </w:rPr>
        <w:t>re</w:t>
      </w:r>
      <w:r w:rsidR="00565D34" w:rsidRPr="00486075">
        <w:rPr>
          <w:rFonts w:ascii="Helvetica" w:hAnsi="Helvetica"/>
        </w:rPr>
        <w:t>ntiation in service and accommodation settings.</w:t>
      </w:r>
      <w:r w:rsidR="00C029F5" w:rsidRPr="00486075">
        <w:rPr>
          <w:rFonts w:ascii="Helvetica" w:hAnsi="Helvetica"/>
        </w:rPr>
        <w:t xml:space="preserve"> This would </w:t>
      </w:r>
      <w:r w:rsidR="0089311B" w:rsidRPr="00486075">
        <w:rPr>
          <w:rFonts w:ascii="Helvetica" w:hAnsi="Helvetica"/>
        </w:rPr>
        <w:t xml:space="preserve">also </w:t>
      </w:r>
      <w:r w:rsidR="00C029F5" w:rsidRPr="00486075">
        <w:rPr>
          <w:rFonts w:ascii="Helvetica" w:hAnsi="Helvetica"/>
        </w:rPr>
        <w:t>require clarification of Additional Service s</w:t>
      </w:r>
      <w:r w:rsidRPr="00486075">
        <w:rPr>
          <w:rFonts w:ascii="Helvetica" w:hAnsi="Helvetica"/>
        </w:rPr>
        <w:t>tandards and approval processes; and</w:t>
      </w:r>
    </w:p>
    <w:p w14:paraId="435C8BF8" w14:textId="77777777" w:rsidR="00565D34" w:rsidRPr="00486075" w:rsidRDefault="00216A0E" w:rsidP="00F931B5">
      <w:pPr>
        <w:pStyle w:val="ListParagraph"/>
        <w:numPr>
          <w:ilvl w:val="0"/>
          <w:numId w:val="4"/>
        </w:numPr>
        <w:spacing w:after="120"/>
        <w:ind w:left="357" w:hanging="357"/>
        <w:contextualSpacing w:val="0"/>
        <w:rPr>
          <w:rFonts w:ascii="Helvetica" w:hAnsi="Helvetica"/>
        </w:rPr>
      </w:pPr>
      <w:r w:rsidRPr="00486075">
        <w:rPr>
          <w:rFonts w:ascii="Helvetica" w:hAnsi="Helvetica"/>
        </w:rPr>
        <w:t>i</w:t>
      </w:r>
      <w:r w:rsidR="00565D34" w:rsidRPr="00486075">
        <w:rPr>
          <w:rFonts w:ascii="Helvetica" w:hAnsi="Helvetica"/>
        </w:rPr>
        <w:t>nformation and supports to assist consumers in comparing providers and exercising informed choice</w:t>
      </w:r>
      <w:r w:rsidR="006C0B12" w:rsidRPr="00486075">
        <w:rPr>
          <w:rFonts w:ascii="Helvetica" w:hAnsi="Helvetica"/>
        </w:rPr>
        <w:t>.</w:t>
      </w:r>
    </w:p>
    <w:p w14:paraId="5072894D" w14:textId="77777777" w:rsidR="00F526B6" w:rsidRPr="00486075" w:rsidRDefault="00F526B6" w:rsidP="00B923DF">
      <w:pPr>
        <w:spacing w:after="120"/>
        <w:rPr>
          <w:rFonts w:ascii="Helvetica" w:hAnsi="Helvetica"/>
        </w:rPr>
      </w:pPr>
      <w:r w:rsidRPr="00486075">
        <w:rPr>
          <w:rFonts w:ascii="Helvetica" w:hAnsi="Helvetica"/>
        </w:rPr>
        <w:t xml:space="preserve">Timing of implementation should allow the sector to adjust and settle from recent reforms and take into account the outcomes of the Royal Commission. </w:t>
      </w:r>
    </w:p>
    <w:p w14:paraId="550A3181" w14:textId="507E6544" w:rsidR="00C2418F" w:rsidRPr="00486075" w:rsidRDefault="00565D34" w:rsidP="00583CF5">
      <w:pPr>
        <w:spacing w:after="120"/>
        <w:rPr>
          <w:rFonts w:ascii="Helvetica" w:hAnsi="Helvetica"/>
        </w:rPr>
      </w:pPr>
      <w:r w:rsidRPr="00486075">
        <w:rPr>
          <w:rFonts w:ascii="Helvetica" w:hAnsi="Helvetica"/>
        </w:rPr>
        <w:t xml:space="preserve">Implementation timeframes would also need to allow for </w:t>
      </w:r>
      <w:r w:rsidR="00D77503" w:rsidRPr="00486075">
        <w:rPr>
          <w:rFonts w:ascii="Helvetica" w:hAnsi="Helvetica"/>
        </w:rPr>
        <w:t xml:space="preserve">significant legislative amendments to the </w:t>
      </w:r>
      <w:r w:rsidR="006C0B12" w:rsidRPr="00486075">
        <w:rPr>
          <w:rFonts w:ascii="Helvetica" w:hAnsi="Helvetica"/>
        </w:rPr>
        <w:t xml:space="preserve">Act </w:t>
      </w:r>
      <w:r w:rsidR="00D77503" w:rsidRPr="00486075">
        <w:rPr>
          <w:rFonts w:ascii="Helvetica" w:hAnsi="Helvetica"/>
        </w:rPr>
        <w:t>and relevant subordinate legislatio</w:t>
      </w:r>
      <w:r w:rsidR="0078312E" w:rsidRPr="00486075">
        <w:rPr>
          <w:rFonts w:ascii="Helvetica" w:hAnsi="Helvetica"/>
        </w:rPr>
        <w:t xml:space="preserve">n and </w:t>
      </w:r>
      <w:r w:rsidR="00C2418F" w:rsidRPr="00486075">
        <w:rPr>
          <w:rFonts w:ascii="Helvetica" w:hAnsi="Helvetica"/>
        </w:rPr>
        <w:t>s</w:t>
      </w:r>
      <w:r w:rsidR="00D77503" w:rsidRPr="00486075">
        <w:rPr>
          <w:rFonts w:ascii="Helvetica" w:hAnsi="Helvetica"/>
        </w:rPr>
        <w:t>ignificant changes to ICT systems, including My Aged Care and the Department of Human Services provider payment systems</w:t>
      </w:r>
      <w:r w:rsidR="00985C19" w:rsidRPr="00486075">
        <w:rPr>
          <w:rFonts w:ascii="Helvetica" w:hAnsi="Helvetica"/>
        </w:rPr>
        <w:t xml:space="preserve"> as well as the Aged Care Quality and Safety Commission </w:t>
      </w:r>
      <w:r w:rsidR="00216A0E" w:rsidRPr="00486075">
        <w:rPr>
          <w:rFonts w:ascii="Helvetica" w:hAnsi="Helvetica"/>
        </w:rPr>
        <w:t>(</w:t>
      </w:r>
      <w:r w:rsidR="00985C19" w:rsidRPr="00486075">
        <w:rPr>
          <w:rFonts w:ascii="Helvetica" w:hAnsi="Helvetica"/>
        </w:rPr>
        <w:t xml:space="preserve">which will have responsibility for the </w:t>
      </w:r>
      <w:r w:rsidR="00F526B6" w:rsidRPr="00486075">
        <w:rPr>
          <w:rFonts w:ascii="Helvetica" w:hAnsi="Helvetica"/>
        </w:rPr>
        <w:t>a</w:t>
      </w:r>
      <w:r w:rsidR="008D3AD7" w:rsidRPr="00486075">
        <w:rPr>
          <w:rFonts w:ascii="Helvetica" w:hAnsi="Helvetica"/>
        </w:rPr>
        <w:t xml:space="preserve">pproved </w:t>
      </w:r>
      <w:r w:rsidR="00F526B6" w:rsidRPr="00486075">
        <w:rPr>
          <w:rFonts w:ascii="Helvetica" w:hAnsi="Helvetica"/>
        </w:rPr>
        <w:t>p</w:t>
      </w:r>
      <w:r w:rsidR="008D3AD7" w:rsidRPr="00486075">
        <w:rPr>
          <w:rFonts w:ascii="Helvetica" w:hAnsi="Helvetica"/>
        </w:rPr>
        <w:t xml:space="preserve">rovider </w:t>
      </w:r>
      <w:r w:rsidR="00985C19" w:rsidRPr="00486075">
        <w:rPr>
          <w:rFonts w:ascii="Helvetica" w:hAnsi="Helvetica"/>
        </w:rPr>
        <w:t>approval process from 1</w:t>
      </w:r>
      <w:r w:rsidR="005C4D01" w:rsidRPr="00486075">
        <w:rPr>
          <w:rFonts w:ascii="Helvetica" w:hAnsi="Helvetica"/>
        </w:rPr>
        <w:t> </w:t>
      </w:r>
      <w:r w:rsidR="00985C19" w:rsidRPr="00486075">
        <w:rPr>
          <w:rFonts w:ascii="Helvetica" w:hAnsi="Helvetica"/>
        </w:rPr>
        <w:t>January 2020</w:t>
      </w:r>
      <w:r w:rsidR="00216A0E" w:rsidRPr="00486075">
        <w:rPr>
          <w:rFonts w:ascii="Helvetica" w:hAnsi="Helvetica"/>
        </w:rPr>
        <w:t>)</w:t>
      </w:r>
      <w:r w:rsidR="0078312E" w:rsidRPr="00486075">
        <w:rPr>
          <w:rFonts w:ascii="Helvetica" w:hAnsi="Helvetica"/>
        </w:rPr>
        <w:t>.</w:t>
      </w:r>
      <w:r w:rsidR="00CC6626" w:rsidRPr="00486075">
        <w:rPr>
          <w:rFonts w:ascii="Helvetica" w:hAnsi="Helvetica"/>
        </w:rPr>
        <w:t xml:space="preserve"> </w:t>
      </w:r>
    </w:p>
    <w:p w14:paraId="0319F63D" w14:textId="77777777" w:rsidR="003167A5" w:rsidRPr="00486075" w:rsidRDefault="003167A5" w:rsidP="008D3AD7">
      <w:pPr>
        <w:ind w:left="360"/>
        <w:rPr>
          <w:rFonts w:ascii="Helvetica" w:hAnsi="Helvetica"/>
        </w:rPr>
      </w:pPr>
    </w:p>
    <w:p w14:paraId="16082382" w14:textId="77777777" w:rsidR="005F0685" w:rsidRPr="00486075" w:rsidRDefault="005F0685">
      <w:pPr>
        <w:rPr>
          <w:rFonts w:ascii="Helvetica" w:hAnsi="Helvetica"/>
          <w:b/>
          <w:i/>
          <w:color w:val="0070C0"/>
        </w:rPr>
      </w:pPr>
      <w:r w:rsidRPr="00486075">
        <w:rPr>
          <w:rFonts w:ascii="Helvetica" w:hAnsi="Helvetica"/>
          <w:b/>
          <w:i/>
          <w:color w:val="0070C0"/>
        </w:rPr>
        <w:br w:type="page"/>
      </w:r>
    </w:p>
    <w:p w14:paraId="5146DF2F" w14:textId="77777777" w:rsidR="00261AE3" w:rsidRPr="00486075" w:rsidRDefault="00261AE3" w:rsidP="00261AE3">
      <w:pPr>
        <w:rPr>
          <w:rFonts w:ascii="Helvetica" w:hAnsi="Helvetica"/>
          <w:b/>
          <w:i/>
          <w:color w:val="0070C0"/>
        </w:rPr>
      </w:pPr>
      <w:r w:rsidRPr="00486075">
        <w:rPr>
          <w:rFonts w:ascii="Helvetica" w:hAnsi="Helvetica"/>
          <w:b/>
          <w:i/>
          <w:color w:val="0070C0"/>
        </w:rPr>
        <w:lastRenderedPageBreak/>
        <w:t>Model 2</w:t>
      </w:r>
      <w:r w:rsidR="000B7E9D" w:rsidRPr="00486075">
        <w:rPr>
          <w:rFonts w:ascii="Helvetica" w:hAnsi="Helvetica"/>
          <w:b/>
          <w:i/>
          <w:color w:val="0070C0"/>
        </w:rPr>
        <w:t xml:space="preserve">. Assign residential care places to consumers: </w:t>
      </w:r>
      <w:r w:rsidRPr="00486075">
        <w:rPr>
          <w:rFonts w:ascii="Helvetica" w:hAnsi="Helvetica"/>
          <w:b/>
          <w:i/>
          <w:color w:val="0070C0"/>
        </w:rPr>
        <w:t>Questions for discussion</w:t>
      </w:r>
    </w:p>
    <w:p w14:paraId="26ECFE52" w14:textId="77777777" w:rsidR="009C0688" w:rsidRPr="00486075" w:rsidRDefault="009C0688" w:rsidP="009C0688">
      <w:pPr>
        <w:rPr>
          <w:rFonts w:ascii="Helvetica" w:hAnsi="Helvetica"/>
        </w:rPr>
      </w:pPr>
    </w:p>
    <w:p w14:paraId="6CE54702" w14:textId="77777777" w:rsidR="009C0688" w:rsidRPr="00486075" w:rsidRDefault="009C0688" w:rsidP="009C0688">
      <w:pPr>
        <w:pBdr>
          <w:top w:val="single" w:sz="36" w:space="1" w:color="00B0F0"/>
        </w:pBdr>
        <w:tabs>
          <w:tab w:val="left" w:pos="1473"/>
        </w:tabs>
        <w:rPr>
          <w:rFonts w:ascii="Helvetica" w:hAnsi="Helvetica"/>
          <w:sz w:val="2"/>
          <w:szCs w:val="2"/>
        </w:rPr>
      </w:pPr>
    </w:p>
    <w:p w14:paraId="32E212E9" w14:textId="77777777" w:rsidR="00B923DF" w:rsidRPr="00486075" w:rsidRDefault="00B923DF" w:rsidP="00B923DF">
      <w:pPr>
        <w:pBdr>
          <w:top w:val="single" w:sz="36" w:space="1" w:color="00B0F0"/>
        </w:pBdr>
        <w:spacing w:after="120"/>
        <w:rPr>
          <w:rFonts w:ascii="Helvetica" w:hAnsi="Helvetica"/>
          <w:b/>
        </w:rPr>
      </w:pPr>
      <w:r w:rsidRPr="00486075">
        <w:rPr>
          <w:rFonts w:ascii="Helvetica" w:hAnsi="Helvetica"/>
          <w:b/>
        </w:rPr>
        <w:t>Overall model</w:t>
      </w:r>
    </w:p>
    <w:p w14:paraId="25FC3FCD" w14:textId="77777777" w:rsidR="009C0688" w:rsidRPr="00486075" w:rsidRDefault="009C0688" w:rsidP="009C0688">
      <w:pPr>
        <w:pBdr>
          <w:bottom w:val="single" w:sz="36" w:space="1" w:color="00B0F0"/>
        </w:pBdr>
        <w:spacing w:after="120"/>
        <w:rPr>
          <w:rFonts w:ascii="Helvetica" w:hAnsi="Helvetica"/>
          <w:color w:val="000000" w:themeColor="text1"/>
        </w:rPr>
      </w:pPr>
      <w:r w:rsidRPr="00486075">
        <w:rPr>
          <w:rFonts w:ascii="Helvetica" w:hAnsi="Helvetica"/>
          <w:color w:val="000000" w:themeColor="text1"/>
        </w:rPr>
        <w:t xml:space="preserve">Overall, what are your views on this proposed model? </w:t>
      </w:r>
    </w:p>
    <w:p w14:paraId="59285611" w14:textId="77777777" w:rsidR="009C0688" w:rsidRPr="00486075" w:rsidRDefault="009C0688" w:rsidP="00B923DF">
      <w:pPr>
        <w:spacing w:before="240" w:after="120"/>
        <w:rPr>
          <w:rFonts w:ascii="Helvetica" w:hAnsi="Helvetica"/>
          <w:b/>
          <w:i/>
          <w:color w:val="0070C0"/>
        </w:rPr>
      </w:pPr>
    </w:p>
    <w:p w14:paraId="7B7AA5A9" w14:textId="77777777" w:rsidR="00B923DF" w:rsidRPr="00486075" w:rsidRDefault="00B923DF" w:rsidP="00B923DF">
      <w:pPr>
        <w:pBdr>
          <w:top w:val="single" w:sz="36" w:space="1" w:color="00B0F0"/>
        </w:pBdr>
        <w:spacing w:after="120"/>
        <w:rPr>
          <w:rFonts w:ascii="Helvetica" w:hAnsi="Helvetica"/>
          <w:b/>
        </w:rPr>
      </w:pPr>
      <w:r w:rsidRPr="00486075">
        <w:rPr>
          <w:rFonts w:ascii="Helvetica" w:hAnsi="Helvetica"/>
          <w:b/>
        </w:rPr>
        <w:t>Key design considerations (consumers)</w:t>
      </w:r>
    </w:p>
    <w:p w14:paraId="2B323C48" w14:textId="77777777" w:rsidR="003167A5" w:rsidRPr="00486075" w:rsidRDefault="003167A5" w:rsidP="00261AE3">
      <w:pPr>
        <w:pBdr>
          <w:top w:val="single" w:sz="36" w:space="1" w:color="00B0F0"/>
        </w:pBdr>
        <w:rPr>
          <w:rFonts w:ascii="Helvetica" w:hAnsi="Helvetica"/>
          <w:i/>
          <w:color w:val="4472C4" w:themeColor="accent1"/>
        </w:rPr>
      </w:pPr>
      <w:r w:rsidRPr="00486075">
        <w:rPr>
          <w:rFonts w:ascii="Helvetica" w:hAnsi="Helvetica"/>
          <w:i/>
          <w:color w:val="4472C4" w:themeColor="accent1"/>
        </w:rPr>
        <w:t xml:space="preserve">Creation and design of a prioritisation queue </w:t>
      </w:r>
    </w:p>
    <w:p w14:paraId="413F619C" w14:textId="77777777" w:rsidR="003167A5" w:rsidRPr="00486075" w:rsidRDefault="003167A5" w:rsidP="00216A0E">
      <w:pPr>
        <w:pStyle w:val="ListParagraph"/>
        <w:numPr>
          <w:ilvl w:val="0"/>
          <w:numId w:val="37"/>
        </w:numPr>
        <w:spacing w:after="120"/>
        <w:ind w:left="357" w:hanging="357"/>
        <w:contextualSpacing w:val="0"/>
        <w:rPr>
          <w:rFonts w:ascii="Helvetica" w:hAnsi="Helvetica"/>
        </w:rPr>
      </w:pPr>
      <w:r w:rsidRPr="00486075">
        <w:rPr>
          <w:rFonts w:ascii="Helvetica" w:hAnsi="Helvetica"/>
        </w:rPr>
        <w:t xml:space="preserve">What are your views on the establishment of a queue to access </w:t>
      </w:r>
      <w:r w:rsidR="00465354" w:rsidRPr="00486075">
        <w:rPr>
          <w:rFonts w:ascii="Helvetica" w:hAnsi="Helvetica"/>
        </w:rPr>
        <w:t xml:space="preserve">subsidised </w:t>
      </w:r>
      <w:r w:rsidRPr="00486075">
        <w:rPr>
          <w:rFonts w:ascii="Helvetica" w:hAnsi="Helvetica"/>
        </w:rPr>
        <w:t>residential aged care</w:t>
      </w:r>
      <w:r w:rsidR="00465354" w:rsidRPr="00486075">
        <w:rPr>
          <w:rFonts w:ascii="Helvetica" w:hAnsi="Helvetica"/>
        </w:rPr>
        <w:t>, if the demand from eligible pers</w:t>
      </w:r>
      <w:r w:rsidR="009C0970" w:rsidRPr="00486075">
        <w:rPr>
          <w:rFonts w:ascii="Helvetica" w:hAnsi="Helvetica"/>
        </w:rPr>
        <w:t>ons exceeds the available places</w:t>
      </w:r>
      <w:r w:rsidRPr="00486075">
        <w:rPr>
          <w:rFonts w:ascii="Helvetica" w:hAnsi="Helvetica"/>
        </w:rPr>
        <w:t xml:space="preserve">? </w:t>
      </w:r>
    </w:p>
    <w:p w14:paraId="37907424" w14:textId="77777777" w:rsidR="003167A5" w:rsidRPr="00486075" w:rsidRDefault="003167A5" w:rsidP="00216A0E">
      <w:pPr>
        <w:pStyle w:val="ListParagraph"/>
        <w:numPr>
          <w:ilvl w:val="0"/>
          <w:numId w:val="36"/>
        </w:numPr>
        <w:spacing w:after="120"/>
        <w:ind w:left="357" w:hanging="357"/>
        <w:contextualSpacing w:val="0"/>
        <w:rPr>
          <w:rFonts w:ascii="Helvetica" w:hAnsi="Helvetica"/>
        </w:rPr>
      </w:pPr>
      <w:r w:rsidRPr="00486075">
        <w:rPr>
          <w:rFonts w:ascii="Helvetica" w:hAnsi="Helvetica"/>
        </w:rPr>
        <w:t>What are your views on using date of approval and urgency of need as factors in determining a person’s priority</w:t>
      </w:r>
      <w:r w:rsidR="00E81E09" w:rsidRPr="00486075">
        <w:rPr>
          <w:rFonts w:ascii="Helvetica" w:hAnsi="Helvetica"/>
        </w:rPr>
        <w:t xml:space="preserve"> (noting these are the factors used in home care)</w:t>
      </w:r>
      <w:r w:rsidRPr="00486075">
        <w:rPr>
          <w:rFonts w:ascii="Helvetica" w:hAnsi="Helvetica"/>
        </w:rPr>
        <w:t xml:space="preserve">? </w:t>
      </w:r>
    </w:p>
    <w:p w14:paraId="3BC45415" w14:textId="77777777" w:rsidR="00875AF9" w:rsidRPr="00486075" w:rsidRDefault="003167A5" w:rsidP="00216A0E">
      <w:pPr>
        <w:pStyle w:val="ListParagraph"/>
        <w:numPr>
          <w:ilvl w:val="0"/>
          <w:numId w:val="36"/>
        </w:numPr>
        <w:spacing w:after="120"/>
        <w:ind w:left="357" w:hanging="357"/>
        <w:contextualSpacing w:val="0"/>
        <w:rPr>
          <w:rFonts w:ascii="Helvetica" w:hAnsi="Helvetica"/>
        </w:rPr>
      </w:pPr>
      <w:r w:rsidRPr="00486075">
        <w:rPr>
          <w:rFonts w:ascii="Helvetica" w:hAnsi="Helvetica"/>
        </w:rPr>
        <w:t>What other factors should also be included in the criteria for prioritising a person in the residential aged care queue?</w:t>
      </w:r>
    </w:p>
    <w:p w14:paraId="75DA7CA6" w14:textId="77777777" w:rsidR="00875AF9" w:rsidRPr="00486075" w:rsidRDefault="00875AF9" w:rsidP="00261AE3">
      <w:pPr>
        <w:rPr>
          <w:rFonts w:ascii="Helvetica" w:hAnsi="Helvetica"/>
          <w:i/>
          <w:color w:val="4472C4" w:themeColor="accent1"/>
        </w:rPr>
      </w:pPr>
      <w:r w:rsidRPr="00486075">
        <w:rPr>
          <w:rFonts w:ascii="Helvetica" w:hAnsi="Helvetica"/>
          <w:i/>
          <w:color w:val="4472C4" w:themeColor="accent1"/>
        </w:rPr>
        <w:t>Validity period of the assigned place</w:t>
      </w:r>
    </w:p>
    <w:p w14:paraId="59ECD008" w14:textId="77777777" w:rsidR="00875AF9" w:rsidRPr="00486075" w:rsidRDefault="00875AF9" w:rsidP="00984C6A">
      <w:pPr>
        <w:pStyle w:val="ListParagraph"/>
        <w:numPr>
          <w:ilvl w:val="0"/>
          <w:numId w:val="36"/>
        </w:numPr>
        <w:spacing w:after="120"/>
        <w:ind w:left="357" w:hanging="357"/>
        <w:contextualSpacing w:val="0"/>
        <w:rPr>
          <w:rFonts w:ascii="Helvetica" w:hAnsi="Helvetica"/>
        </w:rPr>
      </w:pPr>
      <w:r w:rsidRPr="00486075">
        <w:rPr>
          <w:rFonts w:ascii="Helvetica" w:hAnsi="Helvetica"/>
        </w:rPr>
        <w:t>What are your views on the validity period of the assigned place for residential aged care?</w:t>
      </w:r>
    </w:p>
    <w:p w14:paraId="6CF5BA1D" w14:textId="77777777" w:rsidR="009C0688" w:rsidRPr="00486075" w:rsidRDefault="009C0688" w:rsidP="00984C6A">
      <w:pPr>
        <w:pStyle w:val="ListParagraph"/>
        <w:numPr>
          <w:ilvl w:val="0"/>
          <w:numId w:val="36"/>
        </w:numPr>
        <w:spacing w:after="120"/>
        <w:ind w:left="357" w:hanging="357"/>
        <w:contextualSpacing w:val="0"/>
        <w:rPr>
          <w:rFonts w:ascii="Helvetica" w:hAnsi="Helvetica"/>
        </w:rPr>
      </w:pPr>
      <w:r w:rsidRPr="00486075">
        <w:rPr>
          <w:rFonts w:ascii="Helvetica" w:hAnsi="Helvetica"/>
        </w:rPr>
        <w:t>Where a place is withdrawn, how can we balance the need to allow consumers to re</w:t>
      </w:r>
      <w:r w:rsidR="00135DF6" w:rsidRPr="00486075">
        <w:rPr>
          <w:rFonts w:ascii="Helvetica" w:hAnsi="Helvetica"/>
        </w:rPr>
        <w:noBreakHyphen/>
      </w:r>
      <w:r w:rsidRPr="00486075">
        <w:rPr>
          <w:rFonts w:ascii="Helvetica" w:hAnsi="Helvetica"/>
        </w:rPr>
        <w:t xml:space="preserve">join the queue while also avoiding creation of perverse incentives for people to join the queue without intention of taking up a place at that time? </w:t>
      </w:r>
    </w:p>
    <w:p w14:paraId="29F1EA5D" w14:textId="77777777" w:rsidR="00875AF9" w:rsidRPr="00486075" w:rsidRDefault="00875AF9" w:rsidP="00261AE3">
      <w:pPr>
        <w:rPr>
          <w:rFonts w:ascii="Helvetica" w:hAnsi="Helvetica"/>
          <w:i/>
          <w:color w:val="4472C4" w:themeColor="accent1"/>
        </w:rPr>
      </w:pPr>
      <w:r w:rsidRPr="00486075">
        <w:rPr>
          <w:rFonts w:ascii="Helvetica" w:hAnsi="Helvetica"/>
          <w:i/>
          <w:color w:val="4472C4" w:themeColor="accent1"/>
        </w:rPr>
        <w:t>Request for entry into preferred aged care home</w:t>
      </w:r>
    </w:p>
    <w:p w14:paraId="01ACA8AB" w14:textId="52531497" w:rsidR="00980A26" w:rsidRDefault="00980A26" w:rsidP="00984C6A">
      <w:pPr>
        <w:pStyle w:val="ListParagraph"/>
        <w:numPr>
          <w:ilvl w:val="0"/>
          <w:numId w:val="36"/>
        </w:numPr>
        <w:spacing w:after="120"/>
        <w:ind w:left="357" w:hanging="357"/>
        <w:contextualSpacing w:val="0"/>
        <w:rPr>
          <w:rFonts w:ascii="Helvetica" w:hAnsi="Helvetica"/>
        </w:rPr>
      </w:pPr>
      <w:r>
        <w:rPr>
          <w:rFonts w:ascii="Helvetica" w:hAnsi="Helvetica"/>
        </w:rPr>
        <w:t xml:space="preserve">What additional </w:t>
      </w:r>
      <w:r w:rsidR="00984C6A">
        <w:rPr>
          <w:rFonts w:ascii="Helvetica" w:hAnsi="Helvetica"/>
        </w:rPr>
        <w:t xml:space="preserve">information or </w:t>
      </w:r>
      <w:r>
        <w:rPr>
          <w:rFonts w:ascii="Helvetica" w:hAnsi="Helvetica"/>
        </w:rPr>
        <w:t>supports</w:t>
      </w:r>
      <w:r w:rsidR="00984C6A">
        <w:rPr>
          <w:rFonts w:ascii="Helvetica" w:hAnsi="Helvetica"/>
        </w:rPr>
        <w:t xml:space="preserve"> </w:t>
      </w:r>
      <w:r>
        <w:rPr>
          <w:rFonts w:ascii="Helvetica" w:hAnsi="Helvetica"/>
        </w:rPr>
        <w:t xml:space="preserve">would consumers need to </w:t>
      </w:r>
      <w:r w:rsidR="00076333">
        <w:rPr>
          <w:rFonts w:ascii="Helvetica" w:hAnsi="Helvetica"/>
        </w:rPr>
        <w:t>assis</w:t>
      </w:r>
      <w:r>
        <w:rPr>
          <w:rFonts w:ascii="Helvetica" w:hAnsi="Helvetica"/>
        </w:rPr>
        <w:t>t them in selecting a preferred aged care home?</w:t>
      </w:r>
    </w:p>
    <w:p w14:paraId="40B8C721" w14:textId="683CDB0E" w:rsidR="00875AF9" w:rsidRPr="00486075" w:rsidRDefault="00875AF9" w:rsidP="00984C6A">
      <w:pPr>
        <w:pStyle w:val="ListParagraph"/>
        <w:numPr>
          <w:ilvl w:val="0"/>
          <w:numId w:val="36"/>
        </w:numPr>
        <w:spacing w:after="120"/>
        <w:ind w:left="357" w:hanging="357"/>
        <w:contextualSpacing w:val="0"/>
        <w:rPr>
          <w:rFonts w:ascii="Helvetica" w:hAnsi="Helvetica"/>
        </w:rPr>
      </w:pPr>
      <w:r w:rsidRPr="00486075">
        <w:rPr>
          <w:rFonts w:ascii="Helvetica" w:hAnsi="Helvetica"/>
        </w:rPr>
        <w:t>What would need to be in place to ensure equitable access to appropriate services i.e. in particular for consumers with limited c</w:t>
      </w:r>
      <w:r w:rsidR="00150C09" w:rsidRPr="00486075">
        <w:rPr>
          <w:rFonts w:ascii="Helvetica" w:hAnsi="Helvetica"/>
        </w:rPr>
        <w:t>apacity to pay, consumers from Special Needs G</w:t>
      </w:r>
      <w:r w:rsidRPr="00486075">
        <w:rPr>
          <w:rFonts w:ascii="Helvetica" w:hAnsi="Helvetica"/>
        </w:rPr>
        <w:t>roups and those with dementia?</w:t>
      </w:r>
    </w:p>
    <w:p w14:paraId="0BBC128F" w14:textId="77777777" w:rsidR="00875AF9" w:rsidRPr="00486075" w:rsidRDefault="00875AF9" w:rsidP="00875AF9">
      <w:pPr>
        <w:pBdr>
          <w:bottom w:val="single" w:sz="36" w:space="1" w:color="00B0F0"/>
        </w:pBdr>
        <w:spacing w:after="120"/>
        <w:rPr>
          <w:rFonts w:ascii="Helvetica" w:hAnsi="Helvetica"/>
          <w:sz w:val="2"/>
          <w:szCs w:val="2"/>
        </w:rPr>
      </w:pPr>
    </w:p>
    <w:p w14:paraId="4920BC0F" w14:textId="77777777" w:rsidR="005F0685" w:rsidRPr="00486075" w:rsidRDefault="005F0685" w:rsidP="00B923DF">
      <w:pPr>
        <w:spacing w:before="240" w:after="120"/>
      </w:pPr>
    </w:p>
    <w:p w14:paraId="07DB6990" w14:textId="77777777" w:rsidR="00B923DF" w:rsidRPr="00486075" w:rsidRDefault="00B923DF" w:rsidP="00B923DF">
      <w:pPr>
        <w:pBdr>
          <w:top w:val="single" w:sz="36" w:space="1" w:color="00B0F0"/>
        </w:pBdr>
        <w:spacing w:after="120"/>
        <w:rPr>
          <w:rFonts w:ascii="Helvetica" w:hAnsi="Helvetica"/>
          <w:b/>
        </w:rPr>
      </w:pPr>
      <w:r w:rsidRPr="00486075">
        <w:rPr>
          <w:rFonts w:ascii="Helvetica" w:hAnsi="Helvetica"/>
          <w:b/>
        </w:rPr>
        <w:t>Key design considerations (providers)</w:t>
      </w:r>
    </w:p>
    <w:p w14:paraId="076D7230" w14:textId="77777777" w:rsidR="003167A5" w:rsidRPr="00486075" w:rsidRDefault="003167A5" w:rsidP="00236D73">
      <w:pPr>
        <w:pBdr>
          <w:top w:val="single" w:sz="36" w:space="1" w:color="00B0F0"/>
        </w:pBdr>
        <w:rPr>
          <w:rFonts w:ascii="Helvetica" w:hAnsi="Helvetica"/>
          <w:i/>
          <w:color w:val="4472C4" w:themeColor="accent1"/>
        </w:rPr>
      </w:pPr>
      <w:r w:rsidRPr="00486075">
        <w:rPr>
          <w:rFonts w:ascii="Helvetica" w:hAnsi="Helvetica"/>
          <w:i/>
          <w:color w:val="4472C4" w:themeColor="accent1"/>
        </w:rPr>
        <w:t xml:space="preserve">Supporting sector sustainability in a competitive market </w:t>
      </w:r>
    </w:p>
    <w:p w14:paraId="0CC249BF" w14:textId="77777777" w:rsidR="003167A5" w:rsidRPr="00486075" w:rsidRDefault="003167A5" w:rsidP="00875AF9">
      <w:pPr>
        <w:spacing w:after="120"/>
        <w:rPr>
          <w:rFonts w:ascii="Helvetica" w:hAnsi="Helvetica"/>
          <w:color w:val="000000" w:themeColor="text1"/>
        </w:rPr>
      </w:pPr>
      <w:r w:rsidRPr="00486075">
        <w:rPr>
          <w:rFonts w:ascii="Helvetica" w:hAnsi="Helvetica"/>
          <w:color w:val="000000" w:themeColor="text1"/>
        </w:rPr>
        <w:t>As an existing approved provider:</w:t>
      </w:r>
    </w:p>
    <w:p w14:paraId="1493E19B" w14:textId="77777777" w:rsidR="003167A5" w:rsidRPr="00486075" w:rsidRDefault="003167A5" w:rsidP="00216A0E">
      <w:pPr>
        <w:pStyle w:val="ListParagraph"/>
        <w:numPr>
          <w:ilvl w:val="0"/>
          <w:numId w:val="30"/>
        </w:numPr>
        <w:spacing w:after="120"/>
        <w:contextualSpacing w:val="0"/>
        <w:rPr>
          <w:rFonts w:ascii="Helvetica" w:hAnsi="Helvetica"/>
          <w:color w:val="000000" w:themeColor="text1"/>
        </w:rPr>
      </w:pPr>
      <w:r w:rsidRPr="00486075">
        <w:rPr>
          <w:rFonts w:ascii="Helvetica" w:hAnsi="Helvetica"/>
          <w:color w:val="000000" w:themeColor="text1"/>
        </w:rPr>
        <w:t>Would you consider changing your business, service or workforce model if these reforms proceeded? If so, how?</w:t>
      </w:r>
    </w:p>
    <w:p w14:paraId="0842BA26" w14:textId="77777777" w:rsidR="003167A5" w:rsidRPr="00486075" w:rsidRDefault="003167A5" w:rsidP="00216A0E">
      <w:pPr>
        <w:pStyle w:val="ListParagraph"/>
        <w:numPr>
          <w:ilvl w:val="0"/>
          <w:numId w:val="30"/>
        </w:numPr>
        <w:spacing w:after="120"/>
        <w:contextualSpacing w:val="0"/>
        <w:rPr>
          <w:rFonts w:ascii="Helvetica" w:hAnsi="Helvetica"/>
          <w:color w:val="000000" w:themeColor="text1"/>
        </w:rPr>
      </w:pPr>
      <w:r w:rsidRPr="00486075">
        <w:rPr>
          <w:rFonts w:ascii="Helvetica" w:hAnsi="Helvetica"/>
          <w:color w:val="000000" w:themeColor="text1"/>
        </w:rPr>
        <w:t xml:space="preserve">How would you ensure your aged care home/s </w:t>
      </w:r>
      <w:r w:rsidR="008B675C" w:rsidRPr="00486075">
        <w:rPr>
          <w:rFonts w:ascii="Helvetica" w:hAnsi="Helvetica"/>
          <w:color w:val="000000" w:themeColor="text1"/>
        </w:rPr>
        <w:t>remain</w:t>
      </w:r>
      <w:r w:rsidRPr="00486075">
        <w:rPr>
          <w:rFonts w:ascii="Helvetica" w:hAnsi="Helvetica"/>
          <w:color w:val="000000" w:themeColor="text1"/>
        </w:rPr>
        <w:t xml:space="preserve"> competitive and attractive to consumers?</w:t>
      </w:r>
    </w:p>
    <w:p w14:paraId="02EBF82F" w14:textId="77777777" w:rsidR="003167A5" w:rsidRPr="00486075" w:rsidRDefault="003167A5" w:rsidP="005C4D01">
      <w:pPr>
        <w:spacing w:before="240" w:after="120"/>
        <w:rPr>
          <w:rFonts w:ascii="Helvetica" w:hAnsi="Helvetica"/>
          <w:color w:val="000000" w:themeColor="text1"/>
        </w:rPr>
      </w:pPr>
      <w:r w:rsidRPr="00486075">
        <w:rPr>
          <w:rFonts w:ascii="Helvetica" w:hAnsi="Helvetica"/>
          <w:color w:val="000000" w:themeColor="text1"/>
        </w:rPr>
        <w:t>As a provider of private residential aged care (not government subsidised)</w:t>
      </w:r>
      <w:r w:rsidR="00D71699" w:rsidRPr="00486075">
        <w:rPr>
          <w:rFonts w:ascii="Helvetica" w:hAnsi="Helvetica"/>
          <w:color w:val="000000" w:themeColor="text1"/>
        </w:rPr>
        <w:t xml:space="preserve"> or a provider of other accommodation that is primarily addressing the needs of </w:t>
      </w:r>
      <w:r w:rsidR="00D62DE6" w:rsidRPr="00486075">
        <w:rPr>
          <w:rFonts w:ascii="Helvetica" w:hAnsi="Helvetica"/>
          <w:color w:val="000000" w:themeColor="text1"/>
        </w:rPr>
        <w:t xml:space="preserve">senior </w:t>
      </w:r>
      <w:r w:rsidR="00D71699" w:rsidRPr="00486075">
        <w:rPr>
          <w:rFonts w:ascii="Helvetica" w:hAnsi="Helvetica"/>
          <w:color w:val="000000" w:themeColor="text1"/>
        </w:rPr>
        <w:t>people</w:t>
      </w:r>
      <w:r w:rsidRPr="00486075">
        <w:rPr>
          <w:rFonts w:ascii="Helvetica" w:hAnsi="Helvetica"/>
          <w:color w:val="000000" w:themeColor="text1"/>
        </w:rPr>
        <w:t>:</w:t>
      </w:r>
    </w:p>
    <w:p w14:paraId="319CD547" w14:textId="77777777" w:rsidR="003167A5" w:rsidRPr="00486075" w:rsidRDefault="003167A5" w:rsidP="00216A0E">
      <w:pPr>
        <w:pStyle w:val="ListParagraph"/>
        <w:numPr>
          <w:ilvl w:val="0"/>
          <w:numId w:val="31"/>
        </w:numPr>
        <w:spacing w:after="120"/>
        <w:contextualSpacing w:val="0"/>
        <w:rPr>
          <w:rFonts w:ascii="Helvetica" w:hAnsi="Helvetica"/>
          <w:color w:val="000000" w:themeColor="text1"/>
        </w:rPr>
      </w:pPr>
      <w:r w:rsidRPr="00486075">
        <w:rPr>
          <w:rFonts w:ascii="Helvetica" w:hAnsi="Helvetica"/>
          <w:color w:val="000000" w:themeColor="text1"/>
        </w:rPr>
        <w:t>Would you consider applying to become an approved provider under the Act to offer subsidised care if these reforms proceeded?</w:t>
      </w:r>
    </w:p>
    <w:p w14:paraId="68AED318" w14:textId="77777777" w:rsidR="00D71699" w:rsidRPr="00486075" w:rsidRDefault="00D71699" w:rsidP="005C4D01">
      <w:pPr>
        <w:spacing w:before="240" w:after="120"/>
        <w:rPr>
          <w:rFonts w:ascii="Helvetica" w:hAnsi="Helvetica"/>
          <w:color w:val="000000" w:themeColor="text1"/>
        </w:rPr>
      </w:pPr>
      <w:r w:rsidRPr="00486075">
        <w:rPr>
          <w:rFonts w:ascii="Helvetica" w:hAnsi="Helvetica"/>
          <w:color w:val="000000" w:themeColor="text1"/>
        </w:rPr>
        <w:t>What features in the model, or the broader system, would be required to support providers to operate sustainably in a competitive market? For example, how could innovation and differentiation in service and accommodation offerings be facilitated?</w:t>
      </w:r>
    </w:p>
    <w:p w14:paraId="1373B935" w14:textId="77777777" w:rsidR="003167A5" w:rsidRPr="00486075" w:rsidRDefault="00D71699" w:rsidP="005C4D01">
      <w:pPr>
        <w:rPr>
          <w:rFonts w:ascii="Helvetica" w:hAnsi="Helvetica"/>
          <w:i/>
          <w:color w:val="4472C4" w:themeColor="accent1"/>
        </w:rPr>
      </w:pPr>
      <w:r w:rsidRPr="00486075">
        <w:rPr>
          <w:rFonts w:ascii="Helvetica" w:hAnsi="Helvetica"/>
          <w:i/>
          <w:color w:val="4472C4" w:themeColor="accent1"/>
        </w:rPr>
        <w:lastRenderedPageBreak/>
        <w:t>Financing</w:t>
      </w:r>
      <w:r w:rsidR="003167A5" w:rsidRPr="00486075">
        <w:rPr>
          <w:rFonts w:ascii="Helvetica" w:hAnsi="Helvetica"/>
          <w:i/>
          <w:color w:val="4472C4" w:themeColor="accent1"/>
        </w:rPr>
        <w:t xml:space="preserve"> sector growth  </w:t>
      </w:r>
    </w:p>
    <w:p w14:paraId="5994E1F8" w14:textId="77777777" w:rsidR="00E81E09" w:rsidRPr="00486075" w:rsidRDefault="008B675C" w:rsidP="00216A0E">
      <w:pPr>
        <w:pStyle w:val="ListParagraph"/>
        <w:numPr>
          <w:ilvl w:val="0"/>
          <w:numId w:val="31"/>
        </w:numPr>
        <w:spacing w:after="120"/>
        <w:ind w:left="357" w:hanging="357"/>
        <w:contextualSpacing w:val="0"/>
        <w:rPr>
          <w:rFonts w:ascii="Helvetica" w:hAnsi="Helvetica"/>
          <w:color w:val="000000" w:themeColor="text1"/>
        </w:rPr>
      </w:pPr>
      <w:r w:rsidRPr="00486075">
        <w:rPr>
          <w:rFonts w:ascii="Helvetica" w:hAnsi="Helvetica"/>
          <w:color w:val="000000" w:themeColor="text1"/>
        </w:rPr>
        <w:t>For those providers who are dependent on capital financing, w</w:t>
      </w:r>
      <w:r w:rsidR="00D71699" w:rsidRPr="00486075">
        <w:rPr>
          <w:rFonts w:ascii="Helvetica" w:hAnsi="Helvetica"/>
          <w:color w:val="000000" w:themeColor="text1"/>
        </w:rPr>
        <w:t xml:space="preserve">hat role does the ACAR system play in supporting </w:t>
      </w:r>
      <w:r w:rsidRPr="00486075">
        <w:rPr>
          <w:rFonts w:ascii="Helvetica" w:hAnsi="Helvetica"/>
          <w:color w:val="000000" w:themeColor="text1"/>
        </w:rPr>
        <w:t>their</w:t>
      </w:r>
      <w:r w:rsidR="003167A5" w:rsidRPr="00486075">
        <w:rPr>
          <w:rFonts w:ascii="Helvetica" w:hAnsi="Helvetica"/>
          <w:color w:val="000000" w:themeColor="text1"/>
        </w:rPr>
        <w:t xml:space="preserve"> ability to obtain </w:t>
      </w:r>
      <w:r w:rsidRPr="00486075">
        <w:rPr>
          <w:rFonts w:ascii="Helvetica" w:hAnsi="Helvetica"/>
          <w:color w:val="000000" w:themeColor="text1"/>
        </w:rPr>
        <w:t>that</w:t>
      </w:r>
      <w:r w:rsidR="00875AF9" w:rsidRPr="00486075">
        <w:rPr>
          <w:rFonts w:ascii="Helvetica" w:hAnsi="Helvetica"/>
          <w:color w:val="000000" w:themeColor="text1"/>
        </w:rPr>
        <w:t xml:space="preserve"> financing?</w:t>
      </w:r>
    </w:p>
    <w:p w14:paraId="3FADDE61" w14:textId="77777777" w:rsidR="003167A5" w:rsidRPr="00486075" w:rsidRDefault="003167A5" w:rsidP="00216A0E">
      <w:pPr>
        <w:pStyle w:val="ListParagraph"/>
        <w:numPr>
          <w:ilvl w:val="0"/>
          <w:numId w:val="31"/>
        </w:numPr>
        <w:spacing w:after="120"/>
        <w:ind w:left="357" w:hanging="357"/>
        <w:contextualSpacing w:val="0"/>
        <w:rPr>
          <w:rFonts w:ascii="Helvetica" w:hAnsi="Helvetica"/>
          <w:color w:val="000000" w:themeColor="text1"/>
        </w:rPr>
      </w:pPr>
      <w:r w:rsidRPr="00486075">
        <w:rPr>
          <w:rFonts w:ascii="Helvetica" w:hAnsi="Helvetica"/>
          <w:color w:val="000000" w:themeColor="text1"/>
        </w:rPr>
        <w:t xml:space="preserve">What might be required to ensure the residential aged care sector remains an attractive investment for financiers and lenders? </w:t>
      </w:r>
    </w:p>
    <w:p w14:paraId="0C390FAD" w14:textId="77777777" w:rsidR="003167A5" w:rsidRPr="00486075" w:rsidRDefault="003167A5" w:rsidP="005C4D01">
      <w:pPr>
        <w:rPr>
          <w:rFonts w:ascii="Helvetica" w:hAnsi="Helvetica"/>
          <w:i/>
          <w:color w:val="4472C4" w:themeColor="accent1"/>
        </w:rPr>
      </w:pPr>
      <w:r w:rsidRPr="00486075">
        <w:rPr>
          <w:rFonts w:ascii="Helvetica" w:hAnsi="Helvetica"/>
          <w:i/>
          <w:color w:val="4472C4" w:themeColor="accent1"/>
        </w:rPr>
        <w:t>Encouraging service provision in thin markets</w:t>
      </w:r>
    </w:p>
    <w:p w14:paraId="041B0A90" w14:textId="77777777" w:rsidR="003167A5" w:rsidRPr="00486075" w:rsidRDefault="003167A5" w:rsidP="00216A0E">
      <w:pPr>
        <w:pStyle w:val="ListParagraph"/>
        <w:numPr>
          <w:ilvl w:val="0"/>
          <w:numId w:val="38"/>
        </w:numPr>
        <w:spacing w:after="120"/>
        <w:contextualSpacing w:val="0"/>
        <w:rPr>
          <w:rFonts w:ascii="Helvetica" w:hAnsi="Helvetica"/>
          <w:color w:val="000000" w:themeColor="text1"/>
        </w:rPr>
      </w:pPr>
      <w:r w:rsidRPr="00486075">
        <w:rPr>
          <w:rFonts w:ascii="Helvetica" w:hAnsi="Helvetica"/>
          <w:color w:val="000000" w:themeColor="text1"/>
        </w:rPr>
        <w:t xml:space="preserve">How can adequate availability of residential aged care services </w:t>
      </w:r>
      <w:r w:rsidR="00D71699" w:rsidRPr="00486075">
        <w:rPr>
          <w:rFonts w:ascii="Helvetica" w:hAnsi="Helvetica"/>
          <w:color w:val="000000" w:themeColor="text1"/>
        </w:rPr>
        <w:t xml:space="preserve">be supported </w:t>
      </w:r>
      <w:r w:rsidRPr="00486075">
        <w:rPr>
          <w:rFonts w:ascii="Helvetica" w:hAnsi="Helvetica"/>
          <w:color w:val="000000" w:themeColor="text1"/>
        </w:rPr>
        <w:t>(aside from increasing funding or revising the funding model):</w:t>
      </w:r>
    </w:p>
    <w:p w14:paraId="1C70D7F5" w14:textId="77777777" w:rsidR="003167A5" w:rsidRPr="00486075" w:rsidRDefault="003167A5" w:rsidP="00261AE3">
      <w:pPr>
        <w:spacing w:after="120"/>
        <w:ind w:left="720"/>
        <w:rPr>
          <w:rFonts w:ascii="Helvetica" w:hAnsi="Helvetica"/>
          <w:color w:val="000000" w:themeColor="text1"/>
        </w:rPr>
      </w:pPr>
      <w:r w:rsidRPr="00486075">
        <w:rPr>
          <w:rFonts w:ascii="Helvetica" w:hAnsi="Helvetica"/>
          <w:color w:val="000000" w:themeColor="text1"/>
        </w:rPr>
        <w:t>a)</w:t>
      </w:r>
      <w:r w:rsidRPr="00486075">
        <w:rPr>
          <w:rFonts w:ascii="Helvetica" w:hAnsi="Helvetica"/>
          <w:color w:val="000000" w:themeColor="text1"/>
        </w:rPr>
        <w:tab/>
        <w:t>in rural, regional and remote areas and other thin markets?</w:t>
      </w:r>
    </w:p>
    <w:p w14:paraId="30199AD6" w14:textId="77777777" w:rsidR="003167A5" w:rsidRPr="00486075" w:rsidRDefault="003167A5" w:rsidP="00261AE3">
      <w:pPr>
        <w:spacing w:after="120"/>
        <w:ind w:left="1440" w:hanging="720"/>
        <w:rPr>
          <w:rFonts w:ascii="Helvetica" w:hAnsi="Helvetica"/>
          <w:color w:val="000000" w:themeColor="text1"/>
        </w:rPr>
      </w:pPr>
      <w:r w:rsidRPr="00486075">
        <w:rPr>
          <w:rFonts w:ascii="Helvetica" w:hAnsi="Helvetica"/>
          <w:color w:val="000000" w:themeColor="text1"/>
        </w:rPr>
        <w:t>b)</w:t>
      </w:r>
      <w:r w:rsidRPr="00486075">
        <w:rPr>
          <w:rFonts w:ascii="Helvetica" w:hAnsi="Helvetica"/>
          <w:color w:val="000000" w:themeColor="text1"/>
        </w:rPr>
        <w:tab/>
        <w:t>for consumers fr</w:t>
      </w:r>
      <w:r w:rsidR="00150C09" w:rsidRPr="00486075">
        <w:rPr>
          <w:rFonts w:ascii="Helvetica" w:hAnsi="Helvetica"/>
          <w:color w:val="000000" w:themeColor="text1"/>
        </w:rPr>
        <w:t>om vulnerable cohorts (such as Special Needs G</w:t>
      </w:r>
      <w:r w:rsidRPr="00486075">
        <w:rPr>
          <w:rFonts w:ascii="Helvetica" w:hAnsi="Helvetica"/>
          <w:color w:val="000000" w:themeColor="text1"/>
        </w:rPr>
        <w:t xml:space="preserve">roups, consumers with dementia)? </w:t>
      </w:r>
    </w:p>
    <w:p w14:paraId="6155CC7F" w14:textId="77777777" w:rsidR="00685639" w:rsidRPr="00486075" w:rsidRDefault="00685639" w:rsidP="00216A0E">
      <w:pPr>
        <w:pStyle w:val="ListParagraph"/>
        <w:numPr>
          <w:ilvl w:val="0"/>
          <w:numId w:val="38"/>
        </w:numPr>
        <w:pBdr>
          <w:bottom w:val="single" w:sz="36" w:space="1" w:color="00B0F0"/>
        </w:pBdr>
        <w:spacing w:after="120"/>
        <w:contextualSpacing w:val="0"/>
        <w:rPr>
          <w:rFonts w:ascii="Helvetica" w:hAnsi="Helvetica"/>
          <w:color w:val="000000" w:themeColor="text1"/>
        </w:rPr>
      </w:pPr>
      <w:r w:rsidRPr="00486075">
        <w:rPr>
          <w:rFonts w:ascii="Helvetica" w:hAnsi="Helvetica"/>
          <w:color w:val="000000" w:themeColor="text1"/>
        </w:rPr>
        <w:t>Is it possible to attach conditions to being an approved provider, and could these conditions be specific to locations or particular consumer groups?</w:t>
      </w:r>
    </w:p>
    <w:p w14:paraId="33930C4A" w14:textId="77777777" w:rsidR="00B27670" w:rsidRPr="00486075" w:rsidRDefault="00B27670" w:rsidP="00B923DF">
      <w:pPr>
        <w:spacing w:before="240" w:after="120"/>
      </w:pPr>
    </w:p>
    <w:p w14:paraId="2B4B38CB" w14:textId="77777777" w:rsidR="00B923DF" w:rsidRPr="00486075" w:rsidRDefault="00B923DF" w:rsidP="00B923DF">
      <w:pPr>
        <w:pBdr>
          <w:top w:val="single" w:sz="36" w:space="1" w:color="00B0F0"/>
        </w:pBdr>
        <w:spacing w:after="120"/>
        <w:rPr>
          <w:rFonts w:ascii="Helvetica" w:hAnsi="Helvetica"/>
          <w:b/>
        </w:rPr>
      </w:pPr>
      <w:r w:rsidRPr="00486075">
        <w:rPr>
          <w:rFonts w:ascii="Helvetica" w:hAnsi="Helvetica"/>
          <w:b/>
        </w:rPr>
        <w:t>Exploring the potential impacts</w:t>
      </w:r>
    </w:p>
    <w:p w14:paraId="7FCE8947" w14:textId="77777777" w:rsidR="003167A5" w:rsidRPr="00486075" w:rsidRDefault="003167A5" w:rsidP="00216A0E">
      <w:pPr>
        <w:pStyle w:val="ListParagraph"/>
        <w:numPr>
          <w:ilvl w:val="0"/>
          <w:numId w:val="38"/>
        </w:numPr>
        <w:pBdr>
          <w:top w:val="single" w:sz="36" w:space="1" w:color="00B0F0"/>
        </w:pBdr>
        <w:spacing w:after="120"/>
        <w:ind w:left="357" w:hanging="357"/>
        <w:contextualSpacing w:val="0"/>
        <w:rPr>
          <w:rFonts w:ascii="Helvetica" w:hAnsi="Helvetica"/>
          <w:color w:val="000000" w:themeColor="text1"/>
        </w:rPr>
      </w:pPr>
      <w:r w:rsidRPr="00486075">
        <w:rPr>
          <w:rFonts w:ascii="Helvetica" w:hAnsi="Helvetica"/>
          <w:color w:val="000000" w:themeColor="text1"/>
        </w:rPr>
        <w:t>What would be the</w:t>
      </w:r>
      <w:r w:rsidR="009341D5" w:rsidRPr="00486075">
        <w:rPr>
          <w:rFonts w:ascii="Helvetica" w:hAnsi="Helvetica"/>
          <w:color w:val="000000" w:themeColor="text1"/>
        </w:rPr>
        <w:t xml:space="preserve"> overall</w:t>
      </w:r>
      <w:r w:rsidRPr="00486075">
        <w:rPr>
          <w:rFonts w:ascii="Helvetica" w:hAnsi="Helvetica"/>
          <w:color w:val="000000" w:themeColor="text1"/>
        </w:rPr>
        <w:t xml:space="preserve"> potential impact of </w:t>
      </w:r>
      <w:r w:rsidR="009C0688" w:rsidRPr="00486075">
        <w:rPr>
          <w:rFonts w:ascii="Helvetica" w:hAnsi="Helvetica"/>
          <w:color w:val="000000" w:themeColor="text1"/>
        </w:rPr>
        <w:t>this model</w:t>
      </w:r>
      <w:r w:rsidRPr="00486075">
        <w:rPr>
          <w:rFonts w:ascii="Helvetica" w:hAnsi="Helvetica"/>
          <w:color w:val="000000" w:themeColor="text1"/>
        </w:rPr>
        <w:t xml:space="preserve"> (consider benefits, costs, and risks) on you or the organisation or stakeholder group you represent? </w:t>
      </w:r>
    </w:p>
    <w:p w14:paraId="31755836" w14:textId="77777777" w:rsidR="00D03561" w:rsidRPr="00486075" w:rsidRDefault="00D03561" w:rsidP="00216A0E">
      <w:pPr>
        <w:pStyle w:val="ListParagraph"/>
        <w:numPr>
          <w:ilvl w:val="0"/>
          <w:numId w:val="38"/>
        </w:numPr>
        <w:pBdr>
          <w:top w:val="single" w:sz="36" w:space="1" w:color="00B0F0"/>
        </w:pBdr>
        <w:spacing w:after="120"/>
        <w:ind w:left="357" w:hanging="357"/>
        <w:contextualSpacing w:val="0"/>
        <w:rPr>
          <w:rFonts w:ascii="Helvetica" w:hAnsi="Helvetica"/>
          <w:color w:val="000000" w:themeColor="text1"/>
        </w:rPr>
      </w:pPr>
      <w:r w:rsidRPr="00486075">
        <w:rPr>
          <w:rFonts w:ascii="Helvetica" w:hAnsi="Helvetica"/>
          <w:color w:val="000000" w:themeColor="text1"/>
        </w:rPr>
        <w:t>What do you think might be the impact on the residential aged care sector overall?</w:t>
      </w:r>
    </w:p>
    <w:p w14:paraId="7DC5ED59" w14:textId="77777777" w:rsidR="009C0688" w:rsidRPr="00486075" w:rsidRDefault="009C0688" w:rsidP="00216A0E">
      <w:pPr>
        <w:pStyle w:val="ListParagraph"/>
        <w:numPr>
          <w:ilvl w:val="0"/>
          <w:numId w:val="38"/>
        </w:numPr>
        <w:pBdr>
          <w:top w:val="single" w:sz="36" w:space="1" w:color="00B0F0"/>
        </w:pBdr>
        <w:rPr>
          <w:rFonts w:ascii="Helvetica" w:hAnsi="Helvetica"/>
          <w:color w:val="000000" w:themeColor="text1"/>
        </w:rPr>
      </w:pPr>
      <w:r w:rsidRPr="00486075">
        <w:rPr>
          <w:rFonts w:ascii="Helvetica" w:hAnsi="Helvetica"/>
          <w:color w:val="000000" w:themeColor="text1"/>
        </w:rPr>
        <w:t>If this model were to be implemented, what are the potential impacts</w:t>
      </w:r>
      <w:r w:rsidR="00E6576C" w:rsidRPr="00486075">
        <w:rPr>
          <w:rFonts w:ascii="Helvetica" w:hAnsi="Helvetica"/>
          <w:color w:val="000000" w:themeColor="text1"/>
        </w:rPr>
        <w:t xml:space="preserve"> on</w:t>
      </w:r>
      <w:r w:rsidRPr="00486075">
        <w:rPr>
          <w:rFonts w:ascii="Helvetica" w:hAnsi="Helvetica"/>
          <w:color w:val="000000" w:themeColor="text1"/>
        </w:rPr>
        <w:t>, linkages or interdependencies with</w:t>
      </w:r>
      <w:r w:rsidR="00E6576C" w:rsidRPr="00486075">
        <w:rPr>
          <w:rFonts w:ascii="Helvetica" w:hAnsi="Helvetica"/>
          <w:color w:val="000000" w:themeColor="text1"/>
        </w:rPr>
        <w:t>,</w:t>
      </w:r>
      <w:r w:rsidRPr="00486075">
        <w:rPr>
          <w:rFonts w:ascii="Helvetica" w:hAnsi="Helvetica"/>
          <w:color w:val="000000" w:themeColor="text1"/>
        </w:rPr>
        <w:t xml:space="preserve"> other programs or reforms in aged care that might impact you or the stakeholder group or organisation you represent?</w:t>
      </w:r>
    </w:p>
    <w:p w14:paraId="2D2F7874" w14:textId="77777777" w:rsidR="003167A5" w:rsidRPr="00414DC3" w:rsidRDefault="003167A5" w:rsidP="00236D73">
      <w:pPr>
        <w:spacing w:before="240"/>
        <w:rPr>
          <w:rFonts w:ascii="Helvetica" w:hAnsi="Helvetica"/>
          <w:i/>
          <w:color w:val="4472C4" w:themeColor="accent1"/>
        </w:rPr>
      </w:pPr>
      <w:r w:rsidRPr="00414DC3">
        <w:rPr>
          <w:rFonts w:ascii="Helvetica" w:hAnsi="Helvetica"/>
          <w:i/>
          <w:color w:val="4472C4" w:themeColor="accent1"/>
        </w:rPr>
        <w:t>Residential respite care</w:t>
      </w:r>
    </w:p>
    <w:p w14:paraId="112CBD34" w14:textId="77777777" w:rsidR="003167A5" w:rsidRPr="00414DC3" w:rsidRDefault="003167A5" w:rsidP="00261AE3">
      <w:pPr>
        <w:spacing w:after="120"/>
        <w:rPr>
          <w:rFonts w:ascii="Helvetica" w:hAnsi="Helvetica"/>
        </w:rPr>
      </w:pPr>
      <w:r w:rsidRPr="00414DC3">
        <w:rPr>
          <w:rFonts w:ascii="Helvetica" w:hAnsi="Helvetica"/>
          <w:color w:val="000000" w:themeColor="text1"/>
        </w:rPr>
        <w:t xml:space="preserve">How </w:t>
      </w:r>
      <w:r w:rsidR="00E560C0" w:rsidRPr="00414DC3">
        <w:rPr>
          <w:rFonts w:ascii="Helvetica" w:hAnsi="Helvetica"/>
          <w:color w:val="000000" w:themeColor="text1"/>
        </w:rPr>
        <w:t>c</w:t>
      </w:r>
      <w:r w:rsidRPr="00414DC3">
        <w:rPr>
          <w:rFonts w:ascii="Helvetica" w:hAnsi="Helvetica"/>
          <w:color w:val="000000" w:themeColor="text1"/>
        </w:rPr>
        <w:t xml:space="preserve">ould residential respite care places be distributed, and to whom, if </w:t>
      </w:r>
      <w:r w:rsidRPr="00414DC3">
        <w:rPr>
          <w:rFonts w:ascii="Helvetica" w:hAnsi="Helvetica"/>
        </w:rPr>
        <w:t xml:space="preserve">residential aged care places no longer exist? </w:t>
      </w:r>
    </w:p>
    <w:p w14:paraId="7C633D2B" w14:textId="77777777" w:rsidR="003167A5" w:rsidRPr="00486075" w:rsidRDefault="003167A5" w:rsidP="005C4D01">
      <w:pPr>
        <w:rPr>
          <w:rFonts w:ascii="Helvetica" w:hAnsi="Helvetica"/>
          <w:i/>
          <w:color w:val="4472C4" w:themeColor="accent1"/>
        </w:rPr>
      </w:pPr>
      <w:r w:rsidRPr="00414DC3">
        <w:rPr>
          <w:rFonts w:ascii="Helvetica" w:hAnsi="Helvetica"/>
          <w:i/>
          <w:color w:val="4472C4" w:themeColor="accent1"/>
        </w:rPr>
        <w:t>Extra service places</w:t>
      </w:r>
    </w:p>
    <w:p w14:paraId="062E8D31" w14:textId="77777777" w:rsidR="003167A5" w:rsidRPr="00486075" w:rsidRDefault="003167A5" w:rsidP="00261AE3">
      <w:pPr>
        <w:spacing w:after="120"/>
        <w:rPr>
          <w:rFonts w:ascii="Helvetica" w:hAnsi="Helvetica"/>
          <w:color w:val="000000" w:themeColor="text1"/>
        </w:rPr>
      </w:pPr>
      <w:r w:rsidRPr="00486075">
        <w:rPr>
          <w:rFonts w:ascii="Helvetica" w:hAnsi="Helvetica"/>
          <w:color w:val="000000" w:themeColor="text1"/>
        </w:rPr>
        <w:t xml:space="preserve">What are your views on how to manage extra service status under this model? </w:t>
      </w:r>
    </w:p>
    <w:p w14:paraId="42EB39F0" w14:textId="77777777" w:rsidR="003167A5" w:rsidRPr="00486075" w:rsidRDefault="003167A5" w:rsidP="005C4D01">
      <w:pPr>
        <w:rPr>
          <w:rFonts w:ascii="Helvetica" w:hAnsi="Helvetica"/>
          <w:i/>
          <w:color w:val="4472C4" w:themeColor="accent1"/>
        </w:rPr>
      </w:pPr>
      <w:r w:rsidRPr="00486075">
        <w:rPr>
          <w:rFonts w:ascii="Helvetica" w:hAnsi="Helvetica"/>
          <w:i/>
          <w:color w:val="4472C4" w:themeColor="accent1"/>
        </w:rPr>
        <w:t>Capital grants</w:t>
      </w:r>
    </w:p>
    <w:p w14:paraId="551A7B50" w14:textId="77777777" w:rsidR="003167A5" w:rsidRPr="00486075" w:rsidRDefault="003167A5" w:rsidP="00261AE3">
      <w:pPr>
        <w:pBdr>
          <w:bottom w:val="single" w:sz="36" w:space="1" w:color="00B0F0"/>
        </w:pBdr>
        <w:spacing w:after="120"/>
        <w:rPr>
          <w:rFonts w:ascii="Helvetica" w:hAnsi="Helvetica"/>
          <w:color w:val="000000" w:themeColor="text1"/>
        </w:rPr>
      </w:pPr>
      <w:r w:rsidRPr="00486075">
        <w:rPr>
          <w:rFonts w:ascii="Helvetica" w:hAnsi="Helvetica"/>
          <w:color w:val="000000" w:themeColor="text1"/>
        </w:rPr>
        <w:t xml:space="preserve">How might the </w:t>
      </w:r>
      <w:r w:rsidR="00366395" w:rsidRPr="00486075">
        <w:rPr>
          <w:rFonts w:ascii="Helvetica" w:hAnsi="Helvetica"/>
          <w:color w:val="000000" w:themeColor="text1"/>
        </w:rPr>
        <w:t xml:space="preserve">allocation, </w:t>
      </w:r>
      <w:r w:rsidRPr="00486075">
        <w:rPr>
          <w:rFonts w:ascii="Helvetica" w:hAnsi="Helvetica"/>
          <w:color w:val="000000" w:themeColor="text1"/>
        </w:rPr>
        <w:t>eligibility criteria and</w:t>
      </w:r>
      <w:r w:rsidR="00366395" w:rsidRPr="00486075">
        <w:rPr>
          <w:rFonts w:ascii="Helvetica" w:hAnsi="Helvetica"/>
          <w:color w:val="000000" w:themeColor="text1"/>
        </w:rPr>
        <w:t>/or administrative provisions (e.g. terms</w:t>
      </w:r>
      <w:r w:rsidRPr="00486075">
        <w:rPr>
          <w:rFonts w:ascii="Helvetica" w:hAnsi="Helvetica"/>
          <w:color w:val="000000" w:themeColor="text1"/>
        </w:rPr>
        <w:t xml:space="preserve"> of repayment</w:t>
      </w:r>
      <w:r w:rsidR="00366395" w:rsidRPr="00486075">
        <w:rPr>
          <w:rFonts w:ascii="Helvetica" w:hAnsi="Helvetica"/>
          <w:color w:val="000000" w:themeColor="text1"/>
        </w:rPr>
        <w:t>) for capital grants</w:t>
      </w:r>
      <w:r w:rsidRPr="00486075">
        <w:rPr>
          <w:rFonts w:ascii="Helvetica" w:hAnsi="Helvetica"/>
          <w:color w:val="000000" w:themeColor="text1"/>
        </w:rPr>
        <w:t xml:space="preserve"> </w:t>
      </w:r>
      <w:r w:rsidR="00E560C0" w:rsidRPr="00486075">
        <w:rPr>
          <w:rFonts w:ascii="Helvetica" w:hAnsi="Helvetica"/>
          <w:color w:val="000000" w:themeColor="text1"/>
        </w:rPr>
        <w:t xml:space="preserve">allocated through the ACAR </w:t>
      </w:r>
      <w:r w:rsidRPr="00486075">
        <w:rPr>
          <w:rFonts w:ascii="Helvetica" w:hAnsi="Helvetica"/>
          <w:color w:val="000000" w:themeColor="text1"/>
        </w:rPr>
        <w:t xml:space="preserve">need to change to best support the needs and objectives of a more market based model? </w:t>
      </w:r>
    </w:p>
    <w:p w14:paraId="73F97EB5" w14:textId="77777777" w:rsidR="00B27670" w:rsidRPr="00486075" w:rsidRDefault="00B27670" w:rsidP="00B923DF">
      <w:pPr>
        <w:spacing w:before="240" w:after="120"/>
      </w:pPr>
    </w:p>
    <w:p w14:paraId="457ECD01" w14:textId="77777777" w:rsidR="00B923DF" w:rsidRPr="00486075" w:rsidRDefault="00B923DF" w:rsidP="00B923DF">
      <w:pPr>
        <w:pBdr>
          <w:top w:val="single" w:sz="36" w:space="1" w:color="00B0F0"/>
        </w:pBdr>
        <w:spacing w:after="120"/>
        <w:rPr>
          <w:rFonts w:ascii="Helvetica" w:hAnsi="Helvetica"/>
          <w:b/>
          <w:color w:val="000000" w:themeColor="text1"/>
        </w:rPr>
      </w:pPr>
      <w:r w:rsidRPr="00486075">
        <w:rPr>
          <w:rFonts w:ascii="Helvetica" w:hAnsi="Helvetica"/>
          <w:b/>
          <w:color w:val="000000" w:themeColor="text1"/>
        </w:rPr>
        <w:t>Implementation and transition considerations</w:t>
      </w:r>
    </w:p>
    <w:p w14:paraId="2C8B84E5" w14:textId="77777777" w:rsidR="003167A5" w:rsidRPr="00486075" w:rsidRDefault="003167A5" w:rsidP="00216A0E">
      <w:pPr>
        <w:pStyle w:val="ListParagraph"/>
        <w:numPr>
          <w:ilvl w:val="0"/>
          <w:numId w:val="38"/>
        </w:numPr>
        <w:pBdr>
          <w:top w:val="single" w:sz="36" w:space="1" w:color="00B0F0"/>
        </w:pBdr>
        <w:spacing w:after="120"/>
        <w:ind w:left="357" w:hanging="357"/>
        <w:contextualSpacing w:val="0"/>
        <w:rPr>
          <w:rFonts w:ascii="Helvetica" w:hAnsi="Helvetica"/>
          <w:color w:val="000000" w:themeColor="text1"/>
        </w:rPr>
      </w:pPr>
      <w:r w:rsidRPr="00486075">
        <w:rPr>
          <w:rFonts w:ascii="Helvetica" w:hAnsi="Helvetica"/>
          <w:color w:val="000000" w:themeColor="text1"/>
        </w:rPr>
        <w:t>How could implementation of this model maximise the benefits and minimise risks/disruption</w:t>
      </w:r>
      <w:r w:rsidR="00E560C0" w:rsidRPr="00486075">
        <w:rPr>
          <w:rFonts w:ascii="Helvetica" w:hAnsi="Helvetica"/>
          <w:color w:val="000000" w:themeColor="text1"/>
        </w:rPr>
        <w:t>s</w:t>
      </w:r>
      <w:r w:rsidRPr="00486075">
        <w:rPr>
          <w:rFonts w:ascii="Helvetica" w:hAnsi="Helvetica"/>
          <w:color w:val="000000" w:themeColor="text1"/>
        </w:rPr>
        <w:t xml:space="preserve">? </w:t>
      </w:r>
    </w:p>
    <w:p w14:paraId="7F75FD62" w14:textId="77777777" w:rsidR="003167A5" w:rsidRPr="00486075" w:rsidRDefault="003167A5" w:rsidP="00216A0E">
      <w:pPr>
        <w:pStyle w:val="ListParagraph"/>
        <w:numPr>
          <w:ilvl w:val="1"/>
          <w:numId w:val="38"/>
        </w:numPr>
        <w:spacing w:after="120"/>
        <w:contextualSpacing w:val="0"/>
        <w:rPr>
          <w:rFonts w:ascii="Helvetica" w:hAnsi="Helvetica"/>
          <w:color w:val="000000" w:themeColor="text1"/>
        </w:rPr>
      </w:pPr>
      <w:r w:rsidRPr="00486075">
        <w:rPr>
          <w:rFonts w:ascii="Helvetica" w:hAnsi="Helvetica"/>
          <w:color w:val="000000" w:themeColor="text1"/>
        </w:rPr>
        <w:t xml:space="preserve">What steps/sequencing and timeframes would be appropriate to facilitate a smooth transition? </w:t>
      </w:r>
    </w:p>
    <w:p w14:paraId="6C86A1A5" w14:textId="77777777" w:rsidR="0094607C" w:rsidRPr="00486075" w:rsidRDefault="003167A5" w:rsidP="00216A0E">
      <w:pPr>
        <w:pStyle w:val="ListParagraph"/>
        <w:numPr>
          <w:ilvl w:val="1"/>
          <w:numId w:val="38"/>
        </w:numPr>
        <w:ind w:left="1077" w:hanging="357"/>
        <w:contextualSpacing w:val="0"/>
        <w:rPr>
          <w:rFonts w:ascii="Helvetica" w:hAnsi="Helvetica"/>
          <w:color w:val="000000" w:themeColor="text1"/>
        </w:rPr>
      </w:pPr>
      <w:r w:rsidRPr="00486075">
        <w:rPr>
          <w:rFonts w:ascii="Helvetica" w:hAnsi="Helvetica"/>
          <w:color w:val="000000" w:themeColor="text1"/>
        </w:rPr>
        <w:t xml:space="preserve">What specific supports or enablers would be required to ensure the changes are understood by </w:t>
      </w:r>
      <w:r w:rsidR="00C029F5" w:rsidRPr="00486075">
        <w:rPr>
          <w:rFonts w:ascii="Helvetica" w:hAnsi="Helvetica"/>
          <w:color w:val="000000" w:themeColor="text1"/>
        </w:rPr>
        <w:t xml:space="preserve">all </w:t>
      </w:r>
      <w:r w:rsidRPr="00486075">
        <w:rPr>
          <w:rFonts w:ascii="Helvetica" w:hAnsi="Helvetica"/>
          <w:color w:val="000000" w:themeColor="text1"/>
        </w:rPr>
        <w:t>stakeholders and successfully implemented?</w:t>
      </w:r>
    </w:p>
    <w:p w14:paraId="03F41954" w14:textId="77777777" w:rsidR="003167A5" w:rsidRPr="00486075" w:rsidRDefault="003167A5" w:rsidP="00B923DF">
      <w:pPr>
        <w:pStyle w:val="ListParagraph"/>
        <w:pBdr>
          <w:bottom w:val="single" w:sz="36" w:space="1" w:color="00B0F0"/>
        </w:pBdr>
        <w:spacing w:after="120"/>
        <w:ind w:left="0"/>
        <w:contextualSpacing w:val="0"/>
        <w:rPr>
          <w:rFonts w:ascii="Helvetica" w:hAnsi="Helvetica"/>
          <w:sz w:val="2"/>
          <w:szCs w:val="2"/>
        </w:rPr>
      </w:pPr>
    </w:p>
    <w:p w14:paraId="467C4BA9" w14:textId="77777777" w:rsidR="005F0685" w:rsidRPr="00486075" w:rsidRDefault="005F0685" w:rsidP="003167A5">
      <w:pPr>
        <w:rPr>
          <w:rFonts w:ascii="Helvetica" w:hAnsi="Helvetica"/>
        </w:rPr>
      </w:pPr>
    </w:p>
    <w:p w14:paraId="296F6950" w14:textId="77777777" w:rsidR="001B6A24" w:rsidRPr="00486075" w:rsidRDefault="001B6A24">
      <w:pPr>
        <w:rPr>
          <w:rFonts w:ascii="Helvetica" w:hAnsi="Helvetica"/>
        </w:rPr>
      </w:pPr>
      <w:r w:rsidRPr="00486075">
        <w:rPr>
          <w:rFonts w:ascii="Helvetica" w:hAnsi="Helvetica"/>
        </w:rPr>
        <w:br w:type="page"/>
      </w:r>
    </w:p>
    <w:p w14:paraId="3227F083" w14:textId="77777777" w:rsidR="005F0685" w:rsidRPr="00486075" w:rsidRDefault="005F0685" w:rsidP="00B923DF">
      <w:pPr>
        <w:pBdr>
          <w:top w:val="single" w:sz="36" w:space="1" w:color="7030A0"/>
        </w:pBdr>
        <w:tabs>
          <w:tab w:val="left" w:pos="1473"/>
        </w:tabs>
        <w:rPr>
          <w:rFonts w:ascii="Helvetica" w:hAnsi="Helvetica"/>
          <w:sz w:val="2"/>
          <w:szCs w:val="2"/>
        </w:rPr>
      </w:pPr>
    </w:p>
    <w:p w14:paraId="4142B23F" w14:textId="77777777" w:rsidR="005F0685" w:rsidRPr="00486075" w:rsidRDefault="005F0685" w:rsidP="00B923DF">
      <w:pPr>
        <w:pBdr>
          <w:top w:val="single" w:sz="36" w:space="1" w:color="7030A0"/>
        </w:pBdr>
        <w:tabs>
          <w:tab w:val="left" w:pos="1473"/>
        </w:tabs>
        <w:spacing w:after="120"/>
        <w:rPr>
          <w:rFonts w:ascii="Helvetica" w:hAnsi="Helvetica"/>
          <w:b/>
        </w:rPr>
      </w:pPr>
      <w:r w:rsidRPr="00486075">
        <w:rPr>
          <w:rFonts w:ascii="Helvetica" w:hAnsi="Helvetica"/>
          <w:b/>
        </w:rPr>
        <w:t>General question</w:t>
      </w:r>
    </w:p>
    <w:p w14:paraId="36BD00DD" w14:textId="77777777" w:rsidR="005F0685" w:rsidRPr="00486075" w:rsidRDefault="005F0685" w:rsidP="00B923DF">
      <w:pPr>
        <w:pBdr>
          <w:bottom w:val="single" w:sz="36" w:space="1" w:color="7030A0"/>
        </w:pBdr>
        <w:spacing w:after="120"/>
        <w:rPr>
          <w:rFonts w:ascii="Helvetica" w:hAnsi="Helvetica"/>
          <w:color w:val="000000" w:themeColor="text1"/>
        </w:rPr>
      </w:pPr>
      <w:r w:rsidRPr="00486075">
        <w:rPr>
          <w:rFonts w:ascii="Helvetica" w:hAnsi="Helvetica"/>
          <w:color w:val="000000" w:themeColor="text1"/>
        </w:rPr>
        <w:t>Aside from the two proposed models, how else could we encourage greater consumer choice and a more consumer driven market in residential aged care?</w:t>
      </w:r>
    </w:p>
    <w:p w14:paraId="0BD7004B" w14:textId="77777777" w:rsidR="00D62DE6" w:rsidRPr="00486075" w:rsidRDefault="00D62DE6" w:rsidP="002D3765">
      <w:pPr>
        <w:pStyle w:val="Heading1"/>
      </w:pPr>
    </w:p>
    <w:p w14:paraId="52330733" w14:textId="2BBEB6EA" w:rsidR="00D72B0C" w:rsidRPr="00486075" w:rsidRDefault="004A5742" w:rsidP="00383D9B">
      <w:pPr>
        <w:pStyle w:val="Heading1Black"/>
      </w:pPr>
      <w:bookmarkStart w:id="83" w:name="_Toc31293707"/>
      <w:r w:rsidRPr="00486075">
        <w:t>Next steps</w:t>
      </w:r>
      <w:bookmarkEnd w:id="83"/>
    </w:p>
    <w:p w14:paraId="0AA81416" w14:textId="77777777" w:rsidR="004E4591" w:rsidRPr="00486075" w:rsidRDefault="004E4591" w:rsidP="004D1817">
      <w:pPr>
        <w:spacing w:after="120"/>
        <w:rPr>
          <w:rFonts w:ascii="Helvetica" w:hAnsi="Helvetica"/>
        </w:rPr>
      </w:pPr>
      <w:r w:rsidRPr="00486075">
        <w:rPr>
          <w:rFonts w:ascii="Helvetica" w:hAnsi="Helvetica"/>
        </w:rPr>
        <w:t xml:space="preserve">All persons and organisations with an interest in this issue are encouraged to submit their views. This </w:t>
      </w:r>
      <w:r w:rsidR="00B116B1" w:rsidRPr="00486075">
        <w:rPr>
          <w:rFonts w:ascii="Helvetica" w:hAnsi="Helvetica"/>
        </w:rPr>
        <w:t>d</w:t>
      </w:r>
      <w:r w:rsidRPr="00486075">
        <w:rPr>
          <w:rFonts w:ascii="Helvetica" w:hAnsi="Helvetica"/>
        </w:rPr>
        <w:t xml:space="preserve">iscussion </w:t>
      </w:r>
      <w:r w:rsidR="00B116B1" w:rsidRPr="00486075">
        <w:rPr>
          <w:rFonts w:ascii="Helvetica" w:hAnsi="Helvetica"/>
        </w:rPr>
        <w:t>p</w:t>
      </w:r>
      <w:r w:rsidRPr="00486075">
        <w:rPr>
          <w:rFonts w:ascii="Helvetica" w:hAnsi="Helvetica"/>
        </w:rPr>
        <w:t xml:space="preserve">aper provides a guide to the more significant matters under consideration. Where possible, participants are encouraged to support their views with evidence. </w:t>
      </w:r>
    </w:p>
    <w:p w14:paraId="6D173A53" w14:textId="55CE2BCC" w:rsidR="000F74E2" w:rsidRPr="00486075" w:rsidRDefault="000F74E2" w:rsidP="00553BEF">
      <w:pPr>
        <w:pStyle w:val="Heading2"/>
      </w:pPr>
      <w:bookmarkStart w:id="84" w:name="_Toc31293708"/>
      <w:r w:rsidRPr="00486075">
        <w:t>Online Consultation Hub</w:t>
      </w:r>
      <w:bookmarkEnd w:id="84"/>
    </w:p>
    <w:p w14:paraId="2F25740B" w14:textId="77777777" w:rsidR="008F2A7A" w:rsidRPr="00486075" w:rsidRDefault="008F2A7A" w:rsidP="004D1817">
      <w:pPr>
        <w:spacing w:after="120"/>
        <w:rPr>
          <w:rFonts w:ascii="Helvetica" w:hAnsi="Helvetica"/>
        </w:rPr>
      </w:pPr>
      <w:r w:rsidRPr="00486075">
        <w:rPr>
          <w:rFonts w:ascii="Helvetica" w:hAnsi="Helvetica"/>
        </w:rPr>
        <w:t>If you are interested in</w:t>
      </w:r>
      <w:r w:rsidR="00930B50" w:rsidRPr="00486075">
        <w:rPr>
          <w:rFonts w:ascii="Helvetica" w:hAnsi="Helvetica"/>
        </w:rPr>
        <w:t xml:space="preserve"> respond</w:t>
      </w:r>
      <w:r w:rsidRPr="00486075">
        <w:rPr>
          <w:rFonts w:ascii="Helvetica" w:hAnsi="Helvetica"/>
        </w:rPr>
        <w:t>ing</w:t>
      </w:r>
      <w:r w:rsidR="00930B50" w:rsidRPr="00486075">
        <w:rPr>
          <w:rFonts w:ascii="Helvetica" w:hAnsi="Helvetica"/>
        </w:rPr>
        <w:t xml:space="preserve"> to this </w:t>
      </w:r>
      <w:r w:rsidR="00B116B1" w:rsidRPr="00486075">
        <w:rPr>
          <w:rFonts w:ascii="Helvetica" w:hAnsi="Helvetica"/>
        </w:rPr>
        <w:t>d</w:t>
      </w:r>
      <w:r w:rsidR="00930B50" w:rsidRPr="00486075">
        <w:rPr>
          <w:rFonts w:ascii="Helvetica" w:hAnsi="Helvetica"/>
        </w:rPr>
        <w:t xml:space="preserve">iscussion </w:t>
      </w:r>
      <w:r w:rsidR="00B116B1" w:rsidRPr="00486075">
        <w:rPr>
          <w:rFonts w:ascii="Helvetica" w:hAnsi="Helvetica"/>
        </w:rPr>
        <w:t>p</w:t>
      </w:r>
      <w:r w:rsidR="00930B50" w:rsidRPr="00486075">
        <w:rPr>
          <w:rFonts w:ascii="Helvetica" w:hAnsi="Helvetica"/>
        </w:rPr>
        <w:t>aper</w:t>
      </w:r>
      <w:r w:rsidRPr="00486075">
        <w:rPr>
          <w:rFonts w:ascii="Helvetica" w:hAnsi="Helvetica"/>
        </w:rPr>
        <w:t>, please submit your views</w:t>
      </w:r>
      <w:r w:rsidR="00930B50" w:rsidRPr="00486075">
        <w:rPr>
          <w:rFonts w:ascii="Helvetica" w:hAnsi="Helvetica"/>
        </w:rPr>
        <w:t xml:space="preserve"> via the</w:t>
      </w:r>
      <w:r w:rsidRPr="00486075">
        <w:rPr>
          <w:rFonts w:ascii="Helvetica" w:hAnsi="Helvetica"/>
        </w:rPr>
        <w:t xml:space="preserve"> online</w:t>
      </w:r>
      <w:r w:rsidR="00930B50" w:rsidRPr="00486075">
        <w:rPr>
          <w:rFonts w:ascii="Helvetica" w:hAnsi="Helvetica"/>
        </w:rPr>
        <w:t xml:space="preserve"> </w:t>
      </w:r>
      <w:hyperlink r:id="rId34" w:history="1">
        <w:r w:rsidR="00930B50" w:rsidRPr="00486075">
          <w:rPr>
            <w:rStyle w:val="Hyperlink"/>
            <w:rFonts w:ascii="Helvetica" w:hAnsi="Helvetica"/>
          </w:rPr>
          <w:t>Consultation Hub</w:t>
        </w:r>
      </w:hyperlink>
      <w:r w:rsidR="0094607C" w:rsidRPr="00486075">
        <w:rPr>
          <w:rFonts w:ascii="Helvetica" w:hAnsi="Helvetica"/>
        </w:rPr>
        <w:t>.</w:t>
      </w:r>
    </w:p>
    <w:p w14:paraId="4AE1A76E" w14:textId="7B207CF7" w:rsidR="00930B50" w:rsidRPr="00486075" w:rsidRDefault="008F2A7A" w:rsidP="004D1817">
      <w:pPr>
        <w:spacing w:after="120"/>
        <w:rPr>
          <w:rFonts w:ascii="Helvetica" w:hAnsi="Helvetica"/>
          <w:color w:val="FF0000"/>
        </w:rPr>
      </w:pPr>
      <w:r w:rsidRPr="00486075">
        <w:rPr>
          <w:rFonts w:ascii="Helvetica" w:hAnsi="Helvetica"/>
        </w:rPr>
        <w:t xml:space="preserve">The closing date for responding to this </w:t>
      </w:r>
      <w:r w:rsidR="00B116B1" w:rsidRPr="00486075">
        <w:rPr>
          <w:rFonts w:ascii="Helvetica" w:hAnsi="Helvetica"/>
        </w:rPr>
        <w:t>d</w:t>
      </w:r>
      <w:r w:rsidRPr="00486075">
        <w:rPr>
          <w:rFonts w:ascii="Helvetica" w:hAnsi="Helvetica"/>
        </w:rPr>
        <w:t xml:space="preserve">iscussion </w:t>
      </w:r>
      <w:r w:rsidR="00B116B1" w:rsidRPr="00486075">
        <w:rPr>
          <w:rFonts w:ascii="Helvetica" w:hAnsi="Helvetica"/>
        </w:rPr>
        <w:t>p</w:t>
      </w:r>
      <w:r w:rsidRPr="00486075">
        <w:rPr>
          <w:rFonts w:ascii="Helvetica" w:hAnsi="Helvetica"/>
        </w:rPr>
        <w:t xml:space="preserve">aper </w:t>
      </w:r>
      <w:r w:rsidRPr="00414DC3">
        <w:rPr>
          <w:rFonts w:ascii="Helvetica" w:hAnsi="Helvetica"/>
        </w:rPr>
        <w:t xml:space="preserve">is </w:t>
      </w:r>
      <w:r w:rsidR="00414DC3" w:rsidRPr="00414DC3">
        <w:rPr>
          <w:rFonts w:ascii="Helvetica" w:hAnsi="Helvetica"/>
          <w:b/>
        </w:rPr>
        <w:t>Friday 13</w:t>
      </w:r>
      <w:r w:rsidR="00FE67C3" w:rsidRPr="00414DC3">
        <w:rPr>
          <w:rFonts w:ascii="Helvetica" w:hAnsi="Helvetica"/>
          <w:b/>
        </w:rPr>
        <w:t xml:space="preserve"> </w:t>
      </w:r>
      <w:r w:rsidR="009D0062" w:rsidRPr="00414DC3">
        <w:rPr>
          <w:rFonts w:ascii="Helvetica" w:hAnsi="Helvetica"/>
          <w:b/>
        </w:rPr>
        <w:t xml:space="preserve">September </w:t>
      </w:r>
      <w:r w:rsidR="00AC362A" w:rsidRPr="00414DC3">
        <w:rPr>
          <w:rFonts w:ascii="Helvetica" w:hAnsi="Helvetica"/>
          <w:b/>
        </w:rPr>
        <w:t>2019</w:t>
      </w:r>
      <w:r w:rsidR="00930B50" w:rsidRPr="00414DC3">
        <w:rPr>
          <w:rFonts w:ascii="Helvetica" w:hAnsi="Helvetica"/>
          <w:b/>
        </w:rPr>
        <w:t xml:space="preserve">. </w:t>
      </w:r>
    </w:p>
    <w:p w14:paraId="4DE11435" w14:textId="77777777" w:rsidR="00CB1697" w:rsidRPr="00486075" w:rsidRDefault="0083378D" w:rsidP="004D1817">
      <w:pPr>
        <w:spacing w:after="120"/>
        <w:rPr>
          <w:rFonts w:ascii="Helvetica" w:hAnsi="Helvetica"/>
          <w:color w:val="FF0000"/>
        </w:rPr>
      </w:pPr>
      <w:r w:rsidRPr="00486075">
        <w:rPr>
          <w:rFonts w:ascii="Helvetica" w:hAnsi="Helvetica"/>
        </w:rPr>
        <w:t>R</w:t>
      </w:r>
      <w:r w:rsidR="00E71691" w:rsidRPr="00486075">
        <w:rPr>
          <w:rFonts w:ascii="Helvetica" w:hAnsi="Helvetica"/>
        </w:rPr>
        <w:t xml:space="preserve">esponses will be published </w:t>
      </w:r>
      <w:r w:rsidR="00594530" w:rsidRPr="00486075">
        <w:rPr>
          <w:rFonts w:ascii="Helvetica" w:hAnsi="Helvetica"/>
        </w:rPr>
        <w:t>on the Department’s website to enable maximum transparency</w:t>
      </w:r>
      <w:r w:rsidR="00E71691" w:rsidRPr="00486075">
        <w:rPr>
          <w:rFonts w:ascii="Helvetica" w:hAnsi="Helvetica"/>
        </w:rPr>
        <w:t>.</w:t>
      </w:r>
      <w:r w:rsidR="00CB1697" w:rsidRPr="00486075">
        <w:rPr>
          <w:rFonts w:ascii="Helvetica" w:hAnsi="Helvetica"/>
        </w:rPr>
        <w:t xml:space="preserve"> </w:t>
      </w:r>
    </w:p>
    <w:p w14:paraId="4ED108A6" w14:textId="4C35F04C" w:rsidR="00FE48F6" w:rsidRPr="00486075" w:rsidRDefault="00FE48F6" w:rsidP="00FE48F6">
      <w:pPr>
        <w:pStyle w:val="Heading2"/>
      </w:pPr>
      <w:bookmarkStart w:id="85" w:name="_Toc3992631"/>
      <w:bookmarkStart w:id="86" w:name="_Toc31293709"/>
      <w:r w:rsidRPr="00486075">
        <w:t>Discussion Forums</w:t>
      </w:r>
      <w:bookmarkEnd w:id="85"/>
      <w:bookmarkEnd w:id="86"/>
    </w:p>
    <w:p w14:paraId="4445A883" w14:textId="5F956F99" w:rsidR="00FE48F6" w:rsidRPr="00486075" w:rsidRDefault="00FE48F6" w:rsidP="00FE48F6">
      <w:pPr>
        <w:spacing w:after="120"/>
        <w:rPr>
          <w:rFonts w:ascii="Helvetica" w:hAnsi="Helvetica"/>
        </w:rPr>
      </w:pPr>
      <w:r w:rsidRPr="00486075">
        <w:rPr>
          <w:rFonts w:ascii="Helvetica" w:hAnsi="Helvetica"/>
        </w:rPr>
        <w:t>In addition, you can express your interest to participate in a discussion forum in your capital city or teleconference discussions in non-metropolitan areas. The discussions forums are intended to be held</w:t>
      </w:r>
      <w:r w:rsidR="00FE67C3" w:rsidRPr="00486075">
        <w:rPr>
          <w:rFonts w:ascii="Helvetica" w:hAnsi="Helvetica"/>
        </w:rPr>
        <w:t xml:space="preserve"> in August</w:t>
      </w:r>
      <w:r w:rsidR="009D0062">
        <w:rPr>
          <w:rFonts w:ascii="Helvetica" w:hAnsi="Helvetica"/>
        </w:rPr>
        <w:t>/September</w:t>
      </w:r>
      <w:r w:rsidR="00FE67C3" w:rsidRPr="00486075">
        <w:rPr>
          <w:rFonts w:ascii="Helvetica" w:hAnsi="Helvetica"/>
        </w:rPr>
        <w:t xml:space="preserve"> 2019, during the consultation period for the </w:t>
      </w:r>
      <w:r w:rsidR="00FE67C3" w:rsidRPr="00414DC3">
        <w:rPr>
          <w:rFonts w:ascii="Helvetica" w:hAnsi="Helvetica"/>
        </w:rPr>
        <w:t>discussion paper</w:t>
      </w:r>
      <w:r w:rsidR="009D0062" w:rsidRPr="00414DC3">
        <w:rPr>
          <w:rFonts w:ascii="Helvetica" w:hAnsi="Helvetica"/>
        </w:rPr>
        <w:t xml:space="preserve">. </w:t>
      </w:r>
      <w:r w:rsidRPr="00414DC3">
        <w:rPr>
          <w:rFonts w:ascii="Helvetica" w:hAnsi="Helvetica"/>
        </w:rPr>
        <w:t xml:space="preserve">Please register your expression of interest to attend a discussion forum via </w:t>
      </w:r>
      <w:hyperlink r:id="rId35" w:history="1">
        <w:r w:rsidRPr="00F73396">
          <w:rPr>
            <w:rStyle w:val="Hyperlink"/>
            <w:rFonts w:ascii="Helvetica" w:hAnsi="Helvetica"/>
          </w:rPr>
          <w:t>Eventbrite</w:t>
        </w:r>
      </w:hyperlink>
      <w:r w:rsidRPr="00414DC3">
        <w:rPr>
          <w:rFonts w:ascii="Helvetica" w:hAnsi="Helvetica"/>
        </w:rPr>
        <w:t xml:space="preserve"> by </w:t>
      </w:r>
      <w:r w:rsidR="00414DC3" w:rsidRPr="00414DC3">
        <w:rPr>
          <w:rFonts w:ascii="Helvetica" w:hAnsi="Helvetica"/>
          <w:b/>
        </w:rPr>
        <w:t>Monday 15</w:t>
      </w:r>
      <w:r w:rsidRPr="00414DC3">
        <w:rPr>
          <w:rFonts w:ascii="Helvetica" w:hAnsi="Helvetica"/>
          <w:b/>
        </w:rPr>
        <w:t xml:space="preserve"> </w:t>
      </w:r>
      <w:r w:rsidR="00D85246" w:rsidRPr="00414DC3">
        <w:rPr>
          <w:rFonts w:ascii="Helvetica" w:hAnsi="Helvetica"/>
          <w:b/>
        </w:rPr>
        <w:t xml:space="preserve">July </w:t>
      </w:r>
      <w:r w:rsidRPr="00414DC3">
        <w:rPr>
          <w:rFonts w:ascii="Helvetica" w:hAnsi="Helvetica"/>
          <w:b/>
        </w:rPr>
        <w:t>2019.</w:t>
      </w:r>
      <w:r w:rsidRPr="00414DC3">
        <w:rPr>
          <w:rFonts w:ascii="Helvetica" w:hAnsi="Helvetica"/>
        </w:rPr>
        <w:t xml:space="preserve"> </w:t>
      </w:r>
    </w:p>
    <w:p w14:paraId="3F5E8C1F" w14:textId="77777777" w:rsidR="00FE48F6" w:rsidRPr="00486075" w:rsidRDefault="00FE48F6" w:rsidP="00FE48F6">
      <w:pPr>
        <w:spacing w:after="120"/>
        <w:rPr>
          <w:rFonts w:ascii="Helvetica" w:hAnsi="Helvetica"/>
        </w:rPr>
      </w:pPr>
      <w:r w:rsidRPr="00486075">
        <w:rPr>
          <w:rFonts w:ascii="Helvetica" w:hAnsi="Helvetica"/>
        </w:rPr>
        <w:t xml:space="preserve">All expressions of interest will be considered to ensure that a broad range of stakeholders have an opportunity to contribute and address the key questions and issues relating to the potential impact of possible reforms and to the implementation/transition arrangements. </w:t>
      </w:r>
    </w:p>
    <w:p w14:paraId="5900744E" w14:textId="2D74D1BA" w:rsidR="00E82667" w:rsidRDefault="00FE48F6" w:rsidP="00383D9B">
      <w:pPr>
        <w:spacing w:after="120"/>
        <w:rPr>
          <w:rFonts w:ascii="Helvetica" w:hAnsi="Helvetica"/>
        </w:rPr>
      </w:pPr>
      <w:r w:rsidRPr="00486075">
        <w:rPr>
          <w:rFonts w:ascii="Helvetica" w:hAnsi="Helvetica"/>
        </w:rPr>
        <w:t xml:space="preserve">Please note that places are limited and submitting an expression of interest does not guarantee an invitation to the discussion forums or other forms of consultation. However, your views are important. </w:t>
      </w:r>
      <w:r w:rsidR="008F460B" w:rsidRPr="00486075">
        <w:rPr>
          <w:rFonts w:ascii="Helvetica" w:hAnsi="Helvetica"/>
        </w:rPr>
        <w:t>Your response to this discussion paper, along with responses of others, will help to inform decisions on potential future reform.</w:t>
      </w:r>
    </w:p>
    <w:p w14:paraId="759EAA74" w14:textId="1D8FB815" w:rsidR="00E9326E" w:rsidRDefault="00E9326E">
      <w:pPr>
        <w:rPr>
          <w:rFonts w:ascii="Helvetica" w:hAnsi="Helvetica"/>
        </w:rPr>
      </w:pPr>
      <w:r>
        <w:rPr>
          <w:rFonts w:ascii="Helvetica" w:hAnsi="Helvetica"/>
        </w:rPr>
        <w:br w:type="page"/>
      </w:r>
    </w:p>
    <w:p w14:paraId="191E4778" w14:textId="77777777" w:rsidR="00E9326E" w:rsidRPr="00E9326E" w:rsidRDefault="00E9326E" w:rsidP="004B2D48">
      <w:pPr>
        <w:pStyle w:val="Heading1"/>
      </w:pPr>
      <w:r w:rsidRPr="00E9326E">
        <w:lastRenderedPageBreak/>
        <w:t xml:space="preserve">Appendix C: Submissions to public discussion paper </w:t>
      </w:r>
    </w:p>
    <w:tbl>
      <w:tblPr>
        <w:tblW w:w="964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11"/>
        <w:gridCol w:w="2693"/>
        <w:gridCol w:w="4394"/>
      </w:tblGrid>
      <w:tr w:rsidR="00E9326E" w:rsidRPr="00E9326E" w14:paraId="42367A71" w14:textId="77777777" w:rsidTr="00E9326E">
        <w:trPr>
          <w:trHeight w:val="300"/>
          <w:tblHeader/>
          <w:jc w:val="right"/>
        </w:trPr>
        <w:tc>
          <w:tcPr>
            <w:tcW w:w="846" w:type="dxa"/>
            <w:shd w:val="clear" w:color="auto" w:fill="E7E6E6"/>
            <w:noWrap/>
            <w:hideMark/>
          </w:tcPr>
          <w:p w14:paraId="39A87979" w14:textId="77777777" w:rsidR="00E9326E" w:rsidRPr="00E9326E" w:rsidRDefault="00E9326E" w:rsidP="00E9326E">
            <w:pPr>
              <w:rPr>
                <w:rFonts w:ascii="Calibri" w:hAnsi="Calibri" w:cs="Calibri"/>
                <w:b/>
                <w:sz w:val="20"/>
                <w:szCs w:val="20"/>
              </w:rPr>
            </w:pPr>
            <w:r w:rsidRPr="00E9326E">
              <w:rPr>
                <w:rFonts w:ascii="Calibri" w:hAnsi="Calibri" w:cs="Calibri"/>
                <w:b/>
                <w:sz w:val="20"/>
                <w:szCs w:val="20"/>
              </w:rPr>
              <w:t xml:space="preserve">Sub. # </w:t>
            </w:r>
          </w:p>
        </w:tc>
        <w:tc>
          <w:tcPr>
            <w:tcW w:w="1711" w:type="dxa"/>
            <w:shd w:val="clear" w:color="auto" w:fill="E7E6E6"/>
          </w:tcPr>
          <w:p w14:paraId="0F48D740" w14:textId="77777777" w:rsidR="00E9326E" w:rsidRPr="00E9326E" w:rsidRDefault="00E9326E" w:rsidP="00E9326E">
            <w:pPr>
              <w:rPr>
                <w:rFonts w:ascii="Calibri" w:hAnsi="Calibri" w:cs="Calibri"/>
                <w:b/>
                <w:bCs/>
                <w:sz w:val="20"/>
                <w:szCs w:val="20"/>
              </w:rPr>
            </w:pPr>
            <w:r w:rsidRPr="00E9326E">
              <w:rPr>
                <w:rFonts w:ascii="Calibri" w:hAnsi="Calibri" w:cs="Calibri"/>
                <w:b/>
                <w:bCs/>
                <w:sz w:val="20"/>
                <w:szCs w:val="20"/>
              </w:rPr>
              <w:t>Response #</w:t>
            </w:r>
          </w:p>
        </w:tc>
        <w:tc>
          <w:tcPr>
            <w:tcW w:w="2693" w:type="dxa"/>
            <w:shd w:val="clear" w:color="auto" w:fill="E7E6E6"/>
            <w:noWrap/>
            <w:hideMark/>
          </w:tcPr>
          <w:p w14:paraId="78765FE1" w14:textId="77777777" w:rsidR="00E9326E" w:rsidRPr="00E9326E" w:rsidRDefault="00E9326E" w:rsidP="00E9326E">
            <w:pPr>
              <w:rPr>
                <w:rFonts w:ascii="Calibri" w:hAnsi="Calibri" w:cs="Calibri"/>
                <w:b/>
                <w:bCs/>
                <w:sz w:val="20"/>
                <w:szCs w:val="20"/>
              </w:rPr>
            </w:pPr>
            <w:r w:rsidRPr="00E9326E">
              <w:rPr>
                <w:rFonts w:ascii="Calibri" w:hAnsi="Calibri" w:cs="Calibri"/>
                <w:b/>
                <w:bCs/>
                <w:sz w:val="20"/>
                <w:szCs w:val="20"/>
              </w:rPr>
              <w:t>Name</w:t>
            </w:r>
          </w:p>
        </w:tc>
        <w:tc>
          <w:tcPr>
            <w:tcW w:w="4394" w:type="dxa"/>
            <w:shd w:val="clear" w:color="auto" w:fill="E7E6E6"/>
            <w:noWrap/>
            <w:hideMark/>
          </w:tcPr>
          <w:p w14:paraId="70492C54" w14:textId="77777777" w:rsidR="00E9326E" w:rsidRPr="00E9326E" w:rsidRDefault="00E9326E" w:rsidP="00E9326E">
            <w:pPr>
              <w:rPr>
                <w:rFonts w:ascii="Calibri" w:hAnsi="Calibri" w:cs="Calibri"/>
                <w:b/>
                <w:bCs/>
                <w:sz w:val="20"/>
                <w:szCs w:val="20"/>
              </w:rPr>
            </w:pPr>
            <w:r w:rsidRPr="00E9326E">
              <w:rPr>
                <w:rFonts w:ascii="Calibri" w:hAnsi="Calibri" w:cs="Calibri"/>
                <w:b/>
                <w:bCs/>
                <w:sz w:val="20"/>
                <w:szCs w:val="20"/>
              </w:rPr>
              <w:t xml:space="preserve">Stakeholder category </w:t>
            </w:r>
          </w:p>
        </w:tc>
      </w:tr>
      <w:tr w:rsidR="00E9326E" w:rsidRPr="00E9326E" w14:paraId="5617ED13" w14:textId="77777777" w:rsidTr="00E9326E">
        <w:trPr>
          <w:trHeight w:val="300"/>
          <w:jc w:val="right"/>
        </w:trPr>
        <w:tc>
          <w:tcPr>
            <w:tcW w:w="846" w:type="dxa"/>
            <w:shd w:val="clear" w:color="auto" w:fill="00B0F0"/>
            <w:noWrap/>
            <w:hideMark/>
          </w:tcPr>
          <w:p w14:paraId="3F04187E"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1</w:t>
            </w:r>
          </w:p>
        </w:tc>
        <w:tc>
          <w:tcPr>
            <w:tcW w:w="1711" w:type="dxa"/>
          </w:tcPr>
          <w:p w14:paraId="1B2C72A4"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5541269</w:t>
            </w:r>
          </w:p>
          <w:p w14:paraId="1336C164" w14:textId="77777777" w:rsidR="00E9326E" w:rsidRPr="00E9326E" w:rsidRDefault="00E9326E" w:rsidP="00614019">
            <w:pPr>
              <w:rPr>
                <w:rFonts w:ascii="Calibri" w:hAnsi="Calibri" w:cs="Calibri"/>
                <w:color w:val="000000"/>
                <w:sz w:val="20"/>
                <w:szCs w:val="20"/>
                <w:lang w:eastAsia="en-US"/>
              </w:rPr>
            </w:pPr>
          </w:p>
        </w:tc>
        <w:tc>
          <w:tcPr>
            <w:tcW w:w="2693" w:type="dxa"/>
            <w:shd w:val="clear" w:color="auto" w:fill="auto"/>
            <w:noWrap/>
            <w:vAlign w:val="bottom"/>
            <w:hideMark/>
          </w:tcPr>
          <w:p w14:paraId="36A5DB91"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13E51309"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Carer or other consumer representative</w:t>
            </w:r>
          </w:p>
        </w:tc>
      </w:tr>
      <w:tr w:rsidR="00E9326E" w:rsidRPr="00E9326E" w14:paraId="163EF7F8" w14:textId="77777777" w:rsidTr="00E9326E">
        <w:trPr>
          <w:trHeight w:val="300"/>
          <w:jc w:val="right"/>
        </w:trPr>
        <w:tc>
          <w:tcPr>
            <w:tcW w:w="846" w:type="dxa"/>
            <w:shd w:val="clear" w:color="auto" w:fill="00B0F0"/>
            <w:noWrap/>
            <w:hideMark/>
          </w:tcPr>
          <w:p w14:paraId="6EEEE391"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2</w:t>
            </w:r>
          </w:p>
        </w:tc>
        <w:tc>
          <w:tcPr>
            <w:tcW w:w="1711" w:type="dxa"/>
          </w:tcPr>
          <w:p w14:paraId="5D9D2091"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921728131</w:t>
            </w:r>
          </w:p>
          <w:p w14:paraId="6FF75448" w14:textId="77777777" w:rsidR="00E9326E" w:rsidRPr="00E9326E" w:rsidRDefault="00E9326E" w:rsidP="00614019">
            <w:pPr>
              <w:snapToGrid w:val="0"/>
              <w:spacing w:after="120"/>
              <w:rPr>
                <w:rFonts w:ascii="Calibri" w:hAnsi="Calibri" w:cs="Calibri"/>
                <w:color w:val="000000"/>
                <w:sz w:val="20"/>
                <w:szCs w:val="20"/>
                <w:lang w:eastAsia="en-US"/>
              </w:rPr>
            </w:pPr>
          </w:p>
        </w:tc>
        <w:tc>
          <w:tcPr>
            <w:tcW w:w="2693" w:type="dxa"/>
            <w:shd w:val="clear" w:color="auto" w:fill="auto"/>
            <w:noWrap/>
            <w:vAlign w:val="bottom"/>
            <w:hideMark/>
          </w:tcPr>
          <w:p w14:paraId="7E6946CA"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27CD9E4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home care</w:t>
            </w:r>
          </w:p>
        </w:tc>
      </w:tr>
      <w:tr w:rsidR="00E9326E" w:rsidRPr="00E9326E" w14:paraId="1EEC1CB5" w14:textId="77777777" w:rsidTr="00E9326E">
        <w:trPr>
          <w:trHeight w:val="300"/>
          <w:jc w:val="right"/>
        </w:trPr>
        <w:tc>
          <w:tcPr>
            <w:tcW w:w="846" w:type="dxa"/>
            <w:shd w:val="clear" w:color="auto" w:fill="auto"/>
            <w:noWrap/>
            <w:hideMark/>
          </w:tcPr>
          <w:p w14:paraId="08BBB293"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3</w:t>
            </w:r>
          </w:p>
        </w:tc>
        <w:tc>
          <w:tcPr>
            <w:tcW w:w="1711" w:type="dxa"/>
          </w:tcPr>
          <w:p w14:paraId="23BE5DD6"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155625814</w:t>
            </w:r>
          </w:p>
          <w:p w14:paraId="5922A991"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21CFFCD0"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Lifecare</w:t>
            </w:r>
          </w:p>
        </w:tc>
        <w:tc>
          <w:tcPr>
            <w:tcW w:w="4394" w:type="dxa"/>
            <w:shd w:val="clear" w:color="auto" w:fill="auto"/>
            <w:noWrap/>
            <w:hideMark/>
          </w:tcPr>
          <w:p w14:paraId="432288E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 flexible aged care and home care; Provider of private aged care or seniors accommodation</w:t>
            </w:r>
          </w:p>
        </w:tc>
      </w:tr>
      <w:tr w:rsidR="00E9326E" w:rsidRPr="00E9326E" w14:paraId="173C6F7E" w14:textId="77777777" w:rsidTr="00E9326E">
        <w:trPr>
          <w:trHeight w:val="300"/>
          <w:jc w:val="right"/>
        </w:trPr>
        <w:tc>
          <w:tcPr>
            <w:tcW w:w="846" w:type="dxa"/>
            <w:shd w:val="clear" w:color="auto" w:fill="00B0F0"/>
            <w:noWrap/>
            <w:hideMark/>
          </w:tcPr>
          <w:p w14:paraId="63160419"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4</w:t>
            </w:r>
          </w:p>
        </w:tc>
        <w:tc>
          <w:tcPr>
            <w:tcW w:w="1711" w:type="dxa"/>
          </w:tcPr>
          <w:p w14:paraId="5EA823B3"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503567890</w:t>
            </w:r>
          </w:p>
          <w:p w14:paraId="736E6417" w14:textId="77777777" w:rsidR="00E9326E" w:rsidRPr="00E9326E" w:rsidRDefault="00E9326E" w:rsidP="00614019">
            <w:pPr>
              <w:rPr>
                <w:rFonts w:ascii="Calibri" w:hAnsi="Calibri" w:cs="Calibri"/>
                <w:color w:val="000000"/>
                <w:sz w:val="20"/>
                <w:szCs w:val="20"/>
                <w:lang w:eastAsia="en-US"/>
              </w:rPr>
            </w:pPr>
          </w:p>
        </w:tc>
        <w:tc>
          <w:tcPr>
            <w:tcW w:w="2693" w:type="dxa"/>
            <w:shd w:val="clear" w:color="auto" w:fill="auto"/>
            <w:noWrap/>
            <w:hideMark/>
          </w:tcPr>
          <w:p w14:paraId="6D02ACEE" w14:textId="77777777" w:rsidR="00E9326E" w:rsidRPr="00E9326E" w:rsidRDefault="00E9326E" w:rsidP="00614019">
            <w:pPr>
              <w:rPr>
                <w:rFonts w:ascii="Calibri" w:hAnsi="Calibri" w:cs="Calibri"/>
                <w:sz w:val="20"/>
                <w:szCs w:val="20"/>
              </w:rPr>
            </w:pPr>
            <w:r w:rsidRPr="00E9326E">
              <w:rPr>
                <w:rFonts w:ascii="Calibri" w:hAnsi="Calibri" w:cs="Calibri"/>
                <w:color w:val="000000"/>
                <w:sz w:val="20"/>
                <w:szCs w:val="20"/>
                <w:lang w:eastAsia="en-US"/>
              </w:rPr>
              <w:t>Anonymous</w:t>
            </w:r>
          </w:p>
        </w:tc>
        <w:tc>
          <w:tcPr>
            <w:tcW w:w="4394" w:type="dxa"/>
            <w:shd w:val="clear" w:color="auto" w:fill="auto"/>
            <w:noWrap/>
            <w:hideMark/>
          </w:tcPr>
          <w:p w14:paraId="1AB119EE"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Aged care worker</w:t>
            </w:r>
          </w:p>
        </w:tc>
      </w:tr>
      <w:tr w:rsidR="00E9326E" w:rsidRPr="00E9326E" w14:paraId="517A977F" w14:textId="77777777" w:rsidTr="00E9326E">
        <w:trPr>
          <w:trHeight w:val="300"/>
          <w:jc w:val="right"/>
        </w:trPr>
        <w:tc>
          <w:tcPr>
            <w:tcW w:w="846" w:type="dxa"/>
            <w:shd w:val="clear" w:color="auto" w:fill="FF0000"/>
            <w:noWrap/>
            <w:hideMark/>
          </w:tcPr>
          <w:p w14:paraId="048DF8D0"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5</w:t>
            </w:r>
          </w:p>
        </w:tc>
        <w:tc>
          <w:tcPr>
            <w:tcW w:w="1711" w:type="dxa"/>
          </w:tcPr>
          <w:p w14:paraId="558EF457"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684090F5"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Anonymous</w:t>
            </w:r>
          </w:p>
        </w:tc>
        <w:tc>
          <w:tcPr>
            <w:tcW w:w="4394" w:type="dxa"/>
            <w:shd w:val="clear" w:color="auto" w:fill="auto"/>
            <w:noWrap/>
            <w:hideMark/>
          </w:tcPr>
          <w:p w14:paraId="100601AA"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6BA02371" w14:textId="77777777" w:rsidTr="00E9326E">
        <w:trPr>
          <w:trHeight w:val="300"/>
          <w:jc w:val="right"/>
        </w:trPr>
        <w:tc>
          <w:tcPr>
            <w:tcW w:w="846" w:type="dxa"/>
            <w:shd w:val="clear" w:color="auto" w:fill="auto"/>
            <w:noWrap/>
            <w:hideMark/>
          </w:tcPr>
          <w:p w14:paraId="6712BA93"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6</w:t>
            </w:r>
          </w:p>
        </w:tc>
        <w:tc>
          <w:tcPr>
            <w:tcW w:w="1711" w:type="dxa"/>
          </w:tcPr>
          <w:p w14:paraId="548C98A1"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180895718</w:t>
            </w:r>
          </w:p>
          <w:p w14:paraId="30C842AA"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0DB235F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Taralga Retirement Village</w:t>
            </w:r>
          </w:p>
        </w:tc>
        <w:tc>
          <w:tcPr>
            <w:tcW w:w="4394" w:type="dxa"/>
            <w:shd w:val="clear" w:color="auto" w:fill="auto"/>
            <w:noWrap/>
            <w:hideMark/>
          </w:tcPr>
          <w:p w14:paraId="08CE40F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0D760EE8" w14:textId="77777777" w:rsidTr="00E9326E">
        <w:trPr>
          <w:trHeight w:val="300"/>
          <w:jc w:val="right"/>
        </w:trPr>
        <w:tc>
          <w:tcPr>
            <w:tcW w:w="846" w:type="dxa"/>
            <w:shd w:val="clear" w:color="auto" w:fill="auto"/>
            <w:noWrap/>
            <w:hideMark/>
          </w:tcPr>
          <w:p w14:paraId="797C97B7"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7</w:t>
            </w:r>
          </w:p>
        </w:tc>
        <w:tc>
          <w:tcPr>
            <w:tcW w:w="1711" w:type="dxa"/>
          </w:tcPr>
          <w:p w14:paraId="3BD53673"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210697936</w:t>
            </w:r>
          </w:p>
          <w:p w14:paraId="7D96B410"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1986C54C"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Dr Khalil Sukkar</w:t>
            </w:r>
          </w:p>
        </w:tc>
        <w:tc>
          <w:tcPr>
            <w:tcW w:w="4394" w:type="dxa"/>
            <w:shd w:val="clear" w:color="auto" w:fill="auto"/>
            <w:noWrap/>
            <w:hideMark/>
          </w:tcPr>
          <w:p w14:paraId="624BB545"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Aged care worker</w:t>
            </w:r>
          </w:p>
        </w:tc>
      </w:tr>
      <w:tr w:rsidR="00E9326E" w:rsidRPr="00E9326E" w14:paraId="6ED0636A" w14:textId="77777777" w:rsidTr="00E9326E">
        <w:trPr>
          <w:trHeight w:val="300"/>
          <w:jc w:val="right"/>
        </w:trPr>
        <w:tc>
          <w:tcPr>
            <w:tcW w:w="846" w:type="dxa"/>
            <w:shd w:val="clear" w:color="auto" w:fill="00B0F0"/>
            <w:noWrap/>
            <w:hideMark/>
          </w:tcPr>
          <w:p w14:paraId="052690E8"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8</w:t>
            </w:r>
          </w:p>
        </w:tc>
        <w:tc>
          <w:tcPr>
            <w:tcW w:w="1711" w:type="dxa"/>
          </w:tcPr>
          <w:p w14:paraId="3391D7B8"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303551146</w:t>
            </w:r>
          </w:p>
          <w:p w14:paraId="7D0D7399" w14:textId="77777777" w:rsidR="00E9326E" w:rsidRPr="00E9326E" w:rsidRDefault="00E9326E" w:rsidP="00614019">
            <w:pPr>
              <w:rPr>
                <w:rFonts w:ascii="Calibri" w:hAnsi="Calibri" w:cs="Calibri"/>
                <w:color w:val="000000"/>
                <w:sz w:val="20"/>
                <w:szCs w:val="20"/>
                <w:lang w:eastAsia="en-US"/>
              </w:rPr>
            </w:pPr>
          </w:p>
        </w:tc>
        <w:tc>
          <w:tcPr>
            <w:tcW w:w="2693" w:type="dxa"/>
            <w:shd w:val="clear" w:color="auto" w:fill="auto"/>
            <w:noWrap/>
            <w:hideMark/>
          </w:tcPr>
          <w:p w14:paraId="0818B8E9" w14:textId="77777777" w:rsidR="00E9326E" w:rsidRPr="00E9326E" w:rsidRDefault="00E9326E" w:rsidP="00614019">
            <w:pPr>
              <w:rPr>
                <w:rFonts w:ascii="Calibri" w:hAnsi="Calibri" w:cs="Calibri"/>
                <w:sz w:val="20"/>
                <w:szCs w:val="20"/>
              </w:rPr>
            </w:pPr>
            <w:r w:rsidRPr="00E9326E">
              <w:rPr>
                <w:rFonts w:ascii="Calibri" w:hAnsi="Calibri" w:cs="Calibri"/>
                <w:color w:val="000000"/>
                <w:sz w:val="20"/>
                <w:szCs w:val="20"/>
                <w:lang w:eastAsia="en-US"/>
              </w:rPr>
              <w:t>Anonymous</w:t>
            </w:r>
          </w:p>
        </w:tc>
        <w:tc>
          <w:tcPr>
            <w:tcW w:w="4394" w:type="dxa"/>
            <w:shd w:val="clear" w:color="auto" w:fill="auto"/>
            <w:noWrap/>
            <w:hideMark/>
          </w:tcPr>
          <w:p w14:paraId="377A6DBB"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Aged Care Assessment Team/Service</w:t>
            </w:r>
          </w:p>
        </w:tc>
      </w:tr>
      <w:tr w:rsidR="00E9326E" w:rsidRPr="00E9326E" w14:paraId="67B49EEE" w14:textId="77777777" w:rsidTr="00E9326E">
        <w:trPr>
          <w:trHeight w:val="300"/>
          <w:jc w:val="right"/>
        </w:trPr>
        <w:tc>
          <w:tcPr>
            <w:tcW w:w="846" w:type="dxa"/>
            <w:shd w:val="clear" w:color="auto" w:fill="00B0F0"/>
            <w:noWrap/>
            <w:hideMark/>
          </w:tcPr>
          <w:p w14:paraId="4B82DA76"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9</w:t>
            </w:r>
          </w:p>
        </w:tc>
        <w:tc>
          <w:tcPr>
            <w:tcW w:w="1711" w:type="dxa"/>
          </w:tcPr>
          <w:p w14:paraId="7603AB91"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753075591</w:t>
            </w:r>
          </w:p>
          <w:p w14:paraId="05D9DD8E" w14:textId="77777777" w:rsidR="00E9326E" w:rsidRPr="00E9326E" w:rsidRDefault="00E9326E" w:rsidP="00614019">
            <w:pPr>
              <w:rPr>
                <w:rFonts w:ascii="Calibri" w:hAnsi="Calibri" w:cs="Calibri"/>
                <w:color w:val="000000"/>
                <w:sz w:val="20"/>
                <w:szCs w:val="20"/>
                <w:lang w:eastAsia="en-US"/>
              </w:rPr>
            </w:pPr>
          </w:p>
        </w:tc>
        <w:tc>
          <w:tcPr>
            <w:tcW w:w="2693" w:type="dxa"/>
            <w:shd w:val="clear" w:color="auto" w:fill="auto"/>
            <w:noWrap/>
            <w:hideMark/>
          </w:tcPr>
          <w:p w14:paraId="12153814"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5315002D"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1E5872D6" w14:textId="77777777" w:rsidTr="00E9326E">
        <w:trPr>
          <w:trHeight w:val="300"/>
          <w:jc w:val="right"/>
        </w:trPr>
        <w:tc>
          <w:tcPr>
            <w:tcW w:w="846" w:type="dxa"/>
            <w:shd w:val="clear" w:color="auto" w:fill="auto"/>
            <w:noWrap/>
            <w:hideMark/>
          </w:tcPr>
          <w:p w14:paraId="1741EF79"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10</w:t>
            </w:r>
          </w:p>
        </w:tc>
        <w:tc>
          <w:tcPr>
            <w:tcW w:w="1711" w:type="dxa"/>
          </w:tcPr>
          <w:p w14:paraId="578CB4B8"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491835993</w:t>
            </w:r>
          </w:p>
          <w:p w14:paraId="4BFDE6C9"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668B9518"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The Forrest Centre</w:t>
            </w:r>
          </w:p>
        </w:tc>
        <w:tc>
          <w:tcPr>
            <w:tcW w:w="4394" w:type="dxa"/>
            <w:shd w:val="clear" w:color="auto" w:fill="auto"/>
            <w:noWrap/>
            <w:hideMark/>
          </w:tcPr>
          <w:p w14:paraId="13E39F06"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Health professional</w:t>
            </w:r>
          </w:p>
        </w:tc>
      </w:tr>
      <w:tr w:rsidR="00E9326E" w:rsidRPr="00E9326E" w14:paraId="31A278D8" w14:textId="77777777" w:rsidTr="00E9326E">
        <w:trPr>
          <w:trHeight w:val="300"/>
          <w:jc w:val="right"/>
        </w:trPr>
        <w:tc>
          <w:tcPr>
            <w:tcW w:w="846" w:type="dxa"/>
            <w:shd w:val="clear" w:color="auto" w:fill="auto"/>
            <w:noWrap/>
            <w:hideMark/>
          </w:tcPr>
          <w:p w14:paraId="423A446C"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11</w:t>
            </w:r>
          </w:p>
        </w:tc>
        <w:tc>
          <w:tcPr>
            <w:tcW w:w="1711" w:type="dxa"/>
            <w:vAlign w:val="bottom"/>
          </w:tcPr>
          <w:p w14:paraId="505FC46A"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315965042</w:t>
            </w:r>
          </w:p>
        </w:tc>
        <w:tc>
          <w:tcPr>
            <w:tcW w:w="2693" w:type="dxa"/>
            <w:shd w:val="clear" w:color="auto" w:fill="auto"/>
            <w:noWrap/>
            <w:hideMark/>
          </w:tcPr>
          <w:p w14:paraId="04FF06E7"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Menarock Aged Care Services</w:t>
            </w:r>
          </w:p>
        </w:tc>
        <w:tc>
          <w:tcPr>
            <w:tcW w:w="4394" w:type="dxa"/>
            <w:shd w:val="clear" w:color="auto" w:fill="auto"/>
            <w:noWrap/>
            <w:hideMark/>
          </w:tcPr>
          <w:p w14:paraId="46B89114"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1DF3AD90" w14:textId="77777777" w:rsidTr="00E9326E">
        <w:trPr>
          <w:trHeight w:val="300"/>
          <w:jc w:val="right"/>
        </w:trPr>
        <w:tc>
          <w:tcPr>
            <w:tcW w:w="846" w:type="dxa"/>
            <w:shd w:val="clear" w:color="auto" w:fill="00B0F0"/>
            <w:noWrap/>
            <w:hideMark/>
          </w:tcPr>
          <w:p w14:paraId="4102C25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12</w:t>
            </w:r>
          </w:p>
        </w:tc>
        <w:tc>
          <w:tcPr>
            <w:tcW w:w="1711" w:type="dxa"/>
            <w:vAlign w:val="bottom"/>
          </w:tcPr>
          <w:p w14:paraId="21E7906E"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738240528</w:t>
            </w:r>
          </w:p>
        </w:tc>
        <w:tc>
          <w:tcPr>
            <w:tcW w:w="2693" w:type="dxa"/>
            <w:shd w:val="clear" w:color="auto" w:fill="auto"/>
            <w:noWrap/>
            <w:hideMark/>
          </w:tcPr>
          <w:p w14:paraId="4B9C7E3D"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4DA3BF6E"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501F62D3" w14:textId="77777777" w:rsidTr="00E9326E">
        <w:trPr>
          <w:trHeight w:val="300"/>
          <w:jc w:val="right"/>
        </w:trPr>
        <w:tc>
          <w:tcPr>
            <w:tcW w:w="846" w:type="dxa"/>
            <w:shd w:val="clear" w:color="auto" w:fill="auto"/>
            <w:noWrap/>
            <w:hideMark/>
          </w:tcPr>
          <w:p w14:paraId="2856358C"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13</w:t>
            </w:r>
          </w:p>
        </w:tc>
        <w:tc>
          <w:tcPr>
            <w:tcW w:w="1711" w:type="dxa"/>
            <w:vAlign w:val="bottom"/>
          </w:tcPr>
          <w:p w14:paraId="0E50F33C"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341518852</w:t>
            </w:r>
          </w:p>
        </w:tc>
        <w:tc>
          <w:tcPr>
            <w:tcW w:w="2693" w:type="dxa"/>
            <w:shd w:val="clear" w:color="auto" w:fill="auto"/>
            <w:noWrap/>
            <w:hideMark/>
          </w:tcPr>
          <w:p w14:paraId="52900130"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Palliative Care Australia</w:t>
            </w:r>
          </w:p>
        </w:tc>
        <w:tc>
          <w:tcPr>
            <w:tcW w:w="4394" w:type="dxa"/>
            <w:shd w:val="clear" w:color="auto" w:fill="auto"/>
            <w:noWrap/>
            <w:hideMark/>
          </w:tcPr>
          <w:p w14:paraId="798A77B5"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Health</w:t>
            </w:r>
          </w:p>
        </w:tc>
      </w:tr>
      <w:tr w:rsidR="00E9326E" w:rsidRPr="00E9326E" w14:paraId="4AA686FF" w14:textId="77777777" w:rsidTr="00E9326E">
        <w:trPr>
          <w:trHeight w:val="300"/>
          <w:jc w:val="right"/>
        </w:trPr>
        <w:tc>
          <w:tcPr>
            <w:tcW w:w="846" w:type="dxa"/>
            <w:shd w:val="clear" w:color="auto" w:fill="00B0F0"/>
            <w:noWrap/>
            <w:hideMark/>
          </w:tcPr>
          <w:p w14:paraId="5F1F0D18"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14</w:t>
            </w:r>
          </w:p>
        </w:tc>
        <w:tc>
          <w:tcPr>
            <w:tcW w:w="1711" w:type="dxa"/>
            <w:vAlign w:val="bottom"/>
          </w:tcPr>
          <w:p w14:paraId="454646C2"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64759286</w:t>
            </w:r>
          </w:p>
        </w:tc>
        <w:tc>
          <w:tcPr>
            <w:tcW w:w="2693" w:type="dxa"/>
            <w:shd w:val="clear" w:color="auto" w:fill="auto"/>
            <w:noWrap/>
            <w:hideMark/>
          </w:tcPr>
          <w:p w14:paraId="34154FAD"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309E7977"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23A413DD" w14:textId="77777777" w:rsidTr="00E9326E">
        <w:trPr>
          <w:trHeight w:val="300"/>
          <w:jc w:val="right"/>
        </w:trPr>
        <w:tc>
          <w:tcPr>
            <w:tcW w:w="846" w:type="dxa"/>
            <w:shd w:val="clear" w:color="auto" w:fill="00B0F0"/>
            <w:noWrap/>
            <w:hideMark/>
          </w:tcPr>
          <w:p w14:paraId="7195CA63"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15</w:t>
            </w:r>
          </w:p>
        </w:tc>
        <w:tc>
          <w:tcPr>
            <w:tcW w:w="1711" w:type="dxa"/>
            <w:vAlign w:val="bottom"/>
          </w:tcPr>
          <w:p w14:paraId="1A822B6F"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622597412</w:t>
            </w:r>
          </w:p>
        </w:tc>
        <w:tc>
          <w:tcPr>
            <w:tcW w:w="2693" w:type="dxa"/>
            <w:shd w:val="clear" w:color="auto" w:fill="auto"/>
            <w:noWrap/>
            <w:hideMark/>
          </w:tcPr>
          <w:p w14:paraId="0EC8F15B"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4DDFF418"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 xml:space="preserve">Other </w:t>
            </w:r>
          </w:p>
        </w:tc>
      </w:tr>
      <w:tr w:rsidR="00E9326E" w:rsidRPr="00E9326E" w14:paraId="52A672C2" w14:textId="77777777" w:rsidTr="00E9326E">
        <w:trPr>
          <w:trHeight w:val="300"/>
          <w:jc w:val="right"/>
        </w:trPr>
        <w:tc>
          <w:tcPr>
            <w:tcW w:w="846" w:type="dxa"/>
            <w:shd w:val="clear" w:color="auto" w:fill="00B0F0"/>
            <w:noWrap/>
            <w:hideMark/>
          </w:tcPr>
          <w:p w14:paraId="689AC246"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16</w:t>
            </w:r>
          </w:p>
        </w:tc>
        <w:tc>
          <w:tcPr>
            <w:tcW w:w="1711" w:type="dxa"/>
            <w:vAlign w:val="bottom"/>
          </w:tcPr>
          <w:p w14:paraId="141BF217"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278349190</w:t>
            </w:r>
          </w:p>
        </w:tc>
        <w:tc>
          <w:tcPr>
            <w:tcW w:w="2693" w:type="dxa"/>
            <w:shd w:val="clear" w:color="auto" w:fill="auto"/>
            <w:noWrap/>
            <w:hideMark/>
          </w:tcPr>
          <w:p w14:paraId="0F231D19"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511FF929"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Local council</w:t>
            </w:r>
          </w:p>
        </w:tc>
      </w:tr>
      <w:tr w:rsidR="00E9326E" w:rsidRPr="00E9326E" w14:paraId="5709C444" w14:textId="77777777" w:rsidTr="00E9326E">
        <w:trPr>
          <w:trHeight w:val="300"/>
          <w:jc w:val="right"/>
        </w:trPr>
        <w:tc>
          <w:tcPr>
            <w:tcW w:w="846" w:type="dxa"/>
            <w:shd w:val="clear" w:color="auto" w:fill="FF0000"/>
            <w:noWrap/>
            <w:hideMark/>
          </w:tcPr>
          <w:p w14:paraId="568D66A6"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17</w:t>
            </w:r>
          </w:p>
        </w:tc>
        <w:tc>
          <w:tcPr>
            <w:tcW w:w="1711" w:type="dxa"/>
          </w:tcPr>
          <w:p w14:paraId="09A7D6E9"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06EC4BA4"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Anonymous</w:t>
            </w:r>
          </w:p>
        </w:tc>
        <w:tc>
          <w:tcPr>
            <w:tcW w:w="4394" w:type="dxa"/>
            <w:shd w:val="clear" w:color="auto" w:fill="auto"/>
            <w:noWrap/>
            <w:hideMark/>
          </w:tcPr>
          <w:p w14:paraId="321E7F63"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Health professional</w:t>
            </w:r>
          </w:p>
        </w:tc>
      </w:tr>
      <w:tr w:rsidR="00E9326E" w:rsidRPr="00E9326E" w14:paraId="0E5C6067" w14:textId="77777777" w:rsidTr="00E9326E">
        <w:trPr>
          <w:trHeight w:val="300"/>
          <w:jc w:val="right"/>
        </w:trPr>
        <w:tc>
          <w:tcPr>
            <w:tcW w:w="846" w:type="dxa"/>
            <w:shd w:val="clear" w:color="auto" w:fill="00B0F0"/>
            <w:noWrap/>
            <w:hideMark/>
          </w:tcPr>
          <w:p w14:paraId="2CBB5399"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18</w:t>
            </w:r>
          </w:p>
        </w:tc>
        <w:tc>
          <w:tcPr>
            <w:tcW w:w="1711" w:type="dxa"/>
          </w:tcPr>
          <w:p w14:paraId="2982E7D4"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567236686</w:t>
            </w:r>
          </w:p>
          <w:p w14:paraId="1E04824A" w14:textId="77777777" w:rsidR="00E9326E" w:rsidRPr="00E9326E" w:rsidRDefault="00E9326E" w:rsidP="00614019">
            <w:pPr>
              <w:snapToGrid w:val="0"/>
              <w:spacing w:after="120"/>
              <w:rPr>
                <w:rFonts w:ascii="Calibri" w:hAnsi="Calibri" w:cs="Calibri"/>
                <w:color w:val="000000"/>
                <w:sz w:val="20"/>
                <w:szCs w:val="20"/>
                <w:lang w:eastAsia="en-US"/>
              </w:rPr>
            </w:pPr>
          </w:p>
        </w:tc>
        <w:tc>
          <w:tcPr>
            <w:tcW w:w="2693" w:type="dxa"/>
            <w:shd w:val="clear" w:color="auto" w:fill="auto"/>
            <w:noWrap/>
            <w:hideMark/>
          </w:tcPr>
          <w:p w14:paraId="2E07154B"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60C8B1DD"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 xml:space="preserve">Other </w:t>
            </w:r>
          </w:p>
        </w:tc>
      </w:tr>
      <w:tr w:rsidR="00E9326E" w:rsidRPr="00E9326E" w14:paraId="78B29592" w14:textId="77777777" w:rsidTr="00E9326E">
        <w:trPr>
          <w:trHeight w:val="300"/>
          <w:jc w:val="right"/>
        </w:trPr>
        <w:tc>
          <w:tcPr>
            <w:tcW w:w="846" w:type="dxa"/>
            <w:shd w:val="clear" w:color="auto" w:fill="00B0F0"/>
            <w:noWrap/>
            <w:hideMark/>
          </w:tcPr>
          <w:p w14:paraId="08EAFF3A"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19</w:t>
            </w:r>
          </w:p>
        </w:tc>
        <w:tc>
          <w:tcPr>
            <w:tcW w:w="1711" w:type="dxa"/>
            <w:vAlign w:val="bottom"/>
          </w:tcPr>
          <w:p w14:paraId="3A4E0333"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136651904</w:t>
            </w:r>
          </w:p>
        </w:tc>
        <w:tc>
          <w:tcPr>
            <w:tcW w:w="2693" w:type="dxa"/>
            <w:shd w:val="clear" w:color="auto" w:fill="auto"/>
            <w:noWrap/>
            <w:hideMark/>
          </w:tcPr>
          <w:p w14:paraId="5DDD9F08"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1A2AD824"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6FB12D29" w14:textId="77777777" w:rsidTr="00E9326E">
        <w:trPr>
          <w:trHeight w:val="300"/>
          <w:jc w:val="right"/>
        </w:trPr>
        <w:tc>
          <w:tcPr>
            <w:tcW w:w="846" w:type="dxa"/>
            <w:shd w:val="clear" w:color="auto" w:fill="auto"/>
            <w:noWrap/>
            <w:hideMark/>
          </w:tcPr>
          <w:p w14:paraId="76210097"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20</w:t>
            </w:r>
          </w:p>
        </w:tc>
        <w:tc>
          <w:tcPr>
            <w:tcW w:w="1711" w:type="dxa"/>
            <w:vAlign w:val="bottom"/>
          </w:tcPr>
          <w:p w14:paraId="6B20991D"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1002370303</w:t>
            </w:r>
          </w:p>
        </w:tc>
        <w:tc>
          <w:tcPr>
            <w:tcW w:w="2693" w:type="dxa"/>
            <w:shd w:val="clear" w:color="auto" w:fill="auto"/>
            <w:noWrap/>
            <w:hideMark/>
          </w:tcPr>
          <w:p w14:paraId="5C9EDBE7"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Eldercare</w:t>
            </w:r>
          </w:p>
        </w:tc>
        <w:tc>
          <w:tcPr>
            <w:tcW w:w="4394" w:type="dxa"/>
            <w:shd w:val="clear" w:color="auto" w:fill="auto"/>
            <w:noWrap/>
            <w:hideMark/>
          </w:tcPr>
          <w:p w14:paraId="55671C2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 and home care</w:t>
            </w:r>
          </w:p>
        </w:tc>
      </w:tr>
      <w:tr w:rsidR="00E9326E" w:rsidRPr="00E9326E" w14:paraId="7EE9F0E5" w14:textId="77777777" w:rsidTr="00E9326E">
        <w:trPr>
          <w:trHeight w:val="300"/>
          <w:jc w:val="right"/>
        </w:trPr>
        <w:tc>
          <w:tcPr>
            <w:tcW w:w="846" w:type="dxa"/>
            <w:shd w:val="clear" w:color="auto" w:fill="auto"/>
            <w:noWrap/>
            <w:hideMark/>
          </w:tcPr>
          <w:p w14:paraId="7B1E61EC"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21</w:t>
            </w:r>
          </w:p>
        </w:tc>
        <w:tc>
          <w:tcPr>
            <w:tcW w:w="1711" w:type="dxa"/>
            <w:vAlign w:val="bottom"/>
          </w:tcPr>
          <w:p w14:paraId="579F8774"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710594650</w:t>
            </w:r>
          </w:p>
          <w:p w14:paraId="1E1C5C90" w14:textId="77777777" w:rsidR="00E9326E" w:rsidRPr="00E9326E" w:rsidRDefault="00E9326E" w:rsidP="00614019">
            <w:pPr>
              <w:snapToGrid w:val="0"/>
              <w:spacing w:after="120"/>
              <w:rPr>
                <w:rFonts w:ascii="Calibri" w:hAnsi="Calibri" w:cs="Calibri"/>
                <w:color w:val="000000"/>
                <w:sz w:val="20"/>
                <w:szCs w:val="20"/>
                <w:lang w:eastAsia="en-US"/>
              </w:rPr>
            </w:pPr>
          </w:p>
        </w:tc>
        <w:tc>
          <w:tcPr>
            <w:tcW w:w="2693" w:type="dxa"/>
            <w:shd w:val="clear" w:color="auto" w:fill="auto"/>
            <w:noWrap/>
            <w:hideMark/>
          </w:tcPr>
          <w:p w14:paraId="4117B79C"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Estia Health</w:t>
            </w:r>
          </w:p>
        </w:tc>
        <w:tc>
          <w:tcPr>
            <w:tcW w:w="4394" w:type="dxa"/>
            <w:shd w:val="clear" w:color="auto" w:fill="auto"/>
            <w:noWrap/>
            <w:hideMark/>
          </w:tcPr>
          <w:p w14:paraId="45EBB776"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26125018" w14:textId="77777777" w:rsidTr="00E9326E">
        <w:trPr>
          <w:trHeight w:val="300"/>
          <w:jc w:val="right"/>
        </w:trPr>
        <w:tc>
          <w:tcPr>
            <w:tcW w:w="846" w:type="dxa"/>
            <w:shd w:val="clear" w:color="auto" w:fill="auto"/>
            <w:noWrap/>
            <w:hideMark/>
          </w:tcPr>
          <w:p w14:paraId="6FCB88E2"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22</w:t>
            </w:r>
          </w:p>
        </w:tc>
        <w:tc>
          <w:tcPr>
            <w:tcW w:w="1711" w:type="dxa"/>
            <w:vAlign w:val="bottom"/>
          </w:tcPr>
          <w:p w14:paraId="6E4F4481"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274627660</w:t>
            </w:r>
          </w:p>
        </w:tc>
        <w:tc>
          <w:tcPr>
            <w:tcW w:w="2693" w:type="dxa"/>
            <w:shd w:val="clear" w:color="auto" w:fill="auto"/>
            <w:noWrap/>
            <w:hideMark/>
          </w:tcPr>
          <w:p w14:paraId="7203F32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Brisbane South PHN</w:t>
            </w:r>
          </w:p>
        </w:tc>
        <w:tc>
          <w:tcPr>
            <w:tcW w:w="4394" w:type="dxa"/>
            <w:shd w:val="clear" w:color="auto" w:fill="auto"/>
            <w:noWrap/>
            <w:hideMark/>
          </w:tcPr>
          <w:p w14:paraId="1C9548B0"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Primary Health Network</w:t>
            </w:r>
          </w:p>
        </w:tc>
      </w:tr>
      <w:tr w:rsidR="00E9326E" w:rsidRPr="00E9326E" w14:paraId="5A2AF050" w14:textId="77777777" w:rsidTr="00E9326E">
        <w:trPr>
          <w:trHeight w:val="300"/>
          <w:jc w:val="right"/>
        </w:trPr>
        <w:tc>
          <w:tcPr>
            <w:tcW w:w="846" w:type="dxa"/>
            <w:shd w:val="clear" w:color="auto" w:fill="auto"/>
            <w:noWrap/>
            <w:hideMark/>
          </w:tcPr>
          <w:p w14:paraId="27977F7D"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23</w:t>
            </w:r>
          </w:p>
        </w:tc>
        <w:tc>
          <w:tcPr>
            <w:tcW w:w="1711" w:type="dxa"/>
            <w:vAlign w:val="bottom"/>
          </w:tcPr>
          <w:p w14:paraId="7A029EEC"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736455536</w:t>
            </w:r>
          </w:p>
        </w:tc>
        <w:tc>
          <w:tcPr>
            <w:tcW w:w="2693" w:type="dxa"/>
            <w:shd w:val="clear" w:color="auto" w:fill="auto"/>
            <w:noWrap/>
            <w:hideMark/>
          </w:tcPr>
          <w:p w14:paraId="5197ACA2"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Carers Australia</w:t>
            </w:r>
          </w:p>
        </w:tc>
        <w:tc>
          <w:tcPr>
            <w:tcW w:w="4394" w:type="dxa"/>
            <w:shd w:val="clear" w:color="auto" w:fill="auto"/>
            <w:noWrap/>
            <w:hideMark/>
          </w:tcPr>
          <w:p w14:paraId="42C6A814"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Consumers/Carers</w:t>
            </w:r>
          </w:p>
        </w:tc>
      </w:tr>
      <w:tr w:rsidR="00E9326E" w:rsidRPr="00E9326E" w14:paraId="18CF3D03" w14:textId="77777777" w:rsidTr="00E9326E">
        <w:trPr>
          <w:trHeight w:val="300"/>
          <w:jc w:val="right"/>
        </w:trPr>
        <w:tc>
          <w:tcPr>
            <w:tcW w:w="846" w:type="dxa"/>
            <w:shd w:val="clear" w:color="auto" w:fill="00B0F0"/>
            <w:noWrap/>
            <w:hideMark/>
          </w:tcPr>
          <w:p w14:paraId="3C52203A"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24</w:t>
            </w:r>
          </w:p>
        </w:tc>
        <w:tc>
          <w:tcPr>
            <w:tcW w:w="1711" w:type="dxa"/>
            <w:vAlign w:val="bottom"/>
          </w:tcPr>
          <w:p w14:paraId="35AB31E1"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683865349</w:t>
            </w:r>
          </w:p>
        </w:tc>
        <w:tc>
          <w:tcPr>
            <w:tcW w:w="2693" w:type="dxa"/>
            <w:shd w:val="clear" w:color="auto" w:fill="auto"/>
            <w:noWrap/>
            <w:hideMark/>
          </w:tcPr>
          <w:p w14:paraId="03A5524B"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7852BAA5"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 flexible aged care and home care</w:t>
            </w:r>
          </w:p>
        </w:tc>
      </w:tr>
      <w:tr w:rsidR="00E9326E" w:rsidRPr="00E9326E" w14:paraId="1D46AB87" w14:textId="77777777" w:rsidTr="00E9326E">
        <w:trPr>
          <w:trHeight w:val="300"/>
          <w:jc w:val="right"/>
        </w:trPr>
        <w:tc>
          <w:tcPr>
            <w:tcW w:w="846" w:type="dxa"/>
            <w:shd w:val="clear" w:color="auto" w:fill="auto"/>
            <w:noWrap/>
            <w:hideMark/>
          </w:tcPr>
          <w:p w14:paraId="6164534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25</w:t>
            </w:r>
          </w:p>
        </w:tc>
        <w:tc>
          <w:tcPr>
            <w:tcW w:w="1711" w:type="dxa"/>
          </w:tcPr>
          <w:p w14:paraId="60DCF8E1"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795189794</w:t>
            </w:r>
          </w:p>
        </w:tc>
        <w:tc>
          <w:tcPr>
            <w:tcW w:w="2693" w:type="dxa"/>
            <w:shd w:val="clear" w:color="auto" w:fill="auto"/>
            <w:noWrap/>
            <w:hideMark/>
          </w:tcPr>
          <w:p w14:paraId="1844C142"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Catholic Health Australia</w:t>
            </w:r>
          </w:p>
        </w:tc>
        <w:tc>
          <w:tcPr>
            <w:tcW w:w="4394" w:type="dxa"/>
            <w:shd w:val="clear" w:color="auto" w:fill="auto"/>
            <w:noWrap/>
            <w:hideMark/>
          </w:tcPr>
          <w:p w14:paraId="20B6BB93"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Aged care providers</w:t>
            </w:r>
          </w:p>
        </w:tc>
      </w:tr>
      <w:tr w:rsidR="00E9326E" w:rsidRPr="00E9326E" w14:paraId="2D403653" w14:textId="77777777" w:rsidTr="00E9326E">
        <w:trPr>
          <w:trHeight w:val="300"/>
          <w:jc w:val="right"/>
        </w:trPr>
        <w:tc>
          <w:tcPr>
            <w:tcW w:w="846" w:type="dxa"/>
            <w:shd w:val="clear" w:color="auto" w:fill="auto"/>
            <w:noWrap/>
            <w:hideMark/>
          </w:tcPr>
          <w:p w14:paraId="3B2F2B91"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26</w:t>
            </w:r>
          </w:p>
        </w:tc>
        <w:tc>
          <w:tcPr>
            <w:tcW w:w="1711" w:type="dxa"/>
            <w:vAlign w:val="bottom"/>
          </w:tcPr>
          <w:p w14:paraId="1BA72522"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675410189</w:t>
            </w:r>
          </w:p>
        </w:tc>
        <w:tc>
          <w:tcPr>
            <w:tcW w:w="2693" w:type="dxa"/>
            <w:shd w:val="clear" w:color="auto" w:fill="auto"/>
            <w:noWrap/>
            <w:hideMark/>
          </w:tcPr>
          <w:p w14:paraId="76483974"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Bupa Villages and Aged Care Australia</w:t>
            </w:r>
          </w:p>
        </w:tc>
        <w:tc>
          <w:tcPr>
            <w:tcW w:w="4394" w:type="dxa"/>
            <w:shd w:val="clear" w:color="auto" w:fill="auto"/>
            <w:noWrap/>
            <w:hideMark/>
          </w:tcPr>
          <w:p w14:paraId="4BD10882"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4D47742A" w14:textId="77777777" w:rsidTr="00E9326E">
        <w:trPr>
          <w:trHeight w:val="300"/>
          <w:jc w:val="right"/>
        </w:trPr>
        <w:tc>
          <w:tcPr>
            <w:tcW w:w="846" w:type="dxa"/>
            <w:shd w:val="clear" w:color="auto" w:fill="00B0F0"/>
            <w:noWrap/>
            <w:hideMark/>
          </w:tcPr>
          <w:p w14:paraId="1370D27D"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27</w:t>
            </w:r>
          </w:p>
        </w:tc>
        <w:tc>
          <w:tcPr>
            <w:tcW w:w="1711" w:type="dxa"/>
            <w:vAlign w:val="bottom"/>
          </w:tcPr>
          <w:p w14:paraId="6A47D20F"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524940597</w:t>
            </w:r>
          </w:p>
        </w:tc>
        <w:tc>
          <w:tcPr>
            <w:tcW w:w="2693" w:type="dxa"/>
            <w:shd w:val="clear" w:color="auto" w:fill="auto"/>
            <w:noWrap/>
            <w:hideMark/>
          </w:tcPr>
          <w:p w14:paraId="605282AE"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586C495E"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 and home care</w:t>
            </w:r>
          </w:p>
        </w:tc>
      </w:tr>
      <w:tr w:rsidR="00E9326E" w:rsidRPr="00E9326E" w14:paraId="06FE2F43" w14:textId="77777777" w:rsidTr="00E9326E">
        <w:trPr>
          <w:trHeight w:val="300"/>
          <w:jc w:val="right"/>
        </w:trPr>
        <w:tc>
          <w:tcPr>
            <w:tcW w:w="846" w:type="dxa"/>
            <w:shd w:val="clear" w:color="auto" w:fill="auto"/>
            <w:noWrap/>
            <w:hideMark/>
          </w:tcPr>
          <w:p w14:paraId="49404101"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28</w:t>
            </w:r>
          </w:p>
        </w:tc>
        <w:tc>
          <w:tcPr>
            <w:tcW w:w="1711" w:type="dxa"/>
            <w:vAlign w:val="bottom"/>
          </w:tcPr>
          <w:p w14:paraId="410AA3B9"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685534363</w:t>
            </w:r>
          </w:p>
        </w:tc>
        <w:tc>
          <w:tcPr>
            <w:tcW w:w="2693" w:type="dxa"/>
            <w:shd w:val="clear" w:color="auto" w:fill="auto"/>
            <w:noWrap/>
            <w:hideMark/>
          </w:tcPr>
          <w:p w14:paraId="5037BA4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Dementia Australia</w:t>
            </w:r>
          </w:p>
        </w:tc>
        <w:tc>
          <w:tcPr>
            <w:tcW w:w="4394" w:type="dxa"/>
            <w:shd w:val="clear" w:color="auto" w:fill="auto"/>
            <w:noWrap/>
            <w:hideMark/>
          </w:tcPr>
          <w:p w14:paraId="04F35B32"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Consumers/Carers</w:t>
            </w:r>
          </w:p>
        </w:tc>
      </w:tr>
      <w:tr w:rsidR="00E9326E" w:rsidRPr="00E9326E" w14:paraId="05019A8B" w14:textId="77777777" w:rsidTr="00E9326E">
        <w:trPr>
          <w:trHeight w:val="300"/>
          <w:jc w:val="right"/>
        </w:trPr>
        <w:tc>
          <w:tcPr>
            <w:tcW w:w="846" w:type="dxa"/>
            <w:shd w:val="clear" w:color="auto" w:fill="00B0F0"/>
            <w:noWrap/>
            <w:hideMark/>
          </w:tcPr>
          <w:p w14:paraId="6067C340"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29</w:t>
            </w:r>
          </w:p>
        </w:tc>
        <w:tc>
          <w:tcPr>
            <w:tcW w:w="1711" w:type="dxa"/>
            <w:vAlign w:val="bottom"/>
          </w:tcPr>
          <w:p w14:paraId="07BA6B02"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288005833</w:t>
            </w:r>
          </w:p>
        </w:tc>
        <w:tc>
          <w:tcPr>
            <w:tcW w:w="2693" w:type="dxa"/>
            <w:shd w:val="clear" w:color="auto" w:fill="auto"/>
            <w:noWrap/>
            <w:hideMark/>
          </w:tcPr>
          <w:p w14:paraId="15A7EFC4"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66A5E2FB"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 xml:space="preserve">Other </w:t>
            </w:r>
          </w:p>
        </w:tc>
      </w:tr>
      <w:tr w:rsidR="00E9326E" w:rsidRPr="00E9326E" w14:paraId="2921B08D" w14:textId="77777777" w:rsidTr="00E9326E">
        <w:trPr>
          <w:trHeight w:val="300"/>
          <w:jc w:val="right"/>
        </w:trPr>
        <w:tc>
          <w:tcPr>
            <w:tcW w:w="846" w:type="dxa"/>
            <w:shd w:val="clear" w:color="auto" w:fill="auto"/>
            <w:noWrap/>
            <w:hideMark/>
          </w:tcPr>
          <w:p w14:paraId="2992746E"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30</w:t>
            </w:r>
          </w:p>
        </w:tc>
        <w:tc>
          <w:tcPr>
            <w:tcW w:w="1711" w:type="dxa"/>
            <w:vAlign w:val="bottom"/>
          </w:tcPr>
          <w:p w14:paraId="728960B2"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314840631</w:t>
            </w:r>
          </w:p>
        </w:tc>
        <w:tc>
          <w:tcPr>
            <w:tcW w:w="2693" w:type="dxa"/>
            <w:shd w:val="clear" w:color="auto" w:fill="auto"/>
            <w:noWrap/>
            <w:hideMark/>
          </w:tcPr>
          <w:p w14:paraId="1B4F8A79"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 xml:space="preserve">Aged Rights Advocacy Service </w:t>
            </w:r>
          </w:p>
        </w:tc>
        <w:tc>
          <w:tcPr>
            <w:tcW w:w="4394" w:type="dxa"/>
            <w:shd w:val="clear" w:color="auto" w:fill="auto"/>
            <w:noWrap/>
            <w:hideMark/>
          </w:tcPr>
          <w:p w14:paraId="557FF688"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Consumer advocacy organisation</w:t>
            </w:r>
          </w:p>
        </w:tc>
      </w:tr>
      <w:tr w:rsidR="00E9326E" w:rsidRPr="00E9326E" w14:paraId="3A11401A" w14:textId="77777777" w:rsidTr="00E9326E">
        <w:trPr>
          <w:trHeight w:val="300"/>
          <w:jc w:val="right"/>
        </w:trPr>
        <w:tc>
          <w:tcPr>
            <w:tcW w:w="846" w:type="dxa"/>
            <w:shd w:val="clear" w:color="auto" w:fill="auto"/>
            <w:noWrap/>
            <w:hideMark/>
          </w:tcPr>
          <w:p w14:paraId="0C7ECF57"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lastRenderedPageBreak/>
              <w:t>31</w:t>
            </w:r>
          </w:p>
        </w:tc>
        <w:tc>
          <w:tcPr>
            <w:tcW w:w="1711" w:type="dxa"/>
            <w:vAlign w:val="bottom"/>
          </w:tcPr>
          <w:p w14:paraId="77E50655"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74595046</w:t>
            </w:r>
          </w:p>
        </w:tc>
        <w:tc>
          <w:tcPr>
            <w:tcW w:w="2693" w:type="dxa"/>
            <w:shd w:val="clear" w:color="auto" w:fill="auto"/>
            <w:noWrap/>
            <w:hideMark/>
          </w:tcPr>
          <w:p w14:paraId="2830E0E5"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Australian Projections Pty Ltd</w:t>
            </w:r>
          </w:p>
        </w:tc>
        <w:tc>
          <w:tcPr>
            <w:tcW w:w="4394" w:type="dxa"/>
            <w:shd w:val="clear" w:color="auto" w:fill="auto"/>
            <w:noWrap/>
            <w:hideMark/>
          </w:tcPr>
          <w:p w14:paraId="763067F6"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 xml:space="preserve">Other </w:t>
            </w:r>
          </w:p>
        </w:tc>
      </w:tr>
      <w:tr w:rsidR="00E9326E" w:rsidRPr="00E9326E" w14:paraId="4E019979" w14:textId="77777777" w:rsidTr="00E9326E">
        <w:trPr>
          <w:trHeight w:val="300"/>
          <w:jc w:val="right"/>
        </w:trPr>
        <w:tc>
          <w:tcPr>
            <w:tcW w:w="846" w:type="dxa"/>
            <w:shd w:val="clear" w:color="auto" w:fill="auto"/>
            <w:noWrap/>
            <w:hideMark/>
          </w:tcPr>
          <w:p w14:paraId="42D5097A"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32</w:t>
            </w:r>
          </w:p>
        </w:tc>
        <w:tc>
          <w:tcPr>
            <w:tcW w:w="1711" w:type="dxa"/>
            <w:vAlign w:val="bottom"/>
          </w:tcPr>
          <w:p w14:paraId="01D9539B"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399878072</w:t>
            </w:r>
          </w:p>
        </w:tc>
        <w:tc>
          <w:tcPr>
            <w:tcW w:w="2693" w:type="dxa"/>
            <w:shd w:val="clear" w:color="auto" w:fill="auto"/>
            <w:noWrap/>
            <w:hideMark/>
          </w:tcPr>
          <w:p w14:paraId="09692353"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City of Kalamunda Aged Care Advisory Committee</w:t>
            </w:r>
          </w:p>
        </w:tc>
        <w:tc>
          <w:tcPr>
            <w:tcW w:w="4394" w:type="dxa"/>
            <w:shd w:val="clear" w:color="auto" w:fill="auto"/>
            <w:noWrap/>
            <w:hideMark/>
          </w:tcPr>
          <w:p w14:paraId="217CDB9B"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Local council</w:t>
            </w:r>
          </w:p>
        </w:tc>
      </w:tr>
      <w:tr w:rsidR="00E9326E" w:rsidRPr="00E9326E" w14:paraId="7A2DC7B0" w14:textId="77777777" w:rsidTr="00E9326E">
        <w:trPr>
          <w:trHeight w:val="300"/>
          <w:jc w:val="right"/>
        </w:trPr>
        <w:tc>
          <w:tcPr>
            <w:tcW w:w="846" w:type="dxa"/>
            <w:shd w:val="clear" w:color="auto" w:fill="auto"/>
            <w:noWrap/>
            <w:hideMark/>
          </w:tcPr>
          <w:p w14:paraId="2E698F30"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33</w:t>
            </w:r>
          </w:p>
        </w:tc>
        <w:tc>
          <w:tcPr>
            <w:tcW w:w="1711" w:type="dxa"/>
          </w:tcPr>
          <w:p w14:paraId="22A6E687"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92035667</w:t>
            </w:r>
          </w:p>
          <w:p w14:paraId="77E68475"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61747E47"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Carers NSW</w:t>
            </w:r>
          </w:p>
        </w:tc>
        <w:tc>
          <w:tcPr>
            <w:tcW w:w="4394" w:type="dxa"/>
            <w:shd w:val="clear" w:color="auto" w:fill="auto"/>
            <w:noWrap/>
            <w:hideMark/>
          </w:tcPr>
          <w:p w14:paraId="4D1D5AB6"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Consumers/Carers</w:t>
            </w:r>
          </w:p>
        </w:tc>
      </w:tr>
      <w:tr w:rsidR="00E9326E" w:rsidRPr="00E9326E" w14:paraId="4E0FD9D8" w14:textId="77777777" w:rsidTr="00E9326E">
        <w:trPr>
          <w:trHeight w:val="300"/>
          <w:jc w:val="right"/>
        </w:trPr>
        <w:tc>
          <w:tcPr>
            <w:tcW w:w="846" w:type="dxa"/>
            <w:shd w:val="clear" w:color="auto" w:fill="auto"/>
            <w:noWrap/>
            <w:hideMark/>
          </w:tcPr>
          <w:p w14:paraId="4952A765"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34</w:t>
            </w:r>
          </w:p>
        </w:tc>
        <w:tc>
          <w:tcPr>
            <w:tcW w:w="1711" w:type="dxa"/>
            <w:vAlign w:val="bottom"/>
          </w:tcPr>
          <w:p w14:paraId="02EC9C4C"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876465424</w:t>
            </w:r>
          </w:p>
        </w:tc>
        <w:tc>
          <w:tcPr>
            <w:tcW w:w="2693" w:type="dxa"/>
            <w:shd w:val="clear" w:color="auto" w:fill="auto"/>
            <w:noWrap/>
            <w:hideMark/>
          </w:tcPr>
          <w:p w14:paraId="4A34B17A"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COTA Australia</w:t>
            </w:r>
          </w:p>
        </w:tc>
        <w:tc>
          <w:tcPr>
            <w:tcW w:w="4394" w:type="dxa"/>
            <w:shd w:val="clear" w:color="auto" w:fill="auto"/>
            <w:noWrap/>
            <w:hideMark/>
          </w:tcPr>
          <w:p w14:paraId="6289730E"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Consumers/Carers</w:t>
            </w:r>
          </w:p>
        </w:tc>
      </w:tr>
      <w:tr w:rsidR="00E9326E" w:rsidRPr="00E9326E" w14:paraId="34B677A2" w14:textId="77777777" w:rsidTr="00E9326E">
        <w:trPr>
          <w:trHeight w:val="300"/>
          <w:jc w:val="right"/>
        </w:trPr>
        <w:tc>
          <w:tcPr>
            <w:tcW w:w="846" w:type="dxa"/>
            <w:shd w:val="clear" w:color="auto" w:fill="auto"/>
            <w:noWrap/>
            <w:hideMark/>
          </w:tcPr>
          <w:p w14:paraId="512513AD"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35</w:t>
            </w:r>
          </w:p>
        </w:tc>
        <w:tc>
          <w:tcPr>
            <w:tcW w:w="1711" w:type="dxa"/>
            <w:vAlign w:val="bottom"/>
          </w:tcPr>
          <w:p w14:paraId="1670B662"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388568119</w:t>
            </w:r>
          </w:p>
        </w:tc>
        <w:tc>
          <w:tcPr>
            <w:tcW w:w="2693" w:type="dxa"/>
            <w:shd w:val="clear" w:color="auto" w:fill="auto"/>
            <w:noWrap/>
            <w:hideMark/>
          </w:tcPr>
          <w:p w14:paraId="7D117B9B"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Advantaged Care</w:t>
            </w:r>
          </w:p>
        </w:tc>
        <w:tc>
          <w:tcPr>
            <w:tcW w:w="4394" w:type="dxa"/>
            <w:shd w:val="clear" w:color="auto" w:fill="auto"/>
            <w:noWrap/>
            <w:hideMark/>
          </w:tcPr>
          <w:p w14:paraId="22BFD761"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2222E392" w14:textId="77777777" w:rsidTr="00E9326E">
        <w:trPr>
          <w:trHeight w:val="300"/>
          <w:jc w:val="right"/>
        </w:trPr>
        <w:tc>
          <w:tcPr>
            <w:tcW w:w="846" w:type="dxa"/>
            <w:shd w:val="clear" w:color="auto" w:fill="auto"/>
            <w:noWrap/>
            <w:hideMark/>
          </w:tcPr>
          <w:p w14:paraId="5718620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36</w:t>
            </w:r>
          </w:p>
        </w:tc>
        <w:tc>
          <w:tcPr>
            <w:tcW w:w="1711" w:type="dxa"/>
            <w:vAlign w:val="bottom"/>
          </w:tcPr>
          <w:p w14:paraId="5D76BBFA"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1024688987</w:t>
            </w:r>
          </w:p>
        </w:tc>
        <w:tc>
          <w:tcPr>
            <w:tcW w:w="2693" w:type="dxa"/>
            <w:shd w:val="clear" w:color="auto" w:fill="auto"/>
            <w:noWrap/>
            <w:hideMark/>
          </w:tcPr>
          <w:p w14:paraId="2F16608E"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Ryman Healthcare</w:t>
            </w:r>
          </w:p>
        </w:tc>
        <w:tc>
          <w:tcPr>
            <w:tcW w:w="4394" w:type="dxa"/>
            <w:shd w:val="clear" w:color="auto" w:fill="auto"/>
            <w:noWrap/>
            <w:hideMark/>
          </w:tcPr>
          <w:p w14:paraId="0882EF4C"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 and home care; Provider of private aged care or seniors accommodation</w:t>
            </w:r>
          </w:p>
        </w:tc>
      </w:tr>
      <w:tr w:rsidR="00E9326E" w:rsidRPr="00E9326E" w14:paraId="31CA1683" w14:textId="77777777" w:rsidTr="00E9326E">
        <w:trPr>
          <w:trHeight w:val="300"/>
          <w:jc w:val="right"/>
        </w:trPr>
        <w:tc>
          <w:tcPr>
            <w:tcW w:w="846" w:type="dxa"/>
            <w:shd w:val="clear" w:color="auto" w:fill="00B0F0"/>
            <w:noWrap/>
            <w:hideMark/>
          </w:tcPr>
          <w:p w14:paraId="2F810AEB"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37</w:t>
            </w:r>
          </w:p>
        </w:tc>
        <w:tc>
          <w:tcPr>
            <w:tcW w:w="1711" w:type="dxa"/>
            <w:vAlign w:val="bottom"/>
          </w:tcPr>
          <w:p w14:paraId="048C99AA"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219365230</w:t>
            </w:r>
          </w:p>
        </w:tc>
        <w:tc>
          <w:tcPr>
            <w:tcW w:w="2693" w:type="dxa"/>
            <w:shd w:val="clear" w:color="auto" w:fill="auto"/>
            <w:noWrap/>
            <w:hideMark/>
          </w:tcPr>
          <w:p w14:paraId="20EFBC64"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281B138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65C4F053" w14:textId="77777777" w:rsidTr="00E9326E">
        <w:trPr>
          <w:trHeight w:val="300"/>
          <w:jc w:val="right"/>
        </w:trPr>
        <w:tc>
          <w:tcPr>
            <w:tcW w:w="846" w:type="dxa"/>
            <w:shd w:val="clear" w:color="auto" w:fill="FF0000"/>
            <w:noWrap/>
            <w:hideMark/>
          </w:tcPr>
          <w:p w14:paraId="30CE76F5"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38</w:t>
            </w:r>
          </w:p>
        </w:tc>
        <w:tc>
          <w:tcPr>
            <w:tcW w:w="1711" w:type="dxa"/>
          </w:tcPr>
          <w:p w14:paraId="7BB666E6"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1F9673DA"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Anonymous</w:t>
            </w:r>
          </w:p>
        </w:tc>
        <w:tc>
          <w:tcPr>
            <w:tcW w:w="4394" w:type="dxa"/>
            <w:shd w:val="clear" w:color="auto" w:fill="auto"/>
            <w:noWrap/>
            <w:hideMark/>
          </w:tcPr>
          <w:p w14:paraId="69E7340E"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Aged care providers</w:t>
            </w:r>
          </w:p>
        </w:tc>
      </w:tr>
      <w:tr w:rsidR="00E9326E" w:rsidRPr="00E9326E" w14:paraId="43ED93B3" w14:textId="77777777" w:rsidTr="00E9326E">
        <w:trPr>
          <w:trHeight w:val="300"/>
          <w:jc w:val="right"/>
        </w:trPr>
        <w:tc>
          <w:tcPr>
            <w:tcW w:w="846" w:type="dxa"/>
            <w:shd w:val="clear" w:color="auto" w:fill="FF0000"/>
            <w:noWrap/>
            <w:hideMark/>
          </w:tcPr>
          <w:p w14:paraId="4F4487ED"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39</w:t>
            </w:r>
          </w:p>
        </w:tc>
        <w:tc>
          <w:tcPr>
            <w:tcW w:w="1711" w:type="dxa"/>
          </w:tcPr>
          <w:p w14:paraId="131F7EE5"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3A53CAF8"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Anonymous</w:t>
            </w:r>
          </w:p>
        </w:tc>
        <w:tc>
          <w:tcPr>
            <w:tcW w:w="4394" w:type="dxa"/>
            <w:shd w:val="clear" w:color="auto" w:fill="auto"/>
            <w:noWrap/>
            <w:hideMark/>
          </w:tcPr>
          <w:p w14:paraId="3B9E5347"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 flexible aged care and home care</w:t>
            </w:r>
          </w:p>
        </w:tc>
      </w:tr>
      <w:tr w:rsidR="00E9326E" w:rsidRPr="00E9326E" w14:paraId="63194620" w14:textId="77777777" w:rsidTr="00E9326E">
        <w:trPr>
          <w:trHeight w:val="300"/>
          <w:jc w:val="right"/>
        </w:trPr>
        <w:tc>
          <w:tcPr>
            <w:tcW w:w="846" w:type="dxa"/>
            <w:shd w:val="clear" w:color="auto" w:fill="auto"/>
            <w:noWrap/>
            <w:hideMark/>
          </w:tcPr>
          <w:p w14:paraId="0C4809C1"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40</w:t>
            </w:r>
          </w:p>
        </w:tc>
        <w:tc>
          <w:tcPr>
            <w:tcW w:w="1711" w:type="dxa"/>
            <w:vAlign w:val="bottom"/>
          </w:tcPr>
          <w:p w14:paraId="42AAEEC8"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948467645</w:t>
            </w:r>
          </w:p>
        </w:tc>
        <w:tc>
          <w:tcPr>
            <w:tcW w:w="2693" w:type="dxa"/>
            <w:shd w:val="clear" w:color="auto" w:fill="auto"/>
            <w:noWrap/>
            <w:hideMark/>
          </w:tcPr>
          <w:p w14:paraId="329734F1"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WA Department of Health</w:t>
            </w:r>
          </w:p>
        </w:tc>
        <w:tc>
          <w:tcPr>
            <w:tcW w:w="4394" w:type="dxa"/>
            <w:shd w:val="clear" w:color="auto" w:fill="auto"/>
            <w:noWrap/>
            <w:hideMark/>
          </w:tcPr>
          <w:p w14:paraId="6DD6C38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State and territory government</w:t>
            </w:r>
          </w:p>
        </w:tc>
      </w:tr>
      <w:tr w:rsidR="00E9326E" w:rsidRPr="00E9326E" w14:paraId="3F3D03E6" w14:textId="77777777" w:rsidTr="00E9326E">
        <w:trPr>
          <w:trHeight w:val="300"/>
          <w:jc w:val="right"/>
        </w:trPr>
        <w:tc>
          <w:tcPr>
            <w:tcW w:w="846" w:type="dxa"/>
            <w:shd w:val="clear" w:color="auto" w:fill="00B0F0"/>
            <w:noWrap/>
            <w:hideMark/>
          </w:tcPr>
          <w:p w14:paraId="5BA41928"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41</w:t>
            </w:r>
          </w:p>
        </w:tc>
        <w:tc>
          <w:tcPr>
            <w:tcW w:w="1711" w:type="dxa"/>
            <w:vAlign w:val="bottom"/>
          </w:tcPr>
          <w:p w14:paraId="41660413"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382399848</w:t>
            </w:r>
          </w:p>
        </w:tc>
        <w:tc>
          <w:tcPr>
            <w:tcW w:w="2693" w:type="dxa"/>
            <w:shd w:val="clear" w:color="auto" w:fill="auto"/>
            <w:noWrap/>
            <w:hideMark/>
          </w:tcPr>
          <w:p w14:paraId="01B72000"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69536455"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Primary Health Network</w:t>
            </w:r>
          </w:p>
        </w:tc>
      </w:tr>
      <w:tr w:rsidR="00E9326E" w:rsidRPr="00E9326E" w14:paraId="5F4D5810" w14:textId="77777777" w:rsidTr="00E9326E">
        <w:trPr>
          <w:trHeight w:val="300"/>
          <w:jc w:val="right"/>
        </w:trPr>
        <w:tc>
          <w:tcPr>
            <w:tcW w:w="846" w:type="dxa"/>
            <w:shd w:val="clear" w:color="auto" w:fill="FF0000"/>
            <w:noWrap/>
            <w:hideMark/>
          </w:tcPr>
          <w:p w14:paraId="22CB5211"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42</w:t>
            </w:r>
          </w:p>
        </w:tc>
        <w:tc>
          <w:tcPr>
            <w:tcW w:w="1711" w:type="dxa"/>
          </w:tcPr>
          <w:p w14:paraId="6D1822E6"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51FFD1C2"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Anonymous</w:t>
            </w:r>
          </w:p>
        </w:tc>
        <w:tc>
          <w:tcPr>
            <w:tcW w:w="4394" w:type="dxa"/>
            <w:shd w:val="clear" w:color="auto" w:fill="auto"/>
            <w:noWrap/>
            <w:hideMark/>
          </w:tcPr>
          <w:p w14:paraId="5E1ED139" w14:textId="77777777" w:rsidR="00E9326E" w:rsidRPr="00E9326E" w:rsidRDefault="00E9326E" w:rsidP="00614019">
            <w:pPr>
              <w:rPr>
                <w:rFonts w:ascii="Calibri" w:hAnsi="Calibri" w:cs="Calibri"/>
                <w:sz w:val="20"/>
                <w:szCs w:val="20"/>
              </w:rPr>
            </w:pPr>
            <w:r w:rsidRPr="00E9326E">
              <w:rPr>
                <w:rFonts w:ascii="Calibri" w:hAnsi="Calibri" w:cs="Calibri"/>
                <w:color w:val="000000"/>
                <w:sz w:val="20"/>
                <w:szCs w:val="20"/>
                <w:lang w:eastAsia="en-US"/>
              </w:rPr>
              <w:t>Approved provider of residential aged care and home care; Provider of private aged care or seniors accommodation</w:t>
            </w:r>
          </w:p>
        </w:tc>
      </w:tr>
      <w:tr w:rsidR="00E9326E" w:rsidRPr="00E9326E" w14:paraId="0E70CC1A" w14:textId="77777777" w:rsidTr="00E9326E">
        <w:trPr>
          <w:trHeight w:val="300"/>
          <w:jc w:val="right"/>
        </w:trPr>
        <w:tc>
          <w:tcPr>
            <w:tcW w:w="846" w:type="dxa"/>
            <w:shd w:val="clear" w:color="auto" w:fill="auto"/>
            <w:noWrap/>
            <w:hideMark/>
          </w:tcPr>
          <w:p w14:paraId="35384E48"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43</w:t>
            </w:r>
          </w:p>
        </w:tc>
        <w:tc>
          <w:tcPr>
            <w:tcW w:w="1711" w:type="dxa"/>
          </w:tcPr>
          <w:p w14:paraId="4C1FEC48"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31536210</w:t>
            </w:r>
          </w:p>
          <w:p w14:paraId="7FB874F9"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626C6718"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Quality Aged Care Action Group</w:t>
            </w:r>
          </w:p>
        </w:tc>
        <w:tc>
          <w:tcPr>
            <w:tcW w:w="4394" w:type="dxa"/>
            <w:shd w:val="clear" w:color="auto" w:fill="auto"/>
            <w:noWrap/>
            <w:hideMark/>
          </w:tcPr>
          <w:p w14:paraId="73BC009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Consumers/Carers</w:t>
            </w:r>
          </w:p>
        </w:tc>
      </w:tr>
      <w:tr w:rsidR="00E9326E" w:rsidRPr="00E9326E" w14:paraId="3BABD23C" w14:textId="77777777" w:rsidTr="00E9326E">
        <w:trPr>
          <w:trHeight w:val="300"/>
          <w:jc w:val="right"/>
        </w:trPr>
        <w:tc>
          <w:tcPr>
            <w:tcW w:w="846" w:type="dxa"/>
            <w:shd w:val="clear" w:color="auto" w:fill="auto"/>
            <w:noWrap/>
            <w:hideMark/>
          </w:tcPr>
          <w:p w14:paraId="1852AA22"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44</w:t>
            </w:r>
          </w:p>
        </w:tc>
        <w:tc>
          <w:tcPr>
            <w:tcW w:w="1711" w:type="dxa"/>
            <w:vAlign w:val="bottom"/>
          </w:tcPr>
          <w:p w14:paraId="3655A608"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653803197</w:t>
            </w:r>
          </w:p>
        </w:tc>
        <w:tc>
          <w:tcPr>
            <w:tcW w:w="2693" w:type="dxa"/>
            <w:shd w:val="clear" w:color="auto" w:fill="auto"/>
            <w:noWrap/>
            <w:hideMark/>
          </w:tcPr>
          <w:p w14:paraId="0ECF45EB"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 xml:space="preserve">Leading Age Services Australia </w:t>
            </w:r>
          </w:p>
        </w:tc>
        <w:tc>
          <w:tcPr>
            <w:tcW w:w="4394" w:type="dxa"/>
            <w:shd w:val="clear" w:color="auto" w:fill="auto"/>
            <w:noWrap/>
            <w:hideMark/>
          </w:tcPr>
          <w:p w14:paraId="40BA0703"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Aged care providers</w:t>
            </w:r>
          </w:p>
        </w:tc>
      </w:tr>
      <w:tr w:rsidR="00E9326E" w:rsidRPr="00E9326E" w14:paraId="016DC775" w14:textId="77777777" w:rsidTr="00E9326E">
        <w:trPr>
          <w:trHeight w:val="300"/>
          <w:jc w:val="right"/>
        </w:trPr>
        <w:tc>
          <w:tcPr>
            <w:tcW w:w="846" w:type="dxa"/>
            <w:shd w:val="clear" w:color="auto" w:fill="auto"/>
            <w:noWrap/>
            <w:hideMark/>
          </w:tcPr>
          <w:p w14:paraId="49AD20F6"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45</w:t>
            </w:r>
          </w:p>
        </w:tc>
        <w:tc>
          <w:tcPr>
            <w:tcW w:w="1711" w:type="dxa"/>
            <w:vAlign w:val="bottom"/>
          </w:tcPr>
          <w:p w14:paraId="11D65D0E"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852113340</w:t>
            </w:r>
          </w:p>
        </w:tc>
        <w:tc>
          <w:tcPr>
            <w:tcW w:w="2693" w:type="dxa"/>
            <w:shd w:val="clear" w:color="auto" w:fill="auto"/>
            <w:noWrap/>
            <w:hideMark/>
          </w:tcPr>
          <w:p w14:paraId="67BC93D6"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ANZ</w:t>
            </w:r>
          </w:p>
        </w:tc>
        <w:tc>
          <w:tcPr>
            <w:tcW w:w="4394" w:type="dxa"/>
            <w:shd w:val="clear" w:color="auto" w:fill="auto"/>
            <w:noWrap/>
            <w:hideMark/>
          </w:tcPr>
          <w:p w14:paraId="488069F5"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 xml:space="preserve">Finance sector </w:t>
            </w:r>
          </w:p>
        </w:tc>
      </w:tr>
      <w:tr w:rsidR="00E9326E" w:rsidRPr="00E9326E" w14:paraId="7E830C25" w14:textId="77777777" w:rsidTr="00E9326E">
        <w:trPr>
          <w:trHeight w:val="300"/>
          <w:jc w:val="right"/>
        </w:trPr>
        <w:tc>
          <w:tcPr>
            <w:tcW w:w="846" w:type="dxa"/>
            <w:shd w:val="clear" w:color="auto" w:fill="FF0000"/>
            <w:noWrap/>
            <w:hideMark/>
          </w:tcPr>
          <w:p w14:paraId="6B8972B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46</w:t>
            </w:r>
          </w:p>
        </w:tc>
        <w:tc>
          <w:tcPr>
            <w:tcW w:w="1711" w:type="dxa"/>
            <w:vAlign w:val="bottom"/>
          </w:tcPr>
          <w:p w14:paraId="1303FFC7" w14:textId="77777777" w:rsidR="00E9326E" w:rsidRPr="00E9326E" w:rsidRDefault="00E9326E" w:rsidP="00614019">
            <w:pPr>
              <w:snapToGrid w:val="0"/>
              <w:spacing w:after="120"/>
              <w:rPr>
                <w:rFonts w:ascii="Calibri" w:hAnsi="Calibri" w:cs="Calibri"/>
                <w:color w:val="000000"/>
                <w:sz w:val="20"/>
                <w:szCs w:val="20"/>
                <w:lang w:eastAsia="en-US"/>
              </w:rPr>
            </w:pPr>
          </w:p>
        </w:tc>
        <w:tc>
          <w:tcPr>
            <w:tcW w:w="2693" w:type="dxa"/>
            <w:shd w:val="clear" w:color="auto" w:fill="auto"/>
            <w:noWrap/>
            <w:hideMark/>
          </w:tcPr>
          <w:p w14:paraId="1B783403"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Anonymous</w:t>
            </w:r>
          </w:p>
        </w:tc>
        <w:tc>
          <w:tcPr>
            <w:tcW w:w="4394" w:type="dxa"/>
            <w:shd w:val="clear" w:color="auto" w:fill="auto"/>
            <w:noWrap/>
            <w:hideMark/>
          </w:tcPr>
          <w:p w14:paraId="6D700BD6"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23FCCA9B" w14:textId="77777777" w:rsidTr="00E9326E">
        <w:trPr>
          <w:trHeight w:val="300"/>
          <w:jc w:val="right"/>
        </w:trPr>
        <w:tc>
          <w:tcPr>
            <w:tcW w:w="846" w:type="dxa"/>
            <w:shd w:val="clear" w:color="auto" w:fill="00B0F0"/>
            <w:noWrap/>
            <w:hideMark/>
          </w:tcPr>
          <w:p w14:paraId="0475EDF1"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47</w:t>
            </w:r>
          </w:p>
        </w:tc>
        <w:tc>
          <w:tcPr>
            <w:tcW w:w="1711" w:type="dxa"/>
          </w:tcPr>
          <w:p w14:paraId="3B35EBD3" w14:textId="77777777" w:rsidR="00E9326E" w:rsidRPr="00E9326E" w:rsidRDefault="00E9326E" w:rsidP="00614019">
            <w:pPr>
              <w:rPr>
                <w:rFonts w:ascii="Calibri" w:hAnsi="Calibri" w:cs="Calibri"/>
                <w:color w:val="000000"/>
                <w:sz w:val="20"/>
                <w:szCs w:val="20"/>
                <w:lang w:eastAsia="en-US"/>
              </w:rPr>
            </w:pPr>
            <w:r w:rsidRPr="00E9326E">
              <w:rPr>
                <w:rFonts w:ascii="Calibri" w:hAnsi="Calibri" w:cs="Calibri"/>
                <w:color w:val="000000"/>
                <w:sz w:val="20"/>
                <w:szCs w:val="20"/>
                <w:lang w:eastAsia="en-US"/>
              </w:rPr>
              <w:t>1014580548</w:t>
            </w:r>
          </w:p>
        </w:tc>
        <w:tc>
          <w:tcPr>
            <w:tcW w:w="2693" w:type="dxa"/>
            <w:shd w:val="clear" w:color="auto" w:fill="auto"/>
            <w:noWrap/>
            <w:hideMark/>
          </w:tcPr>
          <w:p w14:paraId="1EA4DD1D"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Anonymous</w:t>
            </w:r>
          </w:p>
        </w:tc>
        <w:tc>
          <w:tcPr>
            <w:tcW w:w="4394" w:type="dxa"/>
            <w:shd w:val="clear" w:color="auto" w:fill="auto"/>
            <w:noWrap/>
            <w:hideMark/>
          </w:tcPr>
          <w:p w14:paraId="35C364B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268D65FA" w14:textId="77777777" w:rsidTr="00E9326E">
        <w:trPr>
          <w:trHeight w:val="300"/>
          <w:jc w:val="right"/>
        </w:trPr>
        <w:tc>
          <w:tcPr>
            <w:tcW w:w="846" w:type="dxa"/>
            <w:shd w:val="clear" w:color="auto" w:fill="auto"/>
            <w:noWrap/>
            <w:hideMark/>
          </w:tcPr>
          <w:p w14:paraId="33F56045"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48</w:t>
            </w:r>
          </w:p>
        </w:tc>
        <w:tc>
          <w:tcPr>
            <w:tcW w:w="1711" w:type="dxa"/>
            <w:vAlign w:val="bottom"/>
          </w:tcPr>
          <w:p w14:paraId="677B073D"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953188499</w:t>
            </w:r>
          </w:p>
        </w:tc>
        <w:tc>
          <w:tcPr>
            <w:tcW w:w="2693" w:type="dxa"/>
            <w:shd w:val="clear" w:color="auto" w:fill="auto"/>
            <w:noWrap/>
            <w:hideMark/>
          </w:tcPr>
          <w:p w14:paraId="75D196A2"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Victorian Healthcare Association</w:t>
            </w:r>
          </w:p>
        </w:tc>
        <w:tc>
          <w:tcPr>
            <w:tcW w:w="4394" w:type="dxa"/>
            <w:shd w:val="clear" w:color="auto" w:fill="auto"/>
            <w:noWrap/>
            <w:hideMark/>
          </w:tcPr>
          <w:p w14:paraId="048CBF23"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Health</w:t>
            </w:r>
          </w:p>
        </w:tc>
      </w:tr>
      <w:tr w:rsidR="00E9326E" w:rsidRPr="00E9326E" w14:paraId="0A8C5A6A" w14:textId="77777777" w:rsidTr="00E9326E">
        <w:trPr>
          <w:trHeight w:val="300"/>
          <w:jc w:val="right"/>
        </w:trPr>
        <w:tc>
          <w:tcPr>
            <w:tcW w:w="846" w:type="dxa"/>
            <w:shd w:val="clear" w:color="auto" w:fill="auto"/>
            <w:noWrap/>
            <w:hideMark/>
          </w:tcPr>
          <w:p w14:paraId="198DED82"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49</w:t>
            </w:r>
          </w:p>
        </w:tc>
        <w:tc>
          <w:tcPr>
            <w:tcW w:w="1711" w:type="dxa"/>
            <w:vAlign w:val="bottom"/>
          </w:tcPr>
          <w:p w14:paraId="74DD44DA" w14:textId="77777777" w:rsidR="00E9326E" w:rsidRPr="00E9326E" w:rsidRDefault="00E9326E" w:rsidP="00614019">
            <w:pPr>
              <w:snapToGrid w:val="0"/>
              <w:spacing w:after="120"/>
              <w:rPr>
                <w:rFonts w:ascii="Calibri" w:hAnsi="Calibri" w:cs="Calibri"/>
                <w:color w:val="000000"/>
                <w:sz w:val="20"/>
                <w:szCs w:val="20"/>
                <w:lang w:eastAsia="en-US"/>
              </w:rPr>
            </w:pPr>
            <w:r w:rsidRPr="00E9326E">
              <w:rPr>
                <w:rFonts w:ascii="Calibri" w:hAnsi="Calibri" w:cs="Calibri"/>
                <w:color w:val="000000"/>
                <w:sz w:val="20"/>
                <w:szCs w:val="20"/>
                <w:lang w:eastAsia="en-US"/>
              </w:rPr>
              <w:t>493146728</w:t>
            </w:r>
          </w:p>
        </w:tc>
        <w:tc>
          <w:tcPr>
            <w:tcW w:w="2693" w:type="dxa"/>
            <w:shd w:val="clear" w:color="auto" w:fill="auto"/>
            <w:noWrap/>
            <w:hideMark/>
          </w:tcPr>
          <w:p w14:paraId="67A75AFA"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 xml:space="preserve">Australian Nursing and Midwifery Federation </w:t>
            </w:r>
          </w:p>
        </w:tc>
        <w:tc>
          <w:tcPr>
            <w:tcW w:w="4394" w:type="dxa"/>
            <w:shd w:val="clear" w:color="auto" w:fill="auto"/>
            <w:noWrap/>
            <w:hideMark/>
          </w:tcPr>
          <w:p w14:paraId="1A5A055C"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Health</w:t>
            </w:r>
          </w:p>
        </w:tc>
      </w:tr>
      <w:tr w:rsidR="00E9326E" w:rsidRPr="00E9326E" w14:paraId="3D7EA04F" w14:textId="77777777" w:rsidTr="00E9326E">
        <w:trPr>
          <w:trHeight w:val="300"/>
          <w:jc w:val="right"/>
        </w:trPr>
        <w:tc>
          <w:tcPr>
            <w:tcW w:w="846" w:type="dxa"/>
            <w:shd w:val="clear" w:color="auto" w:fill="FF0000"/>
            <w:noWrap/>
            <w:hideMark/>
          </w:tcPr>
          <w:p w14:paraId="45754CA1"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50</w:t>
            </w:r>
          </w:p>
        </w:tc>
        <w:tc>
          <w:tcPr>
            <w:tcW w:w="1711" w:type="dxa"/>
          </w:tcPr>
          <w:p w14:paraId="40099833"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4B20C2F4"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Anonymous</w:t>
            </w:r>
          </w:p>
        </w:tc>
        <w:tc>
          <w:tcPr>
            <w:tcW w:w="4394" w:type="dxa"/>
            <w:shd w:val="clear" w:color="auto" w:fill="auto"/>
            <w:noWrap/>
            <w:hideMark/>
          </w:tcPr>
          <w:p w14:paraId="42E3F018"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0D219395" w14:textId="77777777" w:rsidTr="00E9326E">
        <w:trPr>
          <w:trHeight w:val="300"/>
          <w:jc w:val="right"/>
        </w:trPr>
        <w:tc>
          <w:tcPr>
            <w:tcW w:w="846" w:type="dxa"/>
            <w:shd w:val="clear" w:color="auto" w:fill="auto"/>
            <w:noWrap/>
            <w:hideMark/>
          </w:tcPr>
          <w:p w14:paraId="3DD8DD80"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51</w:t>
            </w:r>
          </w:p>
        </w:tc>
        <w:tc>
          <w:tcPr>
            <w:tcW w:w="1711" w:type="dxa"/>
          </w:tcPr>
          <w:p w14:paraId="43B6596E"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641423766</w:t>
            </w:r>
          </w:p>
          <w:p w14:paraId="4591BA4F"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02A55161"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Resthaven</w:t>
            </w:r>
          </w:p>
        </w:tc>
        <w:tc>
          <w:tcPr>
            <w:tcW w:w="4394" w:type="dxa"/>
            <w:shd w:val="clear" w:color="auto" w:fill="auto"/>
            <w:noWrap/>
            <w:hideMark/>
          </w:tcPr>
          <w:p w14:paraId="1B2FA033"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78DA6F59" w14:textId="77777777" w:rsidTr="00E9326E">
        <w:trPr>
          <w:trHeight w:val="300"/>
          <w:jc w:val="right"/>
        </w:trPr>
        <w:tc>
          <w:tcPr>
            <w:tcW w:w="846" w:type="dxa"/>
            <w:shd w:val="clear" w:color="auto" w:fill="auto"/>
            <w:noWrap/>
            <w:hideMark/>
          </w:tcPr>
          <w:p w14:paraId="5C277772"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52</w:t>
            </w:r>
          </w:p>
        </w:tc>
        <w:tc>
          <w:tcPr>
            <w:tcW w:w="1711" w:type="dxa"/>
          </w:tcPr>
          <w:p w14:paraId="711E32B8"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728432197</w:t>
            </w:r>
          </w:p>
          <w:p w14:paraId="2E8CA2AC"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644974A1"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Aged &amp; Community Services Australia</w:t>
            </w:r>
          </w:p>
        </w:tc>
        <w:tc>
          <w:tcPr>
            <w:tcW w:w="4394" w:type="dxa"/>
            <w:shd w:val="clear" w:color="auto" w:fill="auto"/>
            <w:noWrap/>
            <w:hideMark/>
          </w:tcPr>
          <w:p w14:paraId="710C1DA6"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Aged care providers</w:t>
            </w:r>
          </w:p>
        </w:tc>
      </w:tr>
      <w:tr w:rsidR="00E9326E" w:rsidRPr="00E9326E" w14:paraId="64C30E85" w14:textId="77777777" w:rsidTr="00E9326E">
        <w:trPr>
          <w:trHeight w:val="300"/>
          <w:jc w:val="right"/>
        </w:trPr>
        <w:tc>
          <w:tcPr>
            <w:tcW w:w="846" w:type="dxa"/>
            <w:shd w:val="clear" w:color="auto" w:fill="FF0000"/>
            <w:noWrap/>
            <w:hideMark/>
          </w:tcPr>
          <w:p w14:paraId="6EEEA7E2"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53</w:t>
            </w:r>
          </w:p>
        </w:tc>
        <w:tc>
          <w:tcPr>
            <w:tcW w:w="1711" w:type="dxa"/>
          </w:tcPr>
          <w:p w14:paraId="54AB815C"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528E94CA"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Anonymous</w:t>
            </w:r>
          </w:p>
        </w:tc>
        <w:tc>
          <w:tcPr>
            <w:tcW w:w="4394" w:type="dxa"/>
            <w:shd w:val="clear" w:color="auto" w:fill="auto"/>
            <w:noWrap/>
            <w:hideMark/>
          </w:tcPr>
          <w:p w14:paraId="42EEF894"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State and territory government</w:t>
            </w:r>
          </w:p>
        </w:tc>
      </w:tr>
      <w:tr w:rsidR="00E9326E" w:rsidRPr="00E9326E" w14:paraId="5D9AEB2A" w14:textId="77777777" w:rsidTr="00E9326E">
        <w:trPr>
          <w:trHeight w:val="300"/>
          <w:jc w:val="right"/>
        </w:trPr>
        <w:tc>
          <w:tcPr>
            <w:tcW w:w="846" w:type="dxa"/>
            <w:shd w:val="clear" w:color="auto" w:fill="auto"/>
            <w:noWrap/>
            <w:hideMark/>
          </w:tcPr>
          <w:p w14:paraId="2A10EC78"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54</w:t>
            </w:r>
          </w:p>
        </w:tc>
        <w:tc>
          <w:tcPr>
            <w:tcW w:w="1711" w:type="dxa"/>
          </w:tcPr>
          <w:p w14:paraId="664C7D80"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850533137</w:t>
            </w:r>
          </w:p>
          <w:p w14:paraId="1F778366"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46F8A91C"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Salvation Army Aged Care</w:t>
            </w:r>
          </w:p>
        </w:tc>
        <w:tc>
          <w:tcPr>
            <w:tcW w:w="4394" w:type="dxa"/>
            <w:shd w:val="clear" w:color="auto" w:fill="auto"/>
            <w:noWrap/>
            <w:hideMark/>
          </w:tcPr>
          <w:p w14:paraId="4C7C74D5"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w:t>
            </w:r>
          </w:p>
        </w:tc>
      </w:tr>
      <w:tr w:rsidR="00E9326E" w:rsidRPr="00E9326E" w14:paraId="5F838928" w14:textId="77777777" w:rsidTr="00E9326E">
        <w:trPr>
          <w:trHeight w:val="300"/>
          <w:jc w:val="right"/>
        </w:trPr>
        <w:tc>
          <w:tcPr>
            <w:tcW w:w="846" w:type="dxa"/>
            <w:shd w:val="clear" w:color="auto" w:fill="FF0000"/>
            <w:noWrap/>
            <w:hideMark/>
          </w:tcPr>
          <w:p w14:paraId="1B3C97A8"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55</w:t>
            </w:r>
          </w:p>
        </w:tc>
        <w:tc>
          <w:tcPr>
            <w:tcW w:w="1711" w:type="dxa"/>
          </w:tcPr>
          <w:p w14:paraId="7E92C2FF"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5F4FAEF7"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Anonymous</w:t>
            </w:r>
          </w:p>
        </w:tc>
        <w:tc>
          <w:tcPr>
            <w:tcW w:w="4394" w:type="dxa"/>
            <w:shd w:val="clear" w:color="auto" w:fill="auto"/>
            <w:noWrap/>
            <w:hideMark/>
          </w:tcPr>
          <w:p w14:paraId="0EF81D2A"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State and territory government</w:t>
            </w:r>
          </w:p>
        </w:tc>
      </w:tr>
      <w:tr w:rsidR="00E9326E" w:rsidRPr="00E9326E" w14:paraId="3F2DA546" w14:textId="77777777" w:rsidTr="00E9326E">
        <w:trPr>
          <w:trHeight w:val="300"/>
          <w:jc w:val="right"/>
        </w:trPr>
        <w:tc>
          <w:tcPr>
            <w:tcW w:w="846" w:type="dxa"/>
            <w:shd w:val="clear" w:color="auto" w:fill="auto"/>
            <w:noWrap/>
            <w:hideMark/>
          </w:tcPr>
          <w:p w14:paraId="5431A683"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56</w:t>
            </w:r>
          </w:p>
        </w:tc>
        <w:tc>
          <w:tcPr>
            <w:tcW w:w="1711" w:type="dxa"/>
            <w:vAlign w:val="bottom"/>
          </w:tcPr>
          <w:p w14:paraId="314AC15C" w14:textId="77777777" w:rsidR="00E9326E" w:rsidRDefault="00E9326E" w:rsidP="00614019">
            <w:pPr>
              <w:rPr>
                <w:rFonts w:ascii="Calibri" w:hAnsi="Calibri" w:cs="Calibri"/>
                <w:color w:val="000000"/>
                <w:sz w:val="20"/>
                <w:szCs w:val="20"/>
                <w:lang w:eastAsia="en-US"/>
              </w:rPr>
            </w:pPr>
            <w:r w:rsidRPr="00E9326E">
              <w:rPr>
                <w:rFonts w:ascii="Calibri" w:hAnsi="Calibri" w:cs="Calibri"/>
                <w:color w:val="000000"/>
                <w:sz w:val="20"/>
                <w:szCs w:val="20"/>
                <w:lang w:eastAsia="en-US"/>
              </w:rPr>
              <w:t>850533137</w:t>
            </w:r>
          </w:p>
          <w:p w14:paraId="065D9EC4" w14:textId="77777777" w:rsidR="00614019" w:rsidRDefault="00614019" w:rsidP="00614019">
            <w:pPr>
              <w:rPr>
                <w:rFonts w:ascii="Calibri" w:hAnsi="Calibri" w:cs="Calibri"/>
                <w:color w:val="000000"/>
                <w:sz w:val="20"/>
                <w:szCs w:val="20"/>
                <w:lang w:eastAsia="en-US"/>
              </w:rPr>
            </w:pPr>
          </w:p>
          <w:p w14:paraId="0FCDC769" w14:textId="762BB8CE" w:rsidR="00614019" w:rsidRPr="00E9326E" w:rsidRDefault="00614019" w:rsidP="00614019">
            <w:pPr>
              <w:rPr>
                <w:rFonts w:ascii="Calibri" w:hAnsi="Calibri" w:cs="Calibri"/>
                <w:sz w:val="20"/>
                <w:szCs w:val="20"/>
                <w:lang w:eastAsia="en-US"/>
              </w:rPr>
            </w:pPr>
          </w:p>
        </w:tc>
        <w:tc>
          <w:tcPr>
            <w:tcW w:w="2693" w:type="dxa"/>
            <w:shd w:val="clear" w:color="auto" w:fill="auto"/>
            <w:noWrap/>
            <w:hideMark/>
          </w:tcPr>
          <w:p w14:paraId="6467B61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Wintringham</w:t>
            </w:r>
          </w:p>
        </w:tc>
        <w:tc>
          <w:tcPr>
            <w:tcW w:w="4394" w:type="dxa"/>
            <w:shd w:val="clear" w:color="auto" w:fill="auto"/>
            <w:noWrap/>
            <w:hideMark/>
          </w:tcPr>
          <w:p w14:paraId="79C2BF31"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Approved provider of residential aged care and home care; Provider of private aged care or seniors accommodation</w:t>
            </w:r>
          </w:p>
        </w:tc>
      </w:tr>
      <w:tr w:rsidR="00E9326E" w:rsidRPr="00E9326E" w14:paraId="4E7DDD6E" w14:textId="77777777" w:rsidTr="00E9326E">
        <w:trPr>
          <w:trHeight w:val="300"/>
          <w:jc w:val="right"/>
        </w:trPr>
        <w:tc>
          <w:tcPr>
            <w:tcW w:w="846" w:type="dxa"/>
            <w:shd w:val="clear" w:color="auto" w:fill="auto"/>
            <w:noWrap/>
            <w:hideMark/>
          </w:tcPr>
          <w:p w14:paraId="552A4C9D"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57</w:t>
            </w:r>
          </w:p>
        </w:tc>
        <w:tc>
          <w:tcPr>
            <w:tcW w:w="1711" w:type="dxa"/>
            <w:vAlign w:val="bottom"/>
          </w:tcPr>
          <w:p w14:paraId="52CA093D"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850533137</w:t>
            </w:r>
          </w:p>
        </w:tc>
        <w:tc>
          <w:tcPr>
            <w:tcW w:w="2693" w:type="dxa"/>
            <w:shd w:val="clear" w:color="auto" w:fill="auto"/>
            <w:noWrap/>
            <w:hideMark/>
          </w:tcPr>
          <w:p w14:paraId="2BD139B6"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AMA</w:t>
            </w:r>
          </w:p>
        </w:tc>
        <w:tc>
          <w:tcPr>
            <w:tcW w:w="4394" w:type="dxa"/>
            <w:shd w:val="clear" w:color="auto" w:fill="auto"/>
            <w:noWrap/>
            <w:hideMark/>
          </w:tcPr>
          <w:p w14:paraId="149FB8B6"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Health</w:t>
            </w:r>
          </w:p>
        </w:tc>
      </w:tr>
      <w:tr w:rsidR="00E9326E" w:rsidRPr="00E9326E" w14:paraId="2A2FE9F1" w14:textId="77777777" w:rsidTr="00E9326E">
        <w:trPr>
          <w:trHeight w:val="300"/>
          <w:jc w:val="right"/>
        </w:trPr>
        <w:tc>
          <w:tcPr>
            <w:tcW w:w="846" w:type="dxa"/>
            <w:shd w:val="clear" w:color="auto" w:fill="FF0000"/>
            <w:noWrap/>
            <w:hideMark/>
          </w:tcPr>
          <w:p w14:paraId="4DA4B175"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58</w:t>
            </w:r>
          </w:p>
        </w:tc>
        <w:tc>
          <w:tcPr>
            <w:tcW w:w="1711" w:type="dxa"/>
          </w:tcPr>
          <w:p w14:paraId="4238AFF1"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13C2939C"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Anonymous</w:t>
            </w:r>
          </w:p>
        </w:tc>
        <w:tc>
          <w:tcPr>
            <w:tcW w:w="4394" w:type="dxa"/>
            <w:shd w:val="clear" w:color="auto" w:fill="auto"/>
            <w:noWrap/>
            <w:hideMark/>
          </w:tcPr>
          <w:p w14:paraId="2AA58018"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Peak body  - Aged care providers</w:t>
            </w:r>
          </w:p>
        </w:tc>
      </w:tr>
      <w:tr w:rsidR="00E9326E" w:rsidRPr="00E9326E" w14:paraId="6D8E9672" w14:textId="77777777" w:rsidTr="00E9326E">
        <w:trPr>
          <w:trHeight w:val="300"/>
          <w:jc w:val="right"/>
        </w:trPr>
        <w:tc>
          <w:tcPr>
            <w:tcW w:w="846" w:type="dxa"/>
            <w:shd w:val="clear" w:color="auto" w:fill="auto"/>
            <w:noWrap/>
            <w:hideMark/>
          </w:tcPr>
          <w:p w14:paraId="0B2E987F"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59</w:t>
            </w:r>
          </w:p>
        </w:tc>
        <w:tc>
          <w:tcPr>
            <w:tcW w:w="1711" w:type="dxa"/>
          </w:tcPr>
          <w:p w14:paraId="159D00BA"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736645707</w:t>
            </w:r>
          </w:p>
          <w:p w14:paraId="4331A913" w14:textId="77777777" w:rsidR="00E9326E" w:rsidRPr="00E9326E" w:rsidRDefault="00E9326E" w:rsidP="00614019">
            <w:pPr>
              <w:rPr>
                <w:rFonts w:ascii="Calibri" w:hAnsi="Calibri" w:cs="Calibri"/>
                <w:sz w:val="20"/>
                <w:szCs w:val="20"/>
              </w:rPr>
            </w:pPr>
          </w:p>
        </w:tc>
        <w:tc>
          <w:tcPr>
            <w:tcW w:w="2693" w:type="dxa"/>
            <w:shd w:val="clear" w:color="auto" w:fill="auto"/>
            <w:noWrap/>
            <w:hideMark/>
          </w:tcPr>
          <w:p w14:paraId="63301F02" w14:textId="77777777" w:rsidR="00E9326E" w:rsidRPr="00E9326E" w:rsidRDefault="00E9326E" w:rsidP="00614019">
            <w:pPr>
              <w:rPr>
                <w:rFonts w:ascii="Calibri" w:hAnsi="Calibri" w:cs="Calibri"/>
                <w:sz w:val="20"/>
                <w:szCs w:val="20"/>
              </w:rPr>
            </w:pPr>
            <w:r w:rsidRPr="00E9326E">
              <w:rPr>
                <w:rFonts w:ascii="Calibri" w:hAnsi="Calibri" w:cs="Calibri"/>
                <w:sz w:val="20"/>
                <w:szCs w:val="20"/>
              </w:rPr>
              <w:t>Uniting NSW.ACT</w:t>
            </w:r>
          </w:p>
        </w:tc>
        <w:tc>
          <w:tcPr>
            <w:tcW w:w="4394" w:type="dxa"/>
            <w:shd w:val="clear" w:color="auto" w:fill="auto"/>
            <w:noWrap/>
            <w:hideMark/>
          </w:tcPr>
          <w:p w14:paraId="48227927" w14:textId="77777777" w:rsidR="00E9326E" w:rsidRPr="00E9326E" w:rsidRDefault="00E9326E" w:rsidP="00614019">
            <w:pPr>
              <w:rPr>
                <w:rFonts w:ascii="Calibri" w:hAnsi="Calibri" w:cs="Calibri"/>
                <w:sz w:val="20"/>
                <w:szCs w:val="20"/>
                <w:lang w:eastAsia="en-US"/>
              </w:rPr>
            </w:pPr>
            <w:r w:rsidRPr="00E9326E">
              <w:rPr>
                <w:rFonts w:ascii="Calibri" w:hAnsi="Calibri" w:cs="Calibri"/>
                <w:color w:val="000000"/>
                <w:sz w:val="20"/>
                <w:szCs w:val="20"/>
                <w:lang w:eastAsia="en-US"/>
              </w:rPr>
              <w:t>Approved provider of residential aged care and home care</w:t>
            </w:r>
          </w:p>
        </w:tc>
      </w:tr>
    </w:tbl>
    <w:p w14:paraId="122E85FC" w14:textId="77777777" w:rsidR="00E9326E" w:rsidRPr="00E9326E" w:rsidRDefault="00E9326E" w:rsidP="00E9326E">
      <w:pPr>
        <w:snapToGrid w:val="0"/>
        <w:spacing w:after="120"/>
        <w:rPr>
          <w:rFonts w:ascii="Calibri" w:hAnsi="Calibri" w:cs="Calibri"/>
          <w:color w:val="000000"/>
          <w:sz w:val="2"/>
          <w:szCs w:val="22"/>
          <w:lang w:eastAsia="en-U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tblGrid>
      <w:tr w:rsidR="00E9326E" w:rsidRPr="00E9326E" w14:paraId="3DA8F2AC" w14:textId="77777777" w:rsidTr="00266775">
        <w:trPr>
          <w:trHeight w:val="300"/>
        </w:trPr>
        <w:tc>
          <w:tcPr>
            <w:tcW w:w="851" w:type="dxa"/>
            <w:tcBorders>
              <w:bottom w:val="single" w:sz="4" w:space="0" w:color="auto"/>
            </w:tcBorders>
            <w:shd w:val="clear" w:color="auto" w:fill="FF0000"/>
            <w:noWrap/>
            <w:hideMark/>
          </w:tcPr>
          <w:p w14:paraId="1DD6BDAF" w14:textId="77777777" w:rsidR="00E9326E" w:rsidRPr="00E9326E" w:rsidRDefault="00E9326E" w:rsidP="00E9326E">
            <w:pPr>
              <w:rPr>
                <w:rFonts w:ascii="Calibri" w:hAnsi="Calibri" w:cs="Calibri"/>
                <w:sz w:val="18"/>
                <w:szCs w:val="22"/>
              </w:rPr>
            </w:pPr>
          </w:p>
        </w:tc>
        <w:tc>
          <w:tcPr>
            <w:tcW w:w="8788" w:type="dxa"/>
            <w:tcBorders>
              <w:bottom w:val="single" w:sz="4" w:space="0" w:color="auto"/>
            </w:tcBorders>
            <w:shd w:val="clear" w:color="auto" w:fill="auto"/>
            <w:noWrap/>
            <w:hideMark/>
          </w:tcPr>
          <w:p w14:paraId="5237B1B3" w14:textId="77777777" w:rsidR="00E9326E" w:rsidRPr="00E9326E" w:rsidRDefault="00E9326E" w:rsidP="00E9326E">
            <w:pPr>
              <w:rPr>
                <w:rFonts w:ascii="Calibri" w:hAnsi="Calibri" w:cs="Calibri"/>
                <w:sz w:val="18"/>
                <w:szCs w:val="22"/>
              </w:rPr>
            </w:pPr>
            <w:r w:rsidRPr="00E9326E">
              <w:rPr>
                <w:rFonts w:ascii="Calibri" w:hAnsi="Calibri" w:cs="Calibri"/>
                <w:sz w:val="18"/>
                <w:szCs w:val="22"/>
              </w:rPr>
              <w:t>Denotes respondent did not provide consent to publish</w:t>
            </w:r>
          </w:p>
        </w:tc>
      </w:tr>
      <w:tr w:rsidR="00E9326E" w:rsidRPr="00E9326E" w14:paraId="2B0B7979" w14:textId="77777777" w:rsidTr="00266775">
        <w:trPr>
          <w:trHeight w:val="300"/>
        </w:trPr>
        <w:tc>
          <w:tcPr>
            <w:tcW w:w="851" w:type="dxa"/>
            <w:tcBorders>
              <w:bottom w:val="single" w:sz="4" w:space="0" w:color="auto"/>
            </w:tcBorders>
            <w:shd w:val="clear" w:color="auto" w:fill="00B0F0"/>
            <w:noWrap/>
            <w:hideMark/>
          </w:tcPr>
          <w:p w14:paraId="157297BD" w14:textId="77777777" w:rsidR="00E9326E" w:rsidRPr="00E9326E" w:rsidRDefault="00E9326E" w:rsidP="00E9326E">
            <w:pPr>
              <w:rPr>
                <w:rFonts w:ascii="Calibri" w:hAnsi="Calibri" w:cs="Calibri"/>
                <w:sz w:val="18"/>
                <w:szCs w:val="22"/>
              </w:rPr>
            </w:pPr>
          </w:p>
        </w:tc>
        <w:tc>
          <w:tcPr>
            <w:tcW w:w="8788" w:type="dxa"/>
            <w:tcBorders>
              <w:bottom w:val="single" w:sz="4" w:space="0" w:color="auto"/>
            </w:tcBorders>
            <w:shd w:val="clear" w:color="auto" w:fill="auto"/>
            <w:noWrap/>
            <w:hideMark/>
          </w:tcPr>
          <w:p w14:paraId="6833ECAC" w14:textId="77777777" w:rsidR="00E9326E" w:rsidRPr="00E9326E" w:rsidRDefault="00E9326E" w:rsidP="00E9326E">
            <w:pPr>
              <w:rPr>
                <w:rFonts w:ascii="Calibri" w:hAnsi="Calibri" w:cs="Calibri"/>
                <w:sz w:val="18"/>
                <w:szCs w:val="22"/>
              </w:rPr>
            </w:pPr>
            <w:r w:rsidRPr="00E9326E">
              <w:rPr>
                <w:rFonts w:ascii="Calibri" w:hAnsi="Calibri" w:cs="Calibri"/>
                <w:sz w:val="18"/>
                <w:szCs w:val="22"/>
              </w:rPr>
              <w:t>Denotes respondent provided consent for anonymous publishing</w:t>
            </w:r>
          </w:p>
        </w:tc>
      </w:tr>
      <w:tr w:rsidR="00266775" w:rsidRPr="00E9326E" w14:paraId="12E0EF10" w14:textId="77777777" w:rsidTr="00266775">
        <w:trPr>
          <w:trHeight w:val="226"/>
        </w:trPr>
        <w:tc>
          <w:tcPr>
            <w:tcW w:w="9639" w:type="dxa"/>
            <w:gridSpan w:val="2"/>
            <w:tcBorders>
              <w:top w:val="single" w:sz="4" w:space="0" w:color="auto"/>
              <w:left w:val="nil"/>
              <w:bottom w:val="nil"/>
              <w:right w:val="nil"/>
            </w:tcBorders>
            <w:shd w:val="clear" w:color="auto" w:fill="auto"/>
            <w:noWrap/>
          </w:tcPr>
          <w:p w14:paraId="5D2C8408" w14:textId="77777777" w:rsidR="00266775" w:rsidRDefault="00266775" w:rsidP="00E9326E">
            <w:pPr>
              <w:rPr>
                <w:rFonts w:ascii="Calibri" w:hAnsi="Calibri" w:cs="Calibri"/>
                <w:sz w:val="18"/>
                <w:szCs w:val="22"/>
              </w:rPr>
            </w:pPr>
          </w:p>
          <w:p w14:paraId="15282993" w14:textId="6D7549E2" w:rsidR="00266775" w:rsidRDefault="00266775" w:rsidP="00E9326E">
            <w:pPr>
              <w:rPr>
                <w:rFonts w:ascii="Calibri" w:hAnsi="Calibri" w:cs="Calibri"/>
                <w:sz w:val="18"/>
                <w:szCs w:val="22"/>
              </w:rPr>
            </w:pPr>
            <w:r>
              <w:rPr>
                <w:rFonts w:ascii="Calibri" w:hAnsi="Calibri" w:cs="Calibri"/>
                <w:sz w:val="18"/>
                <w:szCs w:val="22"/>
              </w:rPr>
              <w:t xml:space="preserve">Written submissions, where consent provided to publish, are available on the department’s website: </w:t>
            </w:r>
            <w:hyperlink r:id="rId36" w:history="1">
              <w:r w:rsidRPr="00266775">
                <w:rPr>
                  <w:rStyle w:val="Hyperlink"/>
                  <w:rFonts w:ascii="Calibri" w:hAnsi="Calibri" w:cs="Calibri"/>
                  <w:sz w:val="18"/>
                  <w:szCs w:val="22"/>
                </w:rPr>
                <w:t>consultations.health.gov.au/aged-care-policy-and-regulation/alternative-allocation-models-residential-care/</w:t>
              </w:r>
            </w:hyperlink>
          </w:p>
          <w:p w14:paraId="73976A96" w14:textId="5DE7800C" w:rsidR="00266775" w:rsidRPr="00E9326E" w:rsidRDefault="00266775" w:rsidP="00E9326E">
            <w:pPr>
              <w:rPr>
                <w:rFonts w:ascii="Calibri" w:hAnsi="Calibri" w:cs="Calibri"/>
                <w:sz w:val="18"/>
                <w:szCs w:val="22"/>
              </w:rPr>
            </w:pPr>
          </w:p>
        </w:tc>
      </w:tr>
    </w:tbl>
    <w:p w14:paraId="723FDB84" w14:textId="0F41D11C" w:rsidR="00E9326E" w:rsidRPr="00E9326E" w:rsidRDefault="00266775" w:rsidP="00E9326E">
      <w:pPr>
        <w:snapToGrid w:val="0"/>
        <w:spacing w:after="120"/>
        <w:rPr>
          <w:rFonts w:ascii="Calibri" w:hAnsi="Calibri" w:cs="Calibri"/>
          <w:color w:val="000000"/>
          <w:sz w:val="2"/>
          <w:szCs w:val="22"/>
          <w:lang w:eastAsia="en-US"/>
        </w:rPr>
      </w:pPr>
      <w:r>
        <w:rPr>
          <w:rFonts w:ascii="Calibri" w:hAnsi="Calibri" w:cs="Calibri"/>
          <w:color w:val="000000"/>
          <w:sz w:val="2"/>
          <w:szCs w:val="22"/>
          <w:lang w:eastAsia="en-US"/>
        </w:rPr>
        <w:t>dfdfdf</w:t>
      </w:r>
    </w:p>
    <w:p w14:paraId="36FF27F9" w14:textId="77777777" w:rsidR="00E9326E" w:rsidRPr="00E9326E" w:rsidRDefault="00E9326E" w:rsidP="004B2D48">
      <w:pPr>
        <w:pStyle w:val="Heading1"/>
        <w:rPr>
          <w:lang w:eastAsia="en-US"/>
        </w:rPr>
      </w:pPr>
      <w:r w:rsidRPr="00E9326E">
        <w:rPr>
          <w:lang w:eastAsia="en-US"/>
        </w:rPr>
        <w:lastRenderedPageBreak/>
        <w:t>Appendix D: Attendees of consultation forums, teleconferences and bilateral meetings</w:t>
      </w:r>
    </w:p>
    <w:p w14:paraId="75AD5897" w14:textId="77777777" w:rsidR="00E9326E" w:rsidRPr="00E9326E" w:rsidRDefault="00E9326E" w:rsidP="00E9326E">
      <w:pPr>
        <w:snapToGrid w:val="0"/>
        <w:spacing w:after="120"/>
        <w:rPr>
          <w:rFonts w:ascii="Calibri" w:hAnsi="Calibri" w:cs="Calibri"/>
          <w:color w:val="000000"/>
          <w:sz w:val="22"/>
          <w:szCs w:val="22"/>
          <w:lang w:eastAsia="en-US"/>
        </w:rPr>
      </w:pPr>
    </w:p>
    <w:p w14:paraId="162C9098" w14:textId="77777777" w:rsidR="00E9326E" w:rsidRPr="00E9326E" w:rsidRDefault="00E9326E" w:rsidP="00E9326E">
      <w:pPr>
        <w:numPr>
          <w:ilvl w:val="0"/>
          <w:numId w:val="52"/>
        </w:numPr>
        <w:snapToGrid w:val="0"/>
        <w:spacing w:after="160" w:line="259" w:lineRule="auto"/>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 xml:space="preserve">Face-to-face forums in each capital city facilitated by Professor Michael Woods and Grant Corderoy (3-hour sessions) – morning and afternoon sessions held in major capital cities where sufficient levels of interest. </w:t>
      </w:r>
    </w:p>
    <w:p w14:paraId="46B3D4E2" w14:textId="77777777" w:rsidR="00E9326E" w:rsidRPr="00E9326E" w:rsidRDefault="00E9326E" w:rsidP="00E9326E">
      <w:pPr>
        <w:numPr>
          <w:ilvl w:val="0"/>
          <w:numId w:val="52"/>
        </w:numPr>
        <w:snapToGrid w:val="0"/>
        <w:spacing w:after="160" w:line="259" w:lineRule="auto"/>
        <w:contextualSpacing/>
        <w:rPr>
          <w:rFonts w:ascii="Calibri" w:eastAsia="Calibri" w:hAnsi="Calibri"/>
          <w:b/>
          <w:color w:val="000000"/>
          <w:sz w:val="22"/>
          <w:szCs w:val="22"/>
          <w:lang w:val="en-US" w:eastAsia="en-US"/>
        </w:rPr>
      </w:pPr>
      <w:r w:rsidRPr="00E9326E">
        <w:rPr>
          <w:rFonts w:ascii="Calibri" w:eastAsia="Calibri" w:hAnsi="Calibri"/>
          <w:color w:val="000000"/>
          <w:sz w:val="22"/>
          <w:szCs w:val="22"/>
          <w:lang w:val="en-US" w:eastAsia="en-US"/>
        </w:rPr>
        <w:t>Two teleconferences (1.5 hour) with non-metropolitan stakeholders and other stakeholders unable to attend a forum.</w:t>
      </w:r>
    </w:p>
    <w:p w14:paraId="7BFACEBF" w14:textId="1B999674" w:rsidR="00E9326E" w:rsidRPr="00E9326E" w:rsidRDefault="00E9326E" w:rsidP="00E9326E">
      <w:pPr>
        <w:numPr>
          <w:ilvl w:val="0"/>
          <w:numId w:val="52"/>
        </w:numPr>
        <w:snapToGrid w:val="0"/>
        <w:spacing w:after="120"/>
        <w:rPr>
          <w:rFonts w:ascii="Calibri" w:eastAsia="Calibri" w:hAnsi="Calibri" w:cs="Calibri"/>
          <w:color w:val="000000"/>
          <w:sz w:val="22"/>
          <w:lang w:val="en-US" w:eastAsia="en-US"/>
        </w:rPr>
      </w:pPr>
      <w:r w:rsidRPr="00E9326E">
        <w:rPr>
          <w:rFonts w:ascii="Calibri" w:eastAsia="Calibri" w:hAnsi="Calibri" w:cs="Calibri"/>
          <w:color w:val="000000"/>
          <w:sz w:val="22"/>
          <w:lang w:val="en-US" w:eastAsia="en-US"/>
        </w:rPr>
        <w:t>Supplementary bilateral meetings (up to one-hour) were held with some stakeholders who were interested and available, which included individuals who did not attend a forum.</w:t>
      </w:r>
    </w:p>
    <w:p w14:paraId="5FDA5DC3" w14:textId="77777777" w:rsidR="00E9326E" w:rsidRPr="00E9326E" w:rsidRDefault="00E9326E" w:rsidP="00E9326E">
      <w:pPr>
        <w:snapToGrid w:val="0"/>
        <w:spacing w:after="120"/>
        <w:rPr>
          <w:rFonts w:ascii="Calibri" w:hAnsi="Calibri" w:cs="Calibri"/>
          <w:color w:val="000000"/>
          <w:sz w:val="22"/>
          <w:szCs w:val="22"/>
          <w:lang w:eastAsia="en-US"/>
        </w:rPr>
      </w:pPr>
    </w:p>
    <w:p w14:paraId="574BDCBA"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There was an expression of interest process to seek attendees for the forums and teleconferences, promoted through the department’s standard aged care bulk email alerts, and via key sector advisory bodies and peak groups. All stakeholders who expressed interest in attending were invited. </w:t>
      </w:r>
    </w:p>
    <w:p w14:paraId="145FB213" w14:textId="77777777" w:rsidR="00E9326E" w:rsidRPr="00E9326E" w:rsidRDefault="00E9326E" w:rsidP="00E9326E">
      <w:pPr>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The departmental secretariat and departmental representatives from each state and territory office also attended respective consultation forums. </w:t>
      </w:r>
    </w:p>
    <w:p w14:paraId="363F48F6"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br w:type="page"/>
      </w:r>
    </w:p>
    <w:p w14:paraId="34DED8D7"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lastRenderedPageBreak/>
        <w:t>Perth consultation forums (morning and afternoon sessions held): 12 August 2019</w:t>
      </w:r>
    </w:p>
    <w:tbl>
      <w:tblPr>
        <w:tblW w:w="8647" w:type="dxa"/>
        <w:tblInd w:w="-10" w:type="dxa"/>
        <w:tblLook w:val="04A0" w:firstRow="1" w:lastRow="0" w:firstColumn="1" w:lastColumn="0" w:noHBand="0" w:noVBand="1"/>
      </w:tblPr>
      <w:tblGrid>
        <w:gridCol w:w="8647"/>
      </w:tblGrid>
      <w:tr w:rsidR="00E9326E" w:rsidRPr="00E9326E" w14:paraId="57C5C5C8" w14:textId="77777777" w:rsidTr="00E9326E">
        <w:trPr>
          <w:trHeight w:val="315"/>
        </w:trPr>
        <w:tc>
          <w:tcPr>
            <w:tcW w:w="8647" w:type="dxa"/>
            <w:shd w:val="clear" w:color="auto" w:fill="auto"/>
            <w:noWrap/>
            <w:vAlign w:val="center"/>
            <w:hideMark/>
          </w:tcPr>
          <w:p w14:paraId="643170E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Amana Living</w:t>
            </w:r>
          </w:p>
        </w:tc>
      </w:tr>
      <w:tr w:rsidR="00E9326E" w:rsidRPr="00E9326E" w14:paraId="3BCF599A" w14:textId="77777777" w:rsidTr="00E9326E">
        <w:trPr>
          <w:trHeight w:val="330"/>
        </w:trPr>
        <w:tc>
          <w:tcPr>
            <w:tcW w:w="8647" w:type="dxa"/>
            <w:shd w:val="clear" w:color="auto" w:fill="auto"/>
            <w:noWrap/>
            <w:vAlign w:val="center"/>
            <w:hideMark/>
          </w:tcPr>
          <w:p w14:paraId="59415E6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 xml:space="preserve">Baptistcare WA </w:t>
            </w:r>
          </w:p>
        </w:tc>
      </w:tr>
      <w:tr w:rsidR="00E9326E" w:rsidRPr="00E9326E" w14:paraId="3F97174B" w14:textId="77777777" w:rsidTr="00E9326E">
        <w:trPr>
          <w:trHeight w:val="315"/>
        </w:trPr>
        <w:tc>
          <w:tcPr>
            <w:tcW w:w="8647" w:type="dxa"/>
            <w:shd w:val="clear" w:color="auto" w:fill="auto"/>
            <w:noWrap/>
            <w:vAlign w:val="center"/>
            <w:hideMark/>
          </w:tcPr>
          <w:p w14:paraId="1CAD4E07"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Bethanie Group</w:t>
            </w:r>
          </w:p>
        </w:tc>
      </w:tr>
      <w:tr w:rsidR="00E9326E" w:rsidRPr="00E9326E" w14:paraId="281E8FF1" w14:textId="77777777" w:rsidTr="00E9326E">
        <w:trPr>
          <w:trHeight w:val="315"/>
        </w:trPr>
        <w:tc>
          <w:tcPr>
            <w:tcW w:w="8647" w:type="dxa"/>
            <w:shd w:val="clear" w:color="auto" w:fill="auto"/>
            <w:noWrap/>
            <w:vAlign w:val="center"/>
            <w:hideMark/>
          </w:tcPr>
          <w:p w14:paraId="22656D4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Braemar Presbyterian Care</w:t>
            </w:r>
          </w:p>
        </w:tc>
      </w:tr>
      <w:tr w:rsidR="00E9326E" w:rsidRPr="00E9326E" w14:paraId="0057990F" w14:textId="77777777" w:rsidTr="00E9326E">
        <w:trPr>
          <w:trHeight w:val="315"/>
        </w:trPr>
        <w:tc>
          <w:tcPr>
            <w:tcW w:w="8647" w:type="dxa"/>
            <w:shd w:val="clear" w:color="auto" w:fill="auto"/>
            <w:noWrap/>
            <w:vAlign w:val="center"/>
            <w:hideMark/>
          </w:tcPr>
          <w:p w14:paraId="3784E525"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Brightwater Care Group</w:t>
            </w:r>
          </w:p>
        </w:tc>
      </w:tr>
      <w:tr w:rsidR="00E9326E" w:rsidRPr="00E9326E" w14:paraId="3C72015D" w14:textId="77777777" w:rsidTr="00E9326E">
        <w:trPr>
          <w:trHeight w:val="315"/>
        </w:trPr>
        <w:tc>
          <w:tcPr>
            <w:tcW w:w="8647" w:type="dxa"/>
            <w:shd w:val="clear" w:color="auto" w:fill="auto"/>
            <w:noWrap/>
            <w:vAlign w:val="center"/>
            <w:hideMark/>
          </w:tcPr>
          <w:p w14:paraId="3B97750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Catholic Homes</w:t>
            </w:r>
          </w:p>
        </w:tc>
      </w:tr>
      <w:tr w:rsidR="00E9326E" w:rsidRPr="00E9326E" w14:paraId="49B3FF4D" w14:textId="77777777" w:rsidTr="00E9326E">
        <w:trPr>
          <w:trHeight w:val="315"/>
        </w:trPr>
        <w:tc>
          <w:tcPr>
            <w:tcW w:w="8647" w:type="dxa"/>
            <w:shd w:val="clear" w:color="auto" w:fill="auto"/>
            <w:noWrap/>
            <w:vAlign w:val="center"/>
            <w:hideMark/>
          </w:tcPr>
          <w:p w14:paraId="7CAB10E4"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Commonwealth Bank of Australia</w:t>
            </w:r>
          </w:p>
        </w:tc>
      </w:tr>
      <w:tr w:rsidR="00E9326E" w:rsidRPr="00E9326E" w14:paraId="151F21ED" w14:textId="77777777" w:rsidTr="00E9326E">
        <w:trPr>
          <w:trHeight w:val="315"/>
        </w:trPr>
        <w:tc>
          <w:tcPr>
            <w:tcW w:w="8647" w:type="dxa"/>
            <w:shd w:val="clear" w:color="auto" w:fill="auto"/>
            <w:noWrap/>
            <w:vAlign w:val="center"/>
            <w:hideMark/>
          </w:tcPr>
          <w:p w14:paraId="19560C3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Coolibah Care</w:t>
            </w:r>
          </w:p>
        </w:tc>
      </w:tr>
      <w:tr w:rsidR="00E9326E" w:rsidRPr="00E9326E" w14:paraId="55146C43" w14:textId="77777777" w:rsidTr="00E9326E">
        <w:trPr>
          <w:trHeight w:val="315"/>
        </w:trPr>
        <w:tc>
          <w:tcPr>
            <w:tcW w:w="8647" w:type="dxa"/>
            <w:shd w:val="clear" w:color="auto" w:fill="auto"/>
            <w:noWrap/>
            <w:vAlign w:val="center"/>
            <w:hideMark/>
          </w:tcPr>
          <w:p w14:paraId="66653E50"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Dale Cottages Inc.</w:t>
            </w:r>
          </w:p>
        </w:tc>
      </w:tr>
      <w:tr w:rsidR="00E9326E" w:rsidRPr="00E9326E" w14:paraId="4D23D4D5" w14:textId="77777777" w:rsidTr="00E9326E">
        <w:trPr>
          <w:trHeight w:val="315"/>
        </w:trPr>
        <w:tc>
          <w:tcPr>
            <w:tcW w:w="8647" w:type="dxa"/>
            <w:shd w:val="clear" w:color="auto" w:fill="auto"/>
            <w:noWrap/>
            <w:vAlign w:val="center"/>
            <w:hideMark/>
          </w:tcPr>
          <w:p w14:paraId="0B8A2115"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Global Care Group Inc</w:t>
            </w:r>
          </w:p>
        </w:tc>
      </w:tr>
      <w:tr w:rsidR="00E9326E" w:rsidRPr="00E9326E" w14:paraId="4E818EEE" w14:textId="77777777" w:rsidTr="00E9326E">
        <w:trPr>
          <w:trHeight w:val="315"/>
        </w:trPr>
        <w:tc>
          <w:tcPr>
            <w:tcW w:w="8647" w:type="dxa"/>
            <w:shd w:val="clear" w:color="auto" w:fill="auto"/>
            <w:noWrap/>
            <w:vAlign w:val="center"/>
            <w:hideMark/>
          </w:tcPr>
          <w:p w14:paraId="72A8BDA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Melville Cares</w:t>
            </w:r>
          </w:p>
        </w:tc>
      </w:tr>
      <w:tr w:rsidR="00E9326E" w:rsidRPr="00E9326E" w14:paraId="6DECAA77" w14:textId="77777777" w:rsidTr="00E9326E">
        <w:trPr>
          <w:trHeight w:val="315"/>
        </w:trPr>
        <w:tc>
          <w:tcPr>
            <w:tcW w:w="8647" w:type="dxa"/>
            <w:shd w:val="clear" w:color="auto" w:fill="auto"/>
            <w:noWrap/>
            <w:vAlign w:val="center"/>
            <w:hideMark/>
          </w:tcPr>
          <w:p w14:paraId="5B552EAE"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Mt La Verna Retirement Village</w:t>
            </w:r>
          </w:p>
        </w:tc>
      </w:tr>
      <w:tr w:rsidR="00E9326E" w:rsidRPr="00E9326E" w14:paraId="65EF1E54" w14:textId="77777777" w:rsidTr="00E9326E">
        <w:trPr>
          <w:trHeight w:val="315"/>
        </w:trPr>
        <w:tc>
          <w:tcPr>
            <w:tcW w:w="8647" w:type="dxa"/>
            <w:shd w:val="clear" w:color="auto" w:fill="auto"/>
            <w:noWrap/>
            <w:vAlign w:val="center"/>
            <w:hideMark/>
          </w:tcPr>
          <w:p w14:paraId="2B548E98"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Myvista</w:t>
            </w:r>
          </w:p>
        </w:tc>
      </w:tr>
      <w:tr w:rsidR="00E9326E" w:rsidRPr="00E9326E" w14:paraId="32B95ABC" w14:textId="77777777" w:rsidTr="00E9326E">
        <w:trPr>
          <w:trHeight w:val="315"/>
        </w:trPr>
        <w:tc>
          <w:tcPr>
            <w:tcW w:w="8647" w:type="dxa"/>
            <w:shd w:val="clear" w:color="auto" w:fill="auto"/>
            <w:noWrap/>
            <w:vAlign w:val="center"/>
            <w:hideMark/>
          </w:tcPr>
          <w:p w14:paraId="216B76C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Oryx Communities</w:t>
            </w:r>
          </w:p>
        </w:tc>
      </w:tr>
      <w:tr w:rsidR="00E9326E" w:rsidRPr="00E9326E" w14:paraId="5DD1AB2D" w14:textId="77777777" w:rsidTr="00E9326E">
        <w:trPr>
          <w:trHeight w:val="330"/>
        </w:trPr>
        <w:tc>
          <w:tcPr>
            <w:tcW w:w="8647" w:type="dxa"/>
            <w:shd w:val="clear" w:color="auto" w:fill="auto"/>
            <w:noWrap/>
            <w:vAlign w:val="center"/>
            <w:hideMark/>
          </w:tcPr>
          <w:p w14:paraId="0BDAA3FC"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Panetta McGrath</w:t>
            </w:r>
          </w:p>
        </w:tc>
      </w:tr>
      <w:tr w:rsidR="00E9326E" w:rsidRPr="00E9326E" w14:paraId="62F6E5BD" w14:textId="77777777" w:rsidTr="00E9326E">
        <w:trPr>
          <w:trHeight w:val="315"/>
        </w:trPr>
        <w:tc>
          <w:tcPr>
            <w:tcW w:w="8647" w:type="dxa"/>
            <w:shd w:val="clear" w:color="auto" w:fill="auto"/>
            <w:noWrap/>
            <w:vAlign w:val="center"/>
            <w:hideMark/>
          </w:tcPr>
          <w:p w14:paraId="4FA0B2C4"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Southern Cross Care (WA) Inc</w:t>
            </w:r>
          </w:p>
        </w:tc>
      </w:tr>
      <w:tr w:rsidR="00E9326E" w:rsidRPr="00E9326E" w14:paraId="6D67D392" w14:textId="77777777" w:rsidTr="00E9326E">
        <w:trPr>
          <w:trHeight w:val="315"/>
        </w:trPr>
        <w:tc>
          <w:tcPr>
            <w:tcW w:w="8647" w:type="dxa"/>
            <w:shd w:val="clear" w:color="auto" w:fill="auto"/>
            <w:noWrap/>
            <w:vAlign w:val="center"/>
            <w:hideMark/>
          </w:tcPr>
          <w:p w14:paraId="34D86A0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SwanCare</w:t>
            </w:r>
          </w:p>
        </w:tc>
      </w:tr>
      <w:tr w:rsidR="00E9326E" w:rsidRPr="00E9326E" w14:paraId="1EBB60F7" w14:textId="77777777" w:rsidTr="00E9326E">
        <w:trPr>
          <w:trHeight w:val="315"/>
        </w:trPr>
        <w:tc>
          <w:tcPr>
            <w:tcW w:w="8647" w:type="dxa"/>
            <w:shd w:val="clear" w:color="auto" w:fill="auto"/>
            <w:noWrap/>
            <w:vAlign w:val="center"/>
            <w:hideMark/>
          </w:tcPr>
          <w:p w14:paraId="432C8A1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WA Department of Health</w:t>
            </w:r>
          </w:p>
        </w:tc>
      </w:tr>
      <w:tr w:rsidR="00E9326E" w:rsidRPr="00E9326E" w14:paraId="760A29E1" w14:textId="77777777" w:rsidTr="00E9326E">
        <w:trPr>
          <w:trHeight w:val="315"/>
        </w:trPr>
        <w:tc>
          <w:tcPr>
            <w:tcW w:w="8647" w:type="dxa"/>
            <w:shd w:val="clear" w:color="auto" w:fill="auto"/>
            <w:noWrap/>
            <w:vAlign w:val="center"/>
            <w:hideMark/>
          </w:tcPr>
          <w:p w14:paraId="1583A2D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WA Local Government Association</w:t>
            </w:r>
          </w:p>
        </w:tc>
      </w:tr>
      <w:tr w:rsidR="00E9326E" w:rsidRPr="00E9326E" w14:paraId="2BC42711" w14:textId="77777777" w:rsidTr="00E9326E">
        <w:trPr>
          <w:trHeight w:val="315"/>
        </w:trPr>
        <w:tc>
          <w:tcPr>
            <w:tcW w:w="8647" w:type="dxa"/>
            <w:shd w:val="clear" w:color="auto" w:fill="auto"/>
            <w:noWrap/>
            <w:vAlign w:val="center"/>
            <w:hideMark/>
          </w:tcPr>
          <w:p w14:paraId="7EF58389"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WA Primary Health Alliance</w:t>
            </w:r>
          </w:p>
        </w:tc>
      </w:tr>
    </w:tbl>
    <w:p w14:paraId="1F1B7A3D"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br w:type="page"/>
      </w:r>
    </w:p>
    <w:p w14:paraId="7C2D3F70"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lastRenderedPageBreak/>
        <w:t>Canberra consultation forum (morning session held): 14 August 2019</w:t>
      </w:r>
    </w:p>
    <w:tbl>
      <w:tblPr>
        <w:tblW w:w="8789" w:type="dxa"/>
        <w:tblInd w:w="-10" w:type="dxa"/>
        <w:tblLook w:val="04A0" w:firstRow="1" w:lastRow="0" w:firstColumn="1" w:lastColumn="0" w:noHBand="0" w:noVBand="1"/>
      </w:tblPr>
      <w:tblGrid>
        <w:gridCol w:w="8789"/>
      </w:tblGrid>
      <w:tr w:rsidR="00E9326E" w:rsidRPr="00E9326E" w14:paraId="46AEF31D" w14:textId="77777777" w:rsidTr="00E9326E">
        <w:trPr>
          <w:trHeight w:val="315"/>
        </w:trPr>
        <w:tc>
          <w:tcPr>
            <w:tcW w:w="8789" w:type="dxa"/>
            <w:shd w:val="clear" w:color="auto" w:fill="auto"/>
            <w:noWrap/>
            <w:vAlign w:val="center"/>
            <w:hideMark/>
          </w:tcPr>
          <w:p w14:paraId="6EE79E40"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Aged &amp; Community Services Australia</w:t>
            </w:r>
          </w:p>
        </w:tc>
      </w:tr>
      <w:tr w:rsidR="00E9326E" w:rsidRPr="00E9326E" w14:paraId="71F1FBE9" w14:textId="77777777" w:rsidTr="00E9326E">
        <w:trPr>
          <w:trHeight w:val="330"/>
        </w:trPr>
        <w:tc>
          <w:tcPr>
            <w:tcW w:w="8789" w:type="dxa"/>
            <w:shd w:val="clear" w:color="auto" w:fill="auto"/>
            <w:noWrap/>
            <w:vAlign w:val="center"/>
            <w:hideMark/>
          </w:tcPr>
          <w:p w14:paraId="40B16EBC"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Aged Care Guild</w:t>
            </w:r>
          </w:p>
        </w:tc>
      </w:tr>
      <w:tr w:rsidR="00E9326E" w:rsidRPr="00E9326E" w14:paraId="76431DC1" w14:textId="77777777" w:rsidTr="00E9326E">
        <w:trPr>
          <w:trHeight w:val="315"/>
        </w:trPr>
        <w:tc>
          <w:tcPr>
            <w:tcW w:w="8789" w:type="dxa"/>
            <w:shd w:val="clear" w:color="auto" w:fill="auto"/>
            <w:noWrap/>
            <w:vAlign w:val="center"/>
            <w:hideMark/>
          </w:tcPr>
          <w:p w14:paraId="6B59FCC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Australian Institute of Health and Welfare</w:t>
            </w:r>
          </w:p>
        </w:tc>
      </w:tr>
      <w:tr w:rsidR="00E9326E" w:rsidRPr="00E9326E" w14:paraId="3B9C0000" w14:textId="77777777" w:rsidTr="00E9326E">
        <w:trPr>
          <w:trHeight w:val="315"/>
        </w:trPr>
        <w:tc>
          <w:tcPr>
            <w:tcW w:w="8789" w:type="dxa"/>
            <w:shd w:val="clear" w:color="auto" w:fill="auto"/>
            <w:noWrap/>
            <w:vAlign w:val="center"/>
            <w:hideMark/>
          </w:tcPr>
          <w:p w14:paraId="07D96FA0"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Australian Projections Pty Ltd</w:t>
            </w:r>
          </w:p>
        </w:tc>
      </w:tr>
      <w:tr w:rsidR="00E9326E" w:rsidRPr="00E9326E" w14:paraId="527568A9" w14:textId="77777777" w:rsidTr="00E9326E">
        <w:trPr>
          <w:trHeight w:val="315"/>
        </w:trPr>
        <w:tc>
          <w:tcPr>
            <w:tcW w:w="8789" w:type="dxa"/>
            <w:shd w:val="clear" w:color="auto" w:fill="auto"/>
            <w:noWrap/>
            <w:vAlign w:val="center"/>
            <w:hideMark/>
          </w:tcPr>
          <w:p w14:paraId="6AB8E6A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Baptist Care Australia</w:t>
            </w:r>
          </w:p>
        </w:tc>
      </w:tr>
      <w:tr w:rsidR="00E9326E" w:rsidRPr="00E9326E" w14:paraId="2A280779" w14:textId="77777777" w:rsidTr="00E9326E">
        <w:trPr>
          <w:trHeight w:val="315"/>
        </w:trPr>
        <w:tc>
          <w:tcPr>
            <w:tcW w:w="8789" w:type="dxa"/>
            <w:shd w:val="clear" w:color="auto" w:fill="auto"/>
            <w:noWrap/>
            <w:vAlign w:val="center"/>
            <w:hideMark/>
          </w:tcPr>
          <w:p w14:paraId="7D3D0CF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Bolton Clarke</w:t>
            </w:r>
          </w:p>
        </w:tc>
      </w:tr>
      <w:tr w:rsidR="00E9326E" w:rsidRPr="00E9326E" w14:paraId="6DEB15EB" w14:textId="77777777" w:rsidTr="00E9326E">
        <w:trPr>
          <w:trHeight w:val="315"/>
        </w:trPr>
        <w:tc>
          <w:tcPr>
            <w:tcW w:w="8789" w:type="dxa"/>
            <w:shd w:val="clear" w:color="auto" w:fill="auto"/>
            <w:noWrap/>
            <w:vAlign w:val="center"/>
            <w:hideMark/>
          </w:tcPr>
          <w:p w14:paraId="5CB3846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Carers Australia</w:t>
            </w:r>
          </w:p>
        </w:tc>
      </w:tr>
      <w:tr w:rsidR="00E9326E" w:rsidRPr="00E9326E" w14:paraId="2798372C" w14:textId="77777777" w:rsidTr="00E9326E">
        <w:trPr>
          <w:trHeight w:val="315"/>
        </w:trPr>
        <w:tc>
          <w:tcPr>
            <w:tcW w:w="8789" w:type="dxa"/>
            <w:shd w:val="clear" w:color="auto" w:fill="auto"/>
            <w:noWrap/>
            <w:vAlign w:val="center"/>
            <w:hideMark/>
          </w:tcPr>
          <w:p w14:paraId="6EB4C28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 xml:space="preserve">COTA Australia </w:t>
            </w:r>
          </w:p>
        </w:tc>
      </w:tr>
      <w:tr w:rsidR="00E9326E" w:rsidRPr="00E9326E" w14:paraId="52B67C9E" w14:textId="77777777" w:rsidTr="00E9326E">
        <w:trPr>
          <w:trHeight w:val="315"/>
        </w:trPr>
        <w:tc>
          <w:tcPr>
            <w:tcW w:w="8789" w:type="dxa"/>
            <w:shd w:val="clear" w:color="auto" w:fill="auto"/>
            <w:noWrap/>
            <w:vAlign w:val="center"/>
            <w:hideMark/>
          </w:tcPr>
          <w:p w14:paraId="1589636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Goodwin Aged Care Services</w:t>
            </w:r>
          </w:p>
        </w:tc>
      </w:tr>
      <w:tr w:rsidR="00E9326E" w:rsidRPr="00E9326E" w14:paraId="153ABA2D" w14:textId="77777777" w:rsidTr="00E9326E">
        <w:trPr>
          <w:trHeight w:val="315"/>
        </w:trPr>
        <w:tc>
          <w:tcPr>
            <w:tcW w:w="8789" w:type="dxa"/>
            <w:shd w:val="clear" w:color="auto" w:fill="auto"/>
            <w:noWrap/>
            <w:vAlign w:val="center"/>
            <w:hideMark/>
          </w:tcPr>
          <w:p w14:paraId="3DD7A75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HammondCare</w:t>
            </w:r>
          </w:p>
        </w:tc>
      </w:tr>
      <w:tr w:rsidR="00E9326E" w:rsidRPr="00E9326E" w14:paraId="2195BA23" w14:textId="77777777" w:rsidTr="00E9326E">
        <w:trPr>
          <w:trHeight w:val="315"/>
        </w:trPr>
        <w:tc>
          <w:tcPr>
            <w:tcW w:w="8789" w:type="dxa"/>
            <w:shd w:val="clear" w:color="auto" w:fill="auto"/>
            <w:noWrap/>
            <w:vAlign w:val="center"/>
            <w:hideMark/>
          </w:tcPr>
          <w:p w14:paraId="09050B78"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Harbison</w:t>
            </w:r>
          </w:p>
        </w:tc>
      </w:tr>
      <w:tr w:rsidR="00E9326E" w:rsidRPr="00E9326E" w14:paraId="49941B67" w14:textId="77777777" w:rsidTr="00E9326E">
        <w:trPr>
          <w:trHeight w:val="315"/>
        </w:trPr>
        <w:tc>
          <w:tcPr>
            <w:tcW w:w="8789" w:type="dxa"/>
            <w:shd w:val="clear" w:color="auto" w:fill="auto"/>
            <w:noWrap/>
            <w:vAlign w:val="center"/>
            <w:hideMark/>
          </w:tcPr>
          <w:p w14:paraId="08128565"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Leading Age Services Australia</w:t>
            </w:r>
          </w:p>
        </w:tc>
      </w:tr>
      <w:tr w:rsidR="00E9326E" w:rsidRPr="00E9326E" w14:paraId="6AF81BCD" w14:textId="77777777" w:rsidTr="00E9326E">
        <w:trPr>
          <w:trHeight w:val="315"/>
        </w:trPr>
        <w:tc>
          <w:tcPr>
            <w:tcW w:w="8789" w:type="dxa"/>
            <w:shd w:val="clear" w:color="auto" w:fill="auto"/>
            <w:noWrap/>
            <w:vAlign w:val="center"/>
            <w:hideMark/>
          </w:tcPr>
          <w:p w14:paraId="51EC2299"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St Andrews Village</w:t>
            </w:r>
          </w:p>
        </w:tc>
      </w:tr>
      <w:tr w:rsidR="00E9326E" w:rsidRPr="00E9326E" w14:paraId="404680F2" w14:textId="77777777" w:rsidTr="00E9326E">
        <w:trPr>
          <w:trHeight w:val="315"/>
        </w:trPr>
        <w:tc>
          <w:tcPr>
            <w:tcW w:w="8789" w:type="dxa"/>
            <w:shd w:val="clear" w:color="auto" w:fill="auto"/>
            <w:noWrap/>
            <w:vAlign w:val="center"/>
            <w:hideMark/>
          </w:tcPr>
          <w:p w14:paraId="4B4F679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Villaggio Sant' Antonio</w:t>
            </w:r>
          </w:p>
        </w:tc>
      </w:tr>
    </w:tbl>
    <w:p w14:paraId="6BCDA35F" w14:textId="77777777" w:rsidR="00E9326E" w:rsidRPr="00E9326E" w:rsidRDefault="00E9326E" w:rsidP="00E9326E">
      <w:pPr>
        <w:spacing w:after="160" w:line="259" w:lineRule="auto"/>
        <w:rPr>
          <w:rFonts w:ascii="Calibri" w:hAnsi="Calibri" w:cs="Calibri"/>
          <w:color w:val="000000"/>
          <w:sz w:val="22"/>
          <w:szCs w:val="22"/>
          <w:lang w:eastAsia="en-US"/>
        </w:rPr>
      </w:pPr>
    </w:p>
    <w:p w14:paraId="4B015D16"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br w:type="page"/>
      </w:r>
    </w:p>
    <w:p w14:paraId="0E5CEC49"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lastRenderedPageBreak/>
        <w:t>Sydney consultation forums (morning and afternoon sessions held): 20 August 2019</w:t>
      </w:r>
    </w:p>
    <w:tbl>
      <w:tblPr>
        <w:tblW w:w="9498" w:type="dxa"/>
        <w:tblInd w:w="-10" w:type="dxa"/>
        <w:tblLook w:val="04A0" w:firstRow="1" w:lastRow="0" w:firstColumn="1" w:lastColumn="0" w:noHBand="0" w:noVBand="1"/>
      </w:tblPr>
      <w:tblGrid>
        <w:gridCol w:w="9498"/>
      </w:tblGrid>
      <w:tr w:rsidR="00E9326E" w:rsidRPr="00E9326E" w14:paraId="6DB042D4" w14:textId="77777777" w:rsidTr="00E9326E">
        <w:trPr>
          <w:trHeight w:val="330"/>
        </w:trPr>
        <w:tc>
          <w:tcPr>
            <w:tcW w:w="9498" w:type="dxa"/>
            <w:shd w:val="clear" w:color="auto" w:fill="auto"/>
            <w:noWrap/>
            <w:vAlign w:val="center"/>
            <w:hideMark/>
          </w:tcPr>
          <w:p w14:paraId="1DE1777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Anglicare Sydney</w:t>
            </w:r>
          </w:p>
        </w:tc>
      </w:tr>
      <w:tr w:rsidR="00E9326E" w:rsidRPr="00E9326E" w14:paraId="1A0E6333" w14:textId="77777777" w:rsidTr="00E9326E">
        <w:trPr>
          <w:trHeight w:val="315"/>
        </w:trPr>
        <w:tc>
          <w:tcPr>
            <w:tcW w:w="9498" w:type="dxa"/>
            <w:shd w:val="clear" w:color="auto" w:fill="auto"/>
            <w:noWrap/>
            <w:vAlign w:val="center"/>
            <w:hideMark/>
          </w:tcPr>
          <w:p w14:paraId="1E00A6DE"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Ansell Strategic</w:t>
            </w:r>
          </w:p>
        </w:tc>
      </w:tr>
      <w:tr w:rsidR="00E9326E" w:rsidRPr="00E9326E" w14:paraId="6967B993" w14:textId="77777777" w:rsidTr="00E9326E">
        <w:trPr>
          <w:trHeight w:val="315"/>
        </w:trPr>
        <w:tc>
          <w:tcPr>
            <w:tcW w:w="9498" w:type="dxa"/>
            <w:shd w:val="clear" w:color="auto" w:fill="auto"/>
            <w:noWrap/>
            <w:vAlign w:val="center"/>
            <w:hideMark/>
          </w:tcPr>
          <w:p w14:paraId="3500591F"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Bankstown City Aged Care</w:t>
            </w:r>
          </w:p>
        </w:tc>
      </w:tr>
      <w:tr w:rsidR="00E9326E" w:rsidRPr="00E9326E" w14:paraId="03F8D9FF" w14:textId="77777777" w:rsidTr="00E9326E">
        <w:trPr>
          <w:trHeight w:val="315"/>
        </w:trPr>
        <w:tc>
          <w:tcPr>
            <w:tcW w:w="9498" w:type="dxa"/>
            <w:shd w:val="clear" w:color="auto" w:fill="auto"/>
            <w:noWrap/>
            <w:vAlign w:val="center"/>
            <w:hideMark/>
          </w:tcPr>
          <w:p w14:paraId="4B4728E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BaptistCare NSW &amp; ACT</w:t>
            </w:r>
          </w:p>
        </w:tc>
      </w:tr>
      <w:tr w:rsidR="00E9326E" w:rsidRPr="00E9326E" w14:paraId="4A451D4D" w14:textId="77777777" w:rsidTr="00E9326E">
        <w:trPr>
          <w:trHeight w:val="315"/>
        </w:trPr>
        <w:tc>
          <w:tcPr>
            <w:tcW w:w="9498" w:type="dxa"/>
            <w:shd w:val="clear" w:color="auto" w:fill="auto"/>
            <w:noWrap/>
            <w:vAlign w:val="center"/>
            <w:hideMark/>
          </w:tcPr>
          <w:p w14:paraId="7CCFC85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Bupa Villages and Aged Care</w:t>
            </w:r>
          </w:p>
        </w:tc>
      </w:tr>
      <w:tr w:rsidR="00E9326E" w:rsidRPr="00E9326E" w14:paraId="0A1F07FB" w14:textId="77777777" w:rsidTr="00E9326E">
        <w:trPr>
          <w:trHeight w:val="315"/>
        </w:trPr>
        <w:tc>
          <w:tcPr>
            <w:tcW w:w="9498" w:type="dxa"/>
            <w:shd w:val="clear" w:color="auto" w:fill="auto"/>
            <w:noWrap/>
            <w:vAlign w:val="center"/>
            <w:hideMark/>
          </w:tcPr>
          <w:p w14:paraId="5881E445"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Carers NSW</w:t>
            </w:r>
          </w:p>
        </w:tc>
      </w:tr>
      <w:tr w:rsidR="00E9326E" w:rsidRPr="00E9326E" w14:paraId="092DA48D" w14:textId="77777777" w:rsidTr="00E9326E">
        <w:trPr>
          <w:trHeight w:val="315"/>
        </w:trPr>
        <w:tc>
          <w:tcPr>
            <w:tcW w:w="9498" w:type="dxa"/>
            <w:shd w:val="clear" w:color="auto" w:fill="auto"/>
            <w:noWrap/>
            <w:vAlign w:val="center"/>
            <w:hideMark/>
          </w:tcPr>
          <w:p w14:paraId="6381E4A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CASS</w:t>
            </w:r>
          </w:p>
        </w:tc>
      </w:tr>
      <w:tr w:rsidR="00E9326E" w:rsidRPr="00E9326E" w14:paraId="3F63263C" w14:textId="77777777" w:rsidTr="00E9326E">
        <w:trPr>
          <w:trHeight w:val="315"/>
        </w:trPr>
        <w:tc>
          <w:tcPr>
            <w:tcW w:w="9498" w:type="dxa"/>
            <w:shd w:val="clear" w:color="auto" w:fill="auto"/>
            <w:noWrap/>
            <w:vAlign w:val="center"/>
            <w:hideMark/>
          </w:tcPr>
          <w:p w14:paraId="370E6C7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Catholic Health Australia</w:t>
            </w:r>
          </w:p>
        </w:tc>
      </w:tr>
      <w:tr w:rsidR="00E9326E" w:rsidRPr="00E9326E" w14:paraId="7FB1C93B" w14:textId="77777777" w:rsidTr="00E9326E">
        <w:trPr>
          <w:trHeight w:val="315"/>
        </w:trPr>
        <w:tc>
          <w:tcPr>
            <w:tcW w:w="9498" w:type="dxa"/>
            <w:shd w:val="clear" w:color="auto" w:fill="auto"/>
            <w:noWrap/>
            <w:vAlign w:val="center"/>
            <w:hideMark/>
          </w:tcPr>
          <w:p w14:paraId="59BE96F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Catholic Healthcare</w:t>
            </w:r>
          </w:p>
        </w:tc>
      </w:tr>
      <w:tr w:rsidR="00E9326E" w:rsidRPr="00E9326E" w14:paraId="2B39681E" w14:textId="77777777" w:rsidTr="00E9326E">
        <w:trPr>
          <w:trHeight w:val="315"/>
        </w:trPr>
        <w:tc>
          <w:tcPr>
            <w:tcW w:w="9498" w:type="dxa"/>
            <w:shd w:val="clear" w:color="auto" w:fill="auto"/>
            <w:noWrap/>
            <w:vAlign w:val="center"/>
            <w:hideMark/>
          </w:tcPr>
          <w:p w14:paraId="6281DE48"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Christadelphian Aged Care</w:t>
            </w:r>
          </w:p>
        </w:tc>
      </w:tr>
      <w:tr w:rsidR="00E9326E" w:rsidRPr="00E9326E" w14:paraId="6C443122" w14:textId="77777777" w:rsidTr="00E9326E">
        <w:trPr>
          <w:trHeight w:val="315"/>
        </w:trPr>
        <w:tc>
          <w:tcPr>
            <w:tcW w:w="9498" w:type="dxa"/>
            <w:shd w:val="clear" w:color="auto" w:fill="auto"/>
            <w:noWrap/>
            <w:vAlign w:val="center"/>
            <w:hideMark/>
          </w:tcPr>
          <w:p w14:paraId="545C195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Christian Brethren Community Services</w:t>
            </w:r>
          </w:p>
        </w:tc>
      </w:tr>
      <w:tr w:rsidR="00E9326E" w:rsidRPr="00E9326E" w14:paraId="06D1835F" w14:textId="77777777" w:rsidTr="00E9326E">
        <w:trPr>
          <w:trHeight w:val="315"/>
        </w:trPr>
        <w:tc>
          <w:tcPr>
            <w:tcW w:w="9498" w:type="dxa"/>
            <w:shd w:val="clear" w:color="auto" w:fill="auto"/>
            <w:noWrap/>
            <w:vAlign w:val="center"/>
            <w:hideMark/>
          </w:tcPr>
          <w:p w14:paraId="0F1DD719"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Churches of Christ in Qld</w:t>
            </w:r>
          </w:p>
        </w:tc>
      </w:tr>
      <w:tr w:rsidR="00E9326E" w:rsidRPr="00E9326E" w14:paraId="39280406" w14:textId="77777777" w:rsidTr="00E9326E">
        <w:trPr>
          <w:trHeight w:val="315"/>
        </w:trPr>
        <w:tc>
          <w:tcPr>
            <w:tcW w:w="9498" w:type="dxa"/>
            <w:shd w:val="clear" w:color="auto" w:fill="auto"/>
            <w:noWrap/>
            <w:vAlign w:val="center"/>
            <w:hideMark/>
          </w:tcPr>
          <w:p w14:paraId="2EA98A3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CommBank Health</w:t>
            </w:r>
          </w:p>
        </w:tc>
      </w:tr>
      <w:tr w:rsidR="00E9326E" w:rsidRPr="00E9326E" w14:paraId="5D4AFF42" w14:textId="77777777" w:rsidTr="00E9326E">
        <w:trPr>
          <w:trHeight w:val="315"/>
        </w:trPr>
        <w:tc>
          <w:tcPr>
            <w:tcW w:w="9498" w:type="dxa"/>
            <w:shd w:val="clear" w:color="auto" w:fill="auto"/>
            <w:noWrap/>
            <w:vAlign w:val="center"/>
            <w:hideMark/>
          </w:tcPr>
          <w:p w14:paraId="4F2F1BD1"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Dementia Australia</w:t>
            </w:r>
          </w:p>
        </w:tc>
      </w:tr>
      <w:tr w:rsidR="00E9326E" w:rsidRPr="00E9326E" w14:paraId="3592F635" w14:textId="77777777" w:rsidTr="00E9326E">
        <w:trPr>
          <w:trHeight w:val="315"/>
        </w:trPr>
        <w:tc>
          <w:tcPr>
            <w:tcW w:w="9498" w:type="dxa"/>
            <w:shd w:val="clear" w:color="auto" w:fill="auto"/>
            <w:noWrap/>
            <w:vAlign w:val="center"/>
            <w:hideMark/>
          </w:tcPr>
          <w:p w14:paraId="212F7B1E"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Fresh Hope Care</w:t>
            </w:r>
          </w:p>
        </w:tc>
      </w:tr>
      <w:tr w:rsidR="00E9326E" w:rsidRPr="00E9326E" w14:paraId="1DA25EDB" w14:textId="77777777" w:rsidTr="00E9326E">
        <w:trPr>
          <w:trHeight w:val="315"/>
        </w:trPr>
        <w:tc>
          <w:tcPr>
            <w:tcW w:w="9498" w:type="dxa"/>
            <w:shd w:val="clear" w:color="auto" w:fill="auto"/>
            <w:noWrap/>
            <w:vAlign w:val="center"/>
            <w:hideMark/>
          </w:tcPr>
          <w:p w14:paraId="61FC0D98"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Greengate</w:t>
            </w:r>
          </w:p>
        </w:tc>
      </w:tr>
      <w:tr w:rsidR="00E9326E" w:rsidRPr="00E9326E" w14:paraId="0495CEA8" w14:textId="77777777" w:rsidTr="00E9326E">
        <w:trPr>
          <w:trHeight w:val="315"/>
        </w:trPr>
        <w:tc>
          <w:tcPr>
            <w:tcW w:w="9498" w:type="dxa"/>
            <w:shd w:val="clear" w:color="auto" w:fill="auto"/>
            <w:noWrap/>
            <w:vAlign w:val="center"/>
            <w:hideMark/>
          </w:tcPr>
          <w:p w14:paraId="791DBAD7"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Illawarra Diggers Aged and Community Care</w:t>
            </w:r>
          </w:p>
        </w:tc>
      </w:tr>
      <w:tr w:rsidR="00E9326E" w:rsidRPr="00E9326E" w14:paraId="7DB4956D" w14:textId="77777777" w:rsidTr="00E9326E">
        <w:trPr>
          <w:trHeight w:val="315"/>
        </w:trPr>
        <w:tc>
          <w:tcPr>
            <w:tcW w:w="9498" w:type="dxa"/>
            <w:shd w:val="clear" w:color="auto" w:fill="auto"/>
            <w:noWrap/>
            <w:vAlign w:val="center"/>
            <w:hideMark/>
          </w:tcPr>
          <w:p w14:paraId="0225C2F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IRT</w:t>
            </w:r>
          </w:p>
        </w:tc>
      </w:tr>
      <w:tr w:rsidR="00E9326E" w:rsidRPr="00E9326E" w14:paraId="002174CE" w14:textId="77777777" w:rsidTr="00E9326E">
        <w:trPr>
          <w:trHeight w:val="315"/>
        </w:trPr>
        <w:tc>
          <w:tcPr>
            <w:tcW w:w="9498" w:type="dxa"/>
            <w:shd w:val="clear" w:color="auto" w:fill="auto"/>
            <w:noWrap/>
            <w:vAlign w:val="center"/>
            <w:hideMark/>
          </w:tcPr>
          <w:p w14:paraId="13D57CC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Leigh Place Aged Care</w:t>
            </w:r>
          </w:p>
        </w:tc>
      </w:tr>
      <w:tr w:rsidR="00E9326E" w:rsidRPr="00E9326E" w14:paraId="4B69C243" w14:textId="77777777" w:rsidTr="00E9326E">
        <w:trPr>
          <w:trHeight w:val="330"/>
        </w:trPr>
        <w:tc>
          <w:tcPr>
            <w:tcW w:w="9498" w:type="dxa"/>
            <w:shd w:val="clear" w:color="auto" w:fill="auto"/>
            <w:noWrap/>
            <w:vAlign w:val="center"/>
            <w:hideMark/>
          </w:tcPr>
          <w:p w14:paraId="1E8ABC6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Lutheran Aged Care Albury</w:t>
            </w:r>
          </w:p>
        </w:tc>
      </w:tr>
      <w:tr w:rsidR="00E9326E" w:rsidRPr="00E9326E" w14:paraId="5E8E92C1" w14:textId="77777777" w:rsidTr="00E9326E">
        <w:trPr>
          <w:trHeight w:val="315"/>
        </w:trPr>
        <w:tc>
          <w:tcPr>
            <w:tcW w:w="9498" w:type="dxa"/>
            <w:shd w:val="clear" w:color="auto" w:fill="auto"/>
            <w:noWrap/>
            <w:vAlign w:val="center"/>
            <w:hideMark/>
          </w:tcPr>
          <w:p w14:paraId="334E5138"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Mark Moran Group</w:t>
            </w:r>
          </w:p>
        </w:tc>
      </w:tr>
      <w:tr w:rsidR="00E9326E" w:rsidRPr="00E9326E" w14:paraId="1DA0CF6C" w14:textId="77777777" w:rsidTr="00E9326E">
        <w:trPr>
          <w:trHeight w:val="315"/>
        </w:trPr>
        <w:tc>
          <w:tcPr>
            <w:tcW w:w="9498" w:type="dxa"/>
            <w:shd w:val="clear" w:color="auto" w:fill="auto"/>
            <w:noWrap/>
            <w:vAlign w:val="center"/>
            <w:hideMark/>
          </w:tcPr>
          <w:p w14:paraId="1EA0E5E9"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Ministry of Health</w:t>
            </w:r>
          </w:p>
        </w:tc>
      </w:tr>
      <w:tr w:rsidR="00E9326E" w:rsidRPr="00E9326E" w14:paraId="2E3BB6C7" w14:textId="77777777" w:rsidTr="00E9326E">
        <w:trPr>
          <w:trHeight w:val="315"/>
        </w:trPr>
        <w:tc>
          <w:tcPr>
            <w:tcW w:w="9498" w:type="dxa"/>
            <w:shd w:val="clear" w:color="auto" w:fill="auto"/>
            <w:noWrap/>
            <w:vAlign w:val="center"/>
            <w:hideMark/>
          </w:tcPr>
          <w:p w14:paraId="3D42296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Moran Family</w:t>
            </w:r>
          </w:p>
        </w:tc>
      </w:tr>
      <w:tr w:rsidR="00E9326E" w:rsidRPr="00E9326E" w14:paraId="79D63D7B" w14:textId="77777777" w:rsidTr="00E9326E">
        <w:trPr>
          <w:trHeight w:val="315"/>
        </w:trPr>
        <w:tc>
          <w:tcPr>
            <w:tcW w:w="9498" w:type="dxa"/>
            <w:shd w:val="clear" w:color="auto" w:fill="auto"/>
            <w:noWrap/>
            <w:vAlign w:val="center"/>
            <w:hideMark/>
          </w:tcPr>
          <w:p w14:paraId="43DFC004"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Multicultural Communities Council of Ill (MCCI)</w:t>
            </w:r>
          </w:p>
        </w:tc>
      </w:tr>
      <w:tr w:rsidR="00E9326E" w:rsidRPr="00E9326E" w14:paraId="743E730A" w14:textId="77777777" w:rsidTr="00E9326E">
        <w:trPr>
          <w:trHeight w:val="315"/>
        </w:trPr>
        <w:tc>
          <w:tcPr>
            <w:tcW w:w="9498" w:type="dxa"/>
            <w:shd w:val="clear" w:color="auto" w:fill="auto"/>
            <w:noWrap/>
            <w:vAlign w:val="center"/>
            <w:hideMark/>
          </w:tcPr>
          <w:p w14:paraId="2B018455"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National LGBTI Health Alliance</w:t>
            </w:r>
          </w:p>
        </w:tc>
      </w:tr>
      <w:tr w:rsidR="00E9326E" w:rsidRPr="00E9326E" w14:paraId="3FB69A0B" w14:textId="77777777" w:rsidTr="00E9326E">
        <w:trPr>
          <w:trHeight w:val="315"/>
        </w:trPr>
        <w:tc>
          <w:tcPr>
            <w:tcW w:w="9498" w:type="dxa"/>
            <w:shd w:val="clear" w:color="auto" w:fill="auto"/>
            <w:noWrap/>
            <w:vAlign w:val="center"/>
            <w:hideMark/>
          </w:tcPr>
          <w:p w14:paraId="1AD02F6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Ngambaga Bindarry Girrwaa Community Aboriginal Services Corporation</w:t>
            </w:r>
          </w:p>
        </w:tc>
      </w:tr>
      <w:tr w:rsidR="00E9326E" w:rsidRPr="00E9326E" w14:paraId="52369218" w14:textId="77777777" w:rsidTr="00E9326E">
        <w:trPr>
          <w:trHeight w:val="315"/>
        </w:trPr>
        <w:tc>
          <w:tcPr>
            <w:tcW w:w="9498" w:type="dxa"/>
            <w:shd w:val="clear" w:color="auto" w:fill="auto"/>
            <w:noWrap/>
            <w:vAlign w:val="center"/>
            <w:hideMark/>
          </w:tcPr>
          <w:p w14:paraId="5B4070DC"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NSWNMA</w:t>
            </w:r>
          </w:p>
        </w:tc>
      </w:tr>
      <w:tr w:rsidR="00E9326E" w:rsidRPr="00E9326E" w14:paraId="27E09225" w14:textId="77777777" w:rsidTr="00E9326E">
        <w:trPr>
          <w:trHeight w:val="315"/>
        </w:trPr>
        <w:tc>
          <w:tcPr>
            <w:tcW w:w="9498" w:type="dxa"/>
            <w:shd w:val="clear" w:color="auto" w:fill="auto"/>
            <w:noWrap/>
            <w:vAlign w:val="center"/>
            <w:hideMark/>
          </w:tcPr>
          <w:p w14:paraId="128F8B5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Peninsula villages ltd</w:t>
            </w:r>
          </w:p>
        </w:tc>
      </w:tr>
      <w:tr w:rsidR="00E9326E" w:rsidRPr="00E9326E" w14:paraId="33E11A57" w14:textId="77777777" w:rsidTr="00E9326E">
        <w:trPr>
          <w:trHeight w:val="315"/>
        </w:trPr>
        <w:tc>
          <w:tcPr>
            <w:tcW w:w="9498" w:type="dxa"/>
            <w:shd w:val="clear" w:color="auto" w:fill="auto"/>
            <w:noWrap/>
            <w:vAlign w:val="center"/>
            <w:hideMark/>
          </w:tcPr>
          <w:p w14:paraId="6D53689C"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Presbyterian Aged Care NSW &amp; ACT</w:t>
            </w:r>
          </w:p>
        </w:tc>
      </w:tr>
      <w:tr w:rsidR="00E9326E" w:rsidRPr="00E9326E" w14:paraId="1A91A5D5" w14:textId="77777777" w:rsidTr="00E9326E">
        <w:trPr>
          <w:trHeight w:val="315"/>
        </w:trPr>
        <w:tc>
          <w:tcPr>
            <w:tcW w:w="9498" w:type="dxa"/>
            <w:shd w:val="clear" w:color="auto" w:fill="auto"/>
            <w:noWrap/>
            <w:vAlign w:val="center"/>
            <w:hideMark/>
          </w:tcPr>
          <w:p w14:paraId="5DBC443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ProActive Chartered Accountants</w:t>
            </w:r>
          </w:p>
        </w:tc>
      </w:tr>
      <w:tr w:rsidR="00E9326E" w:rsidRPr="00E9326E" w14:paraId="1C01E831" w14:textId="77777777" w:rsidTr="00E9326E">
        <w:trPr>
          <w:trHeight w:val="315"/>
        </w:trPr>
        <w:tc>
          <w:tcPr>
            <w:tcW w:w="9498" w:type="dxa"/>
            <w:shd w:val="clear" w:color="auto" w:fill="auto"/>
            <w:noWrap/>
            <w:vAlign w:val="center"/>
            <w:hideMark/>
          </w:tcPr>
          <w:p w14:paraId="6093AA87"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Quality Aged Care Action Group</w:t>
            </w:r>
          </w:p>
        </w:tc>
      </w:tr>
      <w:tr w:rsidR="00E9326E" w:rsidRPr="00E9326E" w14:paraId="6D12AB0F" w14:textId="77777777" w:rsidTr="00E9326E">
        <w:trPr>
          <w:trHeight w:val="315"/>
        </w:trPr>
        <w:tc>
          <w:tcPr>
            <w:tcW w:w="9498" w:type="dxa"/>
            <w:shd w:val="clear" w:color="auto" w:fill="auto"/>
            <w:noWrap/>
            <w:vAlign w:val="center"/>
            <w:hideMark/>
          </w:tcPr>
          <w:p w14:paraId="10356FE7"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RFBI</w:t>
            </w:r>
          </w:p>
        </w:tc>
      </w:tr>
      <w:tr w:rsidR="00E9326E" w:rsidRPr="00E9326E" w14:paraId="33AC0185" w14:textId="77777777" w:rsidTr="00E9326E">
        <w:trPr>
          <w:trHeight w:val="315"/>
        </w:trPr>
        <w:tc>
          <w:tcPr>
            <w:tcW w:w="9498" w:type="dxa"/>
            <w:shd w:val="clear" w:color="auto" w:fill="auto"/>
            <w:noWrap/>
            <w:vAlign w:val="center"/>
            <w:hideMark/>
          </w:tcPr>
          <w:p w14:paraId="00395CDC"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Royal Freemasons' Benevolent Institution</w:t>
            </w:r>
          </w:p>
        </w:tc>
      </w:tr>
      <w:tr w:rsidR="00E9326E" w:rsidRPr="00E9326E" w14:paraId="20028046" w14:textId="77777777" w:rsidTr="00E9326E">
        <w:trPr>
          <w:trHeight w:val="315"/>
        </w:trPr>
        <w:tc>
          <w:tcPr>
            <w:tcW w:w="9498" w:type="dxa"/>
            <w:shd w:val="clear" w:color="auto" w:fill="auto"/>
            <w:noWrap/>
            <w:vAlign w:val="center"/>
            <w:hideMark/>
          </w:tcPr>
          <w:p w14:paraId="68C31B7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Southern Cross Care</w:t>
            </w:r>
          </w:p>
        </w:tc>
      </w:tr>
      <w:tr w:rsidR="00E9326E" w:rsidRPr="00E9326E" w14:paraId="6257363B" w14:textId="77777777" w:rsidTr="00E9326E">
        <w:trPr>
          <w:trHeight w:val="315"/>
        </w:trPr>
        <w:tc>
          <w:tcPr>
            <w:tcW w:w="9498" w:type="dxa"/>
            <w:shd w:val="clear" w:color="auto" w:fill="auto"/>
            <w:noWrap/>
            <w:vAlign w:val="center"/>
            <w:hideMark/>
          </w:tcPr>
          <w:p w14:paraId="1AFFCC8E"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St Sergius Aged Care</w:t>
            </w:r>
          </w:p>
        </w:tc>
      </w:tr>
      <w:tr w:rsidR="00E9326E" w:rsidRPr="00E9326E" w14:paraId="0F988AF5" w14:textId="77777777" w:rsidTr="00E9326E">
        <w:trPr>
          <w:trHeight w:val="315"/>
        </w:trPr>
        <w:tc>
          <w:tcPr>
            <w:tcW w:w="9498" w:type="dxa"/>
            <w:shd w:val="clear" w:color="auto" w:fill="auto"/>
            <w:noWrap/>
            <w:vAlign w:val="center"/>
            <w:hideMark/>
          </w:tcPr>
          <w:p w14:paraId="46C85CAF"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Tallwoods Corner Aged Care</w:t>
            </w:r>
          </w:p>
        </w:tc>
      </w:tr>
      <w:tr w:rsidR="00E9326E" w:rsidRPr="00E9326E" w14:paraId="23138C44" w14:textId="77777777" w:rsidTr="00E9326E">
        <w:trPr>
          <w:trHeight w:val="315"/>
        </w:trPr>
        <w:tc>
          <w:tcPr>
            <w:tcW w:w="9498" w:type="dxa"/>
            <w:shd w:val="clear" w:color="auto" w:fill="auto"/>
            <w:noWrap/>
            <w:vAlign w:val="center"/>
            <w:hideMark/>
          </w:tcPr>
          <w:p w14:paraId="6A17834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The Salvation Army Aged Care</w:t>
            </w:r>
          </w:p>
        </w:tc>
      </w:tr>
      <w:tr w:rsidR="00E9326E" w:rsidRPr="00E9326E" w14:paraId="46198910" w14:textId="77777777" w:rsidTr="00E9326E">
        <w:trPr>
          <w:trHeight w:val="315"/>
        </w:trPr>
        <w:tc>
          <w:tcPr>
            <w:tcW w:w="9498" w:type="dxa"/>
            <w:shd w:val="clear" w:color="auto" w:fill="auto"/>
            <w:noWrap/>
            <w:vAlign w:val="center"/>
            <w:hideMark/>
          </w:tcPr>
          <w:p w14:paraId="3FF8C7E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Twilight Aged Care</w:t>
            </w:r>
          </w:p>
        </w:tc>
      </w:tr>
      <w:tr w:rsidR="00E9326E" w:rsidRPr="00E9326E" w14:paraId="4DCB3162" w14:textId="77777777" w:rsidTr="00E9326E">
        <w:trPr>
          <w:trHeight w:val="315"/>
        </w:trPr>
        <w:tc>
          <w:tcPr>
            <w:tcW w:w="9498" w:type="dxa"/>
            <w:shd w:val="clear" w:color="auto" w:fill="auto"/>
            <w:noWrap/>
            <w:vAlign w:val="center"/>
            <w:hideMark/>
          </w:tcPr>
          <w:p w14:paraId="5CAC01BA"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Uniting</w:t>
            </w:r>
          </w:p>
        </w:tc>
      </w:tr>
      <w:tr w:rsidR="00E9326E" w:rsidRPr="00E9326E" w14:paraId="323092F5" w14:textId="77777777" w:rsidTr="00E9326E">
        <w:trPr>
          <w:trHeight w:val="315"/>
        </w:trPr>
        <w:tc>
          <w:tcPr>
            <w:tcW w:w="9498" w:type="dxa"/>
            <w:shd w:val="clear" w:color="auto" w:fill="auto"/>
            <w:noWrap/>
            <w:vAlign w:val="center"/>
            <w:hideMark/>
          </w:tcPr>
          <w:p w14:paraId="07325D4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UPA Sydney North District</w:t>
            </w:r>
          </w:p>
        </w:tc>
      </w:tr>
    </w:tbl>
    <w:p w14:paraId="0C827CA6" w14:textId="77777777" w:rsidR="00E9326E" w:rsidRPr="00E9326E" w:rsidRDefault="00E9326E" w:rsidP="00E9326E">
      <w:pPr>
        <w:spacing w:after="160" w:line="259" w:lineRule="auto"/>
        <w:rPr>
          <w:rFonts w:ascii="Calibri" w:hAnsi="Calibri" w:cs="Calibri"/>
          <w:b/>
          <w:color w:val="000000"/>
          <w:sz w:val="22"/>
          <w:szCs w:val="22"/>
          <w:lang w:eastAsia="en-US"/>
        </w:rPr>
      </w:pPr>
    </w:p>
    <w:p w14:paraId="04F4B643"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br w:type="page"/>
      </w:r>
    </w:p>
    <w:p w14:paraId="3B00E688"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lastRenderedPageBreak/>
        <w:t>Adelaide consultation forum (morning session held only): 26 August 2019</w:t>
      </w:r>
    </w:p>
    <w:tbl>
      <w:tblPr>
        <w:tblW w:w="8505" w:type="dxa"/>
        <w:tblInd w:w="-10" w:type="dxa"/>
        <w:tblLook w:val="04A0" w:firstRow="1" w:lastRow="0" w:firstColumn="1" w:lastColumn="0" w:noHBand="0" w:noVBand="1"/>
      </w:tblPr>
      <w:tblGrid>
        <w:gridCol w:w="8505"/>
      </w:tblGrid>
      <w:tr w:rsidR="00E9326E" w:rsidRPr="00E9326E" w14:paraId="7B0E9755" w14:textId="77777777" w:rsidTr="00E9326E">
        <w:trPr>
          <w:trHeight w:val="315"/>
        </w:trPr>
        <w:tc>
          <w:tcPr>
            <w:tcW w:w="8505" w:type="dxa"/>
            <w:shd w:val="clear" w:color="auto" w:fill="auto"/>
            <w:noWrap/>
            <w:vAlign w:val="center"/>
            <w:hideMark/>
          </w:tcPr>
          <w:p w14:paraId="2C98C01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ACH Group</w:t>
            </w:r>
          </w:p>
        </w:tc>
      </w:tr>
      <w:tr w:rsidR="00E9326E" w:rsidRPr="00E9326E" w14:paraId="52F1292B" w14:textId="77777777" w:rsidTr="00E9326E">
        <w:trPr>
          <w:trHeight w:val="330"/>
        </w:trPr>
        <w:tc>
          <w:tcPr>
            <w:tcW w:w="8505" w:type="dxa"/>
            <w:shd w:val="clear" w:color="auto" w:fill="auto"/>
            <w:noWrap/>
            <w:vAlign w:val="center"/>
            <w:hideMark/>
          </w:tcPr>
          <w:p w14:paraId="79D09BA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AnglicareSA</w:t>
            </w:r>
          </w:p>
        </w:tc>
      </w:tr>
      <w:tr w:rsidR="00E9326E" w:rsidRPr="00E9326E" w14:paraId="0FF7EF82" w14:textId="77777777" w:rsidTr="00E9326E">
        <w:trPr>
          <w:trHeight w:val="315"/>
        </w:trPr>
        <w:tc>
          <w:tcPr>
            <w:tcW w:w="8505" w:type="dxa"/>
            <w:shd w:val="clear" w:color="auto" w:fill="auto"/>
            <w:noWrap/>
            <w:vAlign w:val="center"/>
            <w:hideMark/>
          </w:tcPr>
          <w:p w14:paraId="08C53110"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 xml:space="preserve">Ardrossan Community Hospital Inc. </w:t>
            </w:r>
          </w:p>
        </w:tc>
      </w:tr>
      <w:tr w:rsidR="00E9326E" w:rsidRPr="00E9326E" w14:paraId="2387DF87" w14:textId="77777777" w:rsidTr="00E9326E">
        <w:trPr>
          <w:trHeight w:val="315"/>
        </w:trPr>
        <w:tc>
          <w:tcPr>
            <w:tcW w:w="8505" w:type="dxa"/>
            <w:shd w:val="clear" w:color="auto" w:fill="auto"/>
            <w:noWrap/>
            <w:vAlign w:val="center"/>
            <w:hideMark/>
          </w:tcPr>
          <w:p w14:paraId="35AC06A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Catalyst Foundation including Seniors Information Service</w:t>
            </w:r>
          </w:p>
        </w:tc>
      </w:tr>
      <w:tr w:rsidR="00E9326E" w:rsidRPr="00E9326E" w14:paraId="74E6917F" w14:textId="77777777" w:rsidTr="00E9326E">
        <w:trPr>
          <w:trHeight w:val="315"/>
        </w:trPr>
        <w:tc>
          <w:tcPr>
            <w:tcW w:w="8505" w:type="dxa"/>
            <w:shd w:val="clear" w:color="auto" w:fill="auto"/>
            <w:noWrap/>
            <w:vAlign w:val="center"/>
            <w:hideMark/>
          </w:tcPr>
          <w:p w14:paraId="2E9713F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Clayton Church Homes</w:t>
            </w:r>
          </w:p>
        </w:tc>
      </w:tr>
      <w:tr w:rsidR="00E9326E" w:rsidRPr="00E9326E" w14:paraId="658EF88B" w14:textId="77777777" w:rsidTr="00E9326E">
        <w:trPr>
          <w:trHeight w:val="315"/>
        </w:trPr>
        <w:tc>
          <w:tcPr>
            <w:tcW w:w="8505" w:type="dxa"/>
            <w:shd w:val="clear" w:color="auto" w:fill="auto"/>
            <w:noWrap/>
            <w:vAlign w:val="center"/>
            <w:hideMark/>
          </w:tcPr>
          <w:p w14:paraId="4C68A501"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Eldercare</w:t>
            </w:r>
          </w:p>
        </w:tc>
      </w:tr>
      <w:tr w:rsidR="00E9326E" w:rsidRPr="00E9326E" w14:paraId="4BE3DBFD" w14:textId="77777777" w:rsidTr="00E9326E">
        <w:trPr>
          <w:trHeight w:val="315"/>
        </w:trPr>
        <w:tc>
          <w:tcPr>
            <w:tcW w:w="8505" w:type="dxa"/>
            <w:shd w:val="clear" w:color="auto" w:fill="auto"/>
            <w:noWrap/>
            <w:vAlign w:val="center"/>
            <w:hideMark/>
          </w:tcPr>
          <w:p w14:paraId="38E1DCE4"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Fullarton Lutheran Homes</w:t>
            </w:r>
          </w:p>
        </w:tc>
      </w:tr>
      <w:tr w:rsidR="00E9326E" w:rsidRPr="00E9326E" w14:paraId="37259850" w14:textId="77777777" w:rsidTr="00E9326E">
        <w:trPr>
          <w:trHeight w:val="315"/>
        </w:trPr>
        <w:tc>
          <w:tcPr>
            <w:tcW w:w="8505" w:type="dxa"/>
            <w:shd w:val="clear" w:color="auto" w:fill="auto"/>
            <w:noWrap/>
            <w:vAlign w:val="center"/>
            <w:hideMark/>
          </w:tcPr>
          <w:p w14:paraId="7F7B457C"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Global centre for modern ageing</w:t>
            </w:r>
          </w:p>
        </w:tc>
      </w:tr>
      <w:tr w:rsidR="00E9326E" w:rsidRPr="00E9326E" w14:paraId="18BB4555" w14:textId="77777777" w:rsidTr="00E9326E">
        <w:trPr>
          <w:trHeight w:val="315"/>
        </w:trPr>
        <w:tc>
          <w:tcPr>
            <w:tcW w:w="8505" w:type="dxa"/>
            <w:shd w:val="clear" w:color="auto" w:fill="auto"/>
            <w:noWrap/>
            <w:vAlign w:val="center"/>
            <w:hideMark/>
          </w:tcPr>
          <w:p w14:paraId="38510F0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Helping Hand Aged Care</w:t>
            </w:r>
          </w:p>
        </w:tc>
      </w:tr>
      <w:tr w:rsidR="00E9326E" w:rsidRPr="00E9326E" w14:paraId="66649E84" w14:textId="77777777" w:rsidTr="00E9326E">
        <w:trPr>
          <w:trHeight w:val="315"/>
        </w:trPr>
        <w:tc>
          <w:tcPr>
            <w:tcW w:w="8505" w:type="dxa"/>
            <w:shd w:val="clear" w:color="auto" w:fill="auto"/>
            <w:noWrap/>
            <w:vAlign w:val="center"/>
            <w:hideMark/>
          </w:tcPr>
          <w:p w14:paraId="635F9F0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Kalyra Communities - James Brown Memorial Trust</w:t>
            </w:r>
          </w:p>
        </w:tc>
      </w:tr>
      <w:tr w:rsidR="00E9326E" w:rsidRPr="00E9326E" w14:paraId="6026EAAC" w14:textId="77777777" w:rsidTr="00E9326E">
        <w:trPr>
          <w:trHeight w:val="315"/>
        </w:trPr>
        <w:tc>
          <w:tcPr>
            <w:tcW w:w="8505" w:type="dxa"/>
            <w:shd w:val="clear" w:color="auto" w:fill="auto"/>
            <w:noWrap/>
            <w:vAlign w:val="center"/>
            <w:hideMark/>
          </w:tcPr>
          <w:p w14:paraId="3D221907"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Life Care</w:t>
            </w:r>
          </w:p>
        </w:tc>
      </w:tr>
      <w:tr w:rsidR="00E9326E" w:rsidRPr="00E9326E" w14:paraId="04CF0935" w14:textId="77777777" w:rsidTr="00E9326E">
        <w:trPr>
          <w:trHeight w:val="315"/>
        </w:trPr>
        <w:tc>
          <w:tcPr>
            <w:tcW w:w="8505" w:type="dxa"/>
            <w:shd w:val="clear" w:color="auto" w:fill="auto"/>
            <w:noWrap/>
            <w:vAlign w:val="center"/>
            <w:hideMark/>
          </w:tcPr>
          <w:p w14:paraId="5005AD1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Matthew Flinders Care Services</w:t>
            </w:r>
          </w:p>
        </w:tc>
      </w:tr>
      <w:tr w:rsidR="00E9326E" w:rsidRPr="00E9326E" w14:paraId="56705C6B" w14:textId="77777777" w:rsidTr="00E9326E">
        <w:trPr>
          <w:trHeight w:val="315"/>
        </w:trPr>
        <w:tc>
          <w:tcPr>
            <w:tcW w:w="8505" w:type="dxa"/>
            <w:shd w:val="clear" w:color="auto" w:fill="auto"/>
            <w:noWrap/>
            <w:vAlign w:val="center"/>
            <w:hideMark/>
          </w:tcPr>
          <w:p w14:paraId="15A0D74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Multicultural Aged Care Inc</w:t>
            </w:r>
          </w:p>
        </w:tc>
      </w:tr>
      <w:tr w:rsidR="00E9326E" w:rsidRPr="00E9326E" w14:paraId="36B7D25F" w14:textId="77777777" w:rsidTr="00E9326E">
        <w:trPr>
          <w:trHeight w:val="315"/>
        </w:trPr>
        <w:tc>
          <w:tcPr>
            <w:tcW w:w="8505" w:type="dxa"/>
            <w:shd w:val="clear" w:color="auto" w:fill="auto"/>
            <w:noWrap/>
            <w:vAlign w:val="center"/>
            <w:hideMark/>
          </w:tcPr>
          <w:p w14:paraId="2F965E99"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Regional Local Health Networks SA</w:t>
            </w:r>
          </w:p>
        </w:tc>
      </w:tr>
      <w:tr w:rsidR="00E9326E" w:rsidRPr="00E9326E" w14:paraId="54CF6024" w14:textId="77777777" w:rsidTr="00E9326E">
        <w:trPr>
          <w:trHeight w:val="315"/>
        </w:trPr>
        <w:tc>
          <w:tcPr>
            <w:tcW w:w="8505" w:type="dxa"/>
            <w:shd w:val="clear" w:color="auto" w:fill="auto"/>
            <w:noWrap/>
            <w:vAlign w:val="center"/>
            <w:hideMark/>
          </w:tcPr>
          <w:p w14:paraId="450E6898"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Regis Aged Care Pty Ltd</w:t>
            </w:r>
          </w:p>
        </w:tc>
      </w:tr>
      <w:tr w:rsidR="00E9326E" w:rsidRPr="00E9326E" w14:paraId="77B3E3A9" w14:textId="77777777" w:rsidTr="00E9326E">
        <w:trPr>
          <w:trHeight w:val="315"/>
        </w:trPr>
        <w:tc>
          <w:tcPr>
            <w:tcW w:w="8505" w:type="dxa"/>
            <w:shd w:val="clear" w:color="auto" w:fill="auto"/>
            <w:noWrap/>
            <w:vAlign w:val="center"/>
            <w:hideMark/>
          </w:tcPr>
          <w:p w14:paraId="32A8258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Resthaven Incorporated</w:t>
            </w:r>
          </w:p>
        </w:tc>
      </w:tr>
      <w:tr w:rsidR="00E9326E" w:rsidRPr="00E9326E" w14:paraId="4D8A001C" w14:textId="77777777" w:rsidTr="00E9326E">
        <w:trPr>
          <w:trHeight w:val="315"/>
        </w:trPr>
        <w:tc>
          <w:tcPr>
            <w:tcW w:w="8505" w:type="dxa"/>
            <w:shd w:val="clear" w:color="auto" w:fill="auto"/>
            <w:noWrap/>
            <w:vAlign w:val="center"/>
            <w:hideMark/>
          </w:tcPr>
          <w:p w14:paraId="4B31B8C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SA Health</w:t>
            </w:r>
          </w:p>
        </w:tc>
      </w:tr>
      <w:tr w:rsidR="00E9326E" w:rsidRPr="00E9326E" w14:paraId="39DC9239" w14:textId="77777777" w:rsidTr="00E9326E">
        <w:trPr>
          <w:trHeight w:val="315"/>
        </w:trPr>
        <w:tc>
          <w:tcPr>
            <w:tcW w:w="8505" w:type="dxa"/>
            <w:shd w:val="clear" w:color="auto" w:fill="auto"/>
            <w:noWrap/>
            <w:vAlign w:val="center"/>
            <w:hideMark/>
          </w:tcPr>
          <w:p w14:paraId="423301E5"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Saint Hilarion Aged Care Inc.</w:t>
            </w:r>
          </w:p>
        </w:tc>
      </w:tr>
      <w:tr w:rsidR="00E9326E" w:rsidRPr="00E9326E" w14:paraId="4FC98449" w14:textId="77777777" w:rsidTr="00E9326E">
        <w:trPr>
          <w:trHeight w:val="315"/>
        </w:trPr>
        <w:tc>
          <w:tcPr>
            <w:tcW w:w="8505" w:type="dxa"/>
            <w:shd w:val="clear" w:color="auto" w:fill="auto"/>
            <w:noWrap/>
            <w:vAlign w:val="center"/>
            <w:hideMark/>
          </w:tcPr>
          <w:p w14:paraId="5DE25AF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Southern Cross Care</w:t>
            </w:r>
          </w:p>
        </w:tc>
      </w:tr>
      <w:tr w:rsidR="00E9326E" w:rsidRPr="00E9326E" w14:paraId="628CFF69" w14:textId="77777777" w:rsidTr="00E9326E">
        <w:trPr>
          <w:trHeight w:val="315"/>
        </w:trPr>
        <w:tc>
          <w:tcPr>
            <w:tcW w:w="8505" w:type="dxa"/>
            <w:shd w:val="clear" w:color="auto" w:fill="auto"/>
            <w:noWrap/>
            <w:vAlign w:val="center"/>
            <w:hideMark/>
          </w:tcPr>
          <w:p w14:paraId="00E4BF5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StewartBrown</w:t>
            </w:r>
          </w:p>
        </w:tc>
      </w:tr>
      <w:tr w:rsidR="00E9326E" w:rsidRPr="00E9326E" w14:paraId="7010F17F" w14:textId="77777777" w:rsidTr="00E9326E">
        <w:trPr>
          <w:trHeight w:val="315"/>
        </w:trPr>
        <w:tc>
          <w:tcPr>
            <w:tcW w:w="8505" w:type="dxa"/>
            <w:shd w:val="clear" w:color="auto" w:fill="auto"/>
            <w:noWrap/>
            <w:vAlign w:val="center"/>
            <w:hideMark/>
          </w:tcPr>
          <w:p w14:paraId="562F4FB0"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Uniting Communities</w:t>
            </w:r>
          </w:p>
        </w:tc>
      </w:tr>
      <w:tr w:rsidR="00E9326E" w:rsidRPr="00E9326E" w14:paraId="00BA6F50" w14:textId="77777777" w:rsidTr="00E9326E">
        <w:trPr>
          <w:trHeight w:val="315"/>
        </w:trPr>
        <w:tc>
          <w:tcPr>
            <w:tcW w:w="8505" w:type="dxa"/>
            <w:shd w:val="clear" w:color="auto" w:fill="auto"/>
            <w:noWrap/>
            <w:vAlign w:val="center"/>
            <w:hideMark/>
          </w:tcPr>
          <w:p w14:paraId="550D77D1"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Yorke and Northern Local Health Network</w:t>
            </w:r>
          </w:p>
        </w:tc>
      </w:tr>
    </w:tbl>
    <w:p w14:paraId="0B4CF023" w14:textId="77777777" w:rsidR="00E9326E" w:rsidRPr="00E9326E" w:rsidRDefault="00E9326E" w:rsidP="00E9326E">
      <w:pPr>
        <w:spacing w:after="160" w:line="259" w:lineRule="auto"/>
        <w:rPr>
          <w:rFonts w:ascii="Calibri" w:hAnsi="Calibri" w:cs="Calibri"/>
          <w:color w:val="000000"/>
          <w:sz w:val="22"/>
          <w:szCs w:val="22"/>
          <w:lang w:eastAsia="en-US"/>
        </w:rPr>
      </w:pPr>
    </w:p>
    <w:p w14:paraId="21A5184E"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br w:type="page"/>
      </w:r>
    </w:p>
    <w:p w14:paraId="55A2200B"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lastRenderedPageBreak/>
        <w:t>Melbourne consultation forums (morning and afternoon sessions held): 28 August 2019</w:t>
      </w:r>
    </w:p>
    <w:tbl>
      <w:tblPr>
        <w:tblW w:w="9072" w:type="dxa"/>
        <w:tblInd w:w="-10" w:type="dxa"/>
        <w:tblLook w:val="04A0" w:firstRow="1" w:lastRow="0" w:firstColumn="1" w:lastColumn="0" w:noHBand="0" w:noVBand="1"/>
      </w:tblPr>
      <w:tblGrid>
        <w:gridCol w:w="9072"/>
      </w:tblGrid>
      <w:tr w:rsidR="00E9326E" w:rsidRPr="00E9326E" w14:paraId="675F520B" w14:textId="77777777" w:rsidTr="00E9326E">
        <w:trPr>
          <w:trHeight w:val="315"/>
        </w:trPr>
        <w:tc>
          <w:tcPr>
            <w:tcW w:w="9072" w:type="dxa"/>
            <w:shd w:val="clear" w:color="auto" w:fill="auto"/>
            <w:noWrap/>
            <w:vAlign w:val="center"/>
            <w:hideMark/>
          </w:tcPr>
          <w:p w14:paraId="47B434E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AdventCare</w:t>
            </w:r>
          </w:p>
        </w:tc>
      </w:tr>
      <w:tr w:rsidR="00E9326E" w:rsidRPr="00E9326E" w14:paraId="528070CE" w14:textId="77777777" w:rsidTr="00E9326E">
        <w:trPr>
          <w:trHeight w:val="330"/>
        </w:trPr>
        <w:tc>
          <w:tcPr>
            <w:tcW w:w="9072" w:type="dxa"/>
            <w:shd w:val="clear" w:color="auto" w:fill="auto"/>
            <w:noWrap/>
            <w:vAlign w:val="center"/>
            <w:hideMark/>
          </w:tcPr>
          <w:p w14:paraId="4EDB6A0E"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Alan David Lodge - Barwon Health</w:t>
            </w:r>
          </w:p>
        </w:tc>
      </w:tr>
      <w:tr w:rsidR="00E9326E" w:rsidRPr="00E9326E" w14:paraId="1FB593F9" w14:textId="77777777" w:rsidTr="00E9326E">
        <w:trPr>
          <w:trHeight w:val="315"/>
        </w:trPr>
        <w:tc>
          <w:tcPr>
            <w:tcW w:w="9072" w:type="dxa"/>
            <w:shd w:val="clear" w:color="auto" w:fill="auto"/>
            <w:noWrap/>
            <w:vAlign w:val="center"/>
            <w:hideMark/>
          </w:tcPr>
          <w:p w14:paraId="247460E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ANZ Health</w:t>
            </w:r>
          </w:p>
        </w:tc>
      </w:tr>
      <w:tr w:rsidR="00E9326E" w:rsidRPr="00E9326E" w14:paraId="09D0D9E5" w14:textId="77777777" w:rsidTr="00E9326E">
        <w:trPr>
          <w:trHeight w:val="315"/>
        </w:trPr>
        <w:tc>
          <w:tcPr>
            <w:tcW w:w="9072" w:type="dxa"/>
            <w:shd w:val="clear" w:color="auto" w:fill="auto"/>
            <w:noWrap/>
            <w:vAlign w:val="center"/>
            <w:hideMark/>
          </w:tcPr>
          <w:p w14:paraId="13FA7114"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APM</w:t>
            </w:r>
          </w:p>
        </w:tc>
      </w:tr>
      <w:tr w:rsidR="00E9326E" w:rsidRPr="00E9326E" w14:paraId="430ABAE5" w14:textId="77777777" w:rsidTr="00E9326E">
        <w:trPr>
          <w:trHeight w:val="315"/>
        </w:trPr>
        <w:tc>
          <w:tcPr>
            <w:tcW w:w="9072" w:type="dxa"/>
            <w:shd w:val="clear" w:color="auto" w:fill="auto"/>
            <w:noWrap/>
            <w:vAlign w:val="center"/>
            <w:hideMark/>
          </w:tcPr>
          <w:p w14:paraId="2C43E090"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Australian College of Nursing</w:t>
            </w:r>
          </w:p>
        </w:tc>
      </w:tr>
      <w:tr w:rsidR="00E9326E" w:rsidRPr="00E9326E" w14:paraId="50EBE698" w14:textId="77777777" w:rsidTr="00E9326E">
        <w:trPr>
          <w:trHeight w:val="315"/>
        </w:trPr>
        <w:tc>
          <w:tcPr>
            <w:tcW w:w="9072" w:type="dxa"/>
            <w:shd w:val="clear" w:color="auto" w:fill="auto"/>
            <w:noWrap/>
            <w:vAlign w:val="center"/>
            <w:hideMark/>
          </w:tcPr>
          <w:p w14:paraId="0DB0C114"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Australian Nursing &amp; Midwifery Federation</w:t>
            </w:r>
          </w:p>
        </w:tc>
      </w:tr>
      <w:tr w:rsidR="00E9326E" w:rsidRPr="00E9326E" w14:paraId="0E0017B6" w14:textId="77777777" w:rsidTr="00E9326E">
        <w:trPr>
          <w:trHeight w:val="315"/>
        </w:trPr>
        <w:tc>
          <w:tcPr>
            <w:tcW w:w="9072" w:type="dxa"/>
            <w:shd w:val="clear" w:color="auto" w:fill="auto"/>
            <w:noWrap/>
            <w:vAlign w:val="center"/>
            <w:hideMark/>
          </w:tcPr>
          <w:p w14:paraId="04FA3641"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Baptcare</w:t>
            </w:r>
          </w:p>
        </w:tc>
      </w:tr>
      <w:tr w:rsidR="00E9326E" w:rsidRPr="00E9326E" w14:paraId="1DCEF25C" w14:textId="77777777" w:rsidTr="00E9326E">
        <w:trPr>
          <w:trHeight w:val="315"/>
        </w:trPr>
        <w:tc>
          <w:tcPr>
            <w:tcW w:w="9072" w:type="dxa"/>
            <w:shd w:val="clear" w:color="auto" w:fill="auto"/>
            <w:noWrap/>
            <w:vAlign w:val="center"/>
            <w:hideMark/>
          </w:tcPr>
          <w:p w14:paraId="349A4828"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Beata Homecare</w:t>
            </w:r>
          </w:p>
        </w:tc>
      </w:tr>
      <w:tr w:rsidR="00E9326E" w:rsidRPr="00E9326E" w14:paraId="2513A0E9" w14:textId="77777777" w:rsidTr="00E9326E">
        <w:trPr>
          <w:trHeight w:val="315"/>
        </w:trPr>
        <w:tc>
          <w:tcPr>
            <w:tcW w:w="9072" w:type="dxa"/>
            <w:shd w:val="clear" w:color="auto" w:fill="auto"/>
            <w:noWrap/>
            <w:vAlign w:val="center"/>
            <w:hideMark/>
          </w:tcPr>
          <w:p w14:paraId="2734865F"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Blue Cross Community Care Services Group</w:t>
            </w:r>
          </w:p>
        </w:tc>
      </w:tr>
      <w:tr w:rsidR="00E9326E" w:rsidRPr="00E9326E" w14:paraId="0B5C8342" w14:textId="77777777" w:rsidTr="00E9326E">
        <w:trPr>
          <w:trHeight w:val="315"/>
        </w:trPr>
        <w:tc>
          <w:tcPr>
            <w:tcW w:w="9072" w:type="dxa"/>
            <w:shd w:val="clear" w:color="auto" w:fill="auto"/>
            <w:noWrap/>
            <w:vAlign w:val="center"/>
            <w:hideMark/>
          </w:tcPr>
          <w:p w14:paraId="7D10DF89"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Carers Victoria</w:t>
            </w:r>
          </w:p>
        </w:tc>
      </w:tr>
      <w:tr w:rsidR="00E9326E" w:rsidRPr="00E9326E" w14:paraId="4289E4A4" w14:textId="77777777" w:rsidTr="00E9326E">
        <w:trPr>
          <w:trHeight w:val="315"/>
        </w:trPr>
        <w:tc>
          <w:tcPr>
            <w:tcW w:w="9072" w:type="dxa"/>
            <w:shd w:val="clear" w:color="auto" w:fill="auto"/>
            <w:noWrap/>
            <w:vAlign w:val="center"/>
            <w:hideMark/>
          </w:tcPr>
          <w:p w14:paraId="7724317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Cavalry Health Care</w:t>
            </w:r>
          </w:p>
        </w:tc>
      </w:tr>
      <w:tr w:rsidR="00E9326E" w:rsidRPr="00E9326E" w14:paraId="2BBB0BB8" w14:textId="77777777" w:rsidTr="00E9326E">
        <w:trPr>
          <w:trHeight w:val="315"/>
        </w:trPr>
        <w:tc>
          <w:tcPr>
            <w:tcW w:w="9072" w:type="dxa"/>
            <w:shd w:val="clear" w:color="auto" w:fill="auto"/>
            <w:noWrap/>
            <w:vAlign w:val="center"/>
            <w:hideMark/>
          </w:tcPr>
          <w:p w14:paraId="3F1535B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Colliers</w:t>
            </w:r>
          </w:p>
        </w:tc>
      </w:tr>
      <w:tr w:rsidR="00E9326E" w:rsidRPr="00E9326E" w14:paraId="19633B10" w14:textId="77777777" w:rsidTr="00E9326E">
        <w:trPr>
          <w:trHeight w:val="315"/>
        </w:trPr>
        <w:tc>
          <w:tcPr>
            <w:tcW w:w="9072" w:type="dxa"/>
            <w:shd w:val="clear" w:color="auto" w:fill="auto"/>
            <w:noWrap/>
            <w:vAlign w:val="center"/>
            <w:hideMark/>
          </w:tcPr>
          <w:p w14:paraId="41BD61F1"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Continence Foundation of Australia</w:t>
            </w:r>
          </w:p>
        </w:tc>
      </w:tr>
      <w:tr w:rsidR="00E9326E" w:rsidRPr="00E9326E" w14:paraId="637D53A8" w14:textId="77777777" w:rsidTr="00E9326E">
        <w:trPr>
          <w:trHeight w:val="315"/>
        </w:trPr>
        <w:tc>
          <w:tcPr>
            <w:tcW w:w="9072" w:type="dxa"/>
            <w:shd w:val="clear" w:color="auto" w:fill="auto"/>
            <w:noWrap/>
            <w:vAlign w:val="center"/>
            <w:hideMark/>
          </w:tcPr>
          <w:p w14:paraId="0EDD867E"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COTA Australia</w:t>
            </w:r>
          </w:p>
        </w:tc>
      </w:tr>
      <w:tr w:rsidR="00E9326E" w:rsidRPr="00E9326E" w14:paraId="30D1302E" w14:textId="77777777" w:rsidTr="00E9326E">
        <w:trPr>
          <w:trHeight w:val="315"/>
        </w:trPr>
        <w:tc>
          <w:tcPr>
            <w:tcW w:w="9072" w:type="dxa"/>
            <w:shd w:val="clear" w:color="auto" w:fill="auto"/>
            <w:noWrap/>
            <w:vAlign w:val="center"/>
            <w:hideMark/>
          </w:tcPr>
          <w:p w14:paraId="59FF4399"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Doutta Galla Aged Services</w:t>
            </w:r>
          </w:p>
        </w:tc>
      </w:tr>
      <w:tr w:rsidR="00E9326E" w:rsidRPr="00E9326E" w14:paraId="733F33C1" w14:textId="77777777" w:rsidTr="00E9326E">
        <w:trPr>
          <w:trHeight w:val="315"/>
        </w:trPr>
        <w:tc>
          <w:tcPr>
            <w:tcW w:w="9072" w:type="dxa"/>
            <w:shd w:val="clear" w:color="auto" w:fill="auto"/>
            <w:noWrap/>
            <w:vAlign w:val="center"/>
            <w:hideMark/>
          </w:tcPr>
          <w:p w14:paraId="64322841"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Eastern Health</w:t>
            </w:r>
          </w:p>
        </w:tc>
      </w:tr>
      <w:tr w:rsidR="00E9326E" w:rsidRPr="00E9326E" w14:paraId="64B2FB65" w14:textId="77777777" w:rsidTr="00E9326E">
        <w:trPr>
          <w:trHeight w:val="315"/>
        </w:trPr>
        <w:tc>
          <w:tcPr>
            <w:tcW w:w="9072" w:type="dxa"/>
            <w:shd w:val="clear" w:color="auto" w:fill="auto"/>
            <w:noWrap/>
            <w:vAlign w:val="center"/>
            <w:hideMark/>
          </w:tcPr>
          <w:p w14:paraId="5AB173C4"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ECCV</w:t>
            </w:r>
          </w:p>
        </w:tc>
      </w:tr>
      <w:tr w:rsidR="00E9326E" w:rsidRPr="00E9326E" w14:paraId="178F0F4B" w14:textId="77777777" w:rsidTr="00E9326E">
        <w:trPr>
          <w:trHeight w:val="315"/>
        </w:trPr>
        <w:tc>
          <w:tcPr>
            <w:tcW w:w="9072" w:type="dxa"/>
            <w:shd w:val="clear" w:color="auto" w:fill="auto"/>
            <w:noWrap/>
            <w:vAlign w:val="center"/>
            <w:hideMark/>
          </w:tcPr>
          <w:p w14:paraId="41633FB0"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Emerald Terrace</w:t>
            </w:r>
          </w:p>
        </w:tc>
      </w:tr>
      <w:tr w:rsidR="00E9326E" w:rsidRPr="00E9326E" w14:paraId="4F679BCD" w14:textId="77777777" w:rsidTr="00E9326E">
        <w:trPr>
          <w:trHeight w:val="315"/>
        </w:trPr>
        <w:tc>
          <w:tcPr>
            <w:tcW w:w="9072" w:type="dxa"/>
            <w:shd w:val="clear" w:color="auto" w:fill="auto"/>
            <w:noWrap/>
            <w:vAlign w:val="center"/>
            <w:hideMark/>
          </w:tcPr>
          <w:p w14:paraId="664A673E"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Estia Health</w:t>
            </w:r>
          </w:p>
        </w:tc>
      </w:tr>
      <w:tr w:rsidR="00E9326E" w:rsidRPr="00E9326E" w14:paraId="6C076FBE" w14:textId="77777777" w:rsidTr="00E9326E">
        <w:trPr>
          <w:trHeight w:val="315"/>
        </w:trPr>
        <w:tc>
          <w:tcPr>
            <w:tcW w:w="9072" w:type="dxa"/>
            <w:shd w:val="clear" w:color="auto" w:fill="auto"/>
            <w:noWrap/>
            <w:vAlign w:val="center"/>
            <w:hideMark/>
          </w:tcPr>
          <w:p w14:paraId="54D0DEF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Homestyle Aged Care</w:t>
            </w:r>
          </w:p>
        </w:tc>
      </w:tr>
      <w:tr w:rsidR="00E9326E" w:rsidRPr="00E9326E" w14:paraId="3CFA6C07" w14:textId="77777777" w:rsidTr="00E9326E">
        <w:trPr>
          <w:trHeight w:val="315"/>
        </w:trPr>
        <w:tc>
          <w:tcPr>
            <w:tcW w:w="9072" w:type="dxa"/>
            <w:shd w:val="clear" w:color="auto" w:fill="auto"/>
            <w:noWrap/>
            <w:vAlign w:val="center"/>
            <w:hideMark/>
          </w:tcPr>
          <w:p w14:paraId="7456B21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Japara</w:t>
            </w:r>
          </w:p>
        </w:tc>
      </w:tr>
      <w:tr w:rsidR="00E9326E" w:rsidRPr="00E9326E" w14:paraId="54C0E59E" w14:textId="77777777" w:rsidTr="00E9326E">
        <w:trPr>
          <w:trHeight w:val="315"/>
        </w:trPr>
        <w:tc>
          <w:tcPr>
            <w:tcW w:w="9072" w:type="dxa"/>
            <w:shd w:val="clear" w:color="auto" w:fill="auto"/>
            <w:noWrap/>
            <w:vAlign w:val="center"/>
            <w:hideMark/>
          </w:tcPr>
          <w:p w14:paraId="6E0F1C6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Jewish Care (Victoria) Inc.</w:t>
            </w:r>
          </w:p>
        </w:tc>
      </w:tr>
      <w:tr w:rsidR="00E9326E" w:rsidRPr="00E9326E" w14:paraId="36482709" w14:textId="77777777" w:rsidTr="00E9326E">
        <w:trPr>
          <w:trHeight w:val="315"/>
        </w:trPr>
        <w:tc>
          <w:tcPr>
            <w:tcW w:w="9072" w:type="dxa"/>
            <w:shd w:val="clear" w:color="auto" w:fill="auto"/>
            <w:noWrap/>
            <w:vAlign w:val="center"/>
            <w:hideMark/>
          </w:tcPr>
          <w:p w14:paraId="0735CEB8"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Knowles Group (Arcare)</w:t>
            </w:r>
          </w:p>
        </w:tc>
      </w:tr>
      <w:tr w:rsidR="00E9326E" w:rsidRPr="00E9326E" w14:paraId="05DE79A0" w14:textId="77777777" w:rsidTr="00E9326E">
        <w:trPr>
          <w:trHeight w:val="315"/>
        </w:trPr>
        <w:tc>
          <w:tcPr>
            <w:tcW w:w="9072" w:type="dxa"/>
            <w:shd w:val="clear" w:color="auto" w:fill="auto"/>
            <w:noWrap/>
            <w:vAlign w:val="center"/>
            <w:hideMark/>
          </w:tcPr>
          <w:p w14:paraId="090E54F9"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Knuppel Enterprises Pty Ltd</w:t>
            </w:r>
          </w:p>
        </w:tc>
      </w:tr>
      <w:tr w:rsidR="00E9326E" w:rsidRPr="00E9326E" w14:paraId="0BB0B96A" w14:textId="77777777" w:rsidTr="00E9326E">
        <w:trPr>
          <w:trHeight w:val="315"/>
        </w:trPr>
        <w:tc>
          <w:tcPr>
            <w:tcW w:w="9072" w:type="dxa"/>
            <w:shd w:val="clear" w:color="auto" w:fill="auto"/>
            <w:noWrap/>
            <w:vAlign w:val="center"/>
            <w:hideMark/>
          </w:tcPr>
          <w:p w14:paraId="42ECA63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Luson</w:t>
            </w:r>
          </w:p>
        </w:tc>
      </w:tr>
      <w:tr w:rsidR="00E9326E" w:rsidRPr="00E9326E" w14:paraId="5F11C257" w14:textId="77777777" w:rsidTr="00E9326E">
        <w:trPr>
          <w:trHeight w:val="315"/>
        </w:trPr>
        <w:tc>
          <w:tcPr>
            <w:tcW w:w="9072" w:type="dxa"/>
            <w:shd w:val="clear" w:color="auto" w:fill="auto"/>
            <w:noWrap/>
            <w:vAlign w:val="center"/>
            <w:hideMark/>
          </w:tcPr>
          <w:p w14:paraId="15C5C48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Luson Health</w:t>
            </w:r>
          </w:p>
        </w:tc>
      </w:tr>
      <w:tr w:rsidR="00E9326E" w:rsidRPr="00E9326E" w14:paraId="4BB02115" w14:textId="77777777" w:rsidTr="00E9326E">
        <w:trPr>
          <w:trHeight w:val="315"/>
        </w:trPr>
        <w:tc>
          <w:tcPr>
            <w:tcW w:w="9072" w:type="dxa"/>
            <w:shd w:val="clear" w:color="auto" w:fill="auto"/>
            <w:noWrap/>
            <w:vAlign w:val="center"/>
            <w:hideMark/>
          </w:tcPr>
          <w:p w14:paraId="4759662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Martin Luther Homes</w:t>
            </w:r>
          </w:p>
        </w:tc>
      </w:tr>
      <w:tr w:rsidR="00E9326E" w:rsidRPr="00E9326E" w14:paraId="67777658" w14:textId="77777777" w:rsidTr="00E9326E">
        <w:trPr>
          <w:trHeight w:val="315"/>
        </w:trPr>
        <w:tc>
          <w:tcPr>
            <w:tcW w:w="9072" w:type="dxa"/>
            <w:shd w:val="clear" w:color="auto" w:fill="auto"/>
            <w:noWrap/>
            <w:vAlign w:val="center"/>
            <w:hideMark/>
          </w:tcPr>
          <w:p w14:paraId="3EF210B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Menarock LIFE</w:t>
            </w:r>
          </w:p>
        </w:tc>
      </w:tr>
      <w:tr w:rsidR="00E9326E" w:rsidRPr="00E9326E" w14:paraId="4F8980B1" w14:textId="77777777" w:rsidTr="00E9326E">
        <w:trPr>
          <w:trHeight w:val="315"/>
        </w:trPr>
        <w:tc>
          <w:tcPr>
            <w:tcW w:w="9072" w:type="dxa"/>
            <w:shd w:val="clear" w:color="auto" w:fill="auto"/>
            <w:noWrap/>
            <w:vAlign w:val="center"/>
            <w:hideMark/>
          </w:tcPr>
          <w:p w14:paraId="6D040D9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Mercy Health</w:t>
            </w:r>
          </w:p>
        </w:tc>
      </w:tr>
      <w:tr w:rsidR="00E9326E" w:rsidRPr="00E9326E" w14:paraId="463B2094" w14:textId="77777777" w:rsidTr="00E9326E">
        <w:trPr>
          <w:trHeight w:val="330"/>
        </w:trPr>
        <w:tc>
          <w:tcPr>
            <w:tcW w:w="9072" w:type="dxa"/>
            <w:shd w:val="clear" w:color="auto" w:fill="auto"/>
            <w:noWrap/>
            <w:vAlign w:val="center"/>
            <w:hideMark/>
          </w:tcPr>
          <w:p w14:paraId="691ADA71"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Monash City Council</w:t>
            </w:r>
          </w:p>
        </w:tc>
      </w:tr>
      <w:tr w:rsidR="00E9326E" w:rsidRPr="00E9326E" w14:paraId="55D3ECE4" w14:textId="77777777" w:rsidTr="00E9326E">
        <w:trPr>
          <w:trHeight w:val="315"/>
        </w:trPr>
        <w:tc>
          <w:tcPr>
            <w:tcW w:w="9072" w:type="dxa"/>
            <w:shd w:val="clear" w:color="auto" w:fill="auto"/>
            <w:noWrap/>
            <w:vAlign w:val="center"/>
            <w:hideMark/>
          </w:tcPr>
          <w:p w14:paraId="655DAD7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Regis Aged Care</w:t>
            </w:r>
          </w:p>
        </w:tc>
      </w:tr>
      <w:tr w:rsidR="00E9326E" w:rsidRPr="00E9326E" w14:paraId="65F40971" w14:textId="77777777" w:rsidTr="00E9326E">
        <w:trPr>
          <w:trHeight w:val="315"/>
        </w:trPr>
        <w:tc>
          <w:tcPr>
            <w:tcW w:w="9072" w:type="dxa"/>
            <w:shd w:val="clear" w:color="auto" w:fill="auto"/>
            <w:noWrap/>
            <w:vAlign w:val="center"/>
            <w:hideMark/>
          </w:tcPr>
          <w:p w14:paraId="3E33D80C"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Royal Freemasons</w:t>
            </w:r>
          </w:p>
        </w:tc>
      </w:tr>
      <w:tr w:rsidR="00E9326E" w:rsidRPr="00E9326E" w14:paraId="51A85634" w14:textId="77777777" w:rsidTr="00E9326E">
        <w:trPr>
          <w:trHeight w:val="315"/>
        </w:trPr>
        <w:tc>
          <w:tcPr>
            <w:tcW w:w="9072" w:type="dxa"/>
            <w:shd w:val="clear" w:color="auto" w:fill="auto"/>
            <w:noWrap/>
            <w:vAlign w:val="center"/>
            <w:hideMark/>
          </w:tcPr>
          <w:p w14:paraId="5E1B2005"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Ryman Healthcare Limited</w:t>
            </w:r>
          </w:p>
        </w:tc>
      </w:tr>
      <w:tr w:rsidR="00E9326E" w:rsidRPr="00E9326E" w14:paraId="109E7220" w14:textId="77777777" w:rsidTr="00E9326E">
        <w:trPr>
          <w:trHeight w:val="315"/>
        </w:trPr>
        <w:tc>
          <w:tcPr>
            <w:tcW w:w="9072" w:type="dxa"/>
            <w:shd w:val="clear" w:color="auto" w:fill="auto"/>
            <w:noWrap/>
            <w:vAlign w:val="center"/>
            <w:hideMark/>
          </w:tcPr>
          <w:p w14:paraId="41FFE26E"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Samkay Health</w:t>
            </w:r>
          </w:p>
        </w:tc>
      </w:tr>
      <w:tr w:rsidR="00E9326E" w:rsidRPr="00E9326E" w14:paraId="203E8072" w14:textId="77777777" w:rsidTr="00E9326E">
        <w:trPr>
          <w:trHeight w:val="315"/>
        </w:trPr>
        <w:tc>
          <w:tcPr>
            <w:tcW w:w="9072" w:type="dxa"/>
            <w:shd w:val="clear" w:color="auto" w:fill="auto"/>
            <w:noWrap/>
            <w:vAlign w:val="center"/>
            <w:hideMark/>
          </w:tcPr>
          <w:p w14:paraId="298CF92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Shepparton Retirement Villages</w:t>
            </w:r>
          </w:p>
        </w:tc>
      </w:tr>
      <w:tr w:rsidR="00E9326E" w:rsidRPr="00E9326E" w14:paraId="56432480" w14:textId="77777777" w:rsidTr="00E9326E">
        <w:trPr>
          <w:trHeight w:val="315"/>
        </w:trPr>
        <w:tc>
          <w:tcPr>
            <w:tcW w:w="9072" w:type="dxa"/>
            <w:shd w:val="clear" w:color="auto" w:fill="auto"/>
            <w:noWrap/>
            <w:vAlign w:val="center"/>
            <w:hideMark/>
          </w:tcPr>
          <w:p w14:paraId="18D248E4"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The Bays Aged Care</w:t>
            </w:r>
          </w:p>
        </w:tc>
      </w:tr>
      <w:tr w:rsidR="00E9326E" w:rsidRPr="00E9326E" w14:paraId="5F26C80D" w14:textId="77777777" w:rsidTr="00E9326E">
        <w:trPr>
          <w:trHeight w:val="315"/>
        </w:trPr>
        <w:tc>
          <w:tcPr>
            <w:tcW w:w="9072" w:type="dxa"/>
            <w:shd w:val="clear" w:color="auto" w:fill="auto"/>
            <w:noWrap/>
            <w:vAlign w:val="center"/>
            <w:hideMark/>
          </w:tcPr>
          <w:p w14:paraId="68DC1BE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The Ideal consultancy</w:t>
            </w:r>
          </w:p>
        </w:tc>
      </w:tr>
      <w:tr w:rsidR="00E9326E" w:rsidRPr="00E9326E" w14:paraId="3488E015" w14:textId="77777777" w:rsidTr="00E9326E">
        <w:trPr>
          <w:trHeight w:val="315"/>
        </w:trPr>
        <w:tc>
          <w:tcPr>
            <w:tcW w:w="9072" w:type="dxa"/>
            <w:shd w:val="clear" w:color="auto" w:fill="auto"/>
            <w:noWrap/>
            <w:vAlign w:val="center"/>
            <w:hideMark/>
          </w:tcPr>
          <w:p w14:paraId="6DD58CD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Unitingagewell</w:t>
            </w:r>
          </w:p>
        </w:tc>
      </w:tr>
      <w:tr w:rsidR="00E9326E" w:rsidRPr="00E9326E" w14:paraId="3DB443DA" w14:textId="77777777" w:rsidTr="00E9326E">
        <w:trPr>
          <w:trHeight w:val="315"/>
        </w:trPr>
        <w:tc>
          <w:tcPr>
            <w:tcW w:w="9072" w:type="dxa"/>
            <w:shd w:val="clear" w:color="auto" w:fill="auto"/>
            <w:noWrap/>
            <w:vAlign w:val="center"/>
            <w:hideMark/>
          </w:tcPr>
          <w:p w14:paraId="020966AA"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Vic Department of Health and Human Services</w:t>
            </w:r>
          </w:p>
        </w:tc>
      </w:tr>
      <w:tr w:rsidR="00E9326E" w:rsidRPr="00E9326E" w14:paraId="3F78036A" w14:textId="77777777" w:rsidTr="00E9326E">
        <w:trPr>
          <w:trHeight w:val="315"/>
        </w:trPr>
        <w:tc>
          <w:tcPr>
            <w:tcW w:w="9072" w:type="dxa"/>
            <w:shd w:val="clear" w:color="auto" w:fill="auto"/>
            <w:noWrap/>
            <w:vAlign w:val="center"/>
            <w:hideMark/>
          </w:tcPr>
          <w:p w14:paraId="479BCF99"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Victorian Healthcare Association</w:t>
            </w:r>
          </w:p>
        </w:tc>
      </w:tr>
      <w:tr w:rsidR="00E9326E" w:rsidRPr="00E9326E" w14:paraId="627F8A8C" w14:textId="77777777" w:rsidTr="00E9326E">
        <w:trPr>
          <w:trHeight w:val="315"/>
        </w:trPr>
        <w:tc>
          <w:tcPr>
            <w:tcW w:w="9072" w:type="dxa"/>
            <w:shd w:val="clear" w:color="auto" w:fill="auto"/>
            <w:noWrap/>
            <w:vAlign w:val="center"/>
            <w:hideMark/>
          </w:tcPr>
          <w:p w14:paraId="7A27C36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Villa Maria Catholic Homes</w:t>
            </w:r>
          </w:p>
        </w:tc>
      </w:tr>
      <w:tr w:rsidR="00E9326E" w:rsidRPr="00E9326E" w14:paraId="75F10904" w14:textId="77777777" w:rsidTr="00E9326E">
        <w:trPr>
          <w:trHeight w:val="315"/>
        </w:trPr>
        <w:tc>
          <w:tcPr>
            <w:tcW w:w="9072" w:type="dxa"/>
            <w:shd w:val="clear" w:color="auto" w:fill="auto"/>
            <w:noWrap/>
            <w:vAlign w:val="center"/>
            <w:hideMark/>
          </w:tcPr>
          <w:p w14:paraId="51F3181E"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Wickro Pty Ltd T/as Homestyle Aged Care Services</w:t>
            </w:r>
          </w:p>
        </w:tc>
      </w:tr>
    </w:tbl>
    <w:p w14:paraId="2B328E49" w14:textId="77777777" w:rsidR="00614019" w:rsidRDefault="00614019" w:rsidP="00E9326E">
      <w:pPr>
        <w:spacing w:after="160" w:line="259" w:lineRule="auto"/>
        <w:rPr>
          <w:rFonts w:ascii="Calibri" w:hAnsi="Calibri" w:cs="Calibri"/>
          <w:b/>
          <w:color w:val="000000"/>
          <w:sz w:val="22"/>
          <w:szCs w:val="22"/>
          <w:lang w:eastAsia="en-US"/>
        </w:rPr>
      </w:pPr>
    </w:p>
    <w:p w14:paraId="26688774" w14:textId="77777777" w:rsidR="00614019" w:rsidRDefault="00614019">
      <w:pPr>
        <w:rPr>
          <w:rFonts w:ascii="Calibri" w:hAnsi="Calibri" w:cs="Calibri"/>
          <w:b/>
          <w:color w:val="000000"/>
          <w:sz w:val="22"/>
          <w:szCs w:val="22"/>
          <w:lang w:eastAsia="en-US"/>
        </w:rPr>
      </w:pPr>
      <w:r>
        <w:rPr>
          <w:rFonts w:ascii="Calibri" w:hAnsi="Calibri" w:cs="Calibri"/>
          <w:b/>
          <w:color w:val="000000"/>
          <w:sz w:val="22"/>
          <w:szCs w:val="22"/>
          <w:lang w:eastAsia="en-US"/>
        </w:rPr>
        <w:br w:type="page"/>
      </w:r>
    </w:p>
    <w:p w14:paraId="3AF3E1A7" w14:textId="4D8946A8"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lastRenderedPageBreak/>
        <w:t>Tasmania consultation forum (morning session held only): 30 August 2019</w:t>
      </w:r>
    </w:p>
    <w:tbl>
      <w:tblPr>
        <w:tblW w:w="7371" w:type="dxa"/>
        <w:tblInd w:w="-10" w:type="dxa"/>
        <w:tblLook w:val="04A0" w:firstRow="1" w:lastRow="0" w:firstColumn="1" w:lastColumn="0" w:noHBand="0" w:noVBand="1"/>
      </w:tblPr>
      <w:tblGrid>
        <w:gridCol w:w="7371"/>
      </w:tblGrid>
      <w:tr w:rsidR="00E9326E" w:rsidRPr="00E9326E" w14:paraId="4D0BD247" w14:textId="77777777" w:rsidTr="00E9326E">
        <w:trPr>
          <w:trHeight w:val="345"/>
        </w:trPr>
        <w:tc>
          <w:tcPr>
            <w:tcW w:w="7371" w:type="dxa"/>
            <w:shd w:val="clear" w:color="auto" w:fill="auto"/>
            <w:noWrap/>
            <w:vAlign w:val="center"/>
            <w:hideMark/>
          </w:tcPr>
          <w:p w14:paraId="39249F9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Glenview Community Services</w:t>
            </w:r>
          </w:p>
        </w:tc>
      </w:tr>
      <w:tr w:rsidR="00E9326E" w:rsidRPr="00E9326E" w14:paraId="5570A4D1" w14:textId="77777777" w:rsidTr="00E9326E">
        <w:trPr>
          <w:trHeight w:val="330"/>
        </w:trPr>
        <w:tc>
          <w:tcPr>
            <w:tcW w:w="7371" w:type="dxa"/>
            <w:shd w:val="clear" w:color="auto" w:fill="auto"/>
            <w:noWrap/>
            <w:vAlign w:val="center"/>
            <w:hideMark/>
          </w:tcPr>
          <w:p w14:paraId="598EC6E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May Shaw Health Centre Inc</w:t>
            </w:r>
          </w:p>
        </w:tc>
      </w:tr>
      <w:tr w:rsidR="00E9326E" w:rsidRPr="00E9326E" w14:paraId="23788FBD" w14:textId="77777777" w:rsidTr="00E9326E">
        <w:trPr>
          <w:trHeight w:val="330"/>
        </w:trPr>
        <w:tc>
          <w:tcPr>
            <w:tcW w:w="7371" w:type="dxa"/>
            <w:shd w:val="clear" w:color="auto" w:fill="auto"/>
            <w:noWrap/>
            <w:vAlign w:val="center"/>
            <w:hideMark/>
          </w:tcPr>
          <w:p w14:paraId="5D6FC229"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Older Persons Mental Health Service South - Tasmanian Health Service</w:t>
            </w:r>
          </w:p>
        </w:tc>
      </w:tr>
      <w:tr w:rsidR="00E9326E" w:rsidRPr="00E9326E" w14:paraId="1F4320EB" w14:textId="77777777" w:rsidTr="00E9326E">
        <w:trPr>
          <w:trHeight w:val="330"/>
        </w:trPr>
        <w:tc>
          <w:tcPr>
            <w:tcW w:w="7371" w:type="dxa"/>
            <w:shd w:val="clear" w:color="auto" w:fill="auto"/>
            <w:noWrap/>
            <w:vAlign w:val="center"/>
            <w:hideMark/>
          </w:tcPr>
          <w:p w14:paraId="632F0E44"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Princes Court Homes</w:t>
            </w:r>
          </w:p>
        </w:tc>
      </w:tr>
      <w:tr w:rsidR="00E9326E" w:rsidRPr="00E9326E" w14:paraId="16A4CA77" w14:textId="77777777" w:rsidTr="00E9326E">
        <w:trPr>
          <w:trHeight w:val="330"/>
        </w:trPr>
        <w:tc>
          <w:tcPr>
            <w:tcW w:w="7371" w:type="dxa"/>
            <w:shd w:val="clear" w:color="auto" w:fill="auto"/>
            <w:noWrap/>
            <w:vAlign w:val="center"/>
            <w:hideMark/>
          </w:tcPr>
          <w:p w14:paraId="6D52A585"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Royal Hospital Hobart</w:t>
            </w:r>
          </w:p>
        </w:tc>
      </w:tr>
      <w:tr w:rsidR="00E9326E" w:rsidRPr="00E9326E" w14:paraId="2843C1C4" w14:textId="77777777" w:rsidTr="00E9326E">
        <w:trPr>
          <w:trHeight w:val="330"/>
        </w:trPr>
        <w:tc>
          <w:tcPr>
            <w:tcW w:w="7371" w:type="dxa"/>
            <w:shd w:val="clear" w:color="auto" w:fill="auto"/>
            <w:noWrap/>
            <w:vAlign w:val="center"/>
            <w:hideMark/>
          </w:tcPr>
          <w:p w14:paraId="4AF8077A"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Tasmanian Department of Health</w:t>
            </w:r>
          </w:p>
        </w:tc>
      </w:tr>
      <w:tr w:rsidR="00E9326E" w:rsidRPr="00E9326E" w14:paraId="5E0986FF" w14:textId="77777777" w:rsidTr="00E9326E">
        <w:trPr>
          <w:trHeight w:val="330"/>
        </w:trPr>
        <w:tc>
          <w:tcPr>
            <w:tcW w:w="7371" w:type="dxa"/>
            <w:shd w:val="clear" w:color="auto" w:fill="auto"/>
            <w:noWrap/>
            <w:vAlign w:val="center"/>
          </w:tcPr>
          <w:p w14:paraId="4A6D4C00"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Southern Cross Care</w:t>
            </w:r>
          </w:p>
        </w:tc>
      </w:tr>
    </w:tbl>
    <w:p w14:paraId="2E8CCD2A" w14:textId="77777777" w:rsidR="00E9326E" w:rsidRPr="00E9326E" w:rsidRDefault="00E9326E" w:rsidP="00E9326E">
      <w:pPr>
        <w:spacing w:after="160" w:line="259" w:lineRule="auto"/>
        <w:rPr>
          <w:rFonts w:ascii="Calibri" w:hAnsi="Calibri" w:cs="Calibri"/>
          <w:color w:val="000000"/>
          <w:sz w:val="22"/>
          <w:szCs w:val="22"/>
          <w:lang w:eastAsia="en-US"/>
        </w:rPr>
      </w:pPr>
    </w:p>
    <w:p w14:paraId="6AA786A4"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br w:type="page"/>
      </w:r>
    </w:p>
    <w:p w14:paraId="37E53F3C"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lastRenderedPageBreak/>
        <w:t>Brisbane consultation forums (morning and afternoon sessions held): 4 September 2019</w:t>
      </w:r>
    </w:p>
    <w:tbl>
      <w:tblPr>
        <w:tblW w:w="7938" w:type="dxa"/>
        <w:tblInd w:w="-10" w:type="dxa"/>
        <w:tblLook w:val="04A0" w:firstRow="1" w:lastRow="0" w:firstColumn="1" w:lastColumn="0" w:noHBand="0" w:noVBand="1"/>
      </w:tblPr>
      <w:tblGrid>
        <w:gridCol w:w="7938"/>
      </w:tblGrid>
      <w:tr w:rsidR="00E9326E" w:rsidRPr="00E9326E" w14:paraId="5143CA9F" w14:textId="77777777" w:rsidTr="00E9326E">
        <w:trPr>
          <w:trHeight w:val="315"/>
        </w:trPr>
        <w:tc>
          <w:tcPr>
            <w:tcW w:w="7938" w:type="dxa"/>
            <w:shd w:val="clear" w:color="auto" w:fill="auto"/>
            <w:noWrap/>
            <w:vAlign w:val="center"/>
            <w:hideMark/>
          </w:tcPr>
          <w:p w14:paraId="70B7ABB9"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Aboriginal and Torres Strait Islander Community Health Service Brisbane</w:t>
            </w:r>
          </w:p>
        </w:tc>
      </w:tr>
      <w:tr w:rsidR="00E9326E" w:rsidRPr="00E9326E" w14:paraId="7B9CC04D" w14:textId="77777777" w:rsidTr="00E9326E">
        <w:trPr>
          <w:trHeight w:val="330"/>
        </w:trPr>
        <w:tc>
          <w:tcPr>
            <w:tcW w:w="7938" w:type="dxa"/>
            <w:shd w:val="clear" w:color="auto" w:fill="auto"/>
            <w:noWrap/>
            <w:vAlign w:val="center"/>
            <w:hideMark/>
          </w:tcPr>
          <w:p w14:paraId="30C11DB0"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Alzheimer's Association of Qld</w:t>
            </w:r>
          </w:p>
        </w:tc>
      </w:tr>
      <w:tr w:rsidR="00E9326E" w:rsidRPr="00E9326E" w14:paraId="1E1BBFCE" w14:textId="77777777" w:rsidTr="00E9326E">
        <w:trPr>
          <w:trHeight w:val="315"/>
        </w:trPr>
        <w:tc>
          <w:tcPr>
            <w:tcW w:w="7938" w:type="dxa"/>
            <w:shd w:val="clear" w:color="auto" w:fill="auto"/>
            <w:noWrap/>
            <w:vAlign w:val="center"/>
            <w:hideMark/>
          </w:tcPr>
          <w:p w14:paraId="478A423C"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Anglicare</w:t>
            </w:r>
          </w:p>
        </w:tc>
      </w:tr>
      <w:tr w:rsidR="00E9326E" w:rsidRPr="00E9326E" w14:paraId="15980AE1" w14:textId="77777777" w:rsidTr="00E9326E">
        <w:trPr>
          <w:trHeight w:val="315"/>
        </w:trPr>
        <w:tc>
          <w:tcPr>
            <w:tcW w:w="7938" w:type="dxa"/>
            <w:shd w:val="clear" w:color="auto" w:fill="auto"/>
            <w:noWrap/>
            <w:vAlign w:val="center"/>
            <w:hideMark/>
          </w:tcPr>
          <w:p w14:paraId="299A0AA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Apollo Care</w:t>
            </w:r>
          </w:p>
        </w:tc>
      </w:tr>
      <w:tr w:rsidR="00E9326E" w:rsidRPr="00E9326E" w14:paraId="0ABACFF4" w14:textId="77777777" w:rsidTr="00E9326E">
        <w:trPr>
          <w:trHeight w:val="315"/>
        </w:trPr>
        <w:tc>
          <w:tcPr>
            <w:tcW w:w="7938" w:type="dxa"/>
            <w:shd w:val="clear" w:color="auto" w:fill="auto"/>
            <w:noWrap/>
            <w:vAlign w:val="center"/>
            <w:hideMark/>
          </w:tcPr>
          <w:p w14:paraId="04E61B87"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Australian Unity</w:t>
            </w:r>
          </w:p>
        </w:tc>
      </w:tr>
      <w:tr w:rsidR="00E9326E" w:rsidRPr="00E9326E" w14:paraId="17434C68" w14:textId="77777777" w:rsidTr="00E9326E">
        <w:trPr>
          <w:trHeight w:val="315"/>
        </w:trPr>
        <w:tc>
          <w:tcPr>
            <w:tcW w:w="7938" w:type="dxa"/>
            <w:shd w:val="clear" w:color="auto" w:fill="auto"/>
            <w:noWrap/>
            <w:vAlign w:val="center"/>
            <w:hideMark/>
          </w:tcPr>
          <w:p w14:paraId="3BC8892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Benevolent Living</w:t>
            </w:r>
          </w:p>
        </w:tc>
      </w:tr>
      <w:tr w:rsidR="00E9326E" w:rsidRPr="00E9326E" w14:paraId="4EB8800D" w14:textId="77777777" w:rsidTr="00E9326E">
        <w:trPr>
          <w:trHeight w:val="315"/>
        </w:trPr>
        <w:tc>
          <w:tcPr>
            <w:tcW w:w="7938" w:type="dxa"/>
            <w:shd w:val="clear" w:color="auto" w:fill="auto"/>
            <w:noWrap/>
            <w:vAlign w:val="center"/>
            <w:hideMark/>
          </w:tcPr>
          <w:p w14:paraId="0BD6E915"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Blue Care</w:t>
            </w:r>
          </w:p>
        </w:tc>
      </w:tr>
      <w:tr w:rsidR="00E9326E" w:rsidRPr="00E9326E" w14:paraId="2A15403B" w14:textId="77777777" w:rsidTr="00E9326E">
        <w:trPr>
          <w:trHeight w:val="315"/>
        </w:trPr>
        <w:tc>
          <w:tcPr>
            <w:tcW w:w="7938" w:type="dxa"/>
            <w:shd w:val="clear" w:color="auto" w:fill="auto"/>
            <w:noWrap/>
            <w:vAlign w:val="center"/>
            <w:hideMark/>
          </w:tcPr>
          <w:p w14:paraId="1715601F"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Brisbane North PHN</w:t>
            </w:r>
          </w:p>
        </w:tc>
      </w:tr>
      <w:tr w:rsidR="00E9326E" w:rsidRPr="00E9326E" w14:paraId="24E5FF56" w14:textId="77777777" w:rsidTr="00E9326E">
        <w:trPr>
          <w:trHeight w:val="315"/>
        </w:trPr>
        <w:tc>
          <w:tcPr>
            <w:tcW w:w="7938" w:type="dxa"/>
            <w:shd w:val="clear" w:color="auto" w:fill="auto"/>
            <w:noWrap/>
            <w:vAlign w:val="center"/>
            <w:hideMark/>
          </w:tcPr>
          <w:p w14:paraId="0C4DEF67"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Brisbane South PHN</w:t>
            </w:r>
          </w:p>
        </w:tc>
      </w:tr>
      <w:tr w:rsidR="00E9326E" w:rsidRPr="00E9326E" w14:paraId="4A6FCCE6" w14:textId="77777777" w:rsidTr="00E9326E">
        <w:trPr>
          <w:trHeight w:val="315"/>
        </w:trPr>
        <w:tc>
          <w:tcPr>
            <w:tcW w:w="7938" w:type="dxa"/>
            <w:shd w:val="clear" w:color="auto" w:fill="auto"/>
            <w:noWrap/>
            <w:vAlign w:val="center"/>
            <w:hideMark/>
          </w:tcPr>
          <w:p w14:paraId="2681539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Eldercare inc</w:t>
            </w:r>
          </w:p>
        </w:tc>
      </w:tr>
      <w:tr w:rsidR="00E9326E" w:rsidRPr="00E9326E" w14:paraId="304B3226" w14:textId="77777777" w:rsidTr="00E9326E">
        <w:trPr>
          <w:trHeight w:val="315"/>
        </w:trPr>
        <w:tc>
          <w:tcPr>
            <w:tcW w:w="7938" w:type="dxa"/>
            <w:shd w:val="clear" w:color="auto" w:fill="auto"/>
            <w:noWrap/>
            <w:vAlign w:val="center"/>
            <w:hideMark/>
          </w:tcPr>
          <w:p w14:paraId="3E146A9F"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Gold Coast Health</w:t>
            </w:r>
          </w:p>
        </w:tc>
      </w:tr>
      <w:tr w:rsidR="00E9326E" w:rsidRPr="00E9326E" w14:paraId="6E41AF11" w14:textId="77777777" w:rsidTr="00E9326E">
        <w:trPr>
          <w:trHeight w:val="315"/>
        </w:trPr>
        <w:tc>
          <w:tcPr>
            <w:tcW w:w="7938" w:type="dxa"/>
            <w:shd w:val="clear" w:color="auto" w:fill="auto"/>
            <w:noWrap/>
            <w:vAlign w:val="center"/>
            <w:hideMark/>
          </w:tcPr>
          <w:p w14:paraId="4FCFB438"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Good Shepherd Lodge Ltd</w:t>
            </w:r>
          </w:p>
        </w:tc>
      </w:tr>
      <w:tr w:rsidR="00E9326E" w:rsidRPr="00E9326E" w14:paraId="5F79BC1E" w14:textId="77777777" w:rsidTr="00E9326E">
        <w:trPr>
          <w:trHeight w:val="315"/>
        </w:trPr>
        <w:tc>
          <w:tcPr>
            <w:tcW w:w="7938" w:type="dxa"/>
            <w:shd w:val="clear" w:color="auto" w:fill="auto"/>
            <w:noWrap/>
            <w:vAlign w:val="center"/>
            <w:hideMark/>
          </w:tcPr>
          <w:p w14:paraId="68E62080"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IRT</w:t>
            </w:r>
          </w:p>
        </w:tc>
      </w:tr>
      <w:tr w:rsidR="00E9326E" w:rsidRPr="00E9326E" w14:paraId="22282752" w14:textId="77777777" w:rsidTr="00E9326E">
        <w:trPr>
          <w:trHeight w:val="315"/>
        </w:trPr>
        <w:tc>
          <w:tcPr>
            <w:tcW w:w="7938" w:type="dxa"/>
            <w:shd w:val="clear" w:color="auto" w:fill="auto"/>
            <w:noWrap/>
            <w:vAlign w:val="center"/>
            <w:hideMark/>
          </w:tcPr>
          <w:p w14:paraId="5C32C12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James Underwood &amp; Associates</w:t>
            </w:r>
          </w:p>
        </w:tc>
      </w:tr>
      <w:tr w:rsidR="00E9326E" w:rsidRPr="00E9326E" w14:paraId="399FD824" w14:textId="77777777" w:rsidTr="00E9326E">
        <w:trPr>
          <w:trHeight w:val="315"/>
        </w:trPr>
        <w:tc>
          <w:tcPr>
            <w:tcW w:w="7938" w:type="dxa"/>
            <w:shd w:val="clear" w:color="auto" w:fill="auto"/>
            <w:noWrap/>
            <w:vAlign w:val="center"/>
            <w:hideMark/>
          </w:tcPr>
          <w:p w14:paraId="797932D4"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Knight Frank Health and Aged Care QLD</w:t>
            </w:r>
          </w:p>
        </w:tc>
      </w:tr>
      <w:tr w:rsidR="00E9326E" w:rsidRPr="00E9326E" w14:paraId="0E173164" w14:textId="77777777" w:rsidTr="00E9326E">
        <w:trPr>
          <w:trHeight w:val="315"/>
        </w:trPr>
        <w:tc>
          <w:tcPr>
            <w:tcW w:w="7938" w:type="dxa"/>
            <w:shd w:val="clear" w:color="auto" w:fill="auto"/>
            <w:noWrap/>
            <w:vAlign w:val="center"/>
            <w:hideMark/>
          </w:tcPr>
          <w:p w14:paraId="4433B0EC"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Leading Age Services Australia</w:t>
            </w:r>
          </w:p>
        </w:tc>
      </w:tr>
      <w:tr w:rsidR="00E9326E" w:rsidRPr="00E9326E" w14:paraId="51EF55F8" w14:textId="77777777" w:rsidTr="00E9326E">
        <w:trPr>
          <w:trHeight w:val="315"/>
        </w:trPr>
        <w:tc>
          <w:tcPr>
            <w:tcW w:w="7938" w:type="dxa"/>
            <w:shd w:val="clear" w:color="auto" w:fill="auto"/>
            <w:noWrap/>
            <w:vAlign w:val="center"/>
            <w:hideMark/>
          </w:tcPr>
          <w:p w14:paraId="2ACE932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Metro South ACAT</w:t>
            </w:r>
          </w:p>
        </w:tc>
      </w:tr>
      <w:tr w:rsidR="00E9326E" w:rsidRPr="00E9326E" w14:paraId="5A55F80C" w14:textId="77777777" w:rsidTr="00E9326E">
        <w:trPr>
          <w:trHeight w:val="315"/>
        </w:trPr>
        <w:tc>
          <w:tcPr>
            <w:tcW w:w="7938" w:type="dxa"/>
            <w:shd w:val="clear" w:color="auto" w:fill="auto"/>
            <w:noWrap/>
            <w:vAlign w:val="center"/>
            <w:hideMark/>
          </w:tcPr>
          <w:p w14:paraId="65C1E408"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New Direction Care</w:t>
            </w:r>
          </w:p>
        </w:tc>
      </w:tr>
      <w:tr w:rsidR="00E9326E" w:rsidRPr="00E9326E" w14:paraId="0B3AA9D7" w14:textId="77777777" w:rsidTr="00E9326E">
        <w:trPr>
          <w:trHeight w:val="315"/>
        </w:trPr>
        <w:tc>
          <w:tcPr>
            <w:tcW w:w="7938" w:type="dxa"/>
            <w:shd w:val="clear" w:color="auto" w:fill="auto"/>
            <w:noWrap/>
            <w:vAlign w:val="center"/>
            <w:hideMark/>
          </w:tcPr>
          <w:p w14:paraId="2F19C8D7"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Office of the Public Advocate</w:t>
            </w:r>
          </w:p>
        </w:tc>
      </w:tr>
      <w:tr w:rsidR="00E9326E" w:rsidRPr="00E9326E" w14:paraId="5AA34763" w14:textId="77777777" w:rsidTr="00E9326E">
        <w:trPr>
          <w:trHeight w:val="315"/>
        </w:trPr>
        <w:tc>
          <w:tcPr>
            <w:tcW w:w="7938" w:type="dxa"/>
            <w:shd w:val="clear" w:color="auto" w:fill="auto"/>
            <w:noWrap/>
            <w:vAlign w:val="center"/>
            <w:hideMark/>
          </w:tcPr>
          <w:p w14:paraId="64924664"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Ozcare</w:t>
            </w:r>
          </w:p>
        </w:tc>
      </w:tr>
      <w:tr w:rsidR="00E9326E" w:rsidRPr="00E9326E" w14:paraId="42419AEF" w14:textId="77777777" w:rsidTr="00E9326E">
        <w:trPr>
          <w:trHeight w:val="315"/>
        </w:trPr>
        <w:tc>
          <w:tcPr>
            <w:tcW w:w="7938" w:type="dxa"/>
            <w:shd w:val="clear" w:color="auto" w:fill="auto"/>
            <w:noWrap/>
            <w:vAlign w:val="center"/>
            <w:hideMark/>
          </w:tcPr>
          <w:p w14:paraId="44F691B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Palm Lake Care</w:t>
            </w:r>
          </w:p>
        </w:tc>
      </w:tr>
      <w:tr w:rsidR="00E9326E" w:rsidRPr="00E9326E" w14:paraId="0FF06FAC" w14:textId="77777777" w:rsidTr="00E9326E">
        <w:trPr>
          <w:trHeight w:val="330"/>
        </w:trPr>
        <w:tc>
          <w:tcPr>
            <w:tcW w:w="7938" w:type="dxa"/>
            <w:shd w:val="clear" w:color="auto" w:fill="auto"/>
            <w:noWrap/>
            <w:vAlign w:val="center"/>
            <w:hideMark/>
          </w:tcPr>
          <w:p w14:paraId="69E1A128"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Queensland Health</w:t>
            </w:r>
          </w:p>
        </w:tc>
      </w:tr>
      <w:tr w:rsidR="00E9326E" w:rsidRPr="00E9326E" w14:paraId="07FAE717" w14:textId="77777777" w:rsidTr="00E9326E">
        <w:trPr>
          <w:trHeight w:val="315"/>
        </w:trPr>
        <w:tc>
          <w:tcPr>
            <w:tcW w:w="7938" w:type="dxa"/>
            <w:shd w:val="clear" w:color="auto" w:fill="auto"/>
            <w:noWrap/>
            <w:vAlign w:val="center"/>
            <w:hideMark/>
          </w:tcPr>
          <w:p w14:paraId="15F8E1C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Queensland Nurses and Midwives Union</w:t>
            </w:r>
          </w:p>
        </w:tc>
      </w:tr>
      <w:tr w:rsidR="00E9326E" w:rsidRPr="00E9326E" w14:paraId="2FCA84C6" w14:textId="77777777" w:rsidTr="00E9326E">
        <w:trPr>
          <w:trHeight w:val="315"/>
        </w:trPr>
        <w:tc>
          <w:tcPr>
            <w:tcW w:w="7938" w:type="dxa"/>
            <w:shd w:val="clear" w:color="auto" w:fill="auto"/>
            <w:noWrap/>
            <w:vAlign w:val="center"/>
            <w:hideMark/>
          </w:tcPr>
          <w:p w14:paraId="3F8015A1"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Rockpool Residential Aged Care</w:t>
            </w:r>
          </w:p>
        </w:tc>
      </w:tr>
      <w:tr w:rsidR="00E9326E" w:rsidRPr="00E9326E" w14:paraId="4F7704BD" w14:textId="77777777" w:rsidTr="00E9326E">
        <w:trPr>
          <w:trHeight w:val="315"/>
        </w:trPr>
        <w:tc>
          <w:tcPr>
            <w:tcW w:w="7938" w:type="dxa"/>
            <w:shd w:val="clear" w:color="auto" w:fill="auto"/>
            <w:noWrap/>
            <w:vAlign w:val="center"/>
            <w:hideMark/>
          </w:tcPr>
          <w:p w14:paraId="07547E1E"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St Vincent's Care Services Ltd</w:t>
            </w:r>
          </w:p>
        </w:tc>
      </w:tr>
      <w:tr w:rsidR="00E9326E" w:rsidRPr="00E9326E" w14:paraId="529EB035" w14:textId="77777777" w:rsidTr="00E9326E">
        <w:trPr>
          <w:trHeight w:val="315"/>
        </w:trPr>
        <w:tc>
          <w:tcPr>
            <w:tcW w:w="7938" w:type="dxa"/>
            <w:shd w:val="clear" w:color="auto" w:fill="auto"/>
            <w:noWrap/>
            <w:vAlign w:val="center"/>
            <w:hideMark/>
          </w:tcPr>
          <w:p w14:paraId="23FD973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TriCare</w:t>
            </w:r>
          </w:p>
        </w:tc>
      </w:tr>
      <w:tr w:rsidR="00E9326E" w:rsidRPr="00E9326E" w14:paraId="600E84F5" w14:textId="77777777" w:rsidTr="00E9326E">
        <w:trPr>
          <w:trHeight w:val="315"/>
        </w:trPr>
        <w:tc>
          <w:tcPr>
            <w:tcW w:w="7938" w:type="dxa"/>
            <w:shd w:val="clear" w:color="auto" w:fill="auto"/>
            <w:noWrap/>
            <w:vAlign w:val="center"/>
            <w:hideMark/>
          </w:tcPr>
          <w:p w14:paraId="2CDAC6EF"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Uniting Care Queensland</w:t>
            </w:r>
          </w:p>
        </w:tc>
      </w:tr>
      <w:tr w:rsidR="00E9326E" w:rsidRPr="00E9326E" w14:paraId="767F231A" w14:textId="77777777" w:rsidTr="00E9326E">
        <w:trPr>
          <w:trHeight w:val="315"/>
        </w:trPr>
        <w:tc>
          <w:tcPr>
            <w:tcW w:w="7938" w:type="dxa"/>
            <w:shd w:val="clear" w:color="auto" w:fill="auto"/>
            <w:noWrap/>
            <w:vAlign w:val="center"/>
            <w:hideMark/>
          </w:tcPr>
          <w:p w14:paraId="280F857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Vacenti</w:t>
            </w:r>
          </w:p>
        </w:tc>
      </w:tr>
    </w:tbl>
    <w:p w14:paraId="0672A199" w14:textId="77777777" w:rsidR="00E9326E" w:rsidRPr="00E9326E" w:rsidRDefault="00E9326E" w:rsidP="00E9326E">
      <w:pPr>
        <w:spacing w:after="160" w:line="259" w:lineRule="auto"/>
        <w:rPr>
          <w:rFonts w:ascii="Calibri" w:hAnsi="Calibri" w:cs="Calibri"/>
          <w:b/>
          <w:color w:val="000000"/>
          <w:sz w:val="22"/>
          <w:szCs w:val="22"/>
          <w:lang w:eastAsia="en-US"/>
        </w:rPr>
      </w:pPr>
    </w:p>
    <w:p w14:paraId="76AE1583"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br w:type="page"/>
      </w:r>
    </w:p>
    <w:p w14:paraId="0F7C45DE"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lastRenderedPageBreak/>
        <w:t>Darwin consultation forum (morning session held only): 6 September 2019</w:t>
      </w:r>
    </w:p>
    <w:tbl>
      <w:tblPr>
        <w:tblW w:w="7371" w:type="dxa"/>
        <w:tblInd w:w="-10" w:type="dxa"/>
        <w:tblLook w:val="04A0" w:firstRow="1" w:lastRow="0" w:firstColumn="1" w:lastColumn="0" w:noHBand="0" w:noVBand="1"/>
      </w:tblPr>
      <w:tblGrid>
        <w:gridCol w:w="7371"/>
      </w:tblGrid>
      <w:tr w:rsidR="00E9326E" w:rsidRPr="00E9326E" w14:paraId="3170D2C7" w14:textId="77777777" w:rsidTr="00E9326E">
        <w:trPr>
          <w:trHeight w:val="330"/>
        </w:trPr>
        <w:tc>
          <w:tcPr>
            <w:tcW w:w="7371" w:type="dxa"/>
            <w:shd w:val="clear" w:color="auto" w:fill="auto"/>
            <w:noWrap/>
            <w:vAlign w:val="center"/>
            <w:hideMark/>
          </w:tcPr>
          <w:p w14:paraId="2D91121E"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Australia Regional &amp; Remote Community Services</w:t>
            </w:r>
          </w:p>
        </w:tc>
      </w:tr>
      <w:tr w:rsidR="00E9326E" w:rsidRPr="00E9326E" w14:paraId="1A49018F" w14:textId="77777777" w:rsidTr="00E9326E">
        <w:trPr>
          <w:trHeight w:val="99"/>
        </w:trPr>
        <w:tc>
          <w:tcPr>
            <w:tcW w:w="7371" w:type="dxa"/>
            <w:shd w:val="clear" w:color="auto" w:fill="auto"/>
            <w:noWrap/>
            <w:vAlign w:val="center"/>
            <w:hideMark/>
          </w:tcPr>
          <w:p w14:paraId="5052F9E1"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COTA NT</w:t>
            </w:r>
          </w:p>
        </w:tc>
      </w:tr>
      <w:tr w:rsidR="00E9326E" w:rsidRPr="00E9326E" w14:paraId="53044467" w14:textId="77777777" w:rsidTr="00E9326E">
        <w:trPr>
          <w:trHeight w:val="315"/>
        </w:trPr>
        <w:tc>
          <w:tcPr>
            <w:tcW w:w="7371" w:type="dxa"/>
            <w:shd w:val="clear" w:color="auto" w:fill="auto"/>
            <w:noWrap/>
            <w:vAlign w:val="center"/>
            <w:hideMark/>
          </w:tcPr>
          <w:p w14:paraId="7DCD9619"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Northern Territory State Government Department of Health</w:t>
            </w:r>
          </w:p>
        </w:tc>
      </w:tr>
      <w:tr w:rsidR="00E9326E" w:rsidRPr="00E9326E" w14:paraId="38059B8C" w14:textId="77777777" w:rsidTr="00E9326E">
        <w:trPr>
          <w:trHeight w:val="330"/>
        </w:trPr>
        <w:tc>
          <w:tcPr>
            <w:tcW w:w="7371" w:type="dxa"/>
            <w:shd w:val="clear" w:color="auto" w:fill="auto"/>
            <w:noWrap/>
            <w:vAlign w:val="center"/>
            <w:hideMark/>
          </w:tcPr>
          <w:p w14:paraId="65C0FF0E"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Northern Territory State Government Aged Care Assessment Team</w:t>
            </w:r>
          </w:p>
        </w:tc>
      </w:tr>
      <w:tr w:rsidR="00E9326E" w:rsidRPr="00E9326E" w14:paraId="3D5B42C2" w14:textId="77777777" w:rsidTr="00E9326E">
        <w:trPr>
          <w:trHeight w:val="315"/>
        </w:trPr>
        <w:tc>
          <w:tcPr>
            <w:tcW w:w="7371" w:type="dxa"/>
            <w:shd w:val="clear" w:color="auto" w:fill="auto"/>
            <w:noWrap/>
            <w:vAlign w:val="center"/>
            <w:hideMark/>
          </w:tcPr>
          <w:p w14:paraId="4A2D0D1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Pearl Supported Care (Southern Cross SA &amp;NT)</w:t>
            </w:r>
          </w:p>
        </w:tc>
      </w:tr>
      <w:tr w:rsidR="00E9326E" w:rsidRPr="00E9326E" w14:paraId="797528DC" w14:textId="77777777" w:rsidTr="00E9326E">
        <w:trPr>
          <w:trHeight w:val="315"/>
        </w:trPr>
        <w:tc>
          <w:tcPr>
            <w:tcW w:w="7371" w:type="dxa"/>
            <w:shd w:val="clear" w:color="auto" w:fill="auto"/>
            <w:noWrap/>
            <w:vAlign w:val="center"/>
            <w:hideMark/>
          </w:tcPr>
          <w:p w14:paraId="711CD06F"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Regis</w:t>
            </w:r>
          </w:p>
        </w:tc>
      </w:tr>
      <w:tr w:rsidR="00E9326E" w:rsidRPr="00E9326E" w14:paraId="7D6A47CA" w14:textId="77777777" w:rsidTr="00E9326E">
        <w:trPr>
          <w:trHeight w:val="315"/>
        </w:trPr>
        <w:tc>
          <w:tcPr>
            <w:tcW w:w="7371" w:type="dxa"/>
            <w:shd w:val="clear" w:color="auto" w:fill="auto"/>
            <w:noWrap/>
            <w:vAlign w:val="center"/>
            <w:hideMark/>
          </w:tcPr>
          <w:p w14:paraId="1EAD678D"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Top End Health Services Aged Care</w:t>
            </w:r>
          </w:p>
        </w:tc>
      </w:tr>
    </w:tbl>
    <w:p w14:paraId="7150F9BB" w14:textId="77777777" w:rsidR="00E9326E" w:rsidRPr="00E9326E" w:rsidRDefault="00E9326E" w:rsidP="00E9326E">
      <w:pPr>
        <w:spacing w:after="160" w:line="259" w:lineRule="auto"/>
        <w:rPr>
          <w:rFonts w:ascii="Calibri" w:hAnsi="Calibri" w:cs="Calibri"/>
          <w:color w:val="000000"/>
          <w:sz w:val="22"/>
          <w:szCs w:val="22"/>
          <w:lang w:eastAsia="en-US"/>
        </w:rPr>
      </w:pPr>
    </w:p>
    <w:p w14:paraId="4A8963C2"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br w:type="page"/>
      </w:r>
    </w:p>
    <w:p w14:paraId="13C4E7D0"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lastRenderedPageBreak/>
        <w:t>Teleconferences (two sessions held): 21 August 2019</w:t>
      </w:r>
    </w:p>
    <w:tbl>
      <w:tblPr>
        <w:tblW w:w="6946" w:type="dxa"/>
        <w:tblInd w:w="-10" w:type="dxa"/>
        <w:tblLook w:val="04A0" w:firstRow="1" w:lastRow="0" w:firstColumn="1" w:lastColumn="0" w:noHBand="0" w:noVBand="1"/>
      </w:tblPr>
      <w:tblGrid>
        <w:gridCol w:w="6946"/>
      </w:tblGrid>
      <w:tr w:rsidR="00E9326E" w:rsidRPr="00E9326E" w14:paraId="3E2DA5E9" w14:textId="77777777" w:rsidTr="00E9326E">
        <w:trPr>
          <w:trHeight w:val="330"/>
        </w:trPr>
        <w:tc>
          <w:tcPr>
            <w:tcW w:w="6946" w:type="dxa"/>
            <w:shd w:val="clear" w:color="auto" w:fill="auto"/>
            <w:noWrap/>
            <w:vAlign w:val="center"/>
            <w:hideMark/>
          </w:tcPr>
          <w:p w14:paraId="03FDE458"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Adventist</w:t>
            </w:r>
          </w:p>
        </w:tc>
      </w:tr>
      <w:tr w:rsidR="00E9326E" w:rsidRPr="00E9326E" w14:paraId="33D9F4F8" w14:textId="77777777" w:rsidTr="00E9326E">
        <w:trPr>
          <w:trHeight w:val="315"/>
        </w:trPr>
        <w:tc>
          <w:tcPr>
            <w:tcW w:w="6946" w:type="dxa"/>
            <w:shd w:val="clear" w:color="auto" w:fill="auto"/>
            <w:noWrap/>
            <w:vAlign w:val="center"/>
            <w:hideMark/>
          </w:tcPr>
          <w:p w14:paraId="7842C058"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Baptcare</w:t>
            </w:r>
          </w:p>
        </w:tc>
      </w:tr>
      <w:tr w:rsidR="00E9326E" w:rsidRPr="00E9326E" w14:paraId="10B3F44C" w14:textId="77777777" w:rsidTr="00E9326E">
        <w:trPr>
          <w:trHeight w:val="315"/>
        </w:trPr>
        <w:tc>
          <w:tcPr>
            <w:tcW w:w="6946" w:type="dxa"/>
            <w:shd w:val="clear" w:color="auto" w:fill="auto"/>
            <w:noWrap/>
            <w:vAlign w:val="center"/>
            <w:hideMark/>
          </w:tcPr>
          <w:p w14:paraId="4B979174"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Centre for continuing education</w:t>
            </w:r>
          </w:p>
        </w:tc>
      </w:tr>
      <w:tr w:rsidR="00E9326E" w:rsidRPr="00E9326E" w14:paraId="0BE53E71" w14:textId="77777777" w:rsidTr="00E9326E">
        <w:trPr>
          <w:trHeight w:val="315"/>
        </w:trPr>
        <w:tc>
          <w:tcPr>
            <w:tcW w:w="6946" w:type="dxa"/>
            <w:shd w:val="clear" w:color="auto" w:fill="auto"/>
            <w:noWrap/>
            <w:vAlign w:val="center"/>
            <w:hideMark/>
          </w:tcPr>
          <w:p w14:paraId="62AFC353"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Masonic Care Tasmania</w:t>
            </w:r>
          </w:p>
        </w:tc>
      </w:tr>
      <w:tr w:rsidR="00E9326E" w:rsidRPr="00E9326E" w14:paraId="33B18956" w14:textId="77777777" w:rsidTr="00E9326E">
        <w:trPr>
          <w:trHeight w:val="315"/>
        </w:trPr>
        <w:tc>
          <w:tcPr>
            <w:tcW w:w="6946" w:type="dxa"/>
            <w:shd w:val="clear" w:color="auto" w:fill="auto"/>
            <w:noWrap/>
            <w:vAlign w:val="center"/>
            <w:hideMark/>
          </w:tcPr>
          <w:p w14:paraId="74992F1E"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Orana Gardens</w:t>
            </w:r>
          </w:p>
        </w:tc>
      </w:tr>
      <w:tr w:rsidR="00E9326E" w:rsidRPr="00E9326E" w14:paraId="225ACFD3" w14:textId="77777777" w:rsidTr="00E9326E">
        <w:trPr>
          <w:trHeight w:val="315"/>
        </w:trPr>
        <w:tc>
          <w:tcPr>
            <w:tcW w:w="6946" w:type="dxa"/>
            <w:shd w:val="clear" w:color="auto" w:fill="auto"/>
            <w:noWrap/>
            <w:vAlign w:val="center"/>
          </w:tcPr>
          <w:p w14:paraId="3CEE7066"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Respect Aged Care</w:t>
            </w:r>
          </w:p>
        </w:tc>
      </w:tr>
      <w:tr w:rsidR="00E9326E" w:rsidRPr="00E9326E" w14:paraId="056B3E29" w14:textId="77777777" w:rsidTr="00E9326E">
        <w:trPr>
          <w:trHeight w:val="315"/>
        </w:trPr>
        <w:tc>
          <w:tcPr>
            <w:tcW w:w="6946" w:type="dxa"/>
            <w:shd w:val="clear" w:color="auto" w:fill="auto"/>
            <w:noWrap/>
            <w:vAlign w:val="center"/>
            <w:hideMark/>
          </w:tcPr>
          <w:p w14:paraId="10E3922B"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Summerset</w:t>
            </w:r>
          </w:p>
        </w:tc>
      </w:tr>
      <w:tr w:rsidR="00E9326E" w:rsidRPr="00E9326E" w14:paraId="6EB22086" w14:textId="77777777" w:rsidTr="00E9326E">
        <w:trPr>
          <w:trHeight w:val="330"/>
        </w:trPr>
        <w:tc>
          <w:tcPr>
            <w:tcW w:w="6946" w:type="dxa"/>
            <w:shd w:val="clear" w:color="auto" w:fill="auto"/>
            <w:noWrap/>
            <w:vAlign w:val="center"/>
            <w:hideMark/>
          </w:tcPr>
          <w:p w14:paraId="7E3C69C2"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Uniting</w:t>
            </w:r>
          </w:p>
        </w:tc>
      </w:tr>
      <w:tr w:rsidR="00E9326E" w:rsidRPr="00E9326E" w14:paraId="28B7AA18" w14:textId="77777777" w:rsidTr="00E9326E">
        <w:trPr>
          <w:trHeight w:val="315"/>
        </w:trPr>
        <w:tc>
          <w:tcPr>
            <w:tcW w:w="6946" w:type="dxa"/>
            <w:shd w:val="clear" w:color="auto" w:fill="auto"/>
            <w:noWrap/>
            <w:vAlign w:val="center"/>
            <w:hideMark/>
          </w:tcPr>
          <w:p w14:paraId="4296A7FF"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Uniting NSW/ACT</w:t>
            </w:r>
          </w:p>
        </w:tc>
      </w:tr>
      <w:tr w:rsidR="00E9326E" w:rsidRPr="00E9326E" w14:paraId="45B5DB07" w14:textId="77777777" w:rsidTr="00E9326E">
        <w:trPr>
          <w:trHeight w:val="315"/>
        </w:trPr>
        <w:tc>
          <w:tcPr>
            <w:tcW w:w="6946" w:type="dxa"/>
            <w:shd w:val="clear" w:color="auto" w:fill="auto"/>
            <w:noWrap/>
            <w:vAlign w:val="center"/>
            <w:hideMark/>
          </w:tcPr>
          <w:p w14:paraId="290526FF" w14:textId="77777777" w:rsidR="00E9326E" w:rsidRPr="00E9326E" w:rsidRDefault="00E9326E" w:rsidP="00E9326E">
            <w:pPr>
              <w:rPr>
                <w:rFonts w:ascii="Calibri" w:hAnsi="Calibri" w:cs="Calibri"/>
                <w:bCs/>
                <w:color w:val="000000"/>
                <w:sz w:val="22"/>
                <w:szCs w:val="22"/>
              </w:rPr>
            </w:pPr>
            <w:r w:rsidRPr="00E9326E">
              <w:rPr>
                <w:rFonts w:ascii="Calibri" w:hAnsi="Calibri" w:cs="Calibri"/>
                <w:bCs/>
                <w:color w:val="000000"/>
                <w:sz w:val="22"/>
                <w:szCs w:val="22"/>
              </w:rPr>
              <w:t>WACHS</w:t>
            </w:r>
          </w:p>
        </w:tc>
      </w:tr>
    </w:tbl>
    <w:p w14:paraId="6CA085F0" w14:textId="77777777" w:rsidR="00E9326E" w:rsidRPr="00E9326E" w:rsidRDefault="00E9326E" w:rsidP="00E9326E">
      <w:pPr>
        <w:spacing w:after="160" w:line="259" w:lineRule="auto"/>
        <w:rPr>
          <w:rFonts w:ascii="Calibri" w:hAnsi="Calibri" w:cs="Calibri"/>
          <w:color w:val="000000"/>
          <w:sz w:val="22"/>
          <w:szCs w:val="22"/>
          <w:lang w:eastAsia="en-US"/>
        </w:rPr>
      </w:pPr>
    </w:p>
    <w:p w14:paraId="653F45B1" w14:textId="77777777" w:rsidR="00E9326E" w:rsidRPr="00E9326E" w:rsidRDefault="00E9326E" w:rsidP="00E9326E">
      <w:pPr>
        <w:spacing w:after="160" w:line="259" w:lineRule="auto"/>
        <w:rPr>
          <w:rFonts w:ascii="Calibri" w:hAnsi="Calibri" w:cs="Calibri"/>
          <w:b/>
          <w:color w:val="000000"/>
          <w:sz w:val="22"/>
          <w:szCs w:val="22"/>
          <w:lang w:eastAsia="en-US"/>
        </w:rPr>
      </w:pPr>
      <w:r w:rsidRPr="00E9326E">
        <w:rPr>
          <w:rFonts w:ascii="Calibri" w:hAnsi="Calibri" w:cs="Calibri"/>
          <w:b/>
          <w:color w:val="000000"/>
          <w:sz w:val="22"/>
          <w:szCs w:val="22"/>
          <w:lang w:eastAsia="en-US"/>
        </w:rPr>
        <w:t>Bilateral meetings</w:t>
      </w:r>
    </w:p>
    <w:p w14:paraId="47617ABB" w14:textId="77777777" w:rsidR="00E9326E" w:rsidRPr="00E9326E" w:rsidRDefault="00E9326E" w:rsidP="00E9326E">
      <w:pPr>
        <w:numPr>
          <w:ilvl w:val="0"/>
          <w:numId w:val="51"/>
        </w:numPr>
        <w:snapToGrid w:val="0"/>
        <w:spacing w:after="160" w:line="259" w:lineRule="auto"/>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Aged Care Rights Advocacy Service</w:t>
      </w:r>
    </w:p>
    <w:p w14:paraId="01AE3333" w14:textId="77777777" w:rsidR="00E9326E" w:rsidRPr="00E9326E" w:rsidRDefault="00E9326E" w:rsidP="00E9326E">
      <w:pPr>
        <w:numPr>
          <w:ilvl w:val="0"/>
          <w:numId w:val="51"/>
        </w:numPr>
        <w:snapToGrid w:val="0"/>
        <w:spacing w:after="160" w:line="259" w:lineRule="auto"/>
        <w:contextualSpacing/>
        <w:rPr>
          <w:rFonts w:ascii="Calibri" w:eastAsia="Calibri" w:hAnsi="Calibri" w:cs="Calibri"/>
          <w:color w:val="000000"/>
          <w:sz w:val="22"/>
          <w:szCs w:val="22"/>
          <w:lang w:val="en-US" w:eastAsia="en-US"/>
        </w:rPr>
      </w:pPr>
      <w:r w:rsidRPr="00E9326E">
        <w:rPr>
          <w:rFonts w:ascii="Calibri" w:eastAsia="Calibri" w:hAnsi="Calibri" w:cs="Calibri"/>
          <w:color w:val="000000"/>
          <w:sz w:val="22"/>
          <w:szCs w:val="22"/>
          <w:lang w:val="en-US" w:eastAsia="en-US"/>
        </w:rPr>
        <w:t>A</w:t>
      </w:r>
      <w:r w:rsidRPr="00E9326E">
        <w:rPr>
          <w:rFonts w:ascii="Calibri" w:eastAsia="Calibri" w:hAnsi="Calibri"/>
          <w:color w:val="000000"/>
          <w:sz w:val="22"/>
          <w:szCs w:val="22"/>
          <w:lang w:val="en-US" w:eastAsia="en-US"/>
        </w:rPr>
        <w:t xml:space="preserve">ged and Community Services Australia </w:t>
      </w:r>
    </w:p>
    <w:p w14:paraId="12EEE826" w14:textId="77777777" w:rsidR="00E9326E" w:rsidRPr="00E9326E" w:rsidRDefault="00E9326E" w:rsidP="00E9326E">
      <w:pPr>
        <w:numPr>
          <w:ilvl w:val="0"/>
          <w:numId w:val="51"/>
        </w:numPr>
        <w:snapToGrid w:val="0"/>
        <w:spacing w:after="160" w:line="259" w:lineRule="auto"/>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Australian Nursing and Midwifery Federation</w:t>
      </w:r>
    </w:p>
    <w:p w14:paraId="724CAB42" w14:textId="77777777" w:rsidR="00E9326E" w:rsidRPr="00E9326E" w:rsidRDefault="00E9326E" w:rsidP="00E9326E">
      <w:pPr>
        <w:numPr>
          <w:ilvl w:val="0"/>
          <w:numId w:val="51"/>
        </w:numPr>
        <w:snapToGrid w:val="0"/>
        <w:spacing w:after="160" w:line="259" w:lineRule="auto"/>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Carers SA</w:t>
      </w:r>
    </w:p>
    <w:p w14:paraId="0252EF54" w14:textId="77777777" w:rsidR="00E9326E" w:rsidRPr="00E9326E" w:rsidRDefault="00E9326E" w:rsidP="00E9326E">
      <w:pPr>
        <w:numPr>
          <w:ilvl w:val="0"/>
          <w:numId w:val="51"/>
        </w:numPr>
        <w:snapToGrid w:val="0"/>
        <w:spacing w:after="160" w:line="259" w:lineRule="auto"/>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Multicultural Communities Council of SA</w:t>
      </w:r>
    </w:p>
    <w:p w14:paraId="42B40FCE" w14:textId="77777777" w:rsidR="00E9326E" w:rsidRPr="00E9326E" w:rsidRDefault="00E9326E" w:rsidP="00E9326E">
      <w:pPr>
        <w:numPr>
          <w:ilvl w:val="0"/>
          <w:numId w:val="51"/>
        </w:numPr>
        <w:snapToGrid w:val="0"/>
        <w:spacing w:after="160" w:line="259" w:lineRule="auto"/>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New South Wales State Government Department of Health</w:t>
      </w:r>
    </w:p>
    <w:p w14:paraId="10CF24B6" w14:textId="77777777" w:rsidR="00E9326E" w:rsidRPr="00E9326E" w:rsidRDefault="00E9326E" w:rsidP="00E9326E">
      <w:pPr>
        <w:numPr>
          <w:ilvl w:val="0"/>
          <w:numId w:val="51"/>
        </w:numPr>
        <w:snapToGrid w:val="0"/>
        <w:spacing w:after="160" w:line="259" w:lineRule="auto"/>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Quality Aged Care Action Group</w:t>
      </w:r>
    </w:p>
    <w:p w14:paraId="75C0208C" w14:textId="77777777" w:rsidR="00E9326E" w:rsidRPr="00E9326E" w:rsidRDefault="00E9326E" w:rsidP="00E9326E">
      <w:pPr>
        <w:numPr>
          <w:ilvl w:val="0"/>
          <w:numId w:val="51"/>
        </w:numPr>
        <w:snapToGrid w:val="0"/>
        <w:spacing w:after="160" w:line="259" w:lineRule="auto"/>
        <w:contextualSpacing/>
        <w:rPr>
          <w:rFonts w:ascii="Calibri" w:eastAsia="Calibri" w:hAnsi="Calibri" w:cs="Calibri"/>
          <w:color w:val="000000"/>
          <w:sz w:val="22"/>
          <w:szCs w:val="22"/>
          <w:lang w:val="en-US" w:eastAsia="en-US"/>
        </w:rPr>
      </w:pPr>
      <w:r w:rsidRPr="00E9326E">
        <w:rPr>
          <w:rFonts w:ascii="Calibri" w:eastAsia="Calibri" w:hAnsi="Calibri" w:cs="Calibri"/>
          <w:color w:val="000000"/>
          <w:sz w:val="22"/>
          <w:szCs w:val="22"/>
          <w:lang w:val="en-US" w:eastAsia="en-US"/>
        </w:rPr>
        <w:t>Remote Accord</w:t>
      </w:r>
      <w:r w:rsidRPr="00E9326E">
        <w:rPr>
          <w:rFonts w:ascii="Calibri" w:eastAsia="Calibri" w:hAnsi="Calibri"/>
          <w:color w:val="000000"/>
          <w:sz w:val="22"/>
          <w:szCs w:val="22"/>
          <w:lang w:val="en-US" w:eastAsia="en-US"/>
        </w:rPr>
        <w:t xml:space="preserve"> Leadership Group</w:t>
      </w:r>
    </w:p>
    <w:p w14:paraId="66AD912B" w14:textId="77777777" w:rsidR="00E9326E" w:rsidRPr="00E9326E" w:rsidRDefault="00E9326E" w:rsidP="00E9326E">
      <w:pPr>
        <w:numPr>
          <w:ilvl w:val="0"/>
          <w:numId w:val="51"/>
        </w:numPr>
        <w:snapToGrid w:val="0"/>
        <w:spacing w:after="160" w:line="259" w:lineRule="auto"/>
        <w:contextualSpacing/>
        <w:rPr>
          <w:rFonts w:ascii="Calibri" w:eastAsia="Calibri" w:hAnsi="Calibri"/>
          <w:color w:val="000000"/>
          <w:sz w:val="22"/>
          <w:szCs w:val="22"/>
          <w:lang w:val="en-US" w:eastAsia="en-US"/>
        </w:rPr>
      </w:pPr>
      <w:r w:rsidRPr="00E9326E">
        <w:rPr>
          <w:rFonts w:ascii="Calibri" w:eastAsia="Calibri" w:hAnsi="Calibri"/>
          <w:color w:val="000000"/>
          <w:sz w:val="22"/>
          <w:szCs w:val="22"/>
          <w:lang w:val="en-US" w:eastAsia="en-US"/>
        </w:rPr>
        <w:t>Victorian State Government Department of Health</w:t>
      </w:r>
    </w:p>
    <w:p w14:paraId="2BA717A2" w14:textId="77777777" w:rsidR="00E9326E" w:rsidRPr="00E9326E" w:rsidRDefault="00E9326E" w:rsidP="00E9326E">
      <w:pPr>
        <w:snapToGrid w:val="0"/>
        <w:spacing w:after="120"/>
        <w:rPr>
          <w:rFonts w:ascii="Calibri" w:hAnsi="Calibri" w:cs="Calibri"/>
          <w:color w:val="000000"/>
          <w:sz w:val="22"/>
          <w:szCs w:val="22"/>
          <w:lang w:eastAsia="en-US"/>
        </w:rPr>
      </w:pPr>
    </w:p>
    <w:p w14:paraId="2D95C377" w14:textId="6A281373" w:rsidR="00E9326E" w:rsidRDefault="00E9326E">
      <w:pPr>
        <w:rPr>
          <w:rFonts w:ascii="Helvetica" w:hAnsi="Helvetica"/>
        </w:rPr>
      </w:pPr>
      <w:r>
        <w:rPr>
          <w:rFonts w:ascii="Helvetica" w:hAnsi="Helvetica"/>
        </w:rPr>
        <w:br w:type="page"/>
      </w:r>
    </w:p>
    <w:p w14:paraId="05A47E10" w14:textId="77777777" w:rsidR="00E9326E" w:rsidRPr="00E9326E" w:rsidRDefault="00E9326E" w:rsidP="004B2D48">
      <w:pPr>
        <w:pStyle w:val="Heading1"/>
        <w:rPr>
          <w:lang w:eastAsia="en-US"/>
        </w:rPr>
      </w:pPr>
      <w:r w:rsidRPr="00E9326E">
        <w:rPr>
          <w:lang w:eastAsia="en-US"/>
        </w:rPr>
        <w:lastRenderedPageBreak/>
        <w:t>Appendix E: StewartBrown’s analysis of occupancy rates</w:t>
      </w:r>
    </w:p>
    <w:p w14:paraId="1284EDFA"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As noted in chapter 1, there are various measures of occupancy that need to be considered when assessing the vacancy levels and demand utilisation.</w:t>
      </w:r>
    </w:p>
    <w:p w14:paraId="10AA5236"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StewartBrown’s occupancy data is based on detailed information provided by their survey participants, which allows the removal from the denominator of any operational places they have recorded as not being available for consumers to occupy (e.g. due to a ramp-up period for new or refurbished aged care homes until they reach a ‘normalised’ operating level, or other operational reasons that might result in a bed not actually being available to a consumer on a given day).</w:t>
      </w:r>
    </w:p>
    <w:p w14:paraId="7120928B"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In this respect, StewartBrown’s measure of occupancy is strictly calculated on beds that are actually available for a care recipient to occupy at any point in time. This may be deemed to be a measure of the actual bed vacancy rate.</w:t>
      </w:r>
    </w:p>
    <w:p w14:paraId="09A2CFCB"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The department’s data is based on operational place days as recorded in departmental administrative systems. This data does not necessarily reflect when an aged care home’s bed is not actually available to be occupied on a given day/s (in cases where the provider has not reported the place’s unavailability to the department) and in some instances whereby the provider has not utilised all approved places and also has not advised the department of this occurrence.</w:t>
      </w:r>
    </w:p>
    <w:p w14:paraId="460A446F"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The department’s data is a measure of overall capacity should all approved places become operational following refurbishment or unfilled places are later utilised.</w:t>
      </w:r>
    </w:p>
    <w:p w14:paraId="12F03E2E"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StewartBrown undertook extensive analysis to reconcile the apparent discrepancy in the residential sector occupancy rates. Their analysis indicated that the mean (average) occupancy rate calculated using departmental data was influenced by a small proportion of places with very low occupancy, due to their being in the process of ‘ramping up’ following new building construction or major refurbishments. </w:t>
      </w:r>
    </w:p>
    <w:p w14:paraId="258E14BF"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Providers have estimated that the ‘ramping up’ period for a newly constructed home is between 18 to 24 months, and slightly smaller time frame for a major refurbished home.</w:t>
      </w:r>
    </w:p>
    <w:p w14:paraId="56BEB967"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A variance of around 1 per cent in the occupancy rate between the department’s data and StewartBrown’ data of the same aged care homes was identified (see table below).</w:t>
      </w:r>
    </w:p>
    <w:p w14:paraId="6DDB9256" w14:textId="77777777" w:rsidR="00E9326E" w:rsidRPr="00E9326E" w:rsidRDefault="00E9326E" w:rsidP="00E9326E">
      <w:pPr>
        <w:snapToGrid w:val="0"/>
        <w:spacing w:after="120"/>
        <w:rPr>
          <w:rFonts w:ascii="Calibri" w:hAnsi="Calibri" w:cs="Calibri"/>
          <w:b/>
          <w:color w:val="000000"/>
          <w:sz w:val="22"/>
          <w:szCs w:val="22"/>
          <w:lang w:eastAsia="en-US"/>
        </w:rPr>
      </w:pPr>
      <w:r w:rsidRPr="00E9326E">
        <w:rPr>
          <w:rFonts w:ascii="Calibri" w:hAnsi="Calibri" w:cs="Calibri"/>
          <w:b/>
          <w:color w:val="000000"/>
          <w:sz w:val="22"/>
          <w:szCs w:val="22"/>
          <w:lang w:eastAsia="en-US"/>
        </w:rPr>
        <w:t>Aged care home occupancy rates, 5-year trend</w:t>
      </w:r>
    </w:p>
    <w:p w14:paraId="1B89D8FE"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noProof/>
          <w:color w:val="000000"/>
          <w:sz w:val="22"/>
          <w:szCs w:val="22"/>
        </w:rPr>
        <w:drawing>
          <wp:inline distT="0" distB="0" distL="0" distR="0" wp14:anchorId="536C00AD" wp14:editId="2EF43051">
            <wp:extent cx="5731510" cy="732312"/>
            <wp:effectExtent l="0" t="0" r="2540" b="0"/>
            <wp:docPr id="6" name="Picture 6" descr="Table comparing aged care home occupancy rates from 2014-15 to 2018-19 based on data on the same aged care homes from StewartBrown and Department of Health. Overall, there is a variance of around 1 per cent in the occupancy rates between the department's data and StewartBrown'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7" cstate="hqprint">
                      <a:extLst>
                        <a:ext uri="{28A0092B-C50C-407E-A947-70E740481C1C}">
                          <a14:useLocalDpi xmlns:a14="http://schemas.microsoft.com/office/drawing/2010/main" val="0"/>
                        </a:ext>
                      </a:extLst>
                    </a:blip>
                    <a:srcRect t="39935"/>
                    <a:stretch/>
                  </pic:blipFill>
                  <pic:spPr bwMode="auto">
                    <a:xfrm>
                      <a:off x="0" y="0"/>
                      <a:ext cx="5731510" cy="732312"/>
                    </a:xfrm>
                    <a:prstGeom prst="rect">
                      <a:avLst/>
                    </a:prstGeom>
                    <a:noFill/>
                    <a:ln>
                      <a:noFill/>
                    </a:ln>
                    <a:extLst>
                      <a:ext uri="{53640926-AAD7-44D8-BBD7-CCE9431645EC}">
                        <a14:shadowObscured xmlns:a14="http://schemas.microsoft.com/office/drawing/2010/main"/>
                      </a:ext>
                    </a:extLst>
                  </pic:spPr>
                </pic:pic>
              </a:graphicData>
            </a:graphic>
          </wp:inline>
        </w:drawing>
      </w:r>
    </w:p>
    <w:p w14:paraId="1256438B" w14:textId="77777777" w:rsidR="00E9326E" w:rsidRPr="00E9326E" w:rsidRDefault="00E9326E" w:rsidP="00E9326E">
      <w:pPr>
        <w:snapToGrid w:val="0"/>
        <w:spacing w:after="120"/>
        <w:rPr>
          <w:rFonts w:ascii="Calibri" w:hAnsi="Calibri" w:cs="Calibri"/>
          <w:i/>
          <w:color w:val="000000"/>
          <w:sz w:val="20"/>
          <w:szCs w:val="20"/>
          <w:lang w:eastAsia="en-US"/>
        </w:rPr>
      </w:pPr>
      <w:r w:rsidRPr="00E9326E">
        <w:rPr>
          <w:rFonts w:ascii="Calibri" w:hAnsi="Calibri" w:cs="Calibri"/>
          <w:i/>
          <w:color w:val="000000"/>
          <w:sz w:val="20"/>
          <w:szCs w:val="20"/>
          <w:lang w:eastAsia="en-US"/>
        </w:rPr>
        <w:t xml:space="preserve">Note: Analysis was undertaken on aged care homes for which a full five years’ of occupancy data was available in both the department and StewartBrown’s datasets </w:t>
      </w:r>
    </w:p>
    <w:p w14:paraId="11F8EE10" w14:textId="4736F0E1" w:rsidR="00E9326E" w:rsidRPr="00E9326E" w:rsidRDefault="00E9326E" w:rsidP="00AA7201">
      <w:pPr>
        <w:snapToGrid w:val="0"/>
        <w:spacing w:after="120"/>
        <w:rPr>
          <w:rFonts w:ascii="Calibri" w:hAnsi="Calibri" w:cs="Calibri"/>
          <w:b/>
          <w:color w:val="000000"/>
          <w:sz w:val="22"/>
          <w:szCs w:val="22"/>
          <w:lang w:eastAsia="en-US"/>
        </w:rPr>
      </w:pPr>
      <w:r w:rsidRPr="00E9326E">
        <w:rPr>
          <w:rFonts w:ascii="Calibri" w:hAnsi="Calibri" w:cs="Calibri"/>
          <w:color w:val="000000"/>
          <w:sz w:val="20"/>
          <w:szCs w:val="20"/>
          <w:lang w:eastAsia="en-US"/>
        </w:rPr>
        <w:t>Source: Department of Health and StewartBrown</w:t>
      </w:r>
    </w:p>
    <w:p w14:paraId="15D1943D" w14:textId="77777777" w:rsidR="00E9326E" w:rsidRPr="00E9326E" w:rsidRDefault="00E9326E" w:rsidP="00E9326E">
      <w:pPr>
        <w:snapToGrid w:val="0"/>
        <w:rPr>
          <w:rFonts w:ascii="Calibri" w:hAnsi="Calibri" w:cs="Calibri"/>
          <w:b/>
          <w:color w:val="000000"/>
          <w:sz w:val="22"/>
          <w:szCs w:val="22"/>
          <w:lang w:eastAsia="en-US"/>
        </w:rPr>
      </w:pPr>
    </w:p>
    <w:p w14:paraId="24309305" w14:textId="77777777" w:rsidR="00E9326E" w:rsidRPr="00E9326E" w:rsidRDefault="00E9326E" w:rsidP="00E9326E">
      <w:pPr>
        <w:snapToGrid w:val="0"/>
        <w:rPr>
          <w:rFonts w:ascii="Calibri" w:hAnsi="Calibri" w:cs="Calibri"/>
          <w:b/>
          <w:color w:val="000000"/>
          <w:sz w:val="22"/>
          <w:szCs w:val="22"/>
          <w:lang w:eastAsia="en-US"/>
        </w:rPr>
      </w:pPr>
    </w:p>
    <w:p w14:paraId="625E7778" w14:textId="77777777" w:rsidR="00E9326E" w:rsidRDefault="00E9326E">
      <w:pPr>
        <w:rPr>
          <w:rFonts w:ascii="Calibri" w:hAnsi="Calibri" w:cs="Calibri"/>
          <w:b/>
          <w:color w:val="000000"/>
          <w:sz w:val="22"/>
          <w:szCs w:val="22"/>
          <w:lang w:eastAsia="en-US"/>
        </w:rPr>
      </w:pPr>
      <w:r>
        <w:rPr>
          <w:rFonts w:ascii="Calibri" w:hAnsi="Calibri" w:cs="Calibri"/>
          <w:b/>
          <w:color w:val="000000"/>
          <w:sz w:val="22"/>
          <w:szCs w:val="22"/>
          <w:lang w:eastAsia="en-US"/>
        </w:rPr>
        <w:br w:type="page"/>
      </w:r>
    </w:p>
    <w:p w14:paraId="7684FCC2" w14:textId="7D167A4B" w:rsidR="00E9326E" w:rsidRPr="00E9326E" w:rsidRDefault="00E9326E" w:rsidP="00E9326E">
      <w:pPr>
        <w:snapToGrid w:val="0"/>
        <w:rPr>
          <w:rFonts w:ascii="Calibri" w:hAnsi="Calibri" w:cs="Calibri"/>
          <w:b/>
          <w:color w:val="000000"/>
          <w:sz w:val="22"/>
          <w:szCs w:val="22"/>
          <w:lang w:eastAsia="en-US"/>
        </w:rPr>
      </w:pPr>
      <w:r w:rsidRPr="00E9326E">
        <w:rPr>
          <w:rFonts w:ascii="Calibri" w:hAnsi="Calibri" w:cs="Calibri"/>
          <w:b/>
          <w:color w:val="000000"/>
          <w:sz w:val="22"/>
          <w:szCs w:val="22"/>
          <w:lang w:eastAsia="en-US"/>
        </w:rPr>
        <w:lastRenderedPageBreak/>
        <w:t>Financial Year 2017-18 Occupancy Analysis</w:t>
      </w:r>
    </w:p>
    <w:p w14:paraId="66E1856D"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A further detailed analysis was performed using the department’s occupancy data for FY18 and with an aggregate comparison to the StewartBrown occupancy percentages. A summary is included in the below table:</w:t>
      </w:r>
    </w:p>
    <w:p w14:paraId="74C8969D" w14:textId="77777777" w:rsidR="00E9326E" w:rsidRPr="00E9326E" w:rsidRDefault="00E9326E" w:rsidP="00E9326E">
      <w:pPr>
        <w:snapToGrid w:val="0"/>
        <w:spacing w:after="120"/>
        <w:rPr>
          <w:rFonts w:ascii="Calibri" w:hAnsi="Calibri" w:cs="Calibri"/>
          <w:b/>
          <w:color w:val="000000"/>
          <w:sz w:val="22"/>
          <w:szCs w:val="22"/>
          <w:lang w:eastAsia="en-US"/>
        </w:rPr>
      </w:pPr>
      <w:r w:rsidRPr="00E9326E">
        <w:rPr>
          <w:rFonts w:ascii="Calibri" w:hAnsi="Calibri" w:cs="Calibri"/>
          <w:b/>
          <w:color w:val="000000"/>
          <w:sz w:val="22"/>
          <w:szCs w:val="22"/>
          <w:lang w:eastAsia="en-US"/>
        </w:rPr>
        <w:t>Aggregate comparison of department’s 2017-18 occupancy rates to StewartBrown’s occupancy rates</w:t>
      </w:r>
    </w:p>
    <w:p w14:paraId="4E46F414"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noProof/>
          <w:color w:val="000000"/>
          <w:sz w:val="22"/>
          <w:szCs w:val="22"/>
        </w:rPr>
        <w:drawing>
          <wp:inline distT="0" distB="0" distL="0" distR="0" wp14:anchorId="73EED0CF" wp14:editId="659E56FA">
            <wp:extent cx="5543550" cy="1800225"/>
            <wp:effectExtent l="0" t="0" r="0" b="9525"/>
            <wp:docPr id="11" name="Picture 11" descr="Table comparing 2017-18 occupancy rates from the Department of Health data and StewartBrown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43550" cy="1800225"/>
                    </a:xfrm>
                    <a:prstGeom prst="rect">
                      <a:avLst/>
                    </a:prstGeom>
                    <a:noFill/>
                    <a:ln>
                      <a:noFill/>
                    </a:ln>
                  </pic:spPr>
                </pic:pic>
              </a:graphicData>
            </a:graphic>
          </wp:inline>
        </w:drawing>
      </w:r>
    </w:p>
    <w:p w14:paraId="130E849A"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0"/>
          <w:szCs w:val="20"/>
          <w:lang w:eastAsia="en-US"/>
        </w:rPr>
        <w:t>Source: Department of Health and StewartBrown</w:t>
      </w:r>
    </w:p>
    <w:p w14:paraId="2F01B98D" w14:textId="77777777" w:rsidR="00E9326E" w:rsidRPr="00E9326E" w:rsidRDefault="00E9326E" w:rsidP="00E9326E">
      <w:pPr>
        <w:snapToGrid w:val="0"/>
        <w:spacing w:after="120"/>
        <w:jc w:val="both"/>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By way of explanation, all aged care homes with an occupancy of 95 per cent and higher as per the department data represented 1,313 homes (48.7 per cent of the data set) and had an </w:t>
      </w:r>
      <w:r w:rsidRPr="00E9326E">
        <w:rPr>
          <w:rFonts w:ascii="Calibri" w:hAnsi="Calibri" w:cs="Calibri"/>
          <w:i/>
          <w:color w:val="000000"/>
          <w:sz w:val="22"/>
          <w:szCs w:val="22"/>
          <w:lang w:eastAsia="en-US"/>
        </w:rPr>
        <w:t>average</w:t>
      </w:r>
      <w:r w:rsidRPr="00E9326E">
        <w:rPr>
          <w:rFonts w:ascii="Calibri" w:hAnsi="Calibri" w:cs="Calibri"/>
          <w:color w:val="000000"/>
          <w:sz w:val="22"/>
          <w:szCs w:val="22"/>
          <w:lang w:eastAsia="en-US"/>
        </w:rPr>
        <w:t xml:space="preserve"> occupancy of 97.4 per cent for this cohort and a </w:t>
      </w:r>
      <w:r w:rsidRPr="00E9326E">
        <w:rPr>
          <w:rFonts w:ascii="Calibri" w:hAnsi="Calibri" w:cs="Calibri"/>
          <w:i/>
          <w:color w:val="000000"/>
          <w:sz w:val="22"/>
          <w:szCs w:val="22"/>
          <w:lang w:eastAsia="en-US"/>
        </w:rPr>
        <w:t>median</w:t>
      </w:r>
      <w:r w:rsidRPr="00E9326E">
        <w:rPr>
          <w:rFonts w:ascii="Calibri" w:hAnsi="Calibri" w:cs="Calibri"/>
          <w:color w:val="000000"/>
          <w:sz w:val="22"/>
          <w:szCs w:val="22"/>
          <w:lang w:eastAsia="en-US"/>
        </w:rPr>
        <w:t xml:space="preserve"> occupancy of 97.6 per cent.</w:t>
      </w:r>
    </w:p>
    <w:p w14:paraId="70381323"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Similarly, for aged care homes with an occupancy of 80 per cent and higher represented 2,378 homes (88.1 per cent of the data set) and this total cohort had an </w:t>
      </w:r>
      <w:r w:rsidRPr="00E9326E">
        <w:rPr>
          <w:rFonts w:ascii="Calibri" w:hAnsi="Calibri" w:cs="Calibri"/>
          <w:i/>
          <w:color w:val="000000"/>
          <w:sz w:val="22"/>
          <w:szCs w:val="22"/>
          <w:lang w:eastAsia="en-US"/>
        </w:rPr>
        <w:t>average</w:t>
      </w:r>
      <w:r w:rsidRPr="00E9326E">
        <w:rPr>
          <w:rFonts w:ascii="Calibri" w:hAnsi="Calibri" w:cs="Calibri"/>
          <w:color w:val="000000"/>
          <w:sz w:val="22"/>
          <w:szCs w:val="22"/>
          <w:lang w:eastAsia="en-US"/>
        </w:rPr>
        <w:t xml:space="preserve"> occupancy of 94.1 per cent and a </w:t>
      </w:r>
      <w:r w:rsidRPr="00E9326E">
        <w:rPr>
          <w:rFonts w:ascii="Calibri" w:hAnsi="Calibri" w:cs="Calibri"/>
          <w:i/>
          <w:color w:val="000000"/>
          <w:sz w:val="22"/>
          <w:szCs w:val="22"/>
          <w:lang w:eastAsia="en-US"/>
        </w:rPr>
        <w:t>median</w:t>
      </w:r>
      <w:r w:rsidRPr="00E9326E">
        <w:rPr>
          <w:rFonts w:ascii="Calibri" w:hAnsi="Calibri" w:cs="Calibri"/>
          <w:color w:val="000000"/>
          <w:sz w:val="22"/>
          <w:szCs w:val="22"/>
          <w:lang w:eastAsia="en-US"/>
        </w:rPr>
        <w:t xml:space="preserve"> occupancy of 95.6 per cent.</w:t>
      </w:r>
    </w:p>
    <w:p w14:paraId="32431968"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The 157 homes with an occupancy of 70 per cent or less were by majority new builds or homes undergoing major refurbishment. These accounted for 5.8 per cent of the data set and had an </w:t>
      </w:r>
      <w:r w:rsidRPr="00E9326E">
        <w:rPr>
          <w:rFonts w:ascii="Calibri" w:hAnsi="Calibri" w:cs="Calibri"/>
          <w:i/>
          <w:color w:val="000000"/>
          <w:sz w:val="22"/>
          <w:szCs w:val="22"/>
          <w:lang w:eastAsia="en-US"/>
        </w:rPr>
        <w:t>average</w:t>
      </w:r>
      <w:r w:rsidRPr="00E9326E">
        <w:rPr>
          <w:rFonts w:ascii="Calibri" w:hAnsi="Calibri" w:cs="Calibri"/>
          <w:color w:val="000000"/>
          <w:sz w:val="22"/>
          <w:szCs w:val="22"/>
          <w:lang w:eastAsia="en-US"/>
        </w:rPr>
        <w:t xml:space="preserve"> occupancy of 53.1 per cent using the department’s calculation (no allowance for ‘ramping up’) and can distort the overall </w:t>
      </w:r>
      <w:r w:rsidRPr="00E9326E">
        <w:rPr>
          <w:rFonts w:ascii="Calibri" w:hAnsi="Calibri" w:cs="Calibri"/>
          <w:i/>
          <w:color w:val="000000"/>
          <w:sz w:val="22"/>
          <w:szCs w:val="22"/>
          <w:lang w:eastAsia="en-US"/>
        </w:rPr>
        <w:t>average</w:t>
      </w:r>
      <w:r w:rsidRPr="00E9326E">
        <w:rPr>
          <w:rFonts w:ascii="Calibri" w:hAnsi="Calibri" w:cs="Calibri"/>
          <w:color w:val="000000"/>
          <w:sz w:val="22"/>
          <w:szCs w:val="22"/>
          <w:lang w:eastAsia="en-US"/>
        </w:rPr>
        <w:t xml:space="preserve"> occupancy.  </w:t>
      </w:r>
    </w:p>
    <w:p w14:paraId="53326FA4" w14:textId="77777777"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Using the </w:t>
      </w:r>
      <w:r w:rsidRPr="00E9326E">
        <w:rPr>
          <w:rFonts w:ascii="Calibri" w:hAnsi="Calibri" w:cs="Calibri"/>
          <w:i/>
          <w:color w:val="000000"/>
          <w:sz w:val="22"/>
          <w:szCs w:val="22"/>
          <w:lang w:eastAsia="en-US"/>
        </w:rPr>
        <w:t>median</w:t>
      </w:r>
      <w:r w:rsidRPr="00E9326E">
        <w:rPr>
          <w:rFonts w:ascii="Calibri" w:hAnsi="Calibri" w:cs="Calibri"/>
          <w:color w:val="000000"/>
          <w:sz w:val="22"/>
          <w:szCs w:val="22"/>
          <w:lang w:eastAsia="en-US"/>
        </w:rPr>
        <w:t xml:space="preserve"> occupancy over the total aged care homes (2,698) the occupancy percentage was 94.7 per cent which is similar to the StewartBrown mean (average) occupancy of 94.3 per cent which is calculated by excluding places (beds) not available to be filled by care recipients.</w:t>
      </w:r>
    </w:p>
    <w:p w14:paraId="4FBE5266" w14:textId="60C5A9D4" w:rsidR="00E9326E" w:rsidRPr="00E9326E" w:rsidRDefault="00E9326E" w:rsidP="00E9326E">
      <w:pPr>
        <w:snapToGrid w:val="0"/>
        <w:spacing w:after="120"/>
        <w:rPr>
          <w:rFonts w:ascii="Calibri" w:hAnsi="Calibri" w:cs="Calibri"/>
          <w:color w:val="000000"/>
          <w:sz w:val="22"/>
          <w:szCs w:val="22"/>
          <w:lang w:eastAsia="en-US"/>
        </w:rPr>
      </w:pPr>
      <w:r w:rsidRPr="00E9326E">
        <w:rPr>
          <w:rFonts w:ascii="Calibri" w:hAnsi="Calibri" w:cs="Calibri"/>
          <w:color w:val="000000"/>
          <w:sz w:val="22"/>
          <w:szCs w:val="22"/>
          <w:lang w:eastAsia="en-US"/>
        </w:rPr>
        <w:t xml:space="preserve">Accordingly, the ACAR Impact Analysis considered that calculating the </w:t>
      </w:r>
      <w:r w:rsidRPr="00E9326E">
        <w:rPr>
          <w:rFonts w:ascii="Calibri" w:hAnsi="Calibri" w:cs="Calibri"/>
          <w:i/>
          <w:color w:val="000000"/>
          <w:sz w:val="22"/>
          <w:szCs w:val="22"/>
          <w:lang w:eastAsia="en-US"/>
        </w:rPr>
        <w:t>median</w:t>
      </w:r>
      <w:r w:rsidRPr="00E9326E">
        <w:rPr>
          <w:rFonts w:ascii="Calibri" w:hAnsi="Calibri" w:cs="Calibri"/>
          <w:color w:val="000000"/>
          <w:sz w:val="22"/>
          <w:szCs w:val="22"/>
          <w:lang w:eastAsia="en-US"/>
        </w:rPr>
        <w:t xml:space="preserve"> occupancy rate when using departmental data at the consolidated sector level provides a figure that is representative of the occupancy rate for over 90 per cent of residential aged care places, and is comparable to mean occupancy as reported by StewartBrown in its quarterly reports. </w:t>
      </w:r>
    </w:p>
    <w:p w14:paraId="1E7F016A" w14:textId="77777777" w:rsidR="00E9326E" w:rsidRPr="006B0A07" w:rsidRDefault="00E9326E" w:rsidP="00383D9B">
      <w:pPr>
        <w:spacing w:after="120"/>
        <w:rPr>
          <w:rFonts w:ascii="Helvetica" w:hAnsi="Helvetica"/>
        </w:rPr>
      </w:pPr>
    </w:p>
    <w:sectPr w:rsidR="00E9326E" w:rsidRPr="006B0A07" w:rsidSect="002867B2">
      <w:headerReference w:type="default" r:id="rId39"/>
      <w:footerReference w:type="default" r:id="rId40"/>
      <w:headerReference w:type="first" r:id="rId41"/>
      <w:pgSz w:w="11900" w:h="16840"/>
      <w:pgMar w:top="1134"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DA7E4" w14:textId="77777777" w:rsidR="00AA7201" w:rsidRDefault="00AA7201" w:rsidP="00817093">
      <w:r>
        <w:separator/>
      </w:r>
    </w:p>
  </w:endnote>
  <w:endnote w:type="continuationSeparator" w:id="0">
    <w:p w14:paraId="313C2A36" w14:textId="77777777" w:rsidR="00AA7201" w:rsidRDefault="00AA7201" w:rsidP="0081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35629489"/>
      <w:docPartObj>
        <w:docPartGallery w:val="Page Numbers (Bottom of Page)"/>
        <w:docPartUnique/>
      </w:docPartObj>
    </w:sdtPr>
    <w:sdtEndPr/>
    <w:sdtContent>
      <w:sdt>
        <w:sdtPr>
          <w:rPr>
            <w:rFonts w:asciiTheme="minorHAnsi" w:hAnsiTheme="minorHAnsi" w:cstheme="minorHAnsi"/>
            <w:sz w:val="20"/>
            <w:szCs w:val="20"/>
          </w:rPr>
          <w:id w:val="1508553538"/>
          <w:docPartObj>
            <w:docPartGallery w:val="Page Numbers (Top of Page)"/>
            <w:docPartUnique/>
          </w:docPartObj>
        </w:sdtPr>
        <w:sdtEndPr/>
        <w:sdtContent>
          <w:p w14:paraId="59C56FC0" w14:textId="57242722" w:rsidR="00AA7201" w:rsidRPr="00E9326E" w:rsidRDefault="00AA7201">
            <w:pPr>
              <w:pStyle w:val="Footer"/>
              <w:rPr>
                <w:rFonts w:asciiTheme="minorHAnsi" w:hAnsiTheme="minorHAnsi" w:cstheme="minorHAnsi"/>
                <w:sz w:val="20"/>
                <w:szCs w:val="20"/>
              </w:rPr>
            </w:pPr>
            <w:r w:rsidRPr="00E9326E">
              <w:rPr>
                <w:rFonts w:asciiTheme="minorHAnsi" w:hAnsiTheme="minorHAnsi" w:cstheme="minorHAnsi"/>
                <w:sz w:val="20"/>
                <w:szCs w:val="20"/>
              </w:rPr>
              <w:t xml:space="preserve">Impact Analysis: Alternative models for allocating residential aged care places </w:t>
            </w:r>
            <w:r>
              <w:rPr>
                <w:rFonts w:asciiTheme="minorHAnsi" w:hAnsiTheme="minorHAnsi" w:cstheme="minorHAnsi"/>
                <w:sz w:val="20"/>
                <w:szCs w:val="20"/>
              </w:rPr>
              <w:tab/>
            </w:r>
            <w:r w:rsidRPr="00E9326E">
              <w:rPr>
                <w:rFonts w:asciiTheme="minorHAnsi" w:hAnsiTheme="minorHAnsi" w:cstheme="minorHAnsi"/>
                <w:sz w:val="20"/>
                <w:szCs w:val="20"/>
              </w:rPr>
              <w:t xml:space="preserve">Page </w:t>
            </w:r>
            <w:r w:rsidRPr="00E9326E">
              <w:rPr>
                <w:rFonts w:asciiTheme="minorHAnsi" w:hAnsiTheme="minorHAnsi" w:cstheme="minorHAnsi"/>
                <w:bCs/>
                <w:sz w:val="20"/>
                <w:szCs w:val="20"/>
              </w:rPr>
              <w:fldChar w:fldCharType="begin"/>
            </w:r>
            <w:r w:rsidRPr="00E9326E">
              <w:rPr>
                <w:rFonts w:asciiTheme="minorHAnsi" w:hAnsiTheme="minorHAnsi" w:cstheme="minorHAnsi"/>
                <w:bCs/>
                <w:sz w:val="20"/>
                <w:szCs w:val="20"/>
              </w:rPr>
              <w:instrText xml:space="preserve"> PAGE </w:instrText>
            </w:r>
            <w:r w:rsidRPr="00E9326E">
              <w:rPr>
                <w:rFonts w:asciiTheme="minorHAnsi" w:hAnsiTheme="minorHAnsi" w:cstheme="minorHAnsi"/>
                <w:bCs/>
                <w:sz w:val="20"/>
                <w:szCs w:val="20"/>
              </w:rPr>
              <w:fldChar w:fldCharType="separate"/>
            </w:r>
            <w:r w:rsidR="00F14E8A">
              <w:rPr>
                <w:rFonts w:asciiTheme="minorHAnsi" w:hAnsiTheme="minorHAnsi" w:cstheme="minorHAnsi"/>
                <w:bCs/>
                <w:noProof/>
                <w:sz w:val="20"/>
                <w:szCs w:val="20"/>
              </w:rPr>
              <w:t>4</w:t>
            </w:r>
            <w:r w:rsidRPr="00E9326E">
              <w:rPr>
                <w:rFonts w:asciiTheme="minorHAnsi" w:hAnsiTheme="minorHAnsi" w:cstheme="minorHAnsi"/>
                <w:bCs/>
                <w:sz w:val="20"/>
                <w:szCs w:val="20"/>
              </w:rPr>
              <w:fldChar w:fldCharType="end"/>
            </w:r>
            <w:r w:rsidRPr="00E9326E">
              <w:rPr>
                <w:rFonts w:asciiTheme="minorHAnsi" w:hAnsiTheme="minorHAnsi" w:cstheme="minorHAnsi"/>
                <w:sz w:val="20"/>
                <w:szCs w:val="20"/>
              </w:rPr>
              <w:t xml:space="preserve"> of </w:t>
            </w:r>
            <w:r w:rsidRPr="00E9326E">
              <w:rPr>
                <w:rFonts w:asciiTheme="minorHAnsi" w:hAnsiTheme="minorHAnsi" w:cstheme="minorHAnsi"/>
                <w:bCs/>
                <w:sz w:val="20"/>
                <w:szCs w:val="20"/>
              </w:rPr>
              <w:fldChar w:fldCharType="begin"/>
            </w:r>
            <w:r w:rsidRPr="00E9326E">
              <w:rPr>
                <w:rFonts w:asciiTheme="minorHAnsi" w:hAnsiTheme="minorHAnsi" w:cstheme="minorHAnsi"/>
                <w:bCs/>
                <w:sz w:val="20"/>
                <w:szCs w:val="20"/>
              </w:rPr>
              <w:instrText xml:space="preserve"> NUMPAGES  </w:instrText>
            </w:r>
            <w:r w:rsidRPr="00E9326E">
              <w:rPr>
                <w:rFonts w:asciiTheme="minorHAnsi" w:hAnsiTheme="minorHAnsi" w:cstheme="minorHAnsi"/>
                <w:bCs/>
                <w:sz w:val="20"/>
                <w:szCs w:val="20"/>
              </w:rPr>
              <w:fldChar w:fldCharType="separate"/>
            </w:r>
            <w:r w:rsidR="00F14E8A">
              <w:rPr>
                <w:rFonts w:asciiTheme="minorHAnsi" w:hAnsiTheme="minorHAnsi" w:cstheme="minorHAnsi"/>
                <w:bCs/>
                <w:noProof/>
                <w:sz w:val="20"/>
                <w:szCs w:val="20"/>
              </w:rPr>
              <w:t>52</w:t>
            </w:r>
            <w:r w:rsidRPr="00E9326E">
              <w:rPr>
                <w:rFonts w:asciiTheme="minorHAnsi" w:hAnsiTheme="minorHAnsi" w:cstheme="minorHAnsi"/>
                <w:bCs/>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A8E87" w14:textId="3411C4CF" w:rsidR="00114AC6" w:rsidRDefault="00114AC6" w:rsidP="00114AC6"/>
  <w:p w14:paraId="1C672207" w14:textId="72357297" w:rsidR="00114AC6" w:rsidRPr="00114AC6" w:rsidRDefault="00114AC6">
    <w:pPr>
      <w:pStyle w:val="Footer"/>
      <w:rPr>
        <w:rFonts w:asciiTheme="minorHAnsi" w:hAnsiTheme="minorHAnsi" w:cstheme="minorHAns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816176492"/>
      <w:docPartObj>
        <w:docPartGallery w:val="Page Numbers (Top of Page)"/>
        <w:docPartUnique/>
      </w:docPartObj>
    </w:sdtPr>
    <w:sdtEndPr/>
    <w:sdtContent>
      <w:p w14:paraId="5D03FD4C" w14:textId="747866E5" w:rsidR="00AA7201" w:rsidRPr="00E9326E" w:rsidRDefault="00AA7201" w:rsidP="00E9326E">
        <w:pPr>
          <w:pStyle w:val="Footer"/>
          <w:jc w:val="right"/>
          <w:rPr>
            <w:rFonts w:asciiTheme="minorHAnsi" w:hAnsiTheme="minorHAnsi" w:cstheme="minorHAnsi"/>
            <w:sz w:val="20"/>
            <w:szCs w:val="20"/>
          </w:rPr>
        </w:pPr>
        <w:r w:rsidRPr="00E9326E">
          <w:rPr>
            <w:rFonts w:asciiTheme="minorHAnsi" w:hAnsiTheme="minorHAnsi" w:cstheme="minorHAnsi"/>
            <w:sz w:val="20"/>
            <w:szCs w:val="20"/>
          </w:rPr>
          <w:t xml:space="preserve">Impact Analysis: Alternative models for allocating residential aged care places </w:t>
        </w:r>
        <w:r>
          <w:rPr>
            <w:rFonts w:asciiTheme="minorHAnsi" w:hAnsiTheme="minorHAnsi" w:cstheme="minorHAnsi"/>
            <w:sz w:val="20"/>
            <w:szCs w:val="20"/>
          </w:rPr>
          <w:tab/>
        </w:r>
        <w:r w:rsidRPr="00E9326E">
          <w:rPr>
            <w:rFonts w:asciiTheme="minorHAnsi" w:hAnsiTheme="minorHAnsi" w:cstheme="minorHAnsi"/>
            <w:sz w:val="20"/>
            <w:szCs w:val="20"/>
          </w:rPr>
          <w:t xml:space="preserve">Page </w:t>
        </w:r>
        <w:r w:rsidRPr="00E9326E">
          <w:rPr>
            <w:rFonts w:asciiTheme="minorHAnsi" w:hAnsiTheme="minorHAnsi" w:cstheme="minorHAnsi"/>
            <w:bCs/>
            <w:sz w:val="20"/>
            <w:szCs w:val="20"/>
          </w:rPr>
          <w:fldChar w:fldCharType="begin"/>
        </w:r>
        <w:r w:rsidRPr="00E9326E">
          <w:rPr>
            <w:rFonts w:asciiTheme="minorHAnsi" w:hAnsiTheme="minorHAnsi" w:cstheme="minorHAnsi"/>
            <w:bCs/>
            <w:sz w:val="20"/>
            <w:szCs w:val="20"/>
          </w:rPr>
          <w:instrText xml:space="preserve"> PAGE </w:instrText>
        </w:r>
        <w:r w:rsidRPr="00E9326E">
          <w:rPr>
            <w:rFonts w:asciiTheme="minorHAnsi" w:hAnsiTheme="minorHAnsi" w:cstheme="minorHAnsi"/>
            <w:bCs/>
            <w:sz w:val="20"/>
            <w:szCs w:val="20"/>
          </w:rPr>
          <w:fldChar w:fldCharType="separate"/>
        </w:r>
        <w:r w:rsidR="00F14E8A">
          <w:rPr>
            <w:rFonts w:asciiTheme="minorHAnsi" w:hAnsiTheme="minorHAnsi" w:cstheme="minorHAnsi"/>
            <w:bCs/>
            <w:noProof/>
            <w:sz w:val="20"/>
            <w:szCs w:val="20"/>
          </w:rPr>
          <w:t>22</w:t>
        </w:r>
        <w:r w:rsidRPr="00E9326E">
          <w:rPr>
            <w:rFonts w:asciiTheme="minorHAnsi" w:hAnsiTheme="minorHAnsi" w:cstheme="minorHAnsi"/>
            <w:bCs/>
            <w:sz w:val="20"/>
            <w:szCs w:val="20"/>
          </w:rPr>
          <w:fldChar w:fldCharType="end"/>
        </w:r>
        <w:r w:rsidRPr="00E9326E">
          <w:rPr>
            <w:rFonts w:asciiTheme="minorHAnsi" w:hAnsiTheme="minorHAnsi" w:cstheme="minorHAnsi"/>
            <w:sz w:val="20"/>
            <w:szCs w:val="20"/>
          </w:rPr>
          <w:t xml:space="preserve"> of </w:t>
        </w:r>
        <w:r w:rsidRPr="00E9326E">
          <w:rPr>
            <w:rFonts w:asciiTheme="minorHAnsi" w:hAnsiTheme="minorHAnsi" w:cstheme="minorHAnsi"/>
            <w:bCs/>
            <w:sz w:val="20"/>
            <w:szCs w:val="20"/>
          </w:rPr>
          <w:fldChar w:fldCharType="begin"/>
        </w:r>
        <w:r w:rsidRPr="00E9326E">
          <w:rPr>
            <w:rFonts w:asciiTheme="minorHAnsi" w:hAnsiTheme="minorHAnsi" w:cstheme="minorHAnsi"/>
            <w:bCs/>
            <w:sz w:val="20"/>
            <w:szCs w:val="20"/>
          </w:rPr>
          <w:instrText xml:space="preserve"> NUMPAGES  </w:instrText>
        </w:r>
        <w:r w:rsidRPr="00E9326E">
          <w:rPr>
            <w:rFonts w:asciiTheme="minorHAnsi" w:hAnsiTheme="minorHAnsi" w:cstheme="minorHAnsi"/>
            <w:bCs/>
            <w:sz w:val="20"/>
            <w:szCs w:val="20"/>
          </w:rPr>
          <w:fldChar w:fldCharType="separate"/>
        </w:r>
        <w:r w:rsidR="00F14E8A">
          <w:rPr>
            <w:rFonts w:asciiTheme="minorHAnsi" w:hAnsiTheme="minorHAnsi" w:cstheme="minorHAnsi"/>
            <w:bCs/>
            <w:noProof/>
            <w:sz w:val="20"/>
            <w:szCs w:val="20"/>
          </w:rPr>
          <w:t>52</w:t>
        </w:r>
        <w:r w:rsidRPr="00E9326E">
          <w:rPr>
            <w:rFonts w:asciiTheme="minorHAnsi" w:hAnsiTheme="minorHAnsi" w:cstheme="minorHAnsi"/>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EC49D" w14:textId="77777777" w:rsidR="00AA7201" w:rsidRDefault="00AA7201" w:rsidP="00817093">
      <w:r>
        <w:separator/>
      </w:r>
    </w:p>
  </w:footnote>
  <w:footnote w:type="continuationSeparator" w:id="0">
    <w:p w14:paraId="5E0D6DB3" w14:textId="77777777" w:rsidR="00AA7201" w:rsidRDefault="00AA7201" w:rsidP="00817093">
      <w:r>
        <w:continuationSeparator/>
      </w:r>
    </w:p>
  </w:footnote>
  <w:footnote w:id="1">
    <w:p w14:paraId="1755900D" w14:textId="77777777" w:rsidR="00AA7201" w:rsidRPr="006B0A07" w:rsidRDefault="00AA7201" w:rsidP="00C75E7A">
      <w:pPr>
        <w:pStyle w:val="FootnoteText"/>
        <w:rPr>
          <w:rFonts w:ascii="Helvetica" w:hAnsi="Helvetica"/>
        </w:rPr>
      </w:pPr>
      <w:r w:rsidRPr="006B0A07">
        <w:rPr>
          <w:rStyle w:val="FootnoteReference"/>
          <w:rFonts w:ascii="Helvetica" w:hAnsi="Helvetica"/>
          <w:color w:val="auto"/>
        </w:rPr>
        <w:footnoteRef/>
      </w:r>
      <w:r w:rsidRPr="006B0A07">
        <w:rPr>
          <w:rFonts w:ascii="Helvetica" w:hAnsi="Helvetica"/>
          <w:color w:val="auto"/>
        </w:rPr>
        <w:t xml:space="preserve">In this discussion paper, the term 'consumer’ means the recipients of aged care services, and where appropriate, their families and carers. </w:t>
      </w:r>
    </w:p>
  </w:footnote>
  <w:footnote w:id="2">
    <w:p w14:paraId="48840DF3" w14:textId="77777777" w:rsidR="00AA7201" w:rsidRPr="0090656C" w:rsidRDefault="00AA7201" w:rsidP="00B90E95">
      <w:pPr>
        <w:pStyle w:val="FootnoteText"/>
        <w:rPr>
          <w:rFonts w:ascii="Helvetica" w:hAnsi="Helvetica"/>
          <w:color w:val="auto"/>
          <w:lang w:val="en-AU"/>
        </w:rPr>
      </w:pPr>
      <w:r w:rsidRPr="0090656C">
        <w:rPr>
          <w:rStyle w:val="FootnoteReference"/>
          <w:rFonts w:ascii="Helvetica" w:hAnsi="Helvetica"/>
          <w:color w:val="auto"/>
        </w:rPr>
        <w:footnoteRef/>
      </w:r>
      <w:r w:rsidRPr="0090656C">
        <w:rPr>
          <w:rFonts w:ascii="Helvetica" w:hAnsi="Helvetica"/>
          <w:color w:val="auto"/>
        </w:rPr>
        <w:t xml:space="preserve"> To provide </w:t>
      </w:r>
      <w:r w:rsidRPr="0015030B">
        <w:rPr>
          <w:rFonts w:ascii="Helvetica" w:hAnsi="Helvetica"/>
          <w:color w:val="auto"/>
          <w:lang w:val="en-AU"/>
        </w:rPr>
        <w:t>subsidised</w:t>
      </w:r>
      <w:r w:rsidRPr="0090656C">
        <w:rPr>
          <w:rFonts w:ascii="Helvetica" w:hAnsi="Helvetica"/>
          <w:color w:val="auto"/>
        </w:rPr>
        <w:t xml:space="preserve"> services under the Act, providers must first be </w:t>
      </w:r>
      <w:hyperlink r:id="rId1" w:history="1">
        <w:r w:rsidRPr="0090656C">
          <w:rPr>
            <w:rStyle w:val="Hyperlink"/>
            <w:rFonts w:ascii="Helvetica" w:hAnsi="Helvetica"/>
          </w:rPr>
          <w:t>approved</w:t>
        </w:r>
      </w:hyperlink>
      <w:r>
        <w:rPr>
          <w:rFonts w:ascii="Helvetica" w:hAnsi="Helvetica"/>
          <w:color w:val="auto"/>
        </w:rPr>
        <w:t xml:space="preserve"> </w:t>
      </w:r>
      <w:r w:rsidRPr="0090656C">
        <w:rPr>
          <w:rFonts w:ascii="Helvetica" w:hAnsi="Helvetica"/>
          <w:color w:val="auto"/>
        </w:rPr>
        <w:t xml:space="preserve">by the </w:t>
      </w:r>
      <w:r>
        <w:rPr>
          <w:rFonts w:ascii="Helvetica" w:hAnsi="Helvetica"/>
          <w:color w:val="auto"/>
        </w:rPr>
        <w:t>d</w:t>
      </w:r>
      <w:r w:rsidRPr="0090656C">
        <w:rPr>
          <w:rFonts w:ascii="Helvetica" w:hAnsi="Helvetica"/>
          <w:color w:val="auto"/>
        </w:rPr>
        <w:t xml:space="preserve">epartment. </w:t>
      </w:r>
    </w:p>
  </w:footnote>
  <w:footnote w:id="3">
    <w:p w14:paraId="0D180B35" w14:textId="77777777" w:rsidR="00AA7201" w:rsidRPr="0090656C" w:rsidRDefault="00AA7201" w:rsidP="00150C09">
      <w:pPr>
        <w:pStyle w:val="FootnoteText"/>
        <w:rPr>
          <w:rFonts w:ascii="Helvetica" w:hAnsi="Helvetica"/>
          <w:color w:val="auto"/>
          <w:lang w:val="en-AU"/>
        </w:rPr>
      </w:pPr>
      <w:r w:rsidRPr="0090656C">
        <w:rPr>
          <w:rStyle w:val="FootnoteReference"/>
          <w:rFonts w:ascii="Helvetica" w:hAnsi="Helvetica"/>
          <w:color w:val="auto"/>
        </w:rPr>
        <w:footnoteRef/>
      </w:r>
      <w:r w:rsidRPr="0090656C">
        <w:rPr>
          <w:rFonts w:ascii="Helvetica" w:hAnsi="Helvetica"/>
          <w:color w:val="auto"/>
        </w:rPr>
        <w:t xml:space="preserve"> </w:t>
      </w:r>
      <w:r>
        <w:rPr>
          <w:rFonts w:ascii="Helvetica" w:hAnsi="Helvetica"/>
          <w:color w:val="auto"/>
        </w:rPr>
        <w:t>Department of Health,</w:t>
      </w:r>
      <w:r w:rsidRPr="0090656C">
        <w:rPr>
          <w:rFonts w:ascii="Helvetica" w:hAnsi="Helvetica"/>
          <w:color w:val="auto"/>
        </w:rPr>
        <w:t xml:space="preserve"> 2017–18 Report on the Operation of the </w:t>
      </w:r>
      <w:r w:rsidRPr="00C91B17">
        <w:rPr>
          <w:rFonts w:ascii="Helvetica" w:hAnsi="Helvetica"/>
          <w:i/>
          <w:color w:val="auto"/>
        </w:rPr>
        <w:t>Aged Care Act 1997</w:t>
      </w:r>
      <w:r w:rsidRPr="0090656C">
        <w:rPr>
          <w:rFonts w:ascii="Helvetica" w:hAnsi="Helvetica"/>
          <w:color w:val="auto"/>
        </w:rPr>
        <w:t xml:space="preserve">; Stocktake of Australian Government </w:t>
      </w:r>
      <w:r w:rsidRPr="00EB1C35">
        <w:rPr>
          <w:rFonts w:ascii="Helvetica" w:hAnsi="Helvetica"/>
          <w:color w:val="auto"/>
          <w:lang w:val="en-AU"/>
        </w:rPr>
        <w:t>Subsidised</w:t>
      </w:r>
      <w:r w:rsidRPr="0090656C">
        <w:rPr>
          <w:rFonts w:ascii="Helvetica" w:hAnsi="Helvetica"/>
          <w:color w:val="auto"/>
        </w:rPr>
        <w:t xml:space="preserve"> Aged Care Places as at 30 June 2018</w:t>
      </w:r>
      <w:r>
        <w:rPr>
          <w:rFonts w:ascii="Helvetica" w:hAnsi="Helvetica"/>
          <w:color w:val="auto"/>
        </w:rPr>
        <w:t>; Aged care data warehouse</w:t>
      </w:r>
    </w:p>
  </w:footnote>
  <w:footnote w:id="4">
    <w:p w14:paraId="6E72A141" w14:textId="77777777" w:rsidR="00AA7201" w:rsidRPr="000174AE" w:rsidRDefault="00AA7201" w:rsidP="0061259F">
      <w:pPr>
        <w:pStyle w:val="FootnoteText"/>
        <w:rPr>
          <w:lang w:val="en-AU"/>
        </w:rPr>
      </w:pPr>
      <w:r w:rsidRPr="000174AE">
        <w:rPr>
          <w:rStyle w:val="FootnoteReference"/>
          <w:rFonts w:ascii="Helvetica" w:hAnsi="Helvetica"/>
          <w:color w:val="auto"/>
        </w:rPr>
        <w:footnoteRef/>
      </w:r>
      <w:r w:rsidRPr="000174AE">
        <w:rPr>
          <w:rStyle w:val="FootnoteReference"/>
          <w:rFonts w:ascii="Helvetica" w:hAnsi="Helvetica"/>
          <w:color w:val="auto"/>
        </w:rPr>
        <w:t xml:space="preserve"> </w:t>
      </w:r>
      <w:r w:rsidRPr="000174AE">
        <w:rPr>
          <w:rFonts w:ascii="Helvetica" w:hAnsi="Helvetica"/>
          <w:color w:val="auto"/>
        </w:rPr>
        <w:t xml:space="preserve">Allocated places include operational places, </w:t>
      </w:r>
      <w:r>
        <w:rPr>
          <w:rFonts w:ascii="Helvetica" w:hAnsi="Helvetica"/>
          <w:color w:val="auto"/>
        </w:rPr>
        <w:t>offline</w:t>
      </w:r>
      <w:r w:rsidRPr="000174AE">
        <w:rPr>
          <w:rFonts w:ascii="Helvetica" w:hAnsi="Helvetica"/>
          <w:color w:val="auto"/>
        </w:rPr>
        <w:t xml:space="preserve"> places, and </w:t>
      </w:r>
      <w:r>
        <w:rPr>
          <w:rFonts w:ascii="Helvetica" w:hAnsi="Helvetica"/>
          <w:color w:val="auto"/>
        </w:rPr>
        <w:t>provisionally allocated places</w:t>
      </w:r>
      <w:r w:rsidRPr="000174AE">
        <w:rPr>
          <w:rFonts w:ascii="Helvetica" w:hAnsi="Helvetica"/>
          <w:color w:val="auto"/>
        </w:rPr>
        <w:t>.</w:t>
      </w:r>
    </w:p>
  </w:footnote>
  <w:footnote w:id="5">
    <w:p w14:paraId="3EA132E0" w14:textId="77777777" w:rsidR="00AA7201" w:rsidRPr="0090656C" w:rsidRDefault="00AA7201" w:rsidP="00402D4E">
      <w:pPr>
        <w:pStyle w:val="FootnoteText"/>
        <w:rPr>
          <w:rFonts w:ascii="Helvetica" w:hAnsi="Helvetica"/>
          <w:color w:val="auto"/>
          <w:lang w:val="en-AU"/>
        </w:rPr>
      </w:pPr>
      <w:r w:rsidRPr="0090656C">
        <w:rPr>
          <w:rStyle w:val="FootnoteReference"/>
          <w:rFonts w:ascii="Helvetica" w:hAnsi="Helvetica"/>
          <w:color w:val="auto"/>
        </w:rPr>
        <w:footnoteRef/>
      </w:r>
      <w:r w:rsidRPr="0090656C">
        <w:rPr>
          <w:rFonts w:ascii="Helvetica" w:hAnsi="Helvetica"/>
          <w:color w:val="auto"/>
        </w:rPr>
        <w:t xml:space="preserve"> Residential aged care places are initially allocated for four years, with the possibility to extend. </w:t>
      </w:r>
      <w:r>
        <w:rPr>
          <w:rFonts w:ascii="Helvetica" w:hAnsi="Helvetica"/>
          <w:color w:val="auto"/>
        </w:rPr>
        <w:t>A</w:t>
      </w:r>
      <w:r w:rsidRPr="0090656C">
        <w:rPr>
          <w:rFonts w:ascii="Helvetica" w:hAnsi="Helvetica"/>
          <w:color w:val="auto"/>
        </w:rPr>
        <w:t xml:space="preserve">fter six years, </w:t>
      </w:r>
      <w:r>
        <w:rPr>
          <w:rFonts w:ascii="Helvetica" w:hAnsi="Helvetica"/>
          <w:color w:val="auto"/>
        </w:rPr>
        <w:t xml:space="preserve">if </w:t>
      </w:r>
      <w:r w:rsidRPr="0090656C">
        <w:rPr>
          <w:rFonts w:ascii="Helvetica" w:hAnsi="Helvetica"/>
          <w:color w:val="auto"/>
        </w:rPr>
        <w:t xml:space="preserve">places </w:t>
      </w:r>
      <w:r>
        <w:rPr>
          <w:rFonts w:ascii="Helvetica" w:hAnsi="Helvetica"/>
          <w:color w:val="auto"/>
        </w:rPr>
        <w:t>are not</w:t>
      </w:r>
      <w:r w:rsidRPr="0090656C">
        <w:rPr>
          <w:rFonts w:ascii="Helvetica" w:hAnsi="Helvetica"/>
          <w:color w:val="auto"/>
        </w:rPr>
        <w:t xml:space="preserve"> operational, further extensions </w:t>
      </w:r>
      <w:r>
        <w:rPr>
          <w:rFonts w:ascii="Helvetica" w:hAnsi="Helvetica"/>
          <w:color w:val="auto"/>
        </w:rPr>
        <w:t xml:space="preserve">are </w:t>
      </w:r>
      <w:r w:rsidRPr="0090656C">
        <w:rPr>
          <w:rFonts w:ascii="Helvetica" w:hAnsi="Helvetica"/>
          <w:color w:val="auto"/>
        </w:rPr>
        <w:t xml:space="preserve">only granted in exceptional circumstances.  </w:t>
      </w:r>
    </w:p>
  </w:footnote>
  <w:footnote w:id="6">
    <w:p w14:paraId="49298361" w14:textId="77777777" w:rsidR="00AA7201" w:rsidRPr="004D1817" w:rsidRDefault="00AA7201" w:rsidP="00402D4E">
      <w:pPr>
        <w:pStyle w:val="FootnoteText"/>
        <w:rPr>
          <w:color w:val="auto"/>
          <w:lang w:val="en-AU"/>
        </w:rPr>
      </w:pPr>
      <w:r w:rsidRPr="0090656C">
        <w:rPr>
          <w:rStyle w:val="FootnoteReference"/>
          <w:rFonts w:ascii="Helvetica" w:hAnsi="Helvetica"/>
          <w:color w:val="auto"/>
        </w:rPr>
        <w:footnoteRef/>
      </w:r>
      <w:r w:rsidRPr="0090656C">
        <w:rPr>
          <w:rFonts w:ascii="Helvetica" w:hAnsi="Helvetica"/>
          <w:color w:val="auto"/>
        </w:rPr>
        <w:t xml:space="preserve"> </w:t>
      </w:r>
      <w:r w:rsidRPr="0090656C">
        <w:rPr>
          <w:rFonts w:ascii="Helvetica" w:hAnsi="Helvetica"/>
          <w:color w:val="auto"/>
          <w:lang w:val="en-AU"/>
        </w:rPr>
        <w:t>Legislated Review of Aged Care 2017, page 52</w:t>
      </w:r>
    </w:p>
  </w:footnote>
  <w:footnote w:id="7">
    <w:p w14:paraId="58A20F6E" w14:textId="77777777" w:rsidR="00AA7201" w:rsidRPr="00486075" w:rsidRDefault="00AA7201" w:rsidP="00150C09">
      <w:pPr>
        <w:pStyle w:val="FootnoteText"/>
        <w:rPr>
          <w:rFonts w:ascii="Helvetica" w:hAnsi="Helvetica"/>
          <w:color w:val="auto"/>
          <w:lang w:val="en-AU"/>
        </w:rPr>
      </w:pPr>
      <w:r w:rsidRPr="00486075">
        <w:rPr>
          <w:rStyle w:val="FootnoteReference"/>
          <w:rFonts w:ascii="Helvetica" w:hAnsi="Helvetica"/>
          <w:color w:val="auto"/>
        </w:rPr>
        <w:footnoteRef/>
      </w:r>
      <w:r w:rsidRPr="00486075">
        <w:rPr>
          <w:rFonts w:ascii="Helvetica" w:hAnsi="Helvetica"/>
          <w:color w:val="auto"/>
        </w:rPr>
        <w:t xml:space="preserve"> Operational place is an allocated place that has become available for a consumer to receive care.</w:t>
      </w:r>
    </w:p>
  </w:footnote>
  <w:footnote w:id="8">
    <w:p w14:paraId="7A191067" w14:textId="76E0C85E" w:rsidR="00AA7201" w:rsidRPr="00486075" w:rsidRDefault="00AA7201" w:rsidP="00F67698">
      <w:pPr>
        <w:pStyle w:val="FootnoteText"/>
        <w:rPr>
          <w:rFonts w:ascii="Helvetica" w:hAnsi="Helvetica"/>
          <w:color w:val="auto"/>
          <w:lang w:val="en-AU"/>
        </w:rPr>
      </w:pPr>
      <w:r w:rsidRPr="00486075">
        <w:rPr>
          <w:rStyle w:val="FootnoteReference"/>
          <w:rFonts w:ascii="Helvetica" w:hAnsi="Helvetica"/>
          <w:color w:val="auto"/>
        </w:rPr>
        <w:footnoteRef/>
      </w:r>
      <w:r w:rsidRPr="00486075">
        <w:rPr>
          <w:rFonts w:ascii="Helvetica" w:hAnsi="Helvetica"/>
          <w:color w:val="auto"/>
        </w:rPr>
        <w:t xml:space="preserve"> The Department reports an average occupancy rate of 90.3 per cent in 2017-18, with occupancy measured as the number of days places are occupied by a consumer (based on subsidy claimed), divided by the number of operational place days.</w:t>
      </w:r>
    </w:p>
  </w:footnote>
  <w:footnote w:id="9">
    <w:p w14:paraId="3FF28D6B" w14:textId="16B06DFA" w:rsidR="00AA7201" w:rsidRPr="001275C9" w:rsidRDefault="00AA7201" w:rsidP="001275C9">
      <w:pPr>
        <w:pStyle w:val="FootnoteText"/>
        <w:rPr>
          <w:rFonts w:ascii="Helvetica" w:hAnsi="Helvetica" w:cs="Helvetica"/>
          <w:color w:val="auto"/>
        </w:rPr>
      </w:pPr>
      <w:r w:rsidRPr="00486075">
        <w:rPr>
          <w:rStyle w:val="FootnoteReference"/>
          <w:rFonts w:ascii="Helvetica" w:hAnsi="Helvetica" w:cs="Helvetica"/>
          <w:color w:val="auto"/>
        </w:rPr>
        <w:footnoteRef/>
      </w:r>
      <w:r w:rsidRPr="00486075">
        <w:rPr>
          <w:rFonts w:ascii="Helvetica" w:hAnsi="Helvetica" w:cs="Helvetica"/>
          <w:color w:val="auto"/>
        </w:rPr>
        <w:t xml:space="preserve"> Based on data from participants in StewartBrown’s Aged Care Financial Performance Survey (June 2018).</w:t>
      </w:r>
      <w:r w:rsidRPr="00486075">
        <w:rPr>
          <w:rFonts w:ascii="Helvetica" w:hAnsi="Helvetica"/>
        </w:rPr>
        <w:t xml:space="preserve"> </w:t>
      </w:r>
      <w:r w:rsidRPr="00486075">
        <w:rPr>
          <w:rFonts w:ascii="Helvetica" w:hAnsi="Helvetica"/>
          <w:color w:val="auto"/>
        </w:rPr>
        <w:t>There are methodological differences between occupancy calculations reported by StewartBrown and the Department: StewartBrown’s data is based on a subset of the residential care sector and removes from the denominator operational places they have recorded as not being available for consumers to occupy due to refurbishment or other operational reasons</w:t>
      </w:r>
      <w:r w:rsidRPr="00486075">
        <w:rPr>
          <w:rFonts w:ascii="Helvetica" w:hAnsi="Helvetica"/>
        </w:rPr>
        <w:t>.</w:t>
      </w:r>
    </w:p>
  </w:footnote>
  <w:footnote w:id="10">
    <w:p w14:paraId="572807C7" w14:textId="77777777" w:rsidR="00AA7201" w:rsidRPr="009164DC" w:rsidRDefault="00AA7201" w:rsidP="001829B9">
      <w:pPr>
        <w:pStyle w:val="FootnoteText"/>
      </w:pPr>
      <w:r w:rsidRPr="0090656C">
        <w:rPr>
          <w:rStyle w:val="FootnoteReference"/>
          <w:rFonts w:ascii="Helvetica" w:hAnsi="Helvetica"/>
          <w:color w:val="auto"/>
        </w:rPr>
        <w:footnoteRef/>
      </w:r>
      <w:r w:rsidRPr="0090656C">
        <w:rPr>
          <w:rFonts w:ascii="Helvetica" w:hAnsi="Helvetica"/>
          <w:color w:val="auto"/>
        </w:rPr>
        <w:t xml:space="preserve"> The Australian Government manages the supply of aged care places and expenditure by specifying a national target provision ratio of subsidised aged care places for every 1,000 people aged 70 years and over.</w:t>
      </w:r>
      <w:r w:rsidRPr="0090656C">
        <w:rPr>
          <w:color w:val="auto"/>
        </w:rPr>
        <w:t xml:space="preserve"> </w:t>
      </w:r>
    </w:p>
  </w:footnote>
  <w:footnote w:id="11">
    <w:p w14:paraId="35BF4931" w14:textId="77777777" w:rsidR="00AA7201" w:rsidRPr="000174AE" w:rsidRDefault="00AA7201">
      <w:pPr>
        <w:pStyle w:val="FootnoteText"/>
        <w:rPr>
          <w:lang w:val="en-AU"/>
        </w:rPr>
      </w:pPr>
      <w:r w:rsidRPr="000174AE">
        <w:rPr>
          <w:rStyle w:val="FootnoteReference"/>
          <w:rFonts w:ascii="Helvetica" w:hAnsi="Helvetica"/>
          <w:color w:val="auto"/>
        </w:rPr>
        <w:footnoteRef/>
      </w:r>
      <w:r w:rsidRPr="000174AE">
        <w:rPr>
          <w:rStyle w:val="FootnoteReference"/>
          <w:rFonts w:ascii="Helvetica" w:hAnsi="Helvetica"/>
          <w:color w:val="auto"/>
        </w:rPr>
        <w:t xml:space="preserve"> </w:t>
      </w:r>
      <w:r w:rsidRPr="000174AE">
        <w:rPr>
          <w:rFonts w:ascii="Helvetica" w:hAnsi="Helvetica"/>
          <w:color w:val="auto"/>
        </w:rPr>
        <w:t xml:space="preserve">The Act stipulates mandatory conditions </w:t>
      </w:r>
      <w:r>
        <w:rPr>
          <w:rFonts w:ascii="Helvetica" w:hAnsi="Helvetica"/>
          <w:color w:val="auto"/>
        </w:rPr>
        <w:t>of allocation</w:t>
      </w:r>
      <w:r w:rsidRPr="000174AE">
        <w:rPr>
          <w:rFonts w:ascii="Helvetica" w:hAnsi="Helvetica"/>
          <w:color w:val="auto"/>
        </w:rPr>
        <w:t xml:space="preserve"> and provides for other conditions specific to each allocation of places to be specified based on the provider’s</w:t>
      </w:r>
      <w:r>
        <w:rPr>
          <w:rFonts w:ascii="Helvetica" w:hAnsi="Helvetica"/>
          <w:color w:val="auto"/>
        </w:rPr>
        <w:t xml:space="preserve"> ACAR</w:t>
      </w:r>
      <w:r w:rsidRPr="000174AE">
        <w:rPr>
          <w:rFonts w:ascii="Helvetica" w:hAnsi="Helvetica"/>
          <w:color w:val="auto"/>
        </w:rPr>
        <w:t xml:space="preserve"> application.</w:t>
      </w:r>
    </w:p>
  </w:footnote>
  <w:footnote w:id="12">
    <w:p w14:paraId="0667A5DC" w14:textId="77777777" w:rsidR="00AA7201" w:rsidRPr="0090656C" w:rsidRDefault="00AA7201" w:rsidP="0046659C">
      <w:pPr>
        <w:pStyle w:val="FootnoteText"/>
        <w:rPr>
          <w:rFonts w:ascii="Helvetica" w:hAnsi="Helvetica"/>
          <w:color w:val="auto"/>
          <w:lang w:val="en-AU"/>
        </w:rPr>
      </w:pPr>
      <w:r w:rsidRPr="0090656C">
        <w:rPr>
          <w:rStyle w:val="FootnoteReference"/>
          <w:rFonts w:ascii="Helvetica" w:hAnsi="Helvetica"/>
          <w:color w:val="auto"/>
        </w:rPr>
        <w:footnoteRef/>
      </w:r>
      <w:r w:rsidRPr="0090656C">
        <w:rPr>
          <w:rFonts w:ascii="Helvetica" w:hAnsi="Helvetica"/>
          <w:color w:val="auto"/>
        </w:rPr>
        <w:t xml:space="preserve"> 2018-19 Aged Care Approvals Round </w:t>
      </w:r>
      <w:hyperlink r:id="rId2" w:history="1">
        <w:r w:rsidRPr="0090656C">
          <w:rPr>
            <w:rStyle w:val="Hyperlink"/>
            <w:rFonts w:ascii="Helvetica" w:hAnsi="Helvetica"/>
          </w:rPr>
          <w:t>Results</w:t>
        </w:r>
      </w:hyperlink>
    </w:p>
  </w:footnote>
  <w:footnote w:id="13">
    <w:p w14:paraId="5152A038" w14:textId="77777777" w:rsidR="00AA7201" w:rsidRPr="00C91B17" w:rsidRDefault="00AA7201">
      <w:pPr>
        <w:pStyle w:val="FootnoteText"/>
        <w:rPr>
          <w:rFonts w:ascii="Helvetica" w:hAnsi="Helvetica"/>
          <w:lang w:val="en-AU"/>
        </w:rPr>
      </w:pPr>
      <w:r w:rsidRPr="00C91B17">
        <w:rPr>
          <w:rStyle w:val="FootnoteReference"/>
          <w:rFonts w:ascii="Helvetica" w:hAnsi="Helvetica"/>
          <w:color w:val="auto"/>
        </w:rPr>
        <w:footnoteRef/>
      </w:r>
      <w:r w:rsidRPr="00C91B17">
        <w:rPr>
          <w:rFonts w:ascii="Helvetica" w:hAnsi="Helvetica"/>
          <w:color w:val="auto"/>
        </w:rPr>
        <w:t xml:space="preserve"> All aged care homes receiving government subsidies need to meet quality standards known as </w:t>
      </w:r>
      <w:hyperlink r:id="rId3" w:history="1">
        <w:r w:rsidRPr="00C91B17">
          <w:rPr>
            <w:rStyle w:val="Hyperlink"/>
            <w:rFonts w:ascii="Helvetica" w:hAnsi="Helvetica"/>
          </w:rPr>
          <w:t>accreditation standards.</w:t>
        </w:r>
      </w:hyperlink>
      <w:r w:rsidRPr="00C91B17">
        <w:rPr>
          <w:rFonts w:ascii="Helvetica" w:hAnsi="Helvetica"/>
          <w:color w:val="auto"/>
        </w:rPr>
        <w:t xml:space="preserve"> </w:t>
      </w:r>
    </w:p>
  </w:footnote>
  <w:footnote w:id="14">
    <w:p w14:paraId="69D96021" w14:textId="77777777" w:rsidR="00AA7201" w:rsidRPr="00C91B17" w:rsidRDefault="00AA7201" w:rsidP="00C91B17">
      <w:pPr>
        <w:pStyle w:val="FootnoteText"/>
        <w:rPr>
          <w:rFonts w:ascii="Helvetica" w:hAnsi="Helvetica"/>
          <w:lang w:val="en-AU"/>
        </w:rPr>
      </w:pPr>
      <w:r w:rsidRPr="00C91B17">
        <w:rPr>
          <w:rStyle w:val="FootnoteReference"/>
          <w:rFonts w:ascii="Helvetica" w:hAnsi="Helvetica"/>
          <w:color w:val="auto"/>
        </w:rPr>
        <w:footnoteRef/>
      </w:r>
      <w:r w:rsidRPr="00C91B17">
        <w:rPr>
          <w:rFonts w:ascii="Helvetica" w:hAnsi="Helvetica"/>
          <w:color w:val="auto"/>
        </w:rPr>
        <w:t xml:space="preserve"> Department of Health, 2017–18 Report on the Operation of the </w:t>
      </w:r>
      <w:r w:rsidRPr="00C91B17">
        <w:rPr>
          <w:rFonts w:ascii="Helvetica" w:hAnsi="Helvetica"/>
          <w:i/>
          <w:color w:val="auto"/>
        </w:rPr>
        <w:t>Aged Care Act 1997</w:t>
      </w:r>
    </w:p>
  </w:footnote>
  <w:footnote w:id="15">
    <w:p w14:paraId="5349BF62" w14:textId="77777777" w:rsidR="00AA7201" w:rsidRPr="00092313" w:rsidRDefault="00AA7201" w:rsidP="00D338F8">
      <w:pPr>
        <w:pStyle w:val="FootnoteText"/>
        <w:rPr>
          <w:lang w:val="en-AU"/>
        </w:rPr>
      </w:pPr>
      <w:r w:rsidRPr="00C91B17">
        <w:rPr>
          <w:rStyle w:val="FootnoteReference"/>
          <w:rFonts w:ascii="Helvetica" w:hAnsi="Helvetica"/>
          <w:color w:val="auto"/>
        </w:rPr>
        <w:footnoteRef/>
      </w:r>
      <w:r w:rsidRPr="00C91B17">
        <w:rPr>
          <w:rFonts w:ascii="Helvetica" w:hAnsi="Helvetica"/>
          <w:color w:val="auto"/>
        </w:rPr>
        <w:t xml:space="preserve"> </w:t>
      </w:r>
      <w:r w:rsidRPr="00C91B17">
        <w:rPr>
          <w:rFonts w:ascii="Helvetica" w:hAnsi="Helvetica"/>
          <w:color w:val="auto"/>
          <w:lang w:val="en-AU"/>
        </w:rPr>
        <w:t>Aged Care Financing Authority, October 2018, Report on Respite for Aged Care Recipients</w:t>
      </w:r>
    </w:p>
  </w:footnote>
  <w:footnote w:id="16">
    <w:p w14:paraId="4F3FF3EF" w14:textId="77777777" w:rsidR="00AA7201" w:rsidRPr="004F05A5" w:rsidRDefault="00AA7201">
      <w:pPr>
        <w:pStyle w:val="FootnoteText"/>
        <w:rPr>
          <w:lang w:val="en-AU"/>
        </w:rPr>
      </w:pPr>
      <w:r w:rsidRPr="009430DB">
        <w:rPr>
          <w:rStyle w:val="FootnoteReference"/>
          <w:rFonts w:ascii="Helvetica" w:hAnsi="Helvetica" w:cs="Helvetica"/>
        </w:rPr>
        <w:footnoteRef/>
      </w:r>
      <w:r w:rsidRPr="009430DB">
        <w:rPr>
          <w:rFonts w:ascii="Helvetica" w:hAnsi="Helvetica" w:cs="Helvetica"/>
        </w:rPr>
        <w:t xml:space="preserve"> </w:t>
      </w:r>
      <w:r w:rsidRPr="009430DB">
        <w:rPr>
          <w:rFonts w:ascii="Helvetica" w:hAnsi="Helvetica" w:cs="Helvetica"/>
          <w:color w:val="auto"/>
        </w:rPr>
        <w:t>Department</w:t>
      </w:r>
      <w:r w:rsidRPr="00C91B17">
        <w:rPr>
          <w:rFonts w:ascii="Helvetica" w:hAnsi="Helvetica"/>
          <w:color w:val="auto"/>
        </w:rPr>
        <w:t xml:space="preserve"> of Health, 2017–18 Report on the Operation of the </w:t>
      </w:r>
      <w:r w:rsidRPr="00C91B17">
        <w:rPr>
          <w:rFonts w:ascii="Helvetica" w:hAnsi="Helvetica"/>
          <w:i/>
          <w:color w:val="auto"/>
        </w:rPr>
        <w:t>Aged Care Act 1997</w:t>
      </w:r>
    </w:p>
  </w:footnote>
  <w:footnote w:id="17">
    <w:p w14:paraId="637DEFCA" w14:textId="77777777" w:rsidR="00AA7201" w:rsidRPr="00C91B17" w:rsidRDefault="00AA7201" w:rsidP="00030691">
      <w:pPr>
        <w:pStyle w:val="FootnoteText"/>
        <w:rPr>
          <w:rFonts w:ascii="Helvetica" w:hAnsi="Helvetica"/>
          <w:color w:val="auto"/>
          <w:lang w:val="en-AU"/>
        </w:rPr>
      </w:pPr>
      <w:r w:rsidRPr="00C91B17">
        <w:rPr>
          <w:rStyle w:val="FootnoteReference"/>
          <w:rFonts w:ascii="Helvetica" w:hAnsi="Helvetica"/>
          <w:color w:val="auto"/>
        </w:rPr>
        <w:footnoteRef/>
      </w:r>
      <w:r w:rsidRPr="00C91B17">
        <w:rPr>
          <w:rFonts w:ascii="Helvetica" w:hAnsi="Helvetica"/>
          <w:color w:val="auto"/>
        </w:rPr>
        <w:t xml:space="preserve"> </w:t>
      </w:r>
      <w:r w:rsidRPr="00C91B17">
        <w:rPr>
          <w:rFonts w:ascii="Helvetica" w:eastAsiaTheme="minorHAnsi" w:hAnsi="Helvetica"/>
          <w:color w:val="auto"/>
          <w:lang w:eastAsia="en-US"/>
        </w:rPr>
        <w:t>An extra service subsidy reduction applies to residents in care prior to 1 July 2014.</w:t>
      </w:r>
    </w:p>
  </w:footnote>
  <w:footnote w:id="18">
    <w:p w14:paraId="7164FBA9" w14:textId="77777777" w:rsidR="00AA7201" w:rsidRPr="00C91B17" w:rsidRDefault="00AA7201" w:rsidP="003E3F9C">
      <w:pPr>
        <w:pStyle w:val="FootnoteText"/>
        <w:rPr>
          <w:rFonts w:ascii="Helvetica" w:hAnsi="Helvetica"/>
          <w:color w:val="000000" w:themeColor="text1"/>
          <w:lang w:val="en-AU"/>
        </w:rPr>
      </w:pPr>
      <w:r w:rsidRPr="00C91B17">
        <w:rPr>
          <w:rStyle w:val="FootnoteReference"/>
          <w:rFonts w:ascii="Helvetica" w:hAnsi="Helvetica"/>
          <w:color w:val="auto"/>
        </w:rPr>
        <w:footnoteRef/>
      </w:r>
      <w:r w:rsidRPr="00C91B17">
        <w:rPr>
          <w:rFonts w:ascii="Helvetica" w:hAnsi="Helvetica"/>
          <w:color w:val="auto"/>
        </w:rPr>
        <w:t xml:space="preserve"> Aged Care Financing Authority, July 2018, Sixth Report on the Funding and Financing of the Aged Care </w:t>
      </w:r>
      <w:r w:rsidRPr="00C91B17">
        <w:rPr>
          <w:rFonts w:ascii="Helvetica" w:hAnsi="Helvetica"/>
          <w:color w:val="000000" w:themeColor="text1"/>
        </w:rPr>
        <w:t>Sector</w:t>
      </w:r>
    </w:p>
  </w:footnote>
  <w:footnote w:id="19">
    <w:p w14:paraId="4A177615" w14:textId="77777777" w:rsidR="00AA7201" w:rsidRPr="004D1817" w:rsidRDefault="00AA7201">
      <w:pPr>
        <w:pStyle w:val="FootnoteText"/>
        <w:rPr>
          <w:lang w:val="en-AU"/>
        </w:rPr>
      </w:pPr>
      <w:r w:rsidRPr="00C91B17">
        <w:rPr>
          <w:rStyle w:val="FootnoteReference"/>
          <w:rFonts w:ascii="Helvetica" w:hAnsi="Helvetica"/>
          <w:color w:val="000000" w:themeColor="text1"/>
        </w:rPr>
        <w:footnoteRef/>
      </w:r>
      <w:r w:rsidRPr="00C91B17">
        <w:rPr>
          <w:rFonts w:ascii="Helvetica" w:hAnsi="Helvetica"/>
          <w:color w:val="000000" w:themeColor="text1"/>
        </w:rPr>
        <w:t xml:space="preserve"> Department of Health, Extra service status (ESS) service list: 30 June 2018 – GEN aged care data</w:t>
      </w:r>
    </w:p>
  </w:footnote>
  <w:footnote w:id="20">
    <w:p w14:paraId="0119EEDB" w14:textId="5E71B6C6" w:rsidR="00AA7201" w:rsidRPr="009D73F4" w:rsidRDefault="00AA7201" w:rsidP="00A51663">
      <w:pPr>
        <w:pStyle w:val="FootnoteText"/>
        <w:rPr>
          <w:lang w:val="en-AU"/>
        </w:rPr>
      </w:pPr>
      <w:r w:rsidRPr="00D77351">
        <w:rPr>
          <w:rStyle w:val="FootnoteReference"/>
          <w:rFonts w:ascii="Helvetica" w:hAnsi="Helvetica"/>
          <w:color w:val="auto"/>
        </w:rPr>
        <w:footnoteRef/>
      </w:r>
      <w:r w:rsidRPr="00D77351">
        <w:rPr>
          <w:rFonts w:ascii="Helvetica" w:hAnsi="Helvetica"/>
          <w:color w:val="auto"/>
        </w:rPr>
        <w:t xml:space="preserve"> Productivity Commission, Repor</w:t>
      </w:r>
      <w:r>
        <w:rPr>
          <w:rFonts w:ascii="Helvetica" w:hAnsi="Helvetica"/>
          <w:color w:val="auto"/>
        </w:rPr>
        <w:t>t on Government S</w:t>
      </w:r>
      <w:r w:rsidRPr="00D77351">
        <w:rPr>
          <w:rFonts w:ascii="Helvetica" w:hAnsi="Helvetica"/>
          <w:color w:val="auto"/>
        </w:rPr>
        <w:t>ervices 2019: Services for people with disability, Table</w:t>
      </w:r>
      <w:r>
        <w:rPr>
          <w:rFonts w:ascii="Helvetica" w:hAnsi="Helvetica"/>
          <w:color w:val="auto"/>
        </w:rPr>
        <w:t> </w:t>
      </w:r>
      <w:r w:rsidRPr="00D77351">
        <w:rPr>
          <w:rFonts w:ascii="Helvetica" w:hAnsi="Helvetica"/>
          <w:color w:val="auto"/>
        </w:rPr>
        <w:t>15A.52</w:t>
      </w:r>
    </w:p>
  </w:footnote>
  <w:footnote w:id="21">
    <w:p w14:paraId="5AECF843" w14:textId="544AA9CF" w:rsidR="00AA7201" w:rsidRPr="00D206EB" w:rsidRDefault="00AA7201">
      <w:pPr>
        <w:pStyle w:val="FootnoteText"/>
        <w:rPr>
          <w:rFonts w:ascii="Helvetica" w:hAnsi="Helvetica"/>
          <w:color w:val="auto"/>
        </w:rPr>
      </w:pPr>
      <w:r w:rsidRPr="00D206EB">
        <w:rPr>
          <w:rStyle w:val="FootnoteReference"/>
          <w:color w:val="auto"/>
        </w:rPr>
        <w:footnoteRef/>
      </w:r>
      <w:r w:rsidRPr="00D206EB">
        <w:rPr>
          <w:color w:val="auto"/>
        </w:rPr>
        <w:t xml:space="preserve"> </w:t>
      </w:r>
      <w:r w:rsidRPr="00D206EB">
        <w:rPr>
          <w:rFonts w:ascii="Helvetica" w:hAnsi="Helvetica"/>
          <w:color w:val="auto"/>
        </w:rPr>
        <w:t xml:space="preserve">The plan is available at </w:t>
      </w:r>
      <w:hyperlink r:id="rId4" w:history="1">
        <w:r w:rsidRPr="00D1796A">
          <w:rPr>
            <w:rStyle w:val="Hyperlink"/>
            <w:rFonts w:ascii="Helvetica" w:hAnsi="Helvetica"/>
          </w:rPr>
          <w:t>www.dss.gov.au/disability-and-carers/programmes-services/for-people-with-disability/younger-people-with-disability-in-residential-aged-care-initiative</w:t>
        </w:r>
      </w:hyperlink>
      <w:r>
        <w:rPr>
          <w:rFonts w:ascii="Helvetica" w:hAnsi="Helvetica"/>
          <w:color w:val="auto"/>
        </w:rPr>
        <w:t xml:space="preserve"> </w:t>
      </w:r>
    </w:p>
  </w:footnote>
  <w:footnote w:id="22">
    <w:p w14:paraId="4FFCFEBA" w14:textId="77777777" w:rsidR="00AA7201" w:rsidRPr="00C91B17" w:rsidRDefault="00AA7201" w:rsidP="00E73467">
      <w:pPr>
        <w:pStyle w:val="FootnoteText"/>
        <w:rPr>
          <w:rFonts w:ascii="Helvetica" w:hAnsi="Helvetica"/>
          <w:color w:val="auto"/>
        </w:rPr>
      </w:pPr>
      <w:r w:rsidRPr="00C91B17">
        <w:rPr>
          <w:rStyle w:val="FootnoteReference"/>
          <w:rFonts w:ascii="Helvetica" w:hAnsi="Helvetica"/>
          <w:color w:val="auto"/>
        </w:rPr>
        <w:footnoteRef/>
      </w:r>
      <w:r w:rsidRPr="00C91B17">
        <w:rPr>
          <w:rFonts w:ascii="Helvetica" w:hAnsi="Helvetica"/>
          <w:color w:val="auto"/>
        </w:rPr>
        <w:t xml:space="preserve"> Aged Care Financing Authority, July 2018, Sixth Report on the Funding and Financing of the Aged Care Sector</w:t>
      </w:r>
    </w:p>
  </w:footnote>
  <w:footnote w:id="23">
    <w:p w14:paraId="37C50973" w14:textId="77777777" w:rsidR="00AA7201" w:rsidRPr="00B27670" w:rsidRDefault="00AA7201">
      <w:pPr>
        <w:pStyle w:val="FootnoteText"/>
        <w:rPr>
          <w:rFonts w:ascii="Helvetica" w:hAnsi="Helvetica" w:cs="Helvetica"/>
          <w:color w:val="auto"/>
          <w:lang w:val="en-AU"/>
        </w:rPr>
      </w:pPr>
      <w:r w:rsidRPr="00B27670">
        <w:rPr>
          <w:rStyle w:val="FootnoteReference"/>
          <w:rFonts w:ascii="Helvetica" w:hAnsi="Helvetica" w:cs="Helvetica"/>
          <w:color w:val="auto"/>
        </w:rPr>
        <w:footnoteRef/>
      </w:r>
      <w:r w:rsidRPr="00B27670">
        <w:rPr>
          <w:rFonts w:ascii="Helvetica" w:hAnsi="Helvetica" w:cs="Helvetica"/>
          <w:color w:val="auto"/>
        </w:rPr>
        <w:t xml:space="preserve"> Aged Care Financing Authority, July 2018, Sixth Report on the Funding and Financing of the Aged Care Sector</w:t>
      </w:r>
    </w:p>
  </w:footnote>
  <w:footnote w:id="24">
    <w:p w14:paraId="1D085F7D" w14:textId="77777777" w:rsidR="00AA7201" w:rsidRPr="00BC7B5D" w:rsidRDefault="00AA7201">
      <w:pPr>
        <w:pStyle w:val="FootnoteText"/>
        <w:rPr>
          <w:lang w:val="en-AU"/>
        </w:rPr>
      </w:pPr>
      <w:r w:rsidRPr="00B27670">
        <w:rPr>
          <w:rStyle w:val="FootnoteReference"/>
          <w:rFonts w:ascii="Helvetica" w:hAnsi="Helvetica" w:cs="Helvetica"/>
          <w:color w:val="auto"/>
        </w:rPr>
        <w:footnoteRef/>
      </w:r>
      <w:r w:rsidRPr="00B27670">
        <w:rPr>
          <w:rFonts w:ascii="Helvetica" w:hAnsi="Helvetica" w:cs="Helvetica"/>
          <w:color w:val="auto"/>
        </w:rPr>
        <w:t xml:space="preserve"> Aged Care Financing Authority, September 2018, Update on funding and financing issues in the residential aged care industry</w:t>
      </w:r>
    </w:p>
  </w:footnote>
  <w:footnote w:id="25">
    <w:p w14:paraId="7E0D3BD1" w14:textId="77777777" w:rsidR="00AA7201" w:rsidRPr="005D22FE" w:rsidRDefault="00AA7201" w:rsidP="00E26C41">
      <w:pPr>
        <w:pStyle w:val="FootnoteText"/>
        <w:rPr>
          <w:rFonts w:ascii="Helvetica" w:hAnsi="Helvetica"/>
          <w:color w:val="auto"/>
          <w:lang w:val="en-AU"/>
        </w:rPr>
      </w:pPr>
      <w:r w:rsidRPr="005D22FE">
        <w:rPr>
          <w:rStyle w:val="FootnoteReference"/>
          <w:rFonts w:ascii="Helvetica" w:hAnsi="Helvetica"/>
          <w:color w:val="auto"/>
        </w:rPr>
        <w:footnoteRef/>
      </w:r>
      <w:r w:rsidRPr="005D22FE">
        <w:rPr>
          <w:rFonts w:ascii="Helvetica" w:hAnsi="Helvetica"/>
          <w:color w:val="auto"/>
        </w:rPr>
        <w:t xml:space="preserve"> The Special Needs Groups under the Act are: people from Aboriginal and Torres Strait Islander communities; people from culturally and linguistically diverse backgrounds; veterans; people who live in rural or remote areas; people who are financially or socially disadvantaged; people who are homeless or at risk of becoming homeless; people who are care-leavers; parents separated from their children by forced adoption or removal; and lesbian, gay, bisexual, transgender and intersex people</w:t>
      </w:r>
      <w:r>
        <w:rPr>
          <w:rFonts w:ascii="Helvetica" w:hAnsi="Helvetica"/>
          <w:color w:val="auto"/>
        </w:rPr>
        <w:t>.</w:t>
      </w:r>
    </w:p>
  </w:footnote>
  <w:footnote w:id="26">
    <w:p w14:paraId="5CBCCDDD" w14:textId="77777777" w:rsidR="00AA7201" w:rsidRPr="005D22FE" w:rsidRDefault="00AA7201">
      <w:pPr>
        <w:pStyle w:val="FootnoteText"/>
        <w:rPr>
          <w:rFonts w:ascii="Helvetica" w:hAnsi="Helvetica"/>
          <w:lang w:val="en-AU"/>
        </w:rPr>
      </w:pPr>
      <w:r w:rsidRPr="005D22FE">
        <w:rPr>
          <w:rStyle w:val="FootnoteReference"/>
          <w:rFonts w:ascii="Helvetica" w:hAnsi="Helvetica"/>
          <w:color w:val="auto"/>
        </w:rPr>
        <w:footnoteRef/>
      </w:r>
      <w:r w:rsidRPr="005D22FE">
        <w:rPr>
          <w:rFonts w:ascii="Helvetica" w:hAnsi="Helvetica"/>
          <w:color w:val="auto"/>
        </w:rPr>
        <w:t xml:space="preserve"> </w:t>
      </w:r>
      <w:r w:rsidRPr="005D22FE">
        <w:rPr>
          <w:rFonts w:ascii="Helvetica" w:hAnsi="Helvetica"/>
          <w:color w:val="auto"/>
          <w:lang w:val="en-AU"/>
        </w:rPr>
        <w:t>Aged care services in Australia are funded and delivered in regions called Aged Care Planning Regions (ACPR). There are 73 ACPRs across Australia.</w:t>
      </w:r>
    </w:p>
  </w:footnote>
  <w:footnote w:id="27">
    <w:p w14:paraId="52328AC0" w14:textId="77777777" w:rsidR="00AA7201" w:rsidRPr="005D22FE" w:rsidRDefault="00AA7201">
      <w:pPr>
        <w:pStyle w:val="FootnoteText"/>
        <w:rPr>
          <w:rFonts w:ascii="Helvetica" w:hAnsi="Helvetica"/>
          <w:lang w:val="en-AU"/>
        </w:rPr>
      </w:pPr>
      <w:r w:rsidRPr="005D22FE">
        <w:rPr>
          <w:rStyle w:val="FootnoteReference"/>
          <w:rFonts w:ascii="Helvetica" w:hAnsi="Helvetica"/>
          <w:color w:val="auto"/>
        </w:rPr>
        <w:footnoteRef/>
      </w:r>
      <w:r w:rsidRPr="005D22FE">
        <w:rPr>
          <w:rFonts w:ascii="Helvetica" w:hAnsi="Helvetica"/>
          <w:color w:val="auto"/>
        </w:rPr>
        <w:t xml:space="preserve"> An additional amount is available for eligible providers if they use an average of 70 per cent or more of their respite care allocation during the 12 months up to and including the month providing respite care. </w:t>
      </w:r>
    </w:p>
  </w:footnote>
  <w:footnote w:id="28">
    <w:p w14:paraId="7801BE10" w14:textId="77777777" w:rsidR="00AA7201" w:rsidRPr="005D22FE" w:rsidRDefault="00AA7201">
      <w:pPr>
        <w:pStyle w:val="FootnoteText"/>
        <w:rPr>
          <w:rFonts w:ascii="Helvetica" w:hAnsi="Helvetica"/>
          <w:lang w:val="en-AU"/>
        </w:rPr>
      </w:pPr>
      <w:r w:rsidRPr="00B923DF">
        <w:rPr>
          <w:rStyle w:val="FootnoteReference"/>
          <w:rFonts w:ascii="Helvetica" w:hAnsi="Helvetica"/>
          <w:color w:val="auto"/>
        </w:rPr>
        <w:footnoteRef/>
      </w:r>
      <w:r w:rsidRPr="005D22FE">
        <w:rPr>
          <w:rFonts w:ascii="Helvetica" w:hAnsi="Helvetica"/>
        </w:rPr>
        <w:t xml:space="preserve"> </w:t>
      </w:r>
      <w:r>
        <w:rPr>
          <w:rFonts w:ascii="Helvetica" w:hAnsi="Helvetica"/>
          <w:color w:val="auto"/>
        </w:rPr>
        <w:t xml:space="preserve">Department of Health, </w:t>
      </w:r>
      <w:r w:rsidRPr="005D22FE">
        <w:rPr>
          <w:rFonts w:ascii="Helvetica" w:hAnsi="Helvetica"/>
          <w:color w:val="auto"/>
        </w:rPr>
        <w:t>Aged Care Data Warehouse – 2018 Aged care data snapshot</w:t>
      </w:r>
    </w:p>
  </w:footnote>
  <w:footnote w:id="29">
    <w:p w14:paraId="75E5759A" w14:textId="2530AA2F" w:rsidR="00AA7201" w:rsidRPr="00B923DF" w:rsidRDefault="00AA7201">
      <w:pPr>
        <w:pStyle w:val="FootnoteText"/>
        <w:rPr>
          <w:lang w:val="en-AU"/>
        </w:rPr>
      </w:pPr>
      <w:r w:rsidRPr="00B923DF">
        <w:rPr>
          <w:rStyle w:val="FootnoteReference"/>
          <w:rFonts w:ascii="Helvetica" w:hAnsi="Helvetica"/>
          <w:color w:val="auto"/>
        </w:rPr>
        <w:footnoteRef/>
      </w:r>
      <w:r w:rsidRPr="00B923DF">
        <w:rPr>
          <w:rStyle w:val="FootnoteReference"/>
          <w:rFonts w:ascii="Helvetica" w:hAnsi="Helvetica"/>
          <w:color w:val="auto"/>
        </w:rPr>
        <w:t xml:space="preserve"> </w:t>
      </w:r>
      <w:r w:rsidRPr="005D22FE">
        <w:rPr>
          <w:rFonts w:ascii="Helvetica" w:hAnsi="Helvetica"/>
          <w:color w:val="auto"/>
          <w:lang w:val="en-AU"/>
        </w:rPr>
        <w:t>Department of Health, March 2019, Home Care Packages Program – Data Report 2</w:t>
      </w:r>
      <w:r w:rsidRPr="005D22FE">
        <w:rPr>
          <w:rFonts w:ascii="Helvetica" w:hAnsi="Helvetica"/>
          <w:color w:val="auto"/>
          <w:vertAlign w:val="superscript"/>
          <w:lang w:val="en-AU"/>
        </w:rPr>
        <w:t>nd</w:t>
      </w:r>
      <w:r w:rsidRPr="005D22FE">
        <w:rPr>
          <w:rFonts w:ascii="Helvetica" w:hAnsi="Helvetica"/>
          <w:color w:val="auto"/>
          <w:lang w:val="en-AU"/>
        </w:rPr>
        <w:t xml:space="preserve"> Quarter 2018-19: 1</w:t>
      </w:r>
      <w:r>
        <w:rPr>
          <w:rFonts w:ascii="Helvetica" w:hAnsi="Helvetica"/>
          <w:color w:val="auto"/>
          <w:lang w:val="en-AU"/>
        </w:rPr>
        <w:t> </w:t>
      </w:r>
      <w:r w:rsidRPr="005D22FE">
        <w:rPr>
          <w:rFonts w:ascii="Helvetica" w:hAnsi="Helvetica"/>
          <w:color w:val="auto"/>
          <w:lang w:val="en-AU"/>
        </w:rPr>
        <w:t>October – 31 December 2018</w:t>
      </w:r>
    </w:p>
  </w:footnote>
  <w:footnote w:id="30">
    <w:p w14:paraId="7EDD96A5" w14:textId="77777777" w:rsidR="00AA7201" w:rsidRPr="005D22FE" w:rsidRDefault="00AA7201" w:rsidP="00167B1B">
      <w:pPr>
        <w:pStyle w:val="FootnoteText"/>
        <w:rPr>
          <w:rFonts w:ascii="Helvetica" w:hAnsi="Helvetica"/>
          <w:color w:val="auto"/>
        </w:rPr>
      </w:pPr>
      <w:r w:rsidRPr="005D22FE">
        <w:rPr>
          <w:rStyle w:val="FootnoteReference"/>
          <w:rFonts w:ascii="Helvetica" w:hAnsi="Helvetica"/>
          <w:color w:val="auto"/>
        </w:rPr>
        <w:footnoteRef/>
      </w:r>
      <w:r w:rsidRPr="005D22FE">
        <w:rPr>
          <w:rFonts w:ascii="Helvetica" w:hAnsi="Helvetica"/>
          <w:color w:val="auto"/>
        </w:rPr>
        <w:t xml:space="preserve"> The time between an ACAT approval and </w:t>
      </w:r>
      <w:r>
        <w:rPr>
          <w:rFonts w:ascii="Helvetica" w:hAnsi="Helvetica"/>
          <w:color w:val="auto"/>
        </w:rPr>
        <w:t>a</w:t>
      </w:r>
      <w:r w:rsidRPr="005D22FE">
        <w:rPr>
          <w:rFonts w:ascii="Helvetica" w:hAnsi="Helvetica"/>
          <w:color w:val="auto"/>
        </w:rPr>
        <w:t xml:space="preserve"> person’s access to an aged care service can be in</w:t>
      </w:r>
      <w:r>
        <w:rPr>
          <w:rFonts w:ascii="Helvetica" w:hAnsi="Helvetica"/>
          <w:color w:val="auto"/>
        </w:rPr>
        <w:t>fluenced by a range of factors,</w:t>
      </w:r>
      <w:r w:rsidRPr="005D22FE">
        <w:rPr>
          <w:rFonts w:ascii="Helvetica" w:hAnsi="Helvetica"/>
          <w:color w:val="auto"/>
        </w:rPr>
        <w:t xml:space="preserve"> including:</w:t>
      </w:r>
      <w:r>
        <w:rPr>
          <w:rFonts w:ascii="Helvetica" w:hAnsi="Helvetica"/>
          <w:color w:val="auto"/>
        </w:rPr>
        <w:t xml:space="preserve"> availability of places and services,</w:t>
      </w:r>
      <w:r w:rsidRPr="005D22FE">
        <w:rPr>
          <w:rFonts w:ascii="Helvetica" w:hAnsi="Helvetica"/>
          <w:color w:val="auto"/>
        </w:rPr>
        <w:t xml:space="preserve"> the individual’s preference to remain at </w:t>
      </w:r>
      <w:r>
        <w:rPr>
          <w:rFonts w:ascii="Helvetica" w:hAnsi="Helvetica"/>
          <w:color w:val="auto"/>
        </w:rPr>
        <w:t>home,</w:t>
      </w:r>
      <w:r w:rsidRPr="005D22FE">
        <w:rPr>
          <w:rFonts w:ascii="Helvetica" w:hAnsi="Helvetica"/>
          <w:color w:val="auto"/>
        </w:rPr>
        <w:t xml:space="preserve"> personal circumstances, decision to reject an offer of a place etc. </w:t>
      </w:r>
    </w:p>
  </w:footnote>
  <w:footnote w:id="31">
    <w:p w14:paraId="15E921F8" w14:textId="77777777" w:rsidR="00AA7201" w:rsidRPr="006E38A7" w:rsidRDefault="00AA7201">
      <w:pPr>
        <w:pStyle w:val="FootnoteText"/>
        <w:rPr>
          <w:lang w:val="en-AU"/>
        </w:rPr>
      </w:pPr>
      <w:r>
        <w:rPr>
          <w:rStyle w:val="FootnoteReference"/>
        </w:rPr>
        <w:footnoteRef/>
      </w:r>
      <w:r>
        <w:t xml:space="preserve"> </w:t>
      </w:r>
      <w:r>
        <w:rPr>
          <w:rFonts w:ascii="Helvetica" w:hAnsi="Helvetica"/>
          <w:color w:val="auto"/>
        </w:rPr>
        <w:t xml:space="preserve">Department of Health, </w:t>
      </w:r>
      <w:r w:rsidRPr="005D22FE">
        <w:rPr>
          <w:rFonts w:ascii="Helvetica" w:hAnsi="Helvetica"/>
          <w:color w:val="auto"/>
        </w:rPr>
        <w:t>Aged Care Data Warehouse – 2018 Aged care data snapshot</w:t>
      </w:r>
    </w:p>
  </w:footnote>
  <w:footnote w:id="32">
    <w:p w14:paraId="2BC8DB78" w14:textId="77777777" w:rsidR="00AA7201" w:rsidRPr="00D95BD2" w:rsidRDefault="00AA7201" w:rsidP="00F526B6">
      <w:pPr>
        <w:pStyle w:val="FootnoteText"/>
        <w:rPr>
          <w:rFonts w:ascii="Helvetica" w:hAnsi="Helvetica" w:cs="Helvetica"/>
        </w:rPr>
      </w:pPr>
      <w:r w:rsidRPr="00D95BD2">
        <w:rPr>
          <w:rStyle w:val="FootnoteReference"/>
          <w:rFonts w:ascii="Helvetica" w:hAnsi="Helvetica" w:cs="Helvetica"/>
          <w:color w:val="auto"/>
        </w:rPr>
        <w:footnoteRef/>
      </w:r>
      <w:r w:rsidRPr="00D95BD2">
        <w:rPr>
          <w:rFonts w:ascii="Helvetica" w:hAnsi="Helvetica" w:cs="Helvetica"/>
          <w:color w:val="auto"/>
        </w:rPr>
        <w:t xml:space="preserve"> </w:t>
      </w:r>
      <w:r w:rsidRPr="00D95BD2">
        <w:rPr>
          <w:rFonts w:ascii="Helvetica" w:hAnsi="Helvetica" w:cs="Helvetica"/>
          <w:color w:val="auto"/>
          <w:lang w:val="en-AU"/>
        </w:rPr>
        <w:t>Aged Care Financing Authority, July 2018, Sixth report on the Funding and Financing of the Aged Care Sector</w:t>
      </w:r>
    </w:p>
  </w:footnote>
  <w:footnote w:id="33">
    <w:p w14:paraId="53986328" w14:textId="77777777" w:rsidR="00AA7201" w:rsidRPr="00D77351" w:rsidRDefault="00AA7201" w:rsidP="00C16712">
      <w:pPr>
        <w:pStyle w:val="FootnoteText"/>
        <w:rPr>
          <w:rFonts w:ascii="Helvetica" w:hAnsi="Helvetica"/>
          <w:color w:val="auto"/>
          <w:lang w:val="en-AU"/>
        </w:rPr>
      </w:pPr>
      <w:r w:rsidRPr="00D77351">
        <w:rPr>
          <w:rStyle w:val="FootnoteReference"/>
          <w:rFonts w:ascii="Helvetica" w:hAnsi="Helvetica"/>
          <w:color w:val="auto"/>
        </w:rPr>
        <w:footnoteRef/>
      </w:r>
      <w:r w:rsidRPr="00D77351">
        <w:rPr>
          <w:rFonts w:ascii="Helvetica" w:hAnsi="Helvetica"/>
          <w:color w:val="auto"/>
        </w:rPr>
        <w:t xml:space="preserve"> </w:t>
      </w:r>
      <w:r w:rsidRPr="00D77351">
        <w:rPr>
          <w:rFonts w:ascii="Helvetica" w:hAnsi="Helvetica"/>
          <w:color w:val="auto"/>
          <w:lang w:val="en-AU"/>
        </w:rPr>
        <w:t>Aged Care Financing Authority, October 2018, Report on Respite for Aged Care Recipients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F2DCA" w14:textId="0BE31B6B" w:rsidR="00AA7201" w:rsidRPr="00A04410" w:rsidRDefault="00AA7201" w:rsidP="006B0A07">
    <w:pPr>
      <w:pStyle w:val="Header"/>
      <w:tabs>
        <w:tab w:val="clear" w:pos="4513"/>
        <w:tab w:val="clear" w:pos="9026"/>
        <w:tab w:val="left" w:pos="8168"/>
      </w:tabs>
      <w:jc w:val="right"/>
      <w:rPr>
        <w:rFonts w:ascii="Helvetica" w:hAnsi="Helvetic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ED73B" w14:textId="77777777" w:rsidR="00AA7201" w:rsidRDefault="00AA7201" w:rsidP="002867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7E2A" w14:textId="77777777" w:rsidR="00AA7201" w:rsidRDefault="00AA7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995"/>
    <w:multiLevelType w:val="hybridMultilevel"/>
    <w:tmpl w:val="14F8B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993E25"/>
    <w:multiLevelType w:val="hybridMultilevel"/>
    <w:tmpl w:val="6F0E03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24EA3"/>
    <w:multiLevelType w:val="hybridMultilevel"/>
    <w:tmpl w:val="F196A50C"/>
    <w:lvl w:ilvl="0" w:tplc="FAFA0B58">
      <w:start w:val="1"/>
      <w:numFmt w:val="decimal"/>
      <w:lvlText w:val="%1."/>
      <w:lvlJc w:val="left"/>
      <w:pPr>
        <w:ind w:left="776" w:hanging="360"/>
      </w:pPr>
      <w:rPr>
        <w:rFonts w:hint="default"/>
        <w:i w:val="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 w15:restartNumberingAfterBreak="0">
    <w:nsid w:val="042D4F2C"/>
    <w:multiLevelType w:val="hybridMultilevel"/>
    <w:tmpl w:val="573CF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7">
      <w:start w:val="1"/>
      <w:numFmt w:val="lowerLetter"/>
      <w:lvlText w:val="%3)"/>
      <w:lvlJc w:val="left"/>
      <w:pPr>
        <w:ind w:left="1080" w:hanging="360"/>
      </w:pPr>
      <w:rPr>
        <w:rFonts w:hint="default"/>
      </w:rPr>
    </w:lvl>
    <w:lvl w:ilvl="3" w:tplc="0C090017">
      <w:start w:val="1"/>
      <w:numFmt w:val="lowerLetter"/>
      <w:lvlText w:val="%4)"/>
      <w:lvlJc w:val="left"/>
      <w:pPr>
        <w:ind w:left="10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C7362E"/>
    <w:multiLevelType w:val="hybridMultilevel"/>
    <w:tmpl w:val="3D2ADC7A"/>
    <w:lvl w:ilvl="0" w:tplc="F108703C">
      <w:start w:val="1"/>
      <w:numFmt w:val="bullet"/>
      <w:pStyle w:val="List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C5028"/>
    <w:multiLevelType w:val="hybridMultilevel"/>
    <w:tmpl w:val="BB507D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B545775"/>
    <w:multiLevelType w:val="hybridMultilevel"/>
    <w:tmpl w:val="F8EAEA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F07122"/>
    <w:multiLevelType w:val="hybridMultilevel"/>
    <w:tmpl w:val="A9967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072F6A"/>
    <w:multiLevelType w:val="hybridMultilevel"/>
    <w:tmpl w:val="6F801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673534"/>
    <w:multiLevelType w:val="hybridMultilevel"/>
    <w:tmpl w:val="A4167D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725DD6"/>
    <w:multiLevelType w:val="hybridMultilevel"/>
    <w:tmpl w:val="2A2AF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DFA2E5D"/>
    <w:multiLevelType w:val="hybridMultilevel"/>
    <w:tmpl w:val="DFE4B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FE5D55"/>
    <w:multiLevelType w:val="hybridMultilevel"/>
    <w:tmpl w:val="9BDA9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B75334"/>
    <w:multiLevelType w:val="hybridMultilevel"/>
    <w:tmpl w:val="6BF07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E41842"/>
    <w:multiLevelType w:val="hybridMultilevel"/>
    <w:tmpl w:val="C304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2D7956"/>
    <w:multiLevelType w:val="hybridMultilevel"/>
    <w:tmpl w:val="8D80D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84632AA"/>
    <w:multiLevelType w:val="hybridMultilevel"/>
    <w:tmpl w:val="AD763C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837B4D"/>
    <w:multiLevelType w:val="hybridMultilevel"/>
    <w:tmpl w:val="3BE05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133648"/>
    <w:multiLevelType w:val="hybridMultilevel"/>
    <w:tmpl w:val="35F2FE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F423F5F"/>
    <w:multiLevelType w:val="hybridMultilevel"/>
    <w:tmpl w:val="D45439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D1330A"/>
    <w:multiLevelType w:val="hybridMultilevel"/>
    <w:tmpl w:val="BF64D3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FE64992"/>
    <w:multiLevelType w:val="hybridMultilevel"/>
    <w:tmpl w:val="5AA87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2D42ED7"/>
    <w:multiLevelType w:val="hybridMultilevel"/>
    <w:tmpl w:val="3B28D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136522"/>
    <w:multiLevelType w:val="hybridMultilevel"/>
    <w:tmpl w:val="34A28060"/>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67D0595"/>
    <w:multiLevelType w:val="hybridMultilevel"/>
    <w:tmpl w:val="B0704E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FF7B6F"/>
    <w:multiLevelType w:val="hybridMultilevel"/>
    <w:tmpl w:val="68BEC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C7505D3"/>
    <w:multiLevelType w:val="hybridMultilevel"/>
    <w:tmpl w:val="76424836"/>
    <w:lvl w:ilvl="0" w:tplc="D5B05A6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F4044D0"/>
    <w:multiLevelType w:val="hybridMultilevel"/>
    <w:tmpl w:val="6B9A49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51869C9"/>
    <w:multiLevelType w:val="hybridMultilevel"/>
    <w:tmpl w:val="219241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AB37B4"/>
    <w:multiLevelType w:val="hybridMultilevel"/>
    <w:tmpl w:val="5658C63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0" w15:restartNumberingAfterBreak="0">
    <w:nsid w:val="57A75B53"/>
    <w:multiLevelType w:val="hybridMultilevel"/>
    <w:tmpl w:val="8458A80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7BE633D"/>
    <w:multiLevelType w:val="hybridMultilevel"/>
    <w:tmpl w:val="EF681072"/>
    <w:lvl w:ilvl="0" w:tplc="0C09000F">
      <w:start w:val="1"/>
      <w:numFmt w:val="decimal"/>
      <w:lvlText w:val="%1."/>
      <w:lvlJc w:val="left"/>
      <w:pPr>
        <w:ind w:left="776" w:hanging="360"/>
      </w:pPr>
      <w:rPr>
        <w:rFonts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2" w15:restartNumberingAfterBreak="0">
    <w:nsid w:val="5A177EF8"/>
    <w:multiLevelType w:val="hybridMultilevel"/>
    <w:tmpl w:val="715A27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A1D5F41"/>
    <w:multiLevelType w:val="hybridMultilevel"/>
    <w:tmpl w:val="34DAF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4D17C1"/>
    <w:multiLevelType w:val="hybridMultilevel"/>
    <w:tmpl w:val="67E8AAD6"/>
    <w:lvl w:ilvl="0" w:tplc="65B8D5D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3922D1"/>
    <w:multiLevelType w:val="hybridMultilevel"/>
    <w:tmpl w:val="D2E8988A"/>
    <w:lvl w:ilvl="0" w:tplc="C14857E8">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50444F"/>
    <w:multiLevelType w:val="hybridMultilevel"/>
    <w:tmpl w:val="CAF240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613149"/>
    <w:multiLevelType w:val="hybridMultilevel"/>
    <w:tmpl w:val="EB5A9BBA"/>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38" w15:restartNumberingAfterBreak="0">
    <w:nsid w:val="69052415"/>
    <w:multiLevelType w:val="hybridMultilevel"/>
    <w:tmpl w:val="DDF6C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CB4FE5"/>
    <w:multiLevelType w:val="hybridMultilevel"/>
    <w:tmpl w:val="6F80E4A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A335B2"/>
    <w:multiLevelType w:val="hybridMultilevel"/>
    <w:tmpl w:val="60063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B0916A6"/>
    <w:multiLevelType w:val="hybridMultilevel"/>
    <w:tmpl w:val="04C65826"/>
    <w:lvl w:ilvl="0" w:tplc="0C090001">
      <w:start w:val="1"/>
      <w:numFmt w:val="bullet"/>
      <w:lvlText w:val=""/>
      <w:lvlJc w:val="left"/>
      <w:pPr>
        <w:ind w:left="360" w:hanging="360"/>
      </w:pPr>
      <w:rPr>
        <w:rFonts w:ascii="Symbol" w:hAnsi="Symbol" w:hint="default"/>
      </w:rPr>
    </w:lvl>
    <w:lvl w:ilvl="1" w:tplc="3126F18C">
      <w:numFmt w:val="bullet"/>
      <w:lvlText w:val="•"/>
      <w:lvlJc w:val="left"/>
      <w:pPr>
        <w:ind w:left="1440" w:hanging="720"/>
      </w:pPr>
      <w:rPr>
        <w:rFonts w:ascii="Times New Roman" w:eastAsia="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B544DFD"/>
    <w:multiLevelType w:val="hybridMultilevel"/>
    <w:tmpl w:val="BFEC3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0E2B39"/>
    <w:multiLevelType w:val="hybridMultilevel"/>
    <w:tmpl w:val="ECEA6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F33570A"/>
    <w:multiLevelType w:val="hybridMultilevel"/>
    <w:tmpl w:val="B31CB88E"/>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45" w15:restartNumberingAfterBreak="0">
    <w:nsid w:val="705F3F2F"/>
    <w:multiLevelType w:val="hybridMultilevel"/>
    <w:tmpl w:val="8000E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39A32DD"/>
    <w:multiLevelType w:val="hybridMultilevel"/>
    <w:tmpl w:val="1D965A7A"/>
    <w:lvl w:ilvl="0" w:tplc="0C09000F">
      <w:start w:val="1"/>
      <w:numFmt w:val="decimal"/>
      <w:lvlText w:val="%1."/>
      <w:lvlJc w:val="left"/>
      <w:pPr>
        <w:ind w:left="776" w:hanging="360"/>
      </w:pPr>
      <w:rPr>
        <w:rFonts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7" w15:restartNumberingAfterBreak="0">
    <w:nsid w:val="74DB3823"/>
    <w:multiLevelType w:val="hybridMultilevel"/>
    <w:tmpl w:val="53C8A7A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8" w15:restartNumberingAfterBreak="0">
    <w:nsid w:val="790F0BCF"/>
    <w:multiLevelType w:val="hybridMultilevel"/>
    <w:tmpl w:val="0A722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9EF267C"/>
    <w:multiLevelType w:val="hybridMultilevel"/>
    <w:tmpl w:val="21BA45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B0F3ACD"/>
    <w:multiLevelType w:val="hybridMultilevel"/>
    <w:tmpl w:val="387E8B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D5568E"/>
    <w:multiLevelType w:val="hybridMultilevel"/>
    <w:tmpl w:val="1D965A7A"/>
    <w:lvl w:ilvl="0" w:tplc="0C09000F">
      <w:start w:val="1"/>
      <w:numFmt w:val="decimal"/>
      <w:lvlText w:val="%1."/>
      <w:lvlJc w:val="left"/>
      <w:pPr>
        <w:ind w:left="776" w:hanging="360"/>
      </w:pPr>
      <w:rPr>
        <w:rFonts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num w:numId="1">
    <w:abstractNumId w:val="4"/>
  </w:num>
  <w:num w:numId="2">
    <w:abstractNumId w:val="45"/>
  </w:num>
  <w:num w:numId="3">
    <w:abstractNumId w:val="22"/>
  </w:num>
  <w:num w:numId="4">
    <w:abstractNumId w:val="32"/>
  </w:num>
  <w:num w:numId="5">
    <w:abstractNumId w:val="2"/>
  </w:num>
  <w:num w:numId="6">
    <w:abstractNumId w:val="46"/>
  </w:num>
  <w:num w:numId="7">
    <w:abstractNumId w:val="31"/>
  </w:num>
  <w:num w:numId="8">
    <w:abstractNumId w:val="51"/>
  </w:num>
  <w:num w:numId="9">
    <w:abstractNumId w:val="44"/>
  </w:num>
  <w:num w:numId="10">
    <w:abstractNumId w:val="3"/>
  </w:num>
  <w:num w:numId="11">
    <w:abstractNumId w:val="1"/>
  </w:num>
  <w:num w:numId="12">
    <w:abstractNumId w:val="33"/>
  </w:num>
  <w:num w:numId="13">
    <w:abstractNumId w:val="29"/>
  </w:num>
  <w:num w:numId="14">
    <w:abstractNumId w:val="26"/>
  </w:num>
  <w:num w:numId="15">
    <w:abstractNumId w:val="28"/>
  </w:num>
  <w:num w:numId="16">
    <w:abstractNumId w:val="41"/>
  </w:num>
  <w:num w:numId="17">
    <w:abstractNumId w:val="7"/>
  </w:num>
  <w:num w:numId="18">
    <w:abstractNumId w:val="24"/>
  </w:num>
  <w:num w:numId="19">
    <w:abstractNumId w:val="11"/>
  </w:num>
  <w:num w:numId="20">
    <w:abstractNumId w:val="50"/>
  </w:num>
  <w:num w:numId="21">
    <w:abstractNumId w:val="47"/>
  </w:num>
  <w:num w:numId="22">
    <w:abstractNumId w:val="36"/>
  </w:num>
  <w:num w:numId="23">
    <w:abstractNumId w:val="40"/>
  </w:num>
  <w:num w:numId="24">
    <w:abstractNumId w:val="10"/>
  </w:num>
  <w:num w:numId="25">
    <w:abstractNumId w:val="21"/>
  </w:num>
  <w:num w:numId="26">
    <w:abstractNumId w:val="6"/>
  </w:num>
  <w:num w:numId="27">
    <w:abstractNumId w:val="25"/>
  </w:num>
  <w:num w:numId="28">
    <w:abstractNumId w:val="16"/>
  </w:num>
  <w:num w:numId="29">
    <w:abstractNumId w:val="34"/>
  </w:num>
  <w:num w:numId="30">
    <w:abstractNumId w:val="5"/>
  </w:num>
  <w:num w:numId="31">
    <w:abstractNumId w:val="27"/>
  </w:num>
  <w:num w:numId="32">
    <w:abstractNumId w:val="0"/>
  </w:num>
  <w:num w:numId="33">
    <w:abstractNumId w:val="23"/>
  </w:num>
  <w:num w:numId="34">
    <w:abstractNumId w:val="30"/>
  </w:num>
  <w:num w:numId="35">
    <w:abstractNumId w:val="49"/>
  </w:num>
  <w:num w:numId="36">
    <w:abstractNumId w:val="17"/>
  </w:num>
  <w:num w:numId="37">
    <w:abstractNumId w:val="38"/>
  </w:num>
  <w:num w:numId="38">
    <w:abstractNumId w:val="20"/>
  </w:num>
  <w:num w:numId="39">
    <w:abstractNumId w:val="18"/>
  </w:num>
  <w:num w:numId="40">
    <w:abstractNumId w:val="19"/>
  </w:num>
  <w:num w:numId="41">
    <w:abstractNumId w:val="15"/>
  </w:num>
  <w:num w:numId="42">
    <w:abstractNumId w:val="37"/>
  </w:num>
  <w:num w:numId="43">
    <w:abstractNumId w:val="12"/>
  </w:num>
  <w:num w:numId="44">
    <w:abstractNumId w:val="42"/>
  </w:num>
  <w:num w:numId="45">
    <w:abstractNumId w:val="48"/>
  </w:num>
  <w:num w:numId="46">
    <w:abstractNumId w:val="43"/>
  </w:num>
  <w:num w:numId="47">
    <w:abstractNumId w:val="39"/>
  </w:num>
  <w:num w:numId="48">
    <w:abstractNumId w:val="35"/>
  </w:num>
  <w:num w:numId="49">
    <w:abstractNumId w:val="14"/>
  </w:num>
  <w:num w:numId="50">
    <w:abstractNumId w:val="8"/>
  </w:num>
  <w:num w:numId="51">
    <w:abstractNumId w:val="9"/>
  </w:num>
  <w:num w:numId="52">
    <w:abstractNumId w:val="1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documentProtection w:edit="readOnly" w:enforcement="1" w:spinCount="100000" w:hashValue="DaWldoExob+lHrLrPS/226HJK/5ii3Ut6Tk0KlJvEvw=" w:saltValue="MhRgo9he59wQiSXpr2UoQg==" w:algorithmName="SHA-256"/>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91E"/>
    <w:rsid w:val="000031EC"/>
    <w:rsid w:val="000039CF"/>
    <w:rsid w:val="00005DDF"/>
    <w:rsid w:val="00007B86"/>
    <w:rsid w:val="0001224C"/>
    <w:rsid w:val="0001253B"/>
    <w:rsid w:val="000126DF"/>
    <w:rsid w:val="00015454"/>
    <w:rsid w:val="000174AE"/>
    <w:rsid w:val="00017BD3"/>
    <w:rsid w:val="00020C43"/>
    <w:rsid w:val="000237DF"/>
    <w:rsid w:val="00024D9C"/>
    <w:rsid w:val="0002763F"/>
    <w:rsid w:val="00027795"/>
    <w:rsid w:val="00027C6E"/>
    <w:rsid w:val="00030197"/>
    <w:rsid w:val="00030691"/>
    <w:rsid w:val="00033153"/>
    <w:rsid w:val="00033489"/>
    <w:rsid w:val="00035DCE"/>
    <w:rsid w:val="00035E51"/>
    <w:rsid w:val="000374D8"/>
    <w:rsid w:val="000374F1"/>
    <w:rsid w:val="00040C83"/>
    <w:rsid w:val="00041B84"/>
    <w:rsid w:val="00041C68"/>
    <w:rsid w:val="00042323"/>
    <w:rsid w:val="00042F07"/>
    <w:rsid w:val="000525B6"/>
    <w:rsid w:val="00053297"/>
    <w:rsid w:val="00054C17"/>
    <w:rsid w:val="00056A86"/>
    <w:rsid w:val="00057262"/>
    <w:rsid w:val="00057646"/>
    <w:rsid w:val="00060ACD"/>
    <w:rsid w:val="00060C44"/>
    <w:rsid w:val="00061907"/>
    <w:rsid w:val="00065098"/>
    <w:rsid w:val="00066D30"/>
    <w:rsid w:val="00070443"/>
    <w:rsid w:val="00072C5E"/>
    <w:rsid w:val="00074462"/>
    <w:rsid w:val="00074933"/>
    <w:rsid w:val="00075148"/>
    <w:rsid w:val="0007559D"/>
    <w:rsid w:val="00076333"/>
    <w:rsid w:val="00076830"/>
    <w:rsid w:val="00076F04"/>
    <w:rsid w:val="00085CF2"/>
    <w:rsid w:val="00087F56"/>
    <w:rsid w:val="00090030"/>
    <w:rsid w:val="00090341"/>
    <w:rsid w:val="00092313"/>
    <w:rsid w:val="00092389"/>
    <w:rsid w:val="000935B8"/>
    <w:rsid w:val="000A0646"/>
    <w:rsid w:val="000A1A3E"/>
    <w:rsid w:val="000A3D88"/>
    <w:rsid w:val="000A3F7C"/>
    <w:rsid w:val="000A5086"/>
    <w:rsid w:val="000A52FC"/>
    <w:rsid w:val="000A6A69"/>
    <w:rsid w:val="000B3B7E"/>
    <w:rsid w:val="000B55EE"/>
    <w:rsid w:val="000B591E"/>
    <w:rsid w:val="000B5964"/>
    <w:rsid w:val="000B60CE"/>
    <w:rsid w:val="000B6234"/>
    <w:rsid w:val="000B6661"/>
    <w:rsid w:val="000B6C81"/>
    <w:rsid w:val="000B6D41"/>
    <w:rsid w:val="000B70CE"/>
    <w:rsid w:val="000B7E9D"/>
    <w:rsid w:val="000C05A2"/>
    <w:rsid w:val="000C0D40"/>
    <w:rsid w:val="000C1532"/>
    <w:rsid w:val="000C1916"/>
    <w:rsid w:val="000C1A08"/>
    <w:rsid w:val="000C3A54"/>
    <w:rsid w:val="000C3A71"/>
    <w:rsid w:val="000C49CC"/>
    <w:rsid w:val="000C5512"/>
    <w:rsid w:val="000C76A8"/>
    <w:rsid w:val="000D1709"/>
    <w:rsid w:val="000D79FB"/>
    <w:rsid w:val="000E09B4"/>
    <w:rsid w:val="000E3D00"/>
    <w:rsid w:val="000E4257"/>
    <w:rsid w:val="000E5B30"/>
    <w:rsid w:val="000E5E9D"/>
    <w:rsid w:val="000F0897"/>
    <w:rsid w:val="000F42C1"/>
    <w:rsid w:val="000F5783"/>
    <w:rsid w:val="000F683E"/>
    <w:rsid w:val="000F74E2"/>
    <w:rsid w:val="000F79ED"/>
    <w:rsid w:val="001004A8"/>
    <w:rsid w:val="00102569"/>
    <w:rsid w:val="001028CA"/>
    <w:rsid w:val="00102FF4"/>
    <w:rsid w:val="00104B3C"/>
    <w:rsid w:val="00105139"/>
    <w:rsid w:val="0010665B"/>
    <w:rsid w:val="00106684"/>
    <w:rsid w:val="0010770E"/>
    <w:rsid w:val="00110F2E"/>
    <w:rsid w:val="0011241B"/>
    <w:rsid w:val="00113AC4"/>
    <w:rsid w:val="00114AC6"/>
    <w:rsid w:val="001155A8"/>
    <w:rsid w:val="0011652F"/>
    <w:rsid w:val="00116CAA"/>
    <w:rsid w:val="00116F72"/>
    <w:rsid w:val="001171EF"/>
    <w:rsid w:val="001204D4"/>
    <w:rsid w:val="00120EEF"/>
    <w:rsid w:val="0012140E"/>
    <w:rsid w:val="001215F1"/>
    <w:rsid w:val="00124029"/>
    <w:rsid w:val="00125895"/>
    <w:rsid w:val="001273B0"/>
    <w:rsid w:val="001275C9"/>
    <w:rsid w:val="00130A5B"/>
    <w:rsid w:val="00130B66"/>
    <w:rsid w:val="001310D7"/>
    <w:rsid w:val="001320E2"/>
    <w:rsid w:val="00134C3F"/>
    <w:rsid w:val="001350C9"/>
    <w:rsid w:val="00135DF6"/>
    <w:rsid w:val="00135F79"/>
    <w:rsid w:val="00136001"/>
    <w:rsid w:val="001370B1"/>
    <w:rsid w:val="00140808"/>
    <w:rsid w:val="001413EC"/>
    <w:rsid w:val="0014247F"/>
    <w:rsid w:val="00143110"/>
    <w:rsid w:val="00146069"/>
    <w:rsid w:val="00147AD2"/>
    <w:rsid w:val="0015030B"/>
    <w:rsid w:val="00150C09"/>
    <w:rsid w:val="0015109E"/>
    <w:rsid w:val="00151D00"/>
    <w:rsid w:val="00151E61"/>
    <w:rsid w:val="00152916"/>
    <w:rsid w:val="00152FC3"/>
    <w:rsid w:val="00153A22"/>
    <w:rsid w:val="00154624"/>
    <w:rsid w:val="00155758"/>
    <w:rsid w:val="001558F1"/>
    <w:rsid w:val="00156DEE"/>
    <w:rsid w:val="00157AED"/>
    <w:rsid w:val="0016007E"/>
    <w:rsid w:val="001606AF"/>
    <w:rsid w:val="00160B86"/>
    <w:rsid w:val="00160BCA"/>
    <w:rsid w:val="00160E06"/>
    <w:rsid w:val="00161F70"/>
    <w:rsid w:val="001631F5"/>
    <w:rsid w:val="00163439"/>
    <w:rsid w:val="00165EB9"/>
    <w:rsid w:val="00166400"/>
    <w:rsid w:val="00166F7B"/>
    <w:rsid w:val="00167B1B"/>
    <w:rsid w:val="00170563"/>
    <w:rsid w:val="00170573"/>
    <w:rsid w:val="00172E5C"/>
    <w:rsid w:val="0017310A"/>
    <w:rsid w:val="00175768"/>
    <w:rsid w:val="0018097B"/>
    <w:rsid w:val="00180D31"/>
    <w:rsid w:val="00181455"/>
    <w:rsid w:val="00181C90"/>
    <w:rsid w:val="001824EB"/>
    <w:rsid w:val="001829B9"/>
    <w:rsid w:val="00185ED8"/>
    <w:rsid w:val="001918DC"/>
    <w:rsid w:val="00191BC2"/>
    <w:rsid w:val="00192888"/>
    <w:rsid w:val="00192923"/>
    <w:rsid w:val="00195893"/>
    <w:rsid w:val="001A176B"/>
    <w:rsid w:val="001A405A"/>
    <w:rsid w:val="001A4BB6"/>
    <w:rsid w:val="001B01D1"/>
    <w:rsid w:val="001B3CE7"/>
    <w:rsid w:val="001B529E"/>
    <w:rsid w:val="001B6A24"/>
    <w:rsid w:val="001B713D"/>
    <w:rsid w:val="001B769A"/>
    <w:rsid w:val="001C209C"/>
    <w:rsid w:val="001C49AF"/>
    <w:rsid w:val="001C7A1C"/>
    <w:rsid w:val="001D142D"/>
    <w:rsid w:val="001D1B13"/>
    <w:rsid w:val="001D2B7C"/>
    <w:rsid w:val="001D384B"/>
    <w:rsid w:val="001D4B49"/>
    <w:rsid w:val="001D5B1C"/>
    <w:rsid w:val="001D736F"/>
    <w:rsid w:val="001E2396"/>
    <w:rsid w:val="001E415E"/>
    <w:rsid w:val="001E5552"/>
    <w:rsid w:val="001F0043"/>
    <w:rsid w:val="001F1BC0"/>
    <w:rsid w:val="001F279E"/>
    <w:rsid w:val="001F594B"/>
    <w:rsid w:val="00200E8D"/>
    <w:rsid w:val="00202FA5"/>
    <w:rsid w:val="00203BA0"/>
    <w:rsid w:val="002065FC"/>
    <w:rsid w:val="002113B0"/>
    <w:rsid w:val="00214DC5"/>
    <w:rsid w:val="00214DE5"/>
    <w:rsid w:val="0021552B"/>
    <w:rsid w:val="00215738"/>
    <w:rsid w:val="0021586F"/>
    <w:rsid w:val="00216A0E"/>
    <w:rsid w:val="00217E43"/>
    <w:rsid w:val="00221619"/>
    <w:rsid w:val="0022189B"/>
    <w:rsid w:val="00222E3D"/>
    <w:rsid w:val="00223FCE"/>
    <w:rsid w:val="00224051"/>
    <w:rsid w:val="00224EBF"/>
    <w:rsid w:val="002264AC"/>
    <w:rsid w:val="002275B1"/>
    <w:rsid w:val="00231014"/>
    <w:rsid w:val="00231579"/>
    <w:rsid w:val="002320CC"/>
    <w:rsid w:val="002327D7"/>
    <w:rsid w:val="00232A46"/>
    <w:rsid w:val="00232A80"/>
    <w:rsid w:val="0023362D"/>
    <w:rsid w:val="002336EB"/>
    <w:rsid w:val="002348CB"/>
    <w:rsid w:val="0023496D"/>
    <w:rsid w:val="002359C9"/>
    <w:rsid w:val="00235A2C"/>
    <w:rsid w:val="00235E26"/>
    <w:rsid w:val="00236343"/>
    <w:rsid w:val="00236952"/>
    <w:rsid w:val="00236BFD"/>
    <w:rsid w:val="00236D73"/>
    <w:rsid w:val="002371F3"/>
    <w:rsid w:val="00237AEB"/>
    <w:rsid w:val="00240D61"/>
    <w:rsid w:val="002410CB"/>
    <w:rsid w:val="00242367"/>
    <w:rsid w:val="0024287B"/>
    <w:rsid w:val="002440C8"/>
    <w:rsid w:val="00244EEE"/>
    <w:rsid w:val="00245D63"/>
    <w:rsid w:val="002469D2"/>
    <w:rsid w:val="002545DF"/>
    <w:rsid w:val="002559DB"/>
    <w:rsid w:val="00256FD6"/>
    <w:rsid w:val="00257EE5"/>
    <w:rsid w:val="00261AE3"/>
    <w:rsid w:val="002628A5"/>
    <w:rsid w:val="00263819"/>
    <w:rsid w:val="002651DD"/>
    <w:rsid w:val="0026634B"/>
    <w:rsid w:val="00266775"/>
    <w:rsid w:val="00271066"/>
    <w:rsid w:val="00271324"/>
    <w:rsid w:val="002727C0"/>
    <w:rsid w:val="002743F1"/>
    <w:rsid w:val="00275517"/>
    <w:rsid w:val="002767D1"/>
    <w:rsid w:val="00281C6B"/>
    <w:rsid w:val="002827BC"/>
    <w:rsid w:val="00283F3D"/>
    <w:rsid w:val="0028444B"/>
    <w:rsid w:val="002844CA"/>
    <w:rsid w:val="00285E49"/>
    <w:rsid w:val="002867B2"/>
    <w:rsid w:val="002869D8"/>
    <w:rsid w:val="00286AEC"/>
    <w:rsid w:val="00286B27"/>
    <w:rsid w:val="00287EB4"/>
    <w:rsid w:val="00287F77"/>
    <w:rsid w:val="0029364F"/>
    <w:rsid w:val="00294D1D"/>
    <w:rsid w:val="00294F7F"/>
    <w:rsid w:val="00295121"/>
    <w:rsid w:val="00296228"/>
    <w:rsid w:val="002962F8"/>
    <w:rsid w:val="002968B8"/>
    <w:rsid w:val="00297287"/>
    <w:rsid w:val="002A036B"/>
    <w:rsid w:val="002A0BEA"/>
    <w:rsid w:val="002A19DC"/>
    <w:rsid w:val="002A2887"/>
    <w:rsid w:val="002A2F1B"/>
    <w:rsid w:val="002A388B"/>
    <w:rsid w:val="002A3FB7"/>
    <w:rsid w:val="002A66E2"/>
    <w:rsid w:val="002B0548"/>
    <w:rsid w:val="002B1E30"/>
    <w:rsid w:val="002B2E18"/>
    <w:rsid w:val="002B3E7F"/>
    <w:rsid w:val="002B3FE6"/>
    <w:rsid w:val="002B413E"/>
    <w:rsid w:val="002B4A81"/>
    <w:rsid w:val="002B4E30"/>
    <w:rsid w:val="002B5719"/>
    <w:rsid w:val="002B61E7"/>
    <w:rsid w:val="002B6A84"/>
    <w:rsid w:val="002C0B5A"/>
    <w:rsid w:val="002C0E93"/>
    <w:rsid w:val="002C0F68"/>
    <w:rsid w:val="002C16FE"/>
    <w:rsid w:val="002C2367"/>
    <w:rsid w:val="002C2924"/>
    <w:rsid w:val="002C47A2"/>
    <w:rsid w:val="002C533B"/>
    <w:rsid w:val="002C5765"/>
    <w:rsid w:val="002C7AB0"/>
    <w:rsid w:val="002D2593"/>
    <w:rsid w:val="002D3765"/>
    <w:rsid w:val="002D4E14"/>
    <w:rsid w:val="002D50F1"/>
    <w:rsid w:val="002D51EF"/>
    <w:rsid w:val="002E0419"/>
    <w:rsid w:val="002E18C2"/>
    <w:rsid w:val="002E221D"/>
    <w:rsid w:val="002E4FBA"/>
    <w:rsid w:val="002E536D"/>
    <w:rsid w:val="002E5E7E"/>
    <w:rsid w:val="002E6154"/>
    <w:rsid w:val="002E637E"/>
    <w:rsid w:val="002E6C53"/>
    <w:rsid w:val="002F1F1E"/>
    <w:rsid w:val="002F24FF"/>
    <w:rsid w:val="002F4355"/>
    <w:rsid w:val="002F5346"/>
    <w:rsid w:val="002F5A35"/>
    <w:rsid w:val="002F6ACE"/>
    <w:rsid w:val="002F7F82"/>
    <w:rsid w:val="00302711"/>
    <w:rsid w:val="00302B45"/>
    <w:rsid w:val="00305606"/>
    <w:rsid w:val="00305A19"/>
    <w:rsid w:val="0030718F"/>
    <w:rsid w:val="00307BCB"/>
    <w:rsid w:val="003109E5"/>
    <w:rsid w:val="00311946"/>
    <w:rsid w:val="00311F57"/>
    <w:rsid w:val="00312748"/>
    <w:rsid w:val="00312A99"/>
    <w:rsid w:val="00312FD9"/>
    <w:rsid w:val="00313002"/>
    <w:rsid w:val="0031377B"/>
    <w:rsid w:val="00314061"/>
    <w:rsid w:val="003167A5"/>
    <w:rsid w:val="003173F7"/>
    <w:rsid w:val="0032176F"/>
    <w:rsid w:val="00321E12"/>
    <w:rsid w:val="00321F5C"/>
    <w:rsid w:val="003233A4"/>
    <w:rsid w:val="00323B4C"/>
    <w:rsid w:val="00324E61"/>
    <w:rsid w:val="0032551B"/>
    <w:rsid w:val="00326B2D"/>
    <w:rsid w:val="0033151F"/>
    <w:rsid w:val="00332727"/>
    <w:rsid w:val="00333A1F"/>
    <w:rsid w:val="00333C7E"/>
    <w:rsid w:val="00334D0C"/>
    <w:rsid w:val="00335D4A"/>
    <w:rsid w:val="00335DBB"/>
    <w:rsid w:val="00340489"/>
    <w:rsid w:val="00341779"/>
    <w:rsid w:val="003417E6"/>
    <w:rsid w:val="003426EE"/>
    <w:rsid w:val="00342ED3"/>
    <w:rsid w:val="00343A31"/>
    <w:rsid w:val="00343F51"/>
    <w:rsid w:val="00347226"/>
    <w:rsid w:val="00347A67"/>
    <w:rsid w:val="00350461"/>
    <w:rsid w:val="003508BF"/>
    <w:rsid w:val="00350D74"/>
    <w:rsid w:val="00351002"/>
    <w:rsid w:val="003525B8"/>
    <w:rsid w:val="00353786"/>
    <w:rsid w:val="00355BDA"/>
    <w:rsid w:val="003560C4"/>
    <w:rsid w:val="003601B9"/>
    <w:rsid w:val="00361AF1"/>
    <w:rsid w:val="0036340B"/>
    <w:rsid w:val="00363DF5"/>
    <w:rsid w:val="00364AF6"/>
    <w:rsid w:val="00364D7D"/>
    <w:rsid w:val="00364DE4"/>
    <w:rsid w:val="00365412"/>
    <w:rsid w:val="00366395"/>
    <w:rsid w:val="003667F6"/>
    <w:rsid w:val="00366821"/>
    <w:rsid w:val="0036760D"/>
    <w:rsid w:val="00367CF5"/>
    <w:rsid w:val="00370BDA"/>
    <w:rsid w:val="00374491"/>
    <w:rsid w:val="00374F02"/>
    <w:rsid w:val="00375D70"/>
    <w:rsid w:val="00377C90"/>
    <w:rsid w:val="00377F2E"/>
    <w:rsid w:val="00380368"/>
    <w:rsid w:val="0038340E"/>
    <w:rsid w:val="00383D9B"/>
    <w:rsid w:val="00384AE4"/>
    <w:rsid w:val="00385572"/>
    <w:rsid w:val="00386F8F"/>
    <w:rsid w:val="0039249F"/>
    <w:rsid w:val="0039301B"/>
    <w:rsid w:val="00393CBD"/>
    <w:rsid w:val="00394B78"/>
    <w:rsid w:val="003958A9"/>
    <w:rsid w:val="00396E7A"/>
    <w:rsid w:val="00397D1F"/>
    <w:rsid w:val="00397D3E"/>
    <w:rsid w:val="003A2DC2"/>
    <w:rsid w:val="003A3AB0"/>
    <w:rsid w:val="003A3B9E"/>
    <w:rsid w:val="003A48C2"/>
    <w:rsid w:val="003A6D13"/>
    <w:rsid w:val="003B2807"/>
    <w:rsid w:val="003B2B58"/>
    <w:rsid w:val="003B44F9"/>
    <w:rsid w:val="003B510C"/>
    <w:rsid w:val="003B510D"/>
    <w:rsid w:val="003B55B6"/>
    <w:rsid w:val="003B5F60"/>
    <w:rsid w:val="003C0B87"/>
    <w:rsid w:val="003C210A"/>
    <w:rsid w:val="003C2833"/>
    <w:rsid w:val="003C386C"/>
    <w:rsid w:val="003D013C"/>
    <w:rsid w:val="003D0CB8"/>
    <w:rsid w:val="003D6295"/>
    <w:rsid w:val="003D6E74"/>
    <w:rsid w:val="003E055B"/>
    <w:rsid w:val="003E33E9"/>
    <w:rsid w:val="003E36BF"/>
    <w:rsid w:val="003E370A"/>
    <w:rsid w:val="003E3EBA"/>
    <w:rsid w:val="003E3F9C"/>
    <w:rsid w:val="003E5B65"/>
    <w:rsid w:val="003E68CA"/>
    <w:rsid w:val="003E70F8"/>
    <w:rsid w:val="003E7580"/>
    <w:rsid w:val="003E75B9"/>
    <w:rsid w:val="003F230F"/>
    <w:rsid w:val="003F2B3E"/>
    <w:rsid w:val="003F2C79"/>
    <w:rsid w:val="003F3158"/>
    <w:rsid w:val="003F4781"/>
    <w:rsid w:val="003F4F45"/>
    <w:rsid w:val="003F5586"/>
    <w:rsid w:val="003F57B9"/>
    <w:rsid w:val="003F5DD6"/>
    <w:rsid w:val="003F668D"/>
    <w:rsid w:val="003F7B1F"/>
    <w:rsid w:val="004021C9"/>
    <w:rsid w:val="004022A6"/>
    <w:rsid w:val="00402D4E"/>
    <w:rsid w:val="00403D3B"/>
    <w:rsid w:val="0040453D"/>
    <w:rsid w:val="00404B00"/>
    <w:rsid w:val="00404CE3"/>
    <w:rsid w:val="0040596E"/>
    <w:rsid w:val="00407F0F"/>
    <w:rsid w:val="0041004E"/>
    <w:rsid w:val="004101D3"/>
    <w:rsid w:val="00410201"/>
    <w:rsid w:val="0041049B"/>
    <w:rsid w:val="00411AF7"/>
    <w:rsid w:val="00412860"/>
    <w:rsid w:val="0041332E"/>
    <w:rsid w:val="004145E5"/>
    <w:rsid w:val="00414DC3"/>
    <w:rsid w:val="004175E1"/>
    <w:rsid w:val="00420F5D"/>
    <w:rsid w:val="0042104A"/>
    <w:rsid w:val="004218BA"/>
    <w:rsid w:val="00421B8B"/>
    <w:rsid w:val="004249F8"/>
    <w:rsid w:val="0042601E"/>
    <w:rsid w:val="004300E1"/>
    <w:rsid w:val="0043100B"/>
    <w:rsid w:val="00432290"/>
    <w:rsid w:val="00433405"/>
    <w:rsid w:val="00436D6C"/>
    <w:rsid w:val="00436FA9"/>
    <w:rsid w:val="004379FD"/>
    <w:rsid w:val="0044024B"/>
    <w:rsid w:val="004402E3"/>
    <w:rsid w:val="00442C29"/>
    <w:rsid w:val="0044421C"/>
    <w:rsid w:val="00445687"/>
    <w:rsid w:val="004476FF"/>
    <w:rsid w:val="004500B6"/>
    <w:rsid w:val="004503E2"/>
    <w:rsid w:val="004529A2"/>
    <w:rsid w:val="00452C44"/>
    <w:rsid w:val="004532EF"/>
    <w:rsid w:val="004610CA"/>
    <w:rsid w:val="00461165"/>
    <w:rsid w:val="00461FD5"/>
    <w:rsid w:val="00462338"/>
    <w:rsid w:val="0046441D"/>
    <w:rsid w:val="00465354"/>
    <w:rsid w:val="00465FFF"/>
    <w:rsid w:val="0046659C"/>
    <w:rsid w:val="00470C4C"/>
    <w:rsid w:val="00471480"/>
    <w:rsid w:val="00473F38"/>
    <w:rsid w:val="0047504F"/>
    <w:rsid w:val="00475543"/>
    <w:rsid w:val="00480F8E"/>
    <w:rsid w:val="00482B2F"/>
    <w:rsid w:val="00486075"/>
    <w:rsid w:val="00486377"/>
    <w:rsid w:val="00486B77"/>
    <w:rsid w:val="00486B7A"/>
    <w:rsid w:val="00490D0D"/>
    <w:rsid w:val="00491B8D"/>
    <w:rsid w:val="00491FC6"/>
    <w:rsid w:val="00493207"/>
    <w:rsid w:val="00494BC0"/>
    <w:rsid w:val="00494CF5"/>
    <w:rsid w:val="00496FC4"/>
    <w:rsid w:val="00497C31"/>
    <w:rsid w:val="00497EEA"/>
    <w:rsid w:val="004A12A5"/>
    <w:rsid w:val="004A182D"/>
    <w:rsid w:val="004A5742"/>
    <w:rsid w:val="004A5FC8"/>
    <w:rsid w:val="004A7A31"/>
    <w:rsid w:val="004B28A7"/>
    <w:rsid w:val="004B2D48"/>
    <w:rsid w:val="004B3CA1"/>
    <w:rsid w:val="004B4721"/>
    <w:rsid w:val="004B54D8"/>
    <w:rsid w:val="004B6EFC"/>
    <w:rsid w:val="004C14E3"/>
    <w:rsid w:val="004C213F"/>
    <w:rsid w:val="004C4DCF"/>
    <w:rsid w:val="004C6165"/>
    <w:rsid w:val="004C72AE"/>
    <w:rsid w:val="004D1817"/>
    <w:rsid w:val="004D1A49"/>
    <w:rsid w:val="004D1AC0"/>
    <w:rsid w:val="004D4055"/>
    <w:rsid w:val="004D4757"/>
    <w:rsid w:val="004D4A20"/>
    <w:rsid w:val="004D4B46"/>
    <w:rsid w:val="004D6308"/>
    <w:rsid w:val="004D6435"/>
    <w:rsid w:val="004D6570"/>
    <w:rsid w:val="004D7D5D"/>
    <w:rsid w:val="004E07C6"/>
    <w:rsid w:val="004E07F0"/>
    <w:rsid w:val="004E1C90"/>
    <w:rsid w:val="004E4591"/>
    <w:rsid w:val="004E5F8E"/>
    <w:rsid w:val="004E6D67"/>
    <w:rsid w:val="004E70CB"/>
    <w:rsid w:val="004E78B3"/>
    <w:rsid w:val="004E7F03"/>
    <w:rsid w:val="004F05A5"/>
    <w:rsid w:val="004F25B8"/>
    <w:rsid w:val="004F57E6"/>
    <w:rsid w:val="004F5982"/>
    <w:rsid w:val="005000FB"/>
    <w:rsid w:val="00500607"/>
    <w:rsid w:val="00502157"/>
    <w:rsid w:val="005026F1"/>
    <w:rsid w:val="0050387F"/>
    <w:rsid w:val="00503A34"/>
    <w:rsid w:val="00504377"/>
    <w:rsid w:val="00504878"/>
    <w:rsid w:val="00504B7D"/>
    <w:rsid w:val="0050531E"/>
    <w:rsid w:val="00507025"/>
    <w:rsid w:val="00507583"/>
    <w:rsid w:val="00511794"/>
    <w:rsid w:val="00516B91"/>
    <w:rsid w:val="005171A0"/>
    <w:rsid w:val="0052033E"/>
    <w:rsid w:val="00520922"/>
    <w:rsid w:val="00521D34"/>
    <w:rsid w:val="005253B1"/>
    <w:rsid w:val="005254A4"/>
    <w:rsid w:val="00525802"/>
    <w:rsid w:val="0052750C"/>
    <w:rsid w:val="00527F92"/>
    <w:rsid w:val="00530A04"/>
    <w:rsid w:val="00531DB1"/>
    <w:rsid w:val="005320BB"/>
    <w:rsid w:val="005360A1"/>
    <w:rsid w:val="0053786F"/>
    <w:rsid w:val="0054008E"/>
    <w:rsid w:val="00540167"/>
    <w:rsid w:val="00542465"/>
    <w:rsid w:val="00542873"/>
    <w:rsid w:val="00542FA1"/>
    <w:rsid w:val="00550B60"/>
    <w:rsid w:val="00551016"/>
    <w:rsid w:val="00551D38"/>
    <w:rsid w:val="005539AD"/>
    <w:rsid w:val="00553BEF"/>
    <w:rsid w:val="0055749F"/>
    <w:rsid w:val="0056003C"/>
    <w:rsid w:val="00562080"/>
    <w:rsid w:val="0056442E"/>
    <w:rsid w:val="00564E99"/>
    <w:rsid w:val="00565D34"/>
    <w:rsid w:val="00566BE8"/>
    <w:rsid w:val="00567215"/>
    <w:rsid w:val="00567F40"/>
    <w:rsid w:val="00570495"/>
    <w:rsid w:val="00575524"/>
    <w:rsid w:val="00577ECB"/>
    <w:rsid w:val="00583412"/>
    <w:rsid w:val="00583CF5"/>
    <w:rsid w:val="00584EB4"/>
    <w:rsid w:val="005854F0"/>
    <w:rsid w:val="00587087"/>
    <w:rsid w:val="00587140"/>
    <w:rsid w:val="005874DB"/>
    <w:rsid w:val="0059038E"/>
    <w:rsid w:val="00591062"/>
    <w:rsid w:val="0059221C"/>
    <w:rsid w:val="00594530"/>
    <w:rsid w:val="005965D3"/>
    <w:rsid w:val="00596850"/>
    <w:rsid w:val="0059770B"/>
    <w:rsid w:val="00597BD0"/>
    <w:rsid w:val="005A0A19"/>
    <w:rsid w:val="005A126E"/>
    <w:rsid w:val="005A20D0"/>
    <w:rsid w:val="005A44F4"/>
    <w:rsid w:val="005A4E81"/>
    <w:rsid w:val="005A62AE"/>
    <w:rsid w:val="005A64B4"/>
    <w:rsid w:val="005A64FF"/>
    <w:rsid w:val="005A7045"/>
    <w:rsid w:val="005A76DC"/>
    <w:rsid w:val="005B07A3"/>
    <w:rsid w:val="005B0893"/>
    <w:rsid w:val="005B0EC4"/>
    <w:rsid w:val="005B1C51"/>
    <w:rsid w:val="005B3625"/>
    <w:rsid w:val="005B6A36"/>
    <w:rsid w:val="005C0A29"/>
    <w:rsid w:val="005C0AB6"/>
    <w:rsid w:val="005C10F2"/>
    <w:rsid w:val="005C4AD6"/>
    <w:rsid w:val="005C4D01"/>
    <w:rsid w:val="005C57AE"/>
    <w:rsid w:val="005C6873"/>
    <w:rsid w:val="005D0731"/>
    <w:rsid w:val="005D19CA"/>
    <w:rsid w:val="005D22FE"/>
    <w:rsid w:val="005D3625"/>
    <w:rsid w:val="005E2236"/>
    <w:rsid w:val="005E3107"/>
    <w:rsid w:val="005E3A1D"/>
    <w:rsid w:val="005E4CE0"/>
    <w:rsid w:val="005E5C53"/>
    <w:rsid w:val="005F0685"/>
    <w:rsid w:val="005F1330"/>
    <w:rsid w:val="005F376B"/>
    <w:rsid w:val="006001DF"/>
    <w:rsid w:val="00600A8B"/>
    <w:rsid w:val="00600D13"/>
    <w:rsid w:val="00600FC7"/>
    <w:rsid w:val="0060629F"/>
    <w:rsid w:val="006107E1"/>
    <w:rsid w:val="0061259F"/>
    <w:rsid w:val="00614019"/>
    <w:rsid w:val="0061466B"/>
    <w:rsid w:val="006156BD"/>
    <w:rsid w:val="006168F9"/>
    <w:rsid w:val="006179D2"/>
    <w:rsid w:val="00617AE7"/>
    <w:rsid w:val="006203EF"/>
    <w:rsid w:val="00621C29"/>
    <w:rsid w:val="00622D7F"/>
    <w:rsid w:val="00623D10"/>
    <w:rsid w:val="006251DE"/>
    <w:rsid w:val="006253D5"/>
    <w:rsid w:val="00625C5C"/>
    <w:rsid w:val="00625DF0"/>
    <w:rsid w:val="006262B5"/>
    <w:rsid w:val="006303B9"/>
    <w:rsid w:val="006315C5"/>
    <w:rsid w:val="00631849"/>
    <w:rsid w:val="00633359"/>
    <w:rsid w:val="00633F31"/>
    <w:rsid w:val="006345AB"/>
    <w:rsid w:val="006347A5"/>
    <w:rsid w:val="00634CAD"/>
    <w:rsid w:val="0063588C"/>
    <w:rsid w:val="00640E88"/>
    <w:rsid w:val="006435A8"/>
    <w:rsid w:val="00643A39"/>
    <w:rsid w:val="00645FF4"/>
    <w:rsid w:val="00646C70"/>
    <w:rsid w:val="00646EDC"/>
    <w:rsid w:val="00650C3F"/>
    <w:rsid w:val="00651876"/>
    <w:rsid w:val="00652155"/>
    <w:rsid w:val="00654CE4"/>
    <w:rsid w:val="0065750A"/>
    <w:rsid w:val="00660380"/>
    <w:rsid w:val="00660690"/>
    <w:rsid w:val="00660940"/>
    <w:rsid w:val="00661934"/>
    <w:rsid w:val="00661BB2"/>
    <w:rsid w:val="00661F6C"/>
    <w:rsid w:val="00667ECE"/>
    <w:rsid w:val="00671AD9"/>
    <w:rsid w:val="00672022"/>
    <w:rsid w:val="00673965"/>
    <w:rsid w:val="0067397D"/>
    <w:rsid w:val="00674910"/>
    <w:rsid w:val="00680542"/>
    <w:rsid w:val="0068549E"/>
    <w:rsid w:val="00685639"/>
    <w:rsid w:val="006866C7"/>
    <w:rsid w:val="0068681A"/>
    <w:rsid w:val="00687315"/>
    <w:rsid w:val="0069091C"/>
    <w:rsid w:val="00691268"/>
    <w:rsid w:val="00692270"/>
    <w:rsid w:val="00696FE5"/>
    <w:rsid w:val="006A23F0"/>
    <w:rsid w:val="006A3CB3"/>
    <w:rsid w:val="006B019D"/>
    <w:rsid w:val="006B0A07"/>
    <w:rsid w:val="006B2109"/>
    <w:rsid w:val="006B22CD"/>
    <w:rsid w:val="006B4BD1"/>
    <w:rsid w:val="006B546F"/>
    <w:rsid w:val="006B5943"/>
    <w:rsid w:val="006B66DC"/>
    <w:rsid w:val="006B6904"/>
    <w:rsid w:val="006B708D"/>
    <w:rsid w:val="006C00C0"/>
    <w:rsid w:val="006C0970"/>
    <w:rsid w:val="006C0B12"/>
    <w:rsid w:val="006C1D1E"/>
    <w:rsid w:val="006C32C3"/>
    <w:rsid w:val="006C346F"/>
    <w:rsid w:val="006C3D0A"/>
    <w:rsid w:val="006C40A9"/>
    <w:rsid w:val="006C63DD"/>
    <w:rsid w:val="006C6679"/>
    <w:rsid w:val="006D1D35"/>
    <w:rsid w:val="006D2A60"/>
    <w:rsid w:val="006D34D8"/>
    <w:rsid w:val="006D452F"/>
    <w:rsid w:val="006D6645"/>
    <w:rsid w:val="006D6CEE"/>
    <w:rsid w:val="006D7CF1"/>
    <w:rsid w:val="006E0F3E"/>
    <w:rsid w:val="006E2E54"/>
    <w:rsid w:val="006E38A7"/>
    <w:rsid w:val="006E694F"/>
    <w:rsid w:val="006F33DF"/>
    <w:rsid w:val="006F4BF0"/>
    <w:rsid w:val="00700861"/>
    <w:rsid w:val="007021DC"/>
    <w:rsid w:val="00705152"/>
    <w:rsid w:val="00705C38"/>
    <w:rsid w:val="00706872"/>
    <w:rsid w:val="007071BD"/>
    <w:rsid w:val="00707B05"/>
    <w:rsid w:val="007108B4"/>
    <w:rsid w:val="00710E8F"/>
    <w:rsid w:val="00713962"/>
    <w:rsid w:val="00714B6C"/>
    <w:rsid w:val="007150E3"/>
    <w:rsid w:val="00716184"/>
    <w:rsid w:val="00716AAF"/>
    <w:rsid w:val="00716F65"/>
    <w:rsid w:val="007212B8"/>
    <w:rsid w:val="00721ACB"/>
    <w:rsid w:val="0072629A"/>
    <w:rsid w:val="0073019D"/>
    <w:rsid w:val="00730284"/>
    <w:rsid w:val="0073036E"/>
    <w:rsid w:val="00732A26"/>
    <w:rsid w:val="007334C8"/>
    <w:rsid w:val="007340AE"/>
    <w:rsid w:val="00736579"/>
    <w:rsid w:val="0073663F"/>
    <w:rsid w:val="0073687D"/>
    <w:rsid w:val="007368E8"/>
    <w:rsid w:val="00737217"/>
    <w:rsid w:val="00740E86"/>
    <w:rsid w:val="007415DA"/>
    <w:rsid w:val="00741FF3"/>
    <w:rsid w:val="00742B75"/>
    <w:rsid w:val="007439DC"/>
    <w:rsid w:val="007447D1"/>
    <w:rsid w:val="007452FF"/>
    <w:rsid w:val="00745EF4"/>
    <w:rsid w:val="0074799F"/>
    <w:rsid w:val="00752C9B"/>
    <w:rsid w:val="00754F48"/>
    <w:rsid w:val="00755510"/>
    <w:rsid w:val="00755873"/>
    <w:rsid w:val="00755D5F"/>
    <w:rsid w:val="007621C8"/>
    <w:rsid w:val="0076255C"/>
    <w:rsid w:val="00762D3A"/>
    <w:rsid w:val="00764869"/>
    <w:rsid w:val="00764B7A"/>
    <w:rsid w:val="0076573A"/>
    <w:rsid w:val="00765B8D"/>
    <w:rsid w:val="00767A29"/>
    <w:rsid w:val="007704EC"/>
    <w:rsid w:val="00771562"/>
    <w:rsid w:val="00773574"/>
    <w:rsid w:val="00774E38"/>
    <w:rsid w:val="007760F2"/>
    <w:rsid w:val="00777E8B"/>
    <w:rsid w:val="007812D1"/>
    <w:rsid w:val="0078206A"/>
    <w:rsid w:val="0078312E"/>
    <w:rsid w:val="00784EAC"/>
    <w:rsid w:val="00784F17"/>
    <w:rsid w:val="00785E81"/>
    <w:rsid w:val="00786204"/>
    <w:rsid w:val="007868B5"/>
    <w:rsid w:val="0079148B"/>
    <w:rsid w:val="007918DC"/>
    <w:rsid w:val="00792691"/>
    <w:rsid w:val="00793997"/>
    <w:rsid w:val="00794009"/>
    <w:rsid w:val="00794597"/>
    <w:rsid w:val="00796E80"/>
    <w:rsid w:val="007A087D"/>
    <w:rsid w:val="007A09B4"/>
    <w:rsid w:val="007A0BE7"/>
    <w:rsid w:val="007A1D94"/>
    <w:rsid w:val="007A299F"/>
    <w:rsid w:val="007A353B"/>
    <w:rsid w:val="007A3B08"/>
    <w:rsid w:val="007A423F"/>
    <w:rsid w:val="007A4295"/>
    <w:rsid w:val="007A51B1"/>
    <w:rsid w:val="007B1EC8"/>
    <w:rsid w:val="007B2C06"/>
    <w:rsid w:val="007B420C"/>
    <w:rsid w:val="007B7634"/>
    <w:rsid w:val="007C046A"/>
    <w:rsid w:val="007C0E1E"/>
    <w:rsid w:val="007C4B4B"/>
    <w:rsid w:val="007C5B67"/>
    <w:rsid w:val="007C72C6"/>
    <w:rsid w:val="007C7A56"/>
    <w:rsid w:val="007C7B97"/>
    <w:rsid w:val="007D14D6"/>
    <w:rsid w:val="007D1C50"/>
    <w:rsid w:val="007D2052"/>
    <w:rsid w:val="007D2969"/>
    <w:rsid w:val="007D4EB8"/>
    <w:rsid w:val="007D51AC"/>
    <w:rsid w:val="007D685E"/>
    <w:rsid w:val="007D6E75"/>
    <w:rsid w:val="007D734D"/>
    <w:rsid w:val="007D759D"/>
    <w:rsid w:val="007D7D9D"/>
    <w:rsid w:val="007E1670"/>
    <w:rsid w:val="007E1E37"/>
    <w:rsid w:val="007E4654"/>
    <w:rsid w:val="007E5FE2"/>
    <w:rsid w:val="007E6743"/>
    <w:rsid w:val="007E77BC"/>
    <w:rsid w:val="007F0440"/>
    <w:rsid w:val="007F0B5E"/>
    <w:rsid w:val="007F2E09"/>
    <w:rsid w:val="007F3BFA"/>
    <w:rsid w:val="007F4E64"/>
    <w:rsid w:val="007F751C"/>
    <w:rsid w:val="007F7C47"/>
    <w:rsid w:val="0080067A"/>
    <w:rsid w:val="008013AC"/>
    <w:rsid w:val="008017BB"/>
    <w:rsid w:val="00803440"/>
    <w:rsid w:val="0080373E"/>
    <w:rsid w:val="008070E6"/>
    <w:rsid w:val="00810795"/>
    <w:rsid w:val="00810D07"/>
    <w:rsid w:val="00811B3F"/>
    <w:rsid w:val="0081211D"/>
    <w:rsid w:val="008122E6"/>
    <w:rsid w:val="00812A11"/>
    <w:rsid w:val="00812C0E"/>
    <w:rsid w:val="00814914"/>
    <w:rsid w:val="00815269"/>
    <w:rsid w:val="008160E8"/>
    <w:rsid w:val="008165A2"/>
    <w:rsid w:val="00817093"/>
    <w:rsid w:val="00817BE2"/>
    <w:rsid w:val="00821562"/>
    <w:rsid w:val="008221A9"/>
    <w:rsid w:val="00822755"/>
    <w:rsid w:val="00824461"/>
    <w:rsid w:val="00824BBD"/>
    <w:rsid w:val="00825705"/>
    <w:rsid w:val="008263A7"/>
    <w:rsid w:val="00826E2F"/>
    <w:rsid w:val="00827CCD"/>
    <w:rsid w:val="00827D6D"/>
    <w:rsid w:val="00830C39"/>
    <w:rsid w:val="00830D05"/>
    <w:rsid w:val="00831A5E"/>
    <w:rsid w:val="008330E2"/>
    <w:rsid w:val="008331DF"/>
    <w:rsid w:val="0083378D"/>
    <w:rsid w:val="008344D8"/>
    <w:rsid w:val="008360D1"/>
    <w:rsid w:val="008362F9"/>
    <w:rsid w:val="008368AF"/>
    <w:rsid w:val="008409D1"/>
    <w:rsid w:val="008411D4"/>
    <w:rsid w:val="008426F9"/>
    <w:rsid w:val="00842FC1"/>
    <w:rsid w:val="0084495A"/>
    <w:rsid w:val="00846AD4"/>
    <w:rsid w:val="00846BD1"/>
    <w:rsid w:val="00847AFE"/>
    <w:rsid w:val="00853784"/>
    <w:rsid w:val="00854DE6"/>
    <w:rsid w:val="00856637"/>
    <w:rsid w:val="0085710D"/>
    <w:rsid w:val="00864B2A"/>
    <w:rsid w:val="00864BF8"/>
    <w:rsid w:val="00865126"/>
    <w:rsid w:val="0086578E"/>
    <w:rsid w:val="00865FD2"/>
    <w:rsid w:val="00870F68"/>
    <w:rsid w:val="008714D0"/>
    <w:rsid w:val="008721E2"/>
    <w:rsid w:val="0087473C"/>
    <w:rsid w:val="00875AF9"/>
    <w:rsid w:val="0087618F"/>
    <w:rsid w:val="00876D40"/>
    <w:rsid w:val="00876D74"/>
    <w:rsid w:val="008773F2"/>
    <w:rsid w:val="008828BC"/>
    <w:rsid w:val="0088350D"/>
    <w:rsid w:val="00884858"/>
    <w:rsid w:val="00884A71"/>
    <w:rsid w:val="008927B1"/>
    <w:rsid w:val="0089311B"/>
    <w:rsid w:val="008931DD"/>
    <w:rsid w:val="00894E81"/>
    <w:rsid w:val="00895E0B"/>
    <w:rsid w:val="008964CD"/>
    <w:rsid w:val="00896A0B"/>
    <w:rsid w:val="00897D63"/>
    <w:rsid w:val="008A03FD"/>
    <w:rsid w:val="008A12E5"/>
    <w:rsid w:val="008A1DCA"/>
    <w:rsid w:val="008A284E"/>
    <w:rsid w:val="008A299E"/>
    <w:rsid w:val="008A308B"/>
    <w:rsid w:val="008A5B8F"/>
    <w:rsid w:val="008A753B"/>
    <w:rsid w:val="008B13A0"/>
    <w:rsid w:val="008B208A"/>
    <w:rsid w:val="008B45E9"/>
    <w:rsid w:val="008B675C"/>
    <w:rsid w:val="008B7F57"/>
    <w:rsid w:val="008C07EE"/>
    <w:rsid w:val="008C3B83"/>
    <w:rsid w:val="008C4FEA"/>
    <w:rsid w:val="008C7947"/>
    <w:rsid w:val="008D1E8C"/>
    <w:rsid w:val="008D2B6B"/>
    <w:rsid w:val="008D2E26"/>
    <w:rsid w:val="008D376E"/>
    <w:rsid w:val="008D3AD7"/>
    <w:rsid w:val="008E61F8"/>
    <w:rsid w:val="008E78C9"/>
    <w:rsid w:val="008F06E4"/>
    <w:rsid w:val="008F1706"/>
    <w:rsid w:val="008F19E2"/>
    <w:rsid w:val="008F1E20"/>
    <w:rsid w:val="008F1EBA"/>
    <w:rsid w:val="008F2A7A"/>
    <w:rsid w:val="008F3F50"/>
    <w:rsid w:val="008F460B"/>
    <w:rsid w:val="008F5BDF"/>
    <w:rsid w:val="008F6172"/>
    <w:rsid w:val="008F6E89"/>
    <w:rsid w:val="008F775F"/>
    <w:rsid w:val="00900459"/>
    <w:rsid w:val="009022AF"/>
    <w:rsid w:val="00904E26"/>
    <w:rsid w:val="009050BC"/>
    <w:rsid w:val="0090656C"/>
    <w:rsid w:val="00906A66"/>
    <w:rsid w:val="009079CF"/>
    <w:rsid w:val="00907CE8"/>
    <w:rsid w:val="00910B3E"/>
    <w:rsid w:val="00911001"/>
    <w:rsid w:val="009111F9"/>
    <w:rsid w:val="0091236C"/>
    <w:rsid w:val="009158CC"/>
    <w:rsid w:val="00915D8C"/>
    <w:rsid w:val="00916399"/>
    <w:rsid w:val="00916643"/>
    <w:rsid w:val="00916E78"/>
    <w:rsid w:val="009177B4"/>
    <w:rsid w:val="0092299D"/>
    <w:rsid w:val="00923337"/>
    <w:rsid w:val="00925449"/>
    <w:rsid w:val="00930B50"/>
    <w:rsid w:val="00933B8C"/>
    <w:rsid w:val="00933CD9"/>
    <w:rsid w:val="009341D5"/>
    <w:rsid w:val="00934218"/>
    <w:rsid w:val="00935B25"/>
    <w:rsid w:val="00935CBF"/>
    <w:rsid w:val="00940280"/>
    <w:rsid w:val="00941D96"/>
    <w:rsid w:val="00942827"/>
    <w:rsid w:val="00942B48"/>
    <w:rsid w:val="009430DB"/>
    <w:rsid w:val="00943465"/>
    <w:rsid w:val="0094607C"/>
    <w:rsid w:val="0094643B"/>
    <w:rsid w:val="00950DE5"/>
    <w:rsid w:val="009512C7"/>
    <w:rsid w:val="00956830"/>
    <w:rsid w:val="00960F27"/>
    <w:rsid w:val="00963D2B"/>
    <w:rsid w:val="00964995"/>
    <w:rsid w:val="009700A3"/>
    <w:rsid w:val="009726F4"/>
    <w:rsid w:val="0097289A"/>
    <w:rsid w:val="00973C31"/>
    <w:rsid w:val="009807A5"/>
    <w:rsid w:val="00980A26"/>
    <w:rsid w:val="00981BE7"/>
    <w:rsid w:val="0098323F"/>
    <w:rsid w:val="00984C6A"/>
    <w:rsid w:val="00985AAD"/>
    <w:rsid w:val="00985C19"/>
    <w:rsid w:val="00987BD7"/>
    <w:rsid w:val="0099272A"/>
    <w:rsid w:val="009964FE"/>
    <w:rsid w:val="00996A1E"/>
    <w:rsid w:val="00997652"/>
    <w:rsid w:val="00997C8D"/>
    <w:rsid w:val="009A00D7"/>
    <w:rsid w:val="009A017E"/>
    <w:rsid w:val="009A05A6"/>
    <w:rsid w:val="009A1BB4"/>
    <w:rsid w:val="009A1D16"/>
    <w:rsid w:val="009A1E73"/>
    <w:rsid w:val="009A1F94"/>
    <w:rsid w:val="009A2D6F"/>
    <w:rsid w:val="009A3A42"/>
    <w:rsid w:val="009A4CA5"/>
    <w:rsid w:val="009A5E5D"/>
    <w:rsid w:val="009A62F9"/>
    <w:rsid w:val="009A74C9"/>
    <w:rsid w:val="009B0A74"/>
    <w:rsid w:val="009B1282"/>
    <w:rsid w:val="009B397B"/>
    <w:rsid w:val="009B5392"/>
    <w:rsid w:val="009B55A8"/>
    <w:rsid w:val="009B5A7C"/>
    <w:rsid w:val="009B5FEC"/>
    <w:rsid w:val="009B601E"/>
    <w:rsid w:val="009B776F"/>
    <w:rsid w:val="009C0688"/>
    <w:rsid w:val="009C0970"/>
    <w:rsid w:val="009C5036"/>
    <w:rsid w:val="009C62AB"/>
    <w:rsid w:val="009C7C42"/>
    <w:rsid w:val="009D0062"/>
    <w:rsid w:val="009D0752"/>
    <w:rsid w:val="009D0D1D"/>
    <w:rsid w:val="009D148F"/>
    <w:rsid w:val="009D171A"/>
    <w:rsid w:val="009D3DE0"/>
    <w:rsid w:val="009D6710"/>
    <w:rsid w:val="009D6D72"/>
    <w:rsid w:val="009D7EC1"/>
    <w:rsid w:val="009E1BD8"/>
    <w:rsid w:val="009E27A9"/>
    <w:rsid w:val="009E4CC8"/>
    <w:rsid w:val="009E537C"/>
    <w:rsid w:val="009E61B8"/>
    <w:rsid w:val="009F057A"/>
    <w:rsid w:val="009F268E"/>
    <w:rsid w:val="009F2962"/>
    <w:rsid w:val="009F4741"/>
    <w:rsid w:val="009F6B54"/>
    <w:rsid w:val="00A00A97"/>
    <w:rsid w:val="00A0120B"/>
    <w:rsid w:val="00A0122D"/>
    <w:rsid w:val="00A02C61"/>
    <w:rsid w:val="00A02F97"/>
    <w:rsid w:val="00A030C9"/>
    <w:rsid w:val="00A04410"/>
    <w:rsid w:val="00A0662F"/>
    <w:rsid w:val="00A06EC8"/>
    <w:rsid w:val="00A07746"/>
    <w:rsid w:val="00A105C5"/>
    <w:rsid w:val="00A10D5D"/>
    <w:rsid w:val="00A1191D"/>
    <w:rsid w:val="00A11B40"/>
    <w:rsid w:val="00A151A0"/>
    <w:rsid w:val="00A15F4B"/>
    <w:rsid w:val="00A17AC7"/>
    <w:rsid w:val="00A2058B"/>
    <w:rsid w:val="00A219F9"/>
    <w:rsid w:val="00A23B6A"/>
    <w:rsid w:val="00A241BD"/>
    <w:rsid w:val="00A25625"/>
    <w:rsid w:val="00A25B9F"/>
    <w:rsid w:val="00A264EB"/>
    <w:rsid w:val="00A2742A"/>
    <w:rsid w:val="00A27450"/>
    <w:rsid w:val="00A30253"/>
    <w:rsid w:val="00A30EBD"/>
    <w:rsid w:val="00A348D3"/>
    <w:rsid w:val="00A351D8"/>
    <w:rsid w:val="00A425F9"/>
    <w:rsid w:val="00A43476"/>
    <w:rsid w:val="00A4716F"/>
    <w:rsid w:val="00A50A26"/>
    <w:rsid w:val="00A50F72"/>
    <w:rsid w:val="00A51663"/>
    <w:rsid w:val="00A526CF"/>
    <w:rsid w:val="00A52CB0"/>
    <w:rsid w:val="00A5491F"/>
    <w:rsid w:val="00A55808"/>
    <w:rsid w:val="00A563DC"/>
    <w:rsid w:val="00A56535"/>
    <w:rsid w:val="00A60D9E"/>
    <w:rsid w:val="00A64144"/>
    <w:rsid w:val="00A67008"/>
    <w:rsid w:val="00A730E1"/>
    <w:rsid w:val="00A7430E"/>
    <w:rsid w:val="00A74959"/>
    <w:rsid w:val="00A74ACF"/>
    <w:rsid w:val="00A769A8"/>
    <w:rsid w:val="00A76BA0"/>
    <w:rsid w:val="00A76BAB"/>
    <w:rsid w:val="00A76D37"/>
    <w:rsid w:val="00A808AD"/>
    <w:rsid w:val="00A80DB3"/>
    <w:rsid w:val="00A81455"/>
    <w:rsid w:val="00A82408"/>
    <w:rsid w:val="00A85AF5"/>
    <w:rsid w:val="00A92904"/>
    <w:rsid w:val="00A950FF"/>
    <w:rsid w:val="00A963A5"/>
    <w:rsid w:val="00AA0679"/>
    <w:rsid w:val="00AA0B48"/>
    <w:rsid w:val="00AA0C25"/>
    <w:rsid w:val="00AA0F45"/>
    <w:rsid w:val="00AA1A1B"/>
    <w:rsid w:val="00AA20AE"/>
    <w:rsid w:val="00AA63B3"/>
    <w:rsid w:val="00AA7201"/>
    <w:rsid w:val="00AB2C22"/>
    <w:rsid w:val="00AB48BA"/>
    <w:rsid w:val="00AB4BDB"/>
    <w:rsid w:val="00AB689E"/>
    <w:rsid w:val="00AC1B3F"/>
    <w:rsid w:val="00AC1BE6"/>
    <w:rsid w:val="00AC362A"/>
    <w:rsid w:val="00AC70CB"/>
    <w:rsid w:val="00AD01F6"/>
    <w:rsid w:val="00AD0914"/>
    <w:rsid w:val="00AD679E"/>
    <w:rsid w:val="00AD79F5"/>
    <w:rsid w:val="00AE20C5"/>
    <w:rsid w:val="00AE3030"/>
    <w:rsid w:val="00AE3E0C"/>
    <w:rsid w:val="00AE4B82"/>
    <w:rsid w:val="00AE700D"/>
    <w:rsid w:val="00AE7751"/>
    <w:rsid w:val="00AF1D03"/>
    <w:rsid w:val="00AF33B2"/>
    <w:rsid w:val="00AF4536"/>
    <w:rsid w:val="00AF4F5D"/>
    <w:rsid w:val="00AF6E39"/>
    <w:rsid w:val="00AF6FD3"/>
    <w:rsid w:val="00AF704E"/>
    <w:rsid w:val="00AF70C6"/>
    <w:rsid w:val="00AF724D"/>
    <w:rsid w:val="00AF75B3"/>
    <w:rsid w:val="00AF7FF0"/>
    <w:rsid w:val="00B01F9F"/>
    <w:rsid w:val="00B0582C"/>
    <w:rsid w:val="00B07C8C"/>
    <w:rsid w:val="00B1054A"/>
    <w:rsid w:val="00B10917"/>
    <w:rsid w:val="00B116B1"/>
    <w:rsid w:val="00B11C3A"/>
    <w:rsid w:val="00B12ADB"/>
    <w:rsid w:val="00B13156"/>
    <w:rsid w:val="00B143AF"/>
    <w:rsid w:val="00B164F8"/>
    <w:rsid w:val="00B16988"/>
    <w:rsid w:val="00B17B32"/>
    <w:rsid w:val="00B17D56"/>
    <w:rsid w:val="00B215DD"/>
    <w:rsid w:val="00B21607"/>
    <w:rsid w:val="00B2277C"/>
    <w:rsid w:val="00B22E37"/>
    <w:rsid w:val="00B23976"/>
    <w:rsid w:val="00B23C26"/>
    <w:rsid w:val="00B27670"/>
    <w:rsid w:val="00B32017"/>
    <w:rsid w:val="00B3248A"/>
    <w:rsid w:val="00B32D84"/>
    <w:rsid w:val="00B33925"/>
    <w:rsid w:val="00B34045"/>
    <w:rsid w:val="00B35E49"/>
    <w:rsid w:val="00B365A3"/>
    <w:rsid w:val="00B37C0E"/>
    <w:rsid w:val="00B37F32"/>
    <w:rsid w:val="00B412B5"/>
    <w:rsid w:val="00B41506"/>
    <w:rsid w:val="00B419FF"/>
    <w:rsid w:val="00B421CF"/>
    <w:rsid w:val="00B4297B"/>
    <w:rsid w:val="00B43305"/>
    <w:rsid w:val="00B43D94"/>
    <w:rsid w:val="00B45447"/>
    <w:rsid w:val="00B46560"/>
    <w:rsid w:val="00B46A1D"/>
    <w:rsid w:val="00B47EF2"/>
    <w:rsid w:val="00B53D12"/>
    <w:rsid w:val="00B53DE9"/>
    <w:rsid w:val="00B5466B"/>
    <w:rsid w:val="00B552CD"/>
    <w:rsid w:val="00B57214"/>
    <w:rsid w:val="00B60708"/>
    <w:rsid w:val="00B60981"/>
    <w:rsid w:val="00B611A5"/>
    <w:rsid w:val="00B637CE"/>
    <w:rsid w:val="00B64C8A"/>
    <w:rsid w:val="00B65AE3"/>
    <w:rsid w:val="00B67900"/>
    <w:rsid w:val="00B72C90"/>
    <w:rsid w:val="00B74DC6"/>
    <w:rsid w:val="00B74F1F"/>
    <w:rsid w:val="00B76E37"/>
    <w:rsid w:val="00B777C0"/>
    <w:rsid w:val="00B806AE"/>
    <w:rsid w:val="00B83516"/>
    <w:rsid w:val="00B85E70"/>
    <w:rsid w:val="00B860C4"/>
    <w:rsid w:val="00B865BB"/>
    <w:rsid w:val="00B86BD7"/>
    <w:rsid w:val="00B907F1"/>
    <w:rsid w:val="00B90E95"/>
    <w:rsid w:val="00B91BCD"/>
    <w:rsid w:val="00B91F40"/>
    <w:rsid w:val="00B923DF"/>
    <w:rsid w:val="00B959B9"/>
    <w:rsid w:val="00B9633B"/>
    <w:rsid w:val="00B964C9"/>
    <w:rsid w:val="00BA25A1"/>
    <w:rsid w:val="00BA30CB"/>
    <w:rsid w:val="00BA458E"/>
    <w:rsid w:val="00BA50DD"/>
    <w:rsid w:val="00BA5BE0"/>
    <w:rsid w:val="00BA5E8E"/>
    <w:rsid w:val="00BA6D1E"/>
    <w:rsid w:val="00BB1A39"/>
    <w:rsid w:val="00BB3382"/>
    <w:rsid w:val="00BB445C"/>
    <w:rsid w:val="00BB4876"/>
    <w:rsid w:val="00BB6624"/>
    <w:rsid w:val="00BB6C6D"/>
    <w:rsid w:val="00BB7084"/>
    <w:rsid w:val="00BC1617"/>
    <w:rsid w:val="00BC1A1B"/>
    <w:rsid w:val="00BC25AC"/>
    <w:rsid w:val="00BC272A"/>
    <w:rsid w:val="00BC2C7E"/>
    <w:rsid w:val="00BC451D"/>
    <w:rsid w:val="00BC52AD"/>
    <w:rsid w:val="00BC684E"/>
    <w:rsid w:val="00BC724E"/>
    <w:rsid w:val="00BC7924"/>
    <w:rsid w:val="00BC7B5D"/>
    <w:rsid w:val="00BD0379"/>
    <w:rsid w:val="00BD10B2"/>
    <w:rsid w:val="00BD1A1E"/>
    <w:rsid w:val="00BD3D63"/>
    <w:rsid w:val="00BD405E"/>
    <w:rsid w:val="00BD4528"/>
    <w:rsid w:val="00BD6455"/>
    <w:rsid w:val="00BD77FE"/>
    <w:rsid w:val="00BD7B05"/>
    <w:rsid w:val="00BE04C2"/>
    <w:rsid w:val="00BE082C"/>
    <w:rsid w:val="00BE12A4"/>
    <w:rsid w:val="00BE241C"/>
    <w:rsid w:val="00BE4441"/>
    <w:rsid w:val="00BE4F7B"/>
    <w:rsid w:val="00BE6604"/>
    <w:rsid w:val="00BE725F"/>
    <w:rsid w:val="00BF7334"/>
    <w:rsid w:val="00C0247E"/>
    <w:rsid w:val="00C02868"/>
    <w:rsid w:val="00C029F5"/>
    <w:rsid w:val="00C04B53"/>
    <w:rsid w:val="00C05E67"/>
    <w:rsid w:val="00C0628A"/>
    <w:rsid w:val="00C10CE3"/>
    <w:rsid w:val="00C11230"/>
    <w:rsid w:val="00C113D5"/>
    <w:rsid w:val="00C12A5B"/>
    <w:rsid w:val="00C12C91"/>
    <w:rsid w:val="00C13073"/>
    <w:rsid w:val="00C15D84"/>
    <w:rsid w:val="00C16712"/>
    <w:rsid w:val="00C1697E"/>
    <w:rsid w:val="00C16A16"/>
    <w:rsid w:val="00C17119"/>
    <w:rsid w:val="00C17973"/>
    <w:rsid w:val="00C20986"/>
    <w:rsid w:val="00C20A1C"/>
    <w:rsid w:val="00C20DDD"/>
    <w:rsid w:val="00C21575"/>
    <w:rsid w:val="00C21EE1"/>
    <w:rsid w:val="00C22746"/>
    <w:rsid w:val="00C2356B"/>
    <w:rsid w:val="00C2418F"/>
    <w:rsid w:val="00C255F3"/>
    <w:rsid w:val="00C27E90"/>
    <w:rsid w:val="00C27FCF"/>
    <w:rsid w:val="00C3191E"/>
    <w:rsid w:val="00C332BE"/>
    <w:rsid w:val="00C3403E"/>
    <w:rsid w:val="00C342BE"/>
    <w:rsid w:val="00C34764"/>
    <w:rsid w:val="00C34B6A"/>
    <w:rsid w:val="00C3532F"/>
    <w:rsid w:val="00C36AA3"/>
    <w:rsid w:val="00C37D5E"/>
    <w:rsid w:val="00C414DA"/>
    <w:rsid w:val="00C41F5A"/>
    <w:rsid w:val="00C43ACB"/>
    <w:rsid w:val="00C44A1F"/>
    <w:rsid w:val="00C45A75"/>
    <w:rsid w:val="00C466BF"/>
    <w:rsid w:val="00C47497"/>
    <w:rsid w:val="00C47A1F"/>
    <w:rsid w:val="00C50599"/>
    <w:rsid w:val="00C50A64"/>
    <w:rsid w:val="00C523F7"/>
    <w:rsid w:val="00C52536"/>
    <w:rsid w:val="00C52CFD"/>
    <w:rsid w:val="00C53AAE"/>
    <w:rsid w:val="00C55116"/>
    <w:rsid w:val="00C5561C"/>
    <w:rsid w:val="00C561AD"/>
    <w:rsid w:val="00C565E3"/>
    <w:rsid w:val="00C57542"/>
    <w:rsid w:val="00C57F96"/>
    <w:rsid w:val="00C60667"/>
    <w:rsid w:val="00C61381"/>
    <w:rsid w:val="00C63531"/>
    <w:rsid w:val="00C677DE"/>
    <w:rsid w:val="00C71BDE"/>
    <w:rsid w:val="00C7237F"/>
    <w:rsid w:val="00C7290C"/>
    <w:rsid w:val="00C7493E"/>
    <w:rsid w:val="00C74B3B"/>
    <w:rsid w:val="00C75AC8"/>
    <w:rsid w:val="00C75E7A"/>
    <w:rsid w:val="00C81065"/>
    <w:rsid w:val="00C82C7E"/>
    <w:rsid w:val="00C835FD"/>
    <w:rsid w:val="00C837A4"/>
    <w:rsid w:val="00C8410C"/>
    <w:rsid w:val="00C85D53"/>
    <w:rsid w:val="00C86DF7"/>
    <w:rsid w:val="00C87B8A"/>
    <w:rsid w:val="00C91B17"/>
    <w:rsid w:val="00C92303"/>
    <w:rsid w:val="00C9344E"/>
    <w:rsid w:val="00C94933"/>
    <w:rsid w:val="00C94F03"/>
    <w:rsid w:val="00C96668"/>
    <w:rsid w:val="00C9765F"/>
    <w:rsid w:val="00CA0B1B"/>
    <w:rsid w:val="00CA0B7A"/>
    <w:rsid w:val="00CA172D"/>
    <w:rsid w:val="00CA48BE"/>
    <w:rsid w:val="00CA54FC"/>
    <w:rsid w:val="00CA71F6"/>
    <w:rsid w:val="00CB1102"/>
    <w:rsid w:val="00CB1697"/>
    <w:rsid w:val="00CB3BDA"/>
    <w:rsid w:val="00CB3D85"/>
    <w:rsid w:val="00CB4174"/>
    <w:rsid w:val="00CB7199"/>
    <w:rsid w:val="00CC0AFA"/>
    <w:rsid w:val="00CC1B44"/>
    <w:rsid w:val="00CC201A"/>
    <w:rsid w:val="00CC2567"/>
    <w:rsid w:val="00CC41CF"/>
    <w:rsid w:val="00CC44CE"/>
    <w:rsid w:val="00CC4A68"/>
    <w:rsid w:val="00CC6117"/>
    <w:rsid w:val="00CC644E"/>
    <w:rsid w:val="00CC6626"/>
    <w:rsid w:val="00CD1048"/>
    <w:rsid w:val="00CD14B1"/>
    <w:rsid w:val="00CD1B28"/>
    <w:rsid w:val="00CD21A1"/>
    <w:rsid w:val="00CD2AEF"/>
    <w:rsid w:val="00CD7180"/>
    <w:rsid w:val="00CD78FF"/>
    <w:rsid w:val="00CD7A98"/>
    <w:rsid w:val="00CE029D"/>
    <w:rsid w:val="00CE1022"/>
    <w:rsid w:val="00CE4104"/>
    <w:rsid w:val="00CE50BB"/>
    <w:rsid w:val="00CE53B4"/>
    <w:rsid w:val="00CE6E9C"/>
    <w:rsid w:val="00CE7542"/>
    <w:rsid w:val="00CF1043"/>
    <w:rsid w:val="00CF2027"/>
    <w:rsid w:val="00CF2FAB"/>
    <w:rsid w:val="00CF3097"/>
    <w:rsid w:val="00CF55E5"/>
    <w:rsid w:val="00CF6FA8"/>
    <w:rsid w:val="00D02671"/>
    <w:rsid w:val="00D03561"/>
    <w:rsid w:val="00D0393E"/>
    <w:rsid w:val="00D03ABF"/>
    <w:rsid w:val="00D03DBF"/>
    <w:rsid w:val="00D05407"/>
    <w:rsid w:val="00D059F5"/>
    <w:rsid w:val="00D05B9E"/>
    <w:rsid w:val="00D119D3"/>
    <w:rsid w:val="00D12191"/>
    <w:rsid w:val="00D122ED"/>
    <w:rsid w:val="00D13687"/>
    <w:rsid w:val="00D1647E"/>
    <w:rsid w:val="00D1679E"/>
    <w:rsid w:val="00D17D19"/>
    <w:rsid w:val="00D17FC0"/>
    <w:rsid w:val="00D206EB"/>
    <w:rsid w:val="00D20C04"/>
    <w:rsid w:val="00D210F1"/>
    <w:rsid w:val="00D221F3"/>
    <w:rsid w:val="00D23B0D"/>
    <w:rsid w:val="00D246AE"/>
    <w:rsid w:val="00D27A6A"/>
    <w:rsid w:val="00D314DB"/>
    <w:rsid w:val="00D33024"/>
    <w:rsid w:val="00D33223"/>
    <w:rsid w:val="00D338F8"/>
    <w:rsid w:val="00D347B4"/>
    <w:rsid w:val="00D3674F"/>
    <w:rsid w:val="00D37C29"/>
    <w:rsid w:val="00D41E72"/>
    <w:rsid w:val="00D42CAA"/>
    <w:rsid w:val="00D43D3F"/>
    <w:rsid w:val="00D440FB"/>
    <w:rsid w:val="00D455E3"/>
    <w:rsid w:val="00D45E89"/>
    <w:rsid w:val="00D46574"/>
    <w:rsid w:val="00D46B0F"/>
    <w:rsid w:val="00D47957"/>
    <w:rsid w:val="00D50D45"/>
    <w:rsid w:val="00D50F2C"/>
    <w:rsid w:val="00D5156F"/>
    <w:rsid w:val="00D5278D"/>
    <w:rsid w:val="00D5341B"/>
    <w:rsid w:val="00D537C4"/>
    <w:rsid w:val="00D55969"/>
    <w:rsid w:val="00D5715A"/>
    <w:rsid w:val="00D602D0"/>
    <w:rsid w:val="00D606D3"/>
    <w:rsid w:val="00D6117D"/>
    <w:rsid w:val="00D616E2"/>
    <w:rsid w:val="00D61DA1"/>
    <w:rsid w:val="00D62DE6"/>
    <w:rsid w:val="00D63488"/>
    <w:rsid w:val="00D63BB4"/>
    <w:rsid w:val="00D644D7"/>
    <w:rsid w:val="00D649EC"/>
    <w:rsid w:val="00D65EF2"/>
    <w:rsid w:val="00D672A5"/>
    <w:rsid w:val="00D702B6"/>
    <w:rsid w:val="00D71699"/>
    <w:rsid w:val="00D72B0C"/>
    <w:rsid w:val="00D72ED7"/>
    <w:rsid w:val="00D75566"/>
    <w:rsid w:val="00D76128"/>
    <w:rsid w:val="00D77351"/>
    <w:rsid w:val="00D77359"/>
    <w:rsid w:val="00D77503"/>
    <w:rsid w:val="00D77A75"/>
    <w:rsid w:val="00D8042F"/>
    <w:rsid w:val="00D81DD9"/>
    <w:rsid w:val="00D84A68"/>
    <w:rsid w:val="00D84EDB"/>
    <w:rsid w:val="00D85246"/>
    <w:rsid w:val="00D85532"/>
    <w:rsid w:val="00D86532"/>
    <w:rsid w:val="00D92088"/>
    <w:rsid w:val="00D939CB"/>
    <w:rsid w:val="00D94308"/>
    <w:rsid w:val="00D95BD2"/>
    <w:rsid w:val="00DA1637"/>
    <w:rsid w:val="00DA283D"/>
    <w:rsid w:val="00DA2A6A"/>
    <w:rsid w:val="00DA328C"/>
    <w:rsid w:val="00DA3877"/>
    <w:rsid w:val="00DA525D"/>
    <w:rsid w:val="00DA52D0"/>
    <w:rsid w:val="00DB1B1A"/>
    <w:rsid w:val="00DB3509"/>
    <w:rsid w:val="00DB3656"/>
    <w:rsid w:val="00DB5F07"/>
    <w:rsid w:val="00DB6468"/>
    <w:rsid w:val="00DB6AB6"/>
    <w:rsid w:val="00DC2269"/>
    <w:rsid w:val="00DC2AFA"/>
    <w:rsid w:val="00DC3614"/>
    <w:rsid w:val="00DC4910"/>
    <w:rsid w:val="00DC5968"/>
    <w:rsid w:val="00DC5B46"/>
    <w:rsid w:val="00DC5BB6"/>
    <w:rsid w:val="00DC73AE"/>
    <w:rsid w:val="00DC78B2"/>
    <w:rsid w:val="00DD1A4F"/>
    <w:rsid w:val="00DD2E15"/>
    <w:rsid w:val="00DD2E84"/>
    <w:rsid w:val="00DD44C3"/>
    <w:rsid w:val="00DD52B9"/>
    <w:rsid w:val="00DD7332"/>
    <w:rsid w:val="00DE046B"/>
    <w:rsid w:val="00DE51D3"/>
    <w:rsid w:val="00DE7760"/>
    <w:rsid w:val="00DE7E8B"/>
    <w:rsid w:val="00DF1FC5"/>
    <w:rsid w:val="00DF2563"/>
    <w:rsid w:val="00DF77D7"/>
    <w:rsid w:val="00E00E1B"/>
    <w:rsid w:val="00E0163D"/>
    <w:rsid w:val="00E04B8F"/>
    <w:rsid w:val="00E059B9"/>
    <w:rsid w:val="00E05ABE"/>
    <w:rsid w:val="00E07403"/>
    <w:rsid w:val="00E07A8B"/>
    <w:rsid w:val="00E12067"/>
    <w:rsid w:val="00E13E29"/>
    <w:rsid w:val="00E144CD"/>
    <w:rsid w:val="00E204F9"/>
    <w:rsid w:val="00E212AB"/>
    <w:rsid w:val="00E25C7B"/>
    <w:rsid w:val="00E26C41"/>
    <w:rsid w:val="00E26DEF"/>
    <w:rsid w:val="00E27CB7"/>
    <w:rsid w:val="00E32528"/>
    <w:rsid w:val="00E32550"/>
    <w:rsid w:val="00E32BD6"/>
    <w:rsid w:val="00E333C1"/>
    <w:rsid w:val="00E336EE"/>
    <w:rsid w:val="00E355D0"/>
    <w:rsid w:val="00E37164"/>
    <w:rsid w:val="00E37CC4"/>
    <w:rsid w:val="00E4385F"/>
    <w:rsid w:val="00E452CA"/>
    <w:rsid w:val="00E47C44"/>
    <w:rsid w:val="00E52CC7"/>
    <w:rsid w:val="00E560C0"/>
    <w:rsid w:val="00E62004"/>
    <w:rsid w:val="00E62AA4"/>
    <w:rsid w:val="00E64264"/>
    <w:rsid w:val="00E6576C"/>
    <w:rsid w:val="00E671F9"/>
    <w:rsid w:val="00E672C8"/>
    <w:rsid w:val="00E70BC8"/>
    <w:rsid w:val="00E71691"/>
    <w:rsid w:val="00E72F75"/>
    <w:rsid w:val="00E73467"/>
    <w:rsid w:val="00E74E96"/>
    <w:rsid w:val="00E75F39"/>
    <w:rsid w:val="00E768C1"/>
    <w:rsid w:val="00E810CC"/>
    <w:rsid w:val="00E814B2"/>
    <w:rsid w:val="00E81E09"/>
    <w:rsid w:val="00E82586"/>
    <w:rsid w:val="00E82667"/>
    <w:rsid w:val="00E8348D"/>
    <w:rsid w:val="00E85550"/>
    <w:rsid w:val="00E860F6"/>
    <w:rsid w:val="00E86287"/>
    <w:rsid w:val="00E86472"/>
    <w:rsid w:val="00E8681E"/>
    <w:rsid w:val="00E87F17"/>
    <w:rsid w:val="00E90161"/>
    <w:rsid w:val="00E91639"/>
    <w:rsid w:val="00E91FB9"/>
    <w:rsid w:val="00E92791"/>
    <w:rsid w:val="00E9326E"/>
    <w:rsid w:val="00E94881"/>
    <w:rsid w:val="00E95FE8"/>
    <w:rsid w:val="00EA00AE"/>
    <w:rsid w:val="00EA0426"/>
    <w:rsid w:val="00EA0515"/>
    <w:rsid w:val="00EA347D"/>
    <w:rsid w:val="00EA4AFB"/>
    <w:rsid w:val="00EA5BDA"/>
    <w:rsid w:val="00EA69D8"/>
    <w:rsid w:val="00EA785D"/>
    <w:rsid w:val="00EA795B"/>
    <w:rsid w:val="00EA7EB2"/>
    <w:rsid w:val="00EB05B7"/>
    <w:rsid w:val="00EB1A58"/>
    <w:rsid w:val="00EB1C35"/>
    <w:rsid w:val="00EB2284"/>
    <w:rsid w:val="00EB28A4"/>
    <w:rsid w:val="00EB308B"/>
    <w:rsid w:val="00EB59BD"/>
    <w:rsid w:val="00EB60BD"/>
    <w:rsid w:val="00EB65D3"/>
    <w:rsid w:val="00EB6E0A"/>
    <w:rsid w:val="00EB7837"/>
    <w:rsid w:val="00EC31A0"/>
    <w:rsid w:val="00EC40C6"/>
    <w:rsid w:val="00EC430A"/>
    <w:rsid w:val="00EC5BB9"/>
    <w:rsid w:val="00EC61CB"/>
    <w:rsid w:val="00EC6885"/>
    <w:rsid w:val="00EC6A77"/>
    <w:rsid w:val="00ED1793"/>
    <w:rsid w:val="00ED1E4E"/>
    <w:rsid w:val="00ED3486"/>
    <w:rsid w:val="00ED3F6A"/>
    <w:rsid w:val="00ED64F9"/>
    <w:rsid w:val="00EE1143"/>
    <w:rsid w:val="00EE2688"/>
    <w:rsid w:val="00EE31B2"/>
    <w:rsid w:val="00EE327F"/>
    <w:rsid w:val="00EE3ACF"/>
    <w:rsid w:val="00EE45A1"/>
    <w:rsid w:val="00EE46F2"/>
    <w:rsid w:val="00EE48F0"/>
    <w:rsid w:val="00EE64B3"/>
    <w:rsid w:val="00EE6907"/>
    <w:rsid w:val="00EE787C"/>
    <w:rsid w:val="00EF0731"/>
    <w:rsid w:val="00EF5D89"/>
    <w:rsid w:val="00EF69FA"/>
    <w:rsid w:val="00EF757A"/>
    <w:rsid w:val="00F01B04"/>
    <w:rsid w:val="00F029D6"/>
    <w:rsid w:val="00F06354"/>
    <w:rsid w:val="00F06753"/>
    <w:rsid w:val="00F076D0"/>
    <w:rsid w:val="00F1074C"/>
    <w:rsid w:val="00F11F6D"/>
    <w:rsid w:val="00F12071"/>
    <w:rsid w:val="00F120BB"/>
    <w:rsid w:val="00F121B5"/>
    <w:rsid w:val="00F12AC1"/>
    <w:rsid w:val="00F13AC9"/>
    <w:rsid w:val="00F13AF6"/>
    <w:rsid w:val="00F141CA"/>
    <w:rsid w:val="00F14E8A"/>
    <w:rsid w:val="00F1721F"/>
    <w:rsid w:val="00F21654"/>
    <w:rsid w:val="00F21E42"/>
    <w:rsid w:val="00F22418"/>
    <w:rsid w:val="00F22737"/>
    <w:rsid w:val="00F22948"/>
    <w:rsid w:val="00F22A75"/>
    <w:rsid w:val="00F23298"/>
    <w:rsid w:val="00F2383E"/>
    <w:rsid w:val="00F26085"/>
    <w:rsid w:val="00F269B9"/>
    <w:rsid w:val="00F27151"/>
    <w:rsid w:val="00F306DC"/>
    <w:rsid w:val="00F3165C"/>
    <w:rsid w:val="00F33F0D"/>
    <w:rsid w:val="00F4029F"/>
    <w:rsid w:val="00F415A9"/>
    <w:rsid w:val="00F41B2E"/>
    <w:rsid w:val="00F423A7"/>
    <w:rsid w:val="00F428CB"/>
    <w:rsid w:val="00F42DA4"/>
    <w:rsid w:val="00F4477A"/>
    <w:rsid w:val="00F4786E"/>
    <w:rsid w:val="00F47FE4"/>
    <w:rsid w:val="00F51DB7"/>
    <w:rsid w:val="00F51FAF"/>
    <w:rsid w:val="00F526B6"/>
    <w:rsid w:val="00F52DAA"/>
    <w:rsid w:val="00F52EC9"/>
    <w:rsid w:val="00F54DD6"/>
    <w:rsid w:val="00F54EAB"/>
    <w:rsid w:val="00F56C89"/>
    <w:rsid w:val="00F57C76"/>
    <w:rsid w:val="00F621FF"/>
    <w:rsid w:val="00F64E5C"/>
    <w:rsid w:val="00F6680F"/>
    <w:rsid w:val="00F66E68"/>
    <w:rsid w:val="00F67698"/>
    <w:rsid w:val="00F679FA"/>
    <w:rsid w:val="00F70F3D"/>
    <w:rsid w:val="00F73396"/>
    <w:rsid w:val="00F81473"/>
    <w:rsid w:val="00F81648"/>
    <w:rsid w:val="00F8222A"/>
    <w:rsid w:val="00F8349B"/>
    <w:rsid w:val="00F84A1F"/>
    <w:rsid w:val="00F85CE7"/>
    <w:rsid w:val="00F86163"/>
    <w:rsid w:val="00F867BB"/>
    <w:rsid w:val="00F87821"/>
    <w:rsid w:val="00F878EA"/>
    <w:rsid w:val="00F91F0A"/>
    <w:rsid w:val="00F931B5"/>
    <w:rsid w:val="00F9375F"/>
    <w:rsid w:val="00FB09BD"/>
    <w:rsid w:val="00FB108D"/>
    <w:rsid w:val="00FB10AC"/>
    <w:rsid w:val="00FB38BD"/>
    <w:rsid w:val="00FB3E1B"/>
    <w:rsid w:val="00FB72FC"/>
    <w:rsid w:val="00FC0C34"/>
    <w:rsid w:val="00FC0D30"/>
    <w:rsid w:val="00FC0F7B"/>
    <w:rsid w:val="00FC1E4D"/>
    <w:rsid w:val="00FC20B7"/>
    <w:rsid w:val="00FC397B"/>
    <w:rsid w:val="00FC468C"/>
    <w:rsid w:val="00FC51EC"/>
    <w:rsid w:val="00FC6062"/>
    <w:rsid w:val="00FC6596"/>
    <w:rsid w:val="00FD10B6"/>
    <w:rsid w:val="00FD184C"/>
    <w:rsid w:val="00FD20A8"/>
    <w:rsid w:val="00FD2564"/>
    <w:rsid w:val="00FD2B5E"/>
    <w:rsid w:val="00FD374C"/>
    <w:rsid w:val="00FD3932"/>
    <w:rsid w:val="00FD4721"/>
    <w:rsid w:val="00FD521A"/>
    <w:rsid w:val="00FD7CE7"/>
    <w:rsid w:val="00FE10B1"/>
    <w:rsid w:val="00FE1C67"/>
    <w:rsid w:val="00FE1D9A"/>
    <w:rsid w:val="00FE28B8"/>
    <w:rsid w:val="00FE2A71"/>
    <w:rsid w:val="00FE2CC9"/>
    <w:rsid w:val="00FE35AF"/>
    <w:rsid w:val="00FE3661"/>
    <w:rsid w:val="00FE4203"/>
    <w:rsid w:val="00FE4808"/>
    <w:rsid w:val="00FE48F6"/>
    <w:rsid w:val="00FE5248"/>
    <w:rsid w:val="00FE67C3"/>
    <w:rsid w:val="00FF02F1"/>
    <w:rsid w:val="00FF0FDA"/>
    <w:rsid w:val="00FF152E"/>
    <w:rsid w:val="00FF2818"/>
    <w:rsid w:val="00FF34D1"/>
    <w:rsid w:val="00FF36CF"/>
    <w:rsid w:val="00FF4158"/>
    <w:rsid w:val="00FF4BF9"/>
    <w:rsid w:val="00FF502F"/>
    <w:rsid w:val="00FF579F"/>
    <w:rsid w:val="00FF5A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6EAA83F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741"/>
    <w:rPr>
      <w:rFonts w:ascii="Times New Roman" w:eastAsia="Times New Roman" w:hAnsi="Times New Roman" w:cs="Times New Roman"/>
      <w:lang w:val="en-AU" w:eastAsia="en-AU"/>
    </w:rPr>
  </w:style>
  <w:style w:type="paragraph" w:styleId="Heading1">
    <w:name w:val="heading 1"/>
    <w:basedOn w:val="Normal"/>
    <w:next w:val="Normal"/>
    <w:link w:val="Heading1Char"/>
    <w:uiPriority w:val="9"/>
    <w:qFormat/>
    <w:rsid w:val="002D3765"/>
    <w:pPr>
      <w:keepNext/>
      <w:keepLines/>
      <w:spacing w:after="240"/>
      <w:outlineLvl w:val="0"/>
    </w:pPr>
    <w:rPr>
      <w:rFonts w:ascii="Helvetica" w:eastAsiaTheme="majorEastAsia" w:hAnsi="Helvetic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53BEF"/>
    <w:pPr>
      <w:keepNext/>
      <w:keepLines/>
      <w:spacing w:before="240" w:after="120"/>
      <w:outlineLvl w:val="1"/>
    </w:pPr>
    <w:rPr>
      <w:rFonts w:ascii="Helvetica" w:eastAsiaTheme="majorEastAsia" w:hAnsi="Helvetic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6A24"/>
    <w:pPr>
      <w:keepNext/>
      <w:keepLines/>
      <w:spacing w:before="240" w:after="120"/>
      <w:outlineLvl w:val="2"/>
    </w:pPr>
    <w:rPr>
      <w:rFonts w:ascii="Helvetica" w:eastAsiaTheme="majorEastAsia" w:hAnsi="Helvetica" w:cstheme="majorBidi"/>
      <w:color w:val="1F3763" w:themeColor="accent1" w:themeShade="7F"/>
    </w:rPr>
  </w:style>
  <w:style w:type="paragraph" w:styleId="Heading4">
    <w:name w:val="heading 4"/>
    <w:basedOn w:val="Normal"/>
    <w:next w:val="Normal"/>
    <w:link w:val="Heading4Char"/>
    <w:uiPriority w:val="9"/>
    <w:unhideWhenUsed/>
    <w:qFormat/>
    <w:rsid w:val="001310D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022AF"/>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3765"/>
    <w:rPr>
      <w:rFonts w:ascii="Helvetica" w:eastAsiaTheme="majorEastAsia" w:hAnsi="Helvetica" w:cstheme="majorBidi"/>
      <w:b/>
      <w:color w:val="2F5496" w:themeColor="accent1" w:themeShade="BF"/>
      <w:sz w:val="32"/>
      <w:szCs w:val="32"/>
      <w:lang w:val="en-AU" w:eastAsia="en-AU"/>
    </w:rPr>
  </w:style>
  <w:style w:type="paragraph" w:styleId="ListParagraph">
    <w:name w:val="List Paragraph"/>
    <w:aliases w:val="#List Paragraph,B. FSG - font,Body Numbering,Brief List Paragraph 1,Bullet (1st level),Bullet point,Figure_name,First level bullet,First level bullet point,L,List Paragraph1,List Paragraph11,Recommendation,dot point 1,standard lewis,lp1,列"/>
    <w:basedOn w:val="Normal"/>
    <w:link w:val="ListParagraphChar"/>
    <w:uiPriority w:val="34"/>
    <w:qFormat/>
    <w:rsid w:val="00323B4C"/>
    <w:pPr>
      <w:ind w:left="720"/>
      <w:contextualSpacing/>
    </w:pPr>
  </w:style>
  <w:style w:type="character" w:customStyle="1" w:styleId="Heading2Char">
    <w:name w:val="Heading 2 Char"/>
    <w:basedOn w:val="DefaultParagraphFont"/>
    <w:link w:val="Heading2"/>
    <w:uiPriority w:val="9"/>
    <w:rsid w:val="00553BEF"/>
    <w:rPr>
      <w:rFonts w:ascii="Helvetica" w:eastAsiaTheme="majorEastAsia" w:hAnsi="Helvetica" w:cstheme="majorBidi"/>
      <w:color w:val="2F5496" w:themeColor="accent1" w:themeShade="BF"/>
      <w:sz w:val="26"/>
      <w:szCs w:val="26"/>
      <w:lang w:val="en-AU" w:eastAsia="en-AU"/>
    </w:rPr>
  </w:style>
  <w:style w:type="paragraph" w:styleId="ListBullet">
    <w:name w:val="List Bullet"/>
    <w:basedOn w:val="Normal"/>
    <w:uiPriority w:val="10"/>
    <w:qFormat/>
    <w:rsid w:val="00D72B0C"/>
    <w:pPr>
      <w:numPr>
        <w:numId w:val="1"/>
      </w:numPr>
      <w:spacing w:after="120" w:line="312" w:lineRule="auto"/>
    </w:pPr>
    <w:rPr>
      <w:rFonts w:eastAsia="MS Mincho"/>
      <w:color w:val="44546A" w:themeColor="text2"/>
      <w:sz w:val="22"/>
      <w:szCs w:val="22"/>
      <w:lang w:val="en-US" w:eastAsia="ja-JP"/>
    </w:rPr>
  </w:style>
  <w:style w:type="table" w:customStyle="1" w:styleId="ModernPaper">
    <w:name w:val="Modern Paper"/>
    <w:basedOn w:val="TableNormal"/>
    <w:uiPriority w:val="99"/>
    <w:rsid w:val="00D72B0C"/>
    <w:pPr>
      <w:spacing w:before="200" w:after="200"/>
    </w:pPr>
    <w:rPr>
      <w:rFonts w:eastAsia="MS Mincho"/>
      <w:color w:val="44546A" w:themeColor="text2"/>
      <w:sz w:val="22"/>
      <w:szCs w:val="22"/>
      <w:lang w:val="en-US" w:eastAsia="ja-JP"/>
    </w:rPr>
    <w:tblPr>
      <w:tblBorders>
        <w:insideH w:val="single" w:sz="8" w:space="0" w:color="44546A"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4472C4" w:themeColor="accent1"/>
        <w:sz w:val="28"/>
      </w:rPr>
      <w:tblPr/>
      <w:trPr>
        <w:tblHeader/>
      </w:trPr>
      <w:tcPr>
        <w:tcBorders>
          <w:top w:val="nil"/>
          <w:left w:val="nil"/>
          <w:bottom w:val="single" w:sz="24" w:space="0" w:color="44546A"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styleId="Hyperlink">
    <w:name w:val="Hyperlink"/>
    <w:basedOn w:val="DefaultParagraphFont"/>
    <w:uiPriority w:val="99"/>
    <w:unhideWhenUsed/>
    <w:rsid w:val="00D72B0C"/>
    <w:rPr>
      <w:color w:val="0563C1" w:themeColor="hyperlink"/>
      <w:u w:val="single"/>
    </w:rPr>
  </w:style>
  <w:style w:type="paragraph" w:styleId="Title">
    <w:name w:val="Title"/>
    <w:basedOn w:val="Normal"/>
    <w:next w:val="Normal"/>
    <w:link w:val="TitleChar"/>
    <w:uiPriority w:val="10"/>
    <w:qFormat/>
    <w:rsid w:val="00380368"/>
    <w:pPr>
      <w:contextualSpacing/>
    </w:pPr>
    <w:rPr>
      <w:rFonts w:ascii="Helvetica" w:eastAsiaTheme="majorEastAsia" w:hAnsi="Helvetica" w:cstheme="majorBidi"/>
      <w:spacing w:val="-10"/>
      <w:kern w:val="28"/>
      <w:sz w:val="56"/>
      <w:szCs w:val="56"/>
    </w:rPr>
  </w:style>
  <w:style w:type="character" w:customStyle="1" w:styleId="TitleChar">
    <w:name w:val="Title Char"/>
    <w:basedOn w:val="DefaultParagraphFont"/>
    <w:link w:val="Title"/>
    <w:uiPriority w:val="10"/>
    <w:rsid w:val="00380368"/>
    <w:rPr>
      <w:rFonts w:ascii="Helvetica" w:eastAsiaTheme="majorEastAsia" w:hAnsi="Helvetica" w:cstheme="majorBidi"/>
      <w:spacing w:val="-10"/>
      <w:kern w:val="28"/>
      <w:sz w:val="56"/>
      <w:szCs w:val="56"/>
      <w:lang w:val="en-AU" w:eastAsia="en-AU"/>
    </w:rPr>
  </w:style>
  <w:style w:type="paragraph" w:styleId="Header">
    <w:name w:val="header"/>
    <w:basedOn w:val="Normal"/>
    <w:link w:val="HeaderChar"/>
    <w:uiPriority w:val="99"/>
    <w:unhideWhenUsed/>
    <w:rsid w:val="00817093"/>
    <w:pPr>
      <w:tabs>
        <w:tab w:val="center" w:pos="4513"/>
        <w:tab w:val="right" w:pos="9026"/>
      </w:tabs>
    </w:pPr>
  </w:style>
  <w:style w:type="character" w:customStyle="1" w:styleId="HeaderChar">
    <w:name w:val="Header Char"/>
    <w:basedOn w:val="DefaultParagraphFont"/>
    <w:link w:val="Header"/>
    <w:uiPriority w:val="99"/>
    <w:rsid w:val="00817093"/>
  </w:style>
  <w:style w:type="paragraph" w:styleId="Footer">
    <w:name w:val="footer"/>
    <w:basedOn w:val="Normal"/>
    <w:link w:val="FooterChar"/>
    <w:uiPriority w:val="99"/>
    <w:unhideWhenUsed/>
    <w:rsid w:val="00817093"/>
    <w:pPr>
      <w:tabs>
        <w:tab w:val="center" w:pos="4513"/>
        <w:tab w:val="right" w:pos="9026"/>
      </w:tabs>
    </w:pPr>
  </w:style>
  <w:style w:type="character" w:customStyle="1" w:styleId="FooterChar">
    <w:name w:val="Footer Char"/>
    <w:basedOn w:val="DefaultParagraphFont"/>
    <w:link w:val="Footer"/>
    <w:uiPriority w:val="99"/>
    <w:rsid w:val="00817093"/>
  </w:style>
  <w:style w:type="paragraph" w:styleId="FootnoteText">
    <w:name w:val="footnote text"/>
    <w:basedOn w:val="Normal"/>
    <w:link w:val="FootnoteTextChar"/>
    <w:uiPriority w:val="99"/>
    <w:unhideWhenUsed/>
    <w:rsid w:val="00933B8C"/>
    <w:rPr>
      <w:rFonts w:eastAsia="MS Mincho"/>
      <w:color w:val="44546A" w:themeColor="text2"/>
      <w:sz w:val="20"/>
      <w:szCs w:val="20"/>
      <w:lang w:val="en-US" w:eastAsia="ja-JP"/>
    </w:rPr>
  </w:style>
  <w:style w:type="character" w:customStyle="1" w:styleId="FootnoteTextChar">
    <w:name w:val="Footnote Text Char"/>
    <w:basedOn w:val="DefaultParagraphFont"/>
    <w:link w:val="FootnoteText"/>
    <w:uiPriority w:val="99"/>
    <w:rsid w:val="00933B8C"/>
    <w:rPr>
      <w:rFonts w:eastAsia="MS Mincho"/>
      <w:color w:val="44546A" w:themeColor="text2"/>
      <w:sz w:val="20"/>
      <w:szCs w:val="20"/>
      <w:lang w:val="en-US" w:eastAsia="ja-JP"/>
    </w:rPr>
  </w:style>
  <w:style w:type="character" w:styleId="FootnoteReference">
    <w:name w:val="footnote reference"/>
    <w:basedOn w:val="DefaultParagraphFont"/>
    <w:uiPriority w:val="99"/>
    <w:unhideWhenUsed/>
    <w:rsid w:val="00933B8C"/>
    <w:rPr>
      <w:vertAlign w:val="superscript"/>
    </w:rPr>
  </w:style>
  <w:style w:type="character" w:customStyle="1" w:styleId="Heading3Char">
    <w:name w:val="Heading 3 Char"/>
    <w:basedOn w:val="DefaultParagraphFont"/>
    <w:link w:val="Heading3"/>
    <w:uiPriority w:val="9"/>
    <w:rsid w:val="001B6A24"/>
    <w:rPr>
      <w:rFonts w:ascii="Helvetica" w:eastAsiaTheme="majorEastAsia" w:hAnsi="Helvetica" w:cstheme="majorBidi"/>
      <w:color w:val="1F3763" w:themeColor="accent1" w:themeShade="7F"/>
      <w:lang w:val="en-AU" w:eastAsia="en-AU"/>
    </w:rPr>
  </w:style>
  <w:style w:type="paragraph" w:styleId="NormalWeb">
    <w:name w:val="Normal (Web)"/>
    <w:basedOn w:val="Normal"/>
    <w:uiPriority w:val="99"/>
    <w:semiHidden/>
    <w:unhideWhenUsed/>
    <w:rsid w:val="007A423F"/>
    <w:pPr>
      <w:spacing w:before="100" w:beforeAutospacing="1" w:after="100" w:afterAutospacing="1"/>
    </w:pPr>
  </w:style>
  <w:style w:type="paragraph" w:customStyle="1" w:styleId="Body">
    <w:name w:val="Body"/>
    <w:rsid w:val="00D210F1"/>
    <w:pPr>
      <w:pBdr>
        <w:top w:val="nil"/>
        <w:left w:val="nil"/>
        <w:bottom w:val="nil"/>
        <w:right w:val="nil"/>
        <w:between w:val="nil"/>
        <w:bar w:val="nil"/>
      </w:pBdr>
      <w:spacing w:before="120" w:after="120"/>
    </w:pPr>
    <w:rPr>
      <w:rFonts w:ascii="Calibri" w:eastAsia="Calibri" w:hAnsi="Calibri" w:cs="Calibri"/>
      <w:color w:val="6F6F6F"/>
      <w:sz w:val="22"/>
      <w:szCs w:val="22"/>
      <w:u w:color="6F6F6F"/>
      <w:bdr w:val="nil"/>
      <w:lang w:val="de-DE" w:eastAsia="en-AU"/>
    </w:rPr>
  </w:style>
  <w:style w:type="character" w:customStyle="1" w:styleId="Heading4Char">
    <w:name w:val="Heading 4 Char"/>
    <w:basedOn w:val="DefaultParagraphFont"/>
    <w:link w:val="Heading4"/>
    <w:uiPriority w:val="9"/>
    <w:rsid w:val="001310D7"/>
    <w:rPr>
      <w:rFonts w:asciiTheme="majorHAnsi" w:eastAsiaTheme="majorEastAsia" w:hAnsiTheme="majorHAnsi" w:cstheme="majorBidi"/>
      <w:i/>
      <w:iCs/>
      <w:color w:val="2F5496" w:themeColor="accent1" w:themeShade="BF"/>
      <w:lang w:val="en-AU" w:eastAsia="en-AU"/>
    </w:rPr>
  </w:style>
  <w:style w:type="paragraph" w:styleId="BalloonText">
    <w:name w:val="Balloon Text"/>
    <w:basedOn w:val="Normal"/>
    <w:link w:val="BalloonTextChar"/>
    <w:uiPriority w:val="99"/>
    <w:semiHidden/>
    <w:unhideWhenUsed/>
    <w:rsid w:val="00312FD9"/>
    <w:rPr>
      <w:rFonts w:ascii="Tahoma" w:hAnsi="Tahoma" w:cs="Tahoma"/>
      <w:sz w:val="16"/>
      <w:szCs w:val="16"/>
    </w:rPr>
  </w:style>
  <w:style w:type="character" w:customStyle="1" w:styleId="BalloonTextChar">
    <w:name w:val="Balloon Text Char"/>
    <w:basedOn w:val="DefaultParagraphFont"/>
    <w:link w:val="BalloonText"/>
    <w:uiPriority w:val="99"/>
    <w:semiHidden/>
    <w:rsid w:val="00312FD9"/>
    <w:rPr>
      <w:rFonts w:ascii="Tahoma" w:eastAsia="Times New Roman" w:hAnsi="Tahoma" w:cs="Tahoma"/>
      <w:sz w:val="16"/>
      <w:szCs w:val="16"/>
      <w:lang w:val="en-AU" w:eastAsia="en-AU"/>
    </w:rPr>
  </w:style>
  <w:style w:type="table" w:styleId="TableGrid">
    <w:name w:val="Table Grid"/>
    <w:basedOn w:val="TableNormal"/>
    <w:uiPriority w:val="39"/>
    <w:rsid w:val="00224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1077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E94881"/>
    <w:rPr>
      <w:sz w:val="16"/>
      <w:szCs w:val="16"/>
    </w:rPr>
  </w:style>
  <w:style w:type="paragraph" w:styleId="CommentText">
    <w:name w:val="annotation text"/>
    <w:basedOn w:val="Normal"/>
    <w:link w:val="CommentTextChar"/>
    <w:uiPriority w:val="99"/>
    <w:unhideWhenUsed/>
    <w:rsid w:val="00E94881"/>
    <w:rPr>
      <w:sz w:val="20"/>
      <w:szCs w:val="20"/>
    </w:rPr>
  </w:style>
  <w:style w:type="character" w:customStyle="1" w:styleId="CommentTextChar">
    <w:name w:val="Comment Text Char"/>
    <w:basedOn w:val="DefaultParagraphFont"/>
    <w:link w:val="CommentText"/>
    <w:uiPriority w:val="99"/>
    <w:rsid w:val="00E94881"/>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E94881"/>
    <w:rPr>
      <w:b/>
      <w:bCs/>
    </w:rPr>
  </w:style>
  <w:style w:type="character" w:customStyle="1" w:styleId="CommentSubjectChar">
    <w:name w:val="Comment Subject Char"/>
    <w:basedOn w:val="CommentTextChar"/>
    <w:link w:val="CommentSubject"/>
    <w:uiPriority w:val="99"/>
    <w:semiHidden/>
    <w:rsid w:val="00E94881"/>
    <w:rPr>
      <w:rFonts w:ascii="Times New Roman" w:eastAsia="Times New Roman" w:hAnsi="Times New Roman" w:cs="Times New Roman"/>
      <w:b/>
      <w:bCs/>
      <w:sz w:val="20"/>
      <w:szCs w:val="20"/>
      <w:lang w:val="en-AU" w:eastAsia="en-AU"/>
    </w:rPr>
  </w:style>
  <w:style w:type="paragraph" w:styleId="Revision">
    <w:name w:val="Revision"/>
    <w:hidden/>
    <w:uiPriority w:val="99"/>
    <w:semiHidden/>
    <w:rsid w:val="00E94881"/>
    <w:rPr>
      <w:rFonts w:ascii="Times New Roman" w:eastAsia="Times New Roman" w:hAnsi="Times New Roman" w:cs="Times New Roman"/>
      <w:lang w:val="en-AU" w:eastAsia="en-AU"/>
    </w:rPr>
  </w:style>
  <w:style w:type="table" w:customStyle="1" w:styleId="GridTable5Dark-Accent31">
    <w:name w:val="Grid Table 5 Dark - Accent 31"/>
    <w:basedOn w:val="TableNormal"/>
    <w:uiPriority w:val="50"/>
    <w:rsid w:val="003D6E7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Default">
    <w:name w:val="Default"/>
    <w:rsid w:val="00B1054A"/>
    <w:pPr>
      <w:autoSpaceDE w:val="0"/>
      <w:autoSpaceDN w:val="0"/>
      <w:adjustRightInd w:val="0"/>
    </w:pPr>
    <w:rPr>
      <w:rFonts w:ascii="Calibri" w:hAnsi="Calibri" w:cs="Calibri"/>
      <w:color w:val="000000"/>
      <w:lang w:val="en-AU"/>
    </w:rPr>
  </w:style>
  <w:style w:type="character" w:customStyle="1" w:styleId="UnresolvedMention1">
    <w:name w:val="Unresolved Mention1"/>
    <w:basedOn w:val="DefaultParagraphFont"/>
    <w:uiPriority w:val="99"/>
    <w:semiHidden/>
    <w:unhideWhenUsed/>
    <w:rsid w:val="004D6308"/>
    <w:rPr>
      <w:color w:val="808080"/>
      <w:shd w:val="clear" w:color="auto" w:fill="E6E6E6"/>
    </w:rPr>
  </w:style>
  <w:style w:type="paragraph" w:customStyle="1" w:styleId="hps-normal">
    <w:name w:val="hps-normal"/>
    <w:basedOn w:val="Normal"/>
    <w:rsid w:val="00F269B9"/>
    <w:pPr>
      <w:spacing w:before="100" w:beforeAutospacing="1" w:after="100" w:afterAutospacing="1"/>
    </w:pPr>
  </w:style>
  <w:style w:type="character" w:customStyle="1" w:styleId="hps-normal1">
    <w:name w:val="hps-normal1"/>
    <w:basedOn w:val="DefaultParagraphFont"/>
    <w:rsid w:val="00F269B9"/>
  </w:style>
  <w:style w:type="character" w:styleId="Emphasis">
    <w:name w:val="Emphasis"/>
    <w:basedOn w:val="DefaultParagraphFont"/>
    <w:uiPriority w:val="20"/>
    <w:qFormat/>
    <w:rsid w:val="00F52EC9"/>
    <w:rPr>
      <w:i/>
      <w:iCs/>
    </w:rPr>
  </w:style>
  <w:style w:type="paragraph" w:styleId="EndnoteText">
    <w:name w:val="endnote text"/>
    <w:basedOn w:val="Normal"/>
    <w:link w:val="EndnoteTextChar"/>
    <w:uiPriority w:val="99"/>
    <w:semiHidden/>
    <w:unhideWhenUsed/>
    <w:rsid w:val="00600FC7"/>
    <w:rPr>
      <w:sz w:val="20"/>
      <w:szCs w:val="20"/>
    </w:rPr>
  </w:style>
  <w:style w:type="character" w:customStyle="1" w:styleId="EndnoteTextChar">
    <w:name w:val="Endnote Text Char"/>
    <w:basedOn w:val="DefaultParagraphFont"/>
    <w:link w:val="EndnoteText"/>
    <w:uiPriority w:val="99"/>
    <w:semiHidden/>
    <w:rsid w:val="00600FC7"/>
    <w:rPr>
      <w:rFonts w:ascii="Times New Roman" w:eastAsia="Times New Roman" w:hAnsi="Times New Roman" w:cs="Times New Roman"/>
      <w:sz w:val="20"/>
      <w:szCs w:val="20"/>
      <w:lang w:val="en-AU" w:eastAsia="en-AU"/>
    </w:rPr>
  </w:style>
  <w:style w:type="character" w:styleId="EndnoteReference">
    <w:name w:val="endnote reference"/>
    <w:basedOn w:val="DefaultParagraphFont"/>
    <w:uiPriority w:val="99"/>
    <w:semiHidden/>
    <w:unhideWhenUsed/>
    <w:rsid w:val="00600FC7"/>
    <w:rPr>
      <w:vertAlign w:val="superscript"/>
    </w:rPr>
  </w:style>
  <w:style w:type="character" w:customStyle="1" w:styleId="ListParagraphChar">
    <w:name w:val="List Paragraph Char"/>
    <w:aliases w:val="#List Paragraph Char,B. FSG - font Char,Body Numbering Char,Brief List Paragraph 1 Char,Bullet (1st level) Char,Bullet point Char,Figure_name Char,First level bullet Char,First level bullet point Char,L Char,List Paragraph1 Char"/>
    <w:basedOn w:val="DefaultParagraphFont"/>
    <w:link w:val="ListParagraph"/>
    <w:uiPriority w:val="34"/>
    <w:rsid w:val="00FC0C34"/>
    <w:rPr>
      <w:rFonts w:ascii="Times New Roman" w:eastAsia="Times New Roman" w:hAnsi="Times New Roman" w:cs="Times New Roman"/>
      <w:lang w:val="en-AU" w:eastAsia="en-AU"/>
    </w:rPr>
  </w:style>
  <w:style w:type="table" w:customStyle="1" w:styleId="PlainTable31">
    <w:name w:val="Plain Table 31"/>
    <w:basedOn w:val="TableNormal"/>
    <w:uiPriority w:val="43"/>
    <w:rsid w:val="009022A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9022A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
    <w:name w:val="Heading 5 Char"/>
    <w:basedOn w:val="DefaultParagraphFont"/>
    <w:link w:val="Heading5"/>
    <w:uiPriority w:val="9"/>
    <w:rsid w:val="009022AF"/>
    <w:rPr>
      <w:rFonts w:asciiTheme="majorHAnsi" w:eastAsiaTheme="majorEastAsia" w:hAnsiTheme="majorHAnsi" w:cstheme="majorBidi"/>
      <w:color w:val="2F5496" w:themeColor="accent1" w:themeShade="BF"/>
      <w:lang w:val="en-AU" w:eastAsia="en-AU"/>
    </w:rPr>
  </w:style>
  <w:style w:type="character" w:customStyle="1" w:styleId="UnresolvedMention2">
    <w:name w:val="Unresolved Mention2"/>
    <w:basedOn w:val="DefaultParagraphFont"/>
    <w:uiPriority w:val="99"/>
    <w:semiHidden/>
    <w:unhideWhenUsed/>
    <w:rsid w:val="00AB48BA"/>
    <w:rPr>
      <w:color w:val="808080"/>
      <w:shd w:val="clear" w:color="auto" w:fill="E6E6E6"/>
    </w:rPr>
  </w:style>
  <w:style w:type="paragraph" w:styleId="TOCHeading">
    <w:name w:val="TOC Heading"/>
    <w:basedOn w:val="Heading1"/>
    <w:next w:val="Normal"/>
    <w:uiPriority w:val="39"/>
    <w:unhideWhenUsed/>
    <w:qFormat/>
    <w:rsid w:val="00163439"/>
    <w:pPr>
      <w:spacing w:line="259" w:lineRule="auto"/>
      <w:outlineLvl w:val="9"/>
    </w:pPr>
    <w:rPr>
      <w:lang w:val="en-US" w:eastAsia="en-US"/>
    </w:rPr>
  </w:style>
  <w:style w:type="paragraph" w:styleId="TOC1">
    <w:name w:val="toc 1"/>
    <w:basedOn w:val="Normal"/>
    <w:next w:val="Normal"/>
    <w:autoRedefine/>
    <w:uiPriority w:val="39"/>
    <w:unhideWhenUsed/>
    <w:rsid w:val="004B2D48"/>
    <w:pPr>
      <w:tabs>
        <w:tab w:val="right" w:leader="dot" w:pos="9016"/>
        <w:tab w:val="right" w:leader="dot" w:pos="9736"/>
      </w:tabs>
      <w:spacing w:before="240" w:after="100"/>
    </w:pPr>
    <w:rPr>
      <w:rFonts w:ascii="Helvetica" w:hAnsi="Helvetica" w:cs="Helvetica"/>
      <w:noProof/>
      <w:sz w:val="21"/>
      <w:szCs w:val="21"/>
    </w:rPr>
  </w:style>
  <w:style w:type="paragraph" w:styleId="TOC2">
    <w:name w:val="toc 2"/>
    <w:basedOn w:val="Normal"/>
    <w:next w:val="Normal"/>
    <w:autoRedefine/>
    <w:uiPriority w:val="39"/>
    <w:unhideWhenUsed/>
    <w:rsid w:val="00163439"/>
    <w:pPr>
      <w:spacing w:after="100"/>
      <w:ind w:left="240"/>
    </w:pPr>
  </w:style>
  <w:style w:type="paragraph" w:styleId="TOC3">
    <w:name w:val="toc 3"/>
    <w:basedOn w:val="Normal"/>
    <w:next w:val="Normal"/>
    <w:autoRedefine/>
    <w:uiPriority w:val="39"/>
    <w:unhideWhenUsed/>
    <w:rsid w:val="00163439"/>
    <w:pPr>
      <w:spacing w:after="100"/>
      <w:ind w:left="480"/>
    </w:pPr>
  </w:style>
  <w:style w:type="character" w:styleId="FollowedHyperlink">
    <w:name w:val="FollowedHyperlink"/>
    <w:basedOn w:val="DefaultParagraphFont"/>
    <w:uiPriority w:val="99"/>
    <w:semiHidden/>
    <w:unhideWhenUsed/>
    <w:rsid w:val="00E37164"/>
    <w:rPr>
      <w:color w:val="954F72" w:themeColor="followedHyperlink"/>
      <w:u w:val="single"/>
    </w:rPr>
  </w:style>
  <w:style w:type="paragraph" w:styleId="Subtitle">
    <w:name w:val="Subtitle"/>
    <w:basedOn w:val="Normal"/>
    <w:next w:val="Normal"/>
    <w:link w:val="SubtitleChar"/>
    <w:uiPriority w:val="11"/>
    <w:qFormat/>
    <w:rsid w:val="007368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368E8"/>
    <w:rPr>
      <w:rFonts w:eastAsiaTheme="minorEastAsia"/>
      <w:color w:val="5A5A5A" w:themeColor="text1" w:themeTint="A5"/>
      <w:spacing w:val="15"/>
      <w:sz w:val="22"/>
      <w:szCs w:val="22"/>
      <w:lang w:val="en-AU" w:eastAsia="en-AU"/>
    </w:rPr>
  </w:style>
  <w:style w:type="table" w:customStyle="1" w:styleId="ListTable3-Accent41">
    <w:name w:val="List Table 3 - Accent 41"/>
    <w:basedOn w:val="TableNormal"/>
    <w:uiPriority w:val="48"/>
    <w:rsid w:val="00CE029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61">
    <w:name w:val="List Table 3 - Accent 61"/>
    <w:basedOn w:val="TableNormal"/>
    <w:uiPriority w:val="48"/>
    <w:rsid w:val="00CE029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GridTable4-Accent41">
    <w:name w:val="Grid Table 4 - Accent 41"/>
    <w:basedOn w:val="TableNormal"/>
    <w:uiPriority w:val="49"/>
    <w:rsid w:val="00CE029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rsid w:val="00BE04C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eading1Black">
    <w:name w:val="Heading 1 Black"/>
    <w:basedOn w:val="Heading1"/>
    <w:next w:val="Normal"/>
    <w:autoRedefine/>
    <w:qFormat/>
    <w:rsid w:val="00383D9B"/>
    <w:pPr>
      <w:pBdr>
        <w:left w:val="single" w:sz="48" w:space="8" w:color="F4B083" w:themeColor="accent2" w:themeTint="99"/>
      </w:pBdr>
      <w:spacing w:after="0" w:line="276" w:lineRule="auto"/>
    </w:pPr>
    <w:rPr>
      <w:rFonts w:cs="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8411">
      <w:bodyDiv w:val="1"/>
      <w:marLeft w:val="0"/>
      <w:marRight w:val="0"/>
      <w:marTop w:val="0"/>
      <w:marBottom w:val="0"/>
      <w:divBdr>
        <w:top w:val="none" w:sz="0" w:space="0" w:color="auto"/>
        <w:left w:val="none" w:sz="0" w:space="0" w:color="auto"/>
        <w:bottom w:val="none" w:sz="0" w:space="0" w:color="auto"/>
        <w:right w:val="none" w:sz="0" w:space="0" w:color="auto"/>
      </w:divBdr>
    </w:div>
    <w:div w:id="24910270">
      <w:bodyDiv w:val="1"/>
      <w:marLeft w:val="0"/>
      <w:marRight w:val="0"/>
      <w:marTop w:val="0"/>
      <w:marBottom w:val="0"/>
      <w:divBdr>
        <w:top w:val="none" w:sz="0" w:space="0" w:color="auto"/>
        <w:left w:val="none" w:sz="0" w:space="0" w:color="auto"/>
        <w:bottom w:val="none" w:sz="0" w:space="0" w:color="auto"/>
        <w:right w:val="none" w:sz="0" w:space="0" w:color="auto"/>
      </w:divBdr>
    </w:div>
    <w:div w:id="30108259">
      <w:bodyDiv w:val="1"/>
      <w:marLeft w:val="0"/>
      <w:marRight w:val="0"/>
      <w:marTop w:val="0"/>
      <w:marBottom w:val="0"/>
      <w:divBdr>
        <w:top w:val="none" w:sz="0" w:space="0" w:color="auto"/>
        <w:left w:val="none" w:sz="0" w:space="0" w:color="auto"/>
        <w:bottom w:val="none" w:sz="0" w:space="0" w:color="auto"/>
        <w:right w:val="none" w:sz="0" w:space="0" w:color="auto"/>
      </w:divBdr>
    </w:div>
    <w:div w:id="62024175">
      <w:bodyDiv w:val="1"/>
      <w:marLeft w:val="0"/>
      <w:marRight w:val="0"/>
      <w:marTop w:val="0"/>
      <w:marBottom w:val="0"/>
      <w:divBdr>
        <w:top w:val="none" w:sz="0" w:space="0" w:color="auto"/>
        <w:left w:val="none" w:sz="0" w:space="0" w:color="auto"/>
        <w:bottom w:val="none" w:sz="0" w:space="0" w:color="auto"/>
        <w:right w:val="none" w:sz="0" w:space="0" w:color="auto"/>
      </w:divBdr>
    </w:div>
    <w:div w:id="65081214">
      <w:bodyDiv w:val="1"/>
      <w:marLeft w:val="0"/>
      <w:marRight w:val="0"/>
      <w:marTop w:val="0"/>
      <w:marBottom w:val="0"/>
      <w:divBdr>
        <w:top w:val="none" w:sz="0" w:space="0" w:color="auto"/>
        <w:left w:val="none" w:sz="0" w:space="0" w:color="auto"/>
        <w:bottom w:val="none" w:sz="0" w:space="0" w:color="auto"/>
        <w:right w:val="none" w:sz="0" w:space="0" w:color="auto"/>
      </w:divBdr>
    </w:div>
    <w:div w:id="65106979">
      <w:bodyDiv w:val="1"/>
      <w:marLeft w:val="0"/>
      <w:marRight w:val="0"/>
      <w:marTop w:val="0"/>
      <w:marBottom w:val="0"/>
      <w:divBdr>
        <w:top w:val="none" w:sz="0" w:space="0" w:color="auto"/>
        <w:left w:val="none" w:sz="0" w:space="0" w:color="auto"/>
        <w:bottom w:val="none" w:sz="0" w:space="0" w:color="auto"/>
        <w:right w:val="none" w:sz="0" w:space="0" w:color="auto"/>
      </w:divBdr>
    </w:div>
    <w:div w:id="72356730">
      <w:bodyDiv w:val="1"/>
      <w:marLeft w:val="0"/>
      <w:marRight w:val="0"/>
      <w:marTop w:val="0"/>
      <w:marBottom w:val="0"/>
      <w:divBdr>
        <w:top w:val="none" w:sz="0" w:space="0" w:color="auto"/>
        <w:left w:val="none" w:sz="0" w:space="0" w:color="auto"/>
        <w:bottom w:val="none" w:sz="0" w:space="0" w:color="auto"/>
        <w:right w:val="none" w:sz="0" w:space="0" w:color="auto"/>
      </w:divBdr>
    </w:div>
    <w:div w:id="73212469">
      <w:bodyDiv w:val="1"/>
      <w:marLeft w:val="0"/>
      <w:marRight w:val="0"/>
      <w:marTop w:val="0"/>
      <w:marBottom w:val="0"/>
      <w:divBdr>
        <w:top w:val="none" w:sz="0" w:space="0" w:color="auto"/>
        <w:left w:val="none" w:sz="0" w:space="0" w:color="auto"/>
        <w:bottom w:val="none" w:sz="0" w:space="0" w:color="auto"/>
        <w:right w:val="none" w:sz="0" w:space="0" w:color="auto"/>
      </w:divBdr>
    </w:div>
    <w:div w:id="88628520">
      <w:bodyDiv w:val="1"/>
      <w:marLeft w:val="0"/>
      <w:marRight w:val="0"/>
      <w:marTop w:val="0"/>
      <w:marBottom w:val="0"/>
      <w:divBdr>
        <w:top w:val="none" w:sz="0" w:space="0" w:color="auto"/>
        <w:left w:val="none" w:sz="0" w:space="0" w:color="auto"/>
        <w:bottom w:val="none" w:sz="0" w:space="0" w:color="auto"/>
        <w:right w:val="none" w:sz="0" w:space="0" w:color="auto"/>
      </w:divBdr>
    </w:div>
    <w:div w:id="90393124">
      <w:bodyDiv w:val="1"/>
      <w:marLeft w:val="0"/>
      <w:marRight w:val="0"/>
      <w:marTop w:val="0"/>
      <w:marBottom w:val="0"/>
      <w:divBdr>
        <w:top w:val="none" w:sz="0" w:space="0" w:color="auto"/>
        <w:left w:val="none" w:sz="0" w:space="0" w:color="auto"/>
        <w:bottom w:val="none" w:sz="0" w:space="0" w:color="auto"/>
        <w:right w:val="none" w:sz="0" w:space="0" w:color="auto"/>
      </w:divBdr>
    </w:div>
    <w:div w:id="99418507">
      <w:bodyDiv w:val="1"/>
      <w:marLeft w:val="0"/>
      <w:marRight w:val="0"/>
      <w:marTop w:val="0"/>
      <w:marBottom w:val="0"/>
      <w:divBdr>
        <w:top w:val="none" w:sz="0" w:space="0" w:color="auto"/>
        <w:left w:val="none" w:sz="0" w:space="0" w:color="auto"/>
        <w:bottom w:val="none" w:sz="0" w:space="0" w:color="auto"/>
        <w:right w:val="none" w:sz="0" w:space="0" w:color="auto"/>
      </w:divBdr>
    </w:div>
    <w:div w:id="103889280">
      <w:bodyDiv w:val="1"/>
      <w:marLeft w:val="0"/>
      <w:marRight w:val="0"/>
      <w:marTop w:val="0"/>
      <w:marBottom w:val="0"/>
      <w:divBdr>
        <w:top w:val="none" w:sz="0" w:space="0" w:color="auto"/>
        <w:left w:val="none" w:sz="0" w:space="0" w:color="auto"/>
        <w:bottom w:val="none" w:sz="0" w:space="0" w:color="auto"/>
        <w:right w:val="none" w:sz="0" w:space="0" w:color="auto"/>
      </w:divBdr>
    </w:div>
    <w:div w:id="107087217">
      <w:bodyDiv w:val="1"/>
      <w:marLeft w:val="0"/>
      <w:marRight w:val="0"/>
      <w:marTop w:val="0"/>
      <w:marBottom w:val="0"/>
      <w:divBdr>
        <w:top w:val="none" w:sz="0" w:space="0" w:color="auto"/>
        <w:left w:val="none" w:sz="0" w:space="0" w:color="auto"/>
        <w:bottom w:val="none" w:sz="0" w:space="0" w:color="auto"/>
        <w:right w:val="none" w:sz="0" w:space="0" w:color="auto"/>
      </w:divBdr>
    </w:div>
    <w:div w:id="110172855">
      <w:bodyDiv w:val="1"/>
      <w:marLeft w:val="0"/>
      <w:marRight w:val="0"/>
      <w:marTop w:val="0"/>
      <w:marBottom w:val="0"/>
      <w:divBdr>
        <w:top w:val="none" w:sz="0" w:space="0" w:color="auto"/>
        <w:left w:val="none" w:sz="0" w:space="0" w:color="auto"/>
        <w:bottom w:val="none" w:sz="0" w:space="0" w:color="auto"/>
        <w:right w:val="none" w:sz="0" w:space="0" w:color="auto"/>
      </w:divBdr>
    </w:div>
    <w:div w:id="110906342">
      <w:bodyDiv w:val="1"/>
      <w:marLeft w:val="0"/>
      <w:marRight w:val="0"/>
      <w:marTop w:val="0"/>
      <w:marBottom w:val="0"/>
      <w:divBdr>
        <w:top w:val="none" w:sz="0" w:space="0" w:color="auto"/>
        <w:left w:val="none" w:sz="0" w:space="0" w:color="auto"/>
        <w:bottom w:val="none" w:sz="0" w:space="0" w:color="auto"/>
        <w:right w:val="none" w:sz="0" w:space="0" w:color="auto"/>
      </w:divBdr>
    </w:div>
    <w:div w:id="111284765">
      <w:bodyDiv w:val="1"/>
      <w:marLeft w:val="0"/>
      <w:marRight w:val="0"/>
      <w:marTop w:val="0"/>
      <w:marBottom w:val="0"/>
      <w:divBdr>
        <w:top w:val="none" w:sz="0" w:space="0" w:color="auto"/>
        <w:left w:val="none" w:sz="0" w:space="0" w:color="auto"/>
        <w:bottom w:val="none" w:sz="0" w:space="0" w:color="auto"/>
        <w:right w:val="none" w:sz="0" w:space="0" w:color="auto"/>
      </w:divBdr>
    </w:div>
    <w:div w:id="119688431">
      <w:bodyDiv w:val="1"/>
      <w:marLeft w:val="0"/>
      <w:marRight w:val="0"/>
      <w:marTop w:val="0"/>
      <w:marBottom w:val="0"/>
      <w:divBdr>
        <w:top w:val="none" w:sz="0" w:space="0" w:color="auto"/>
        <w:left w:val="none" w:sz="0" w:space="0" w:color="auto"/>
        <w:bottom w:val="none" w:sz="0" w:space="0" w:color="auto"/>
        <w:right w:val="none" w:sz="0" w:space="0" w:color="auto"/>
      </w:divBdr>
    </w:div>
    <w:div w:id="123815436">
      <w:bodyDiv w:val="1"/>
      <w:marLeft w:val="0"/>
      <w:marRight w:val="0"/>
      <w:marTop w:val="0"/>
      <w:marBottom w:val="0"/>
      <w:divBdr>
        <w:top w:val="none" w:sz="0" w:space="0" w:color="auto"/>
        <w:left w:val="none" w:sz="0" w:space="0" w:color="auto"/>
        <w:bottom w:val="none" w:sz="0" w:space="0" w:color="auto"/>
        <w:right w:val="none" w:sz="0" w:space="0" w:color="auto"/>
      </w:divBdr>
    </w:div>
    <w:div w:id="129370111">
      <w:bodyDiv w:val="1"/>
      <w:marLeft w:val="0"/>
      <w:marRight w:val="0"/>
      <w:marTop w:val="0"/>
      <w:marBottom w:val="0"/>
      <w:divBdr>
        <w:top w:val="none" w:sz="0" w:space="0" w:color="auto"/>
        <w:left w:val="none" w:sz="0" w:space="0" w:color="auto"/>
        <w:bottom w:val="none" w:sz="0" w:space="0" w:color="auto"/>
        <w:right w:val="none" w:sz="0" w:space="0" w:color="auto"/>
      </w:divBdr>
    </w:div>
    <w:div w:id="129708104">
      <w:bodyDiv w:val="1"/>
      <w:marLeft w:val="0"/>
      <w:marRight w:val="0"/>
      <w:marTop w:val="0"/>
      <w:marBottom w:val="0"/>
      <w:divBdr>
        <w:top w:val="none" w:sz="0" w:space="0" w:color="auto"/>
        <w:left w:val="none" w:sz="0" w:space="0" w:color="auto"/>
        <w:bottom w:val="none" w:sz="0" w:space="0" w:color="auto"/>
        <w:right w:val="none" w:sz="0" w:space="0" w:color="auto"/>
      </w:divBdr>
    </w:div>
    <w:div w:id="138882716">
      <w:bodyDiv w:val="1"/>
      <w:marLeft w:val="0"/>
      <w:marRight w:val="0"/>
      <w:marTop w:val="0"/>
      <w:marBottom w:val="0"/>
      <w:divBdr>
        <w:top w:val="none" w:sz="0" w:space="0" w:color="auto"/>
        <w:left w:val="none" w:sz="0" w:space="0" w:color="auto"/>
        <w:bottom w:val="none" w:sz="0" w:space="0" w:color="auto"/>
        <w:right w:val="none" w:sz="0" w:space="0" w:color="auto"/>
      </w:divBdr>
      <w:divsChild>
        <w:div w:id="1883667931">
          <w:marLeft w:val="0"/>
          <w:marRight w:val="0"/>
          <w:marTop w:val="0"/>
          <w:marBottom w:val="0"/>
          <w:divBdr>
            <w:top w:val="none" w:sz="0" w:space="0" w:color="auto"/>
            <w:left w:val="none" w:sz="0" w:space="0" w:color="auto"/>
            <w:bottom w:val="none" w:sz="0" w:space="0" w:color="auto"/>
            <w:right w:val="none" w:sz="0" w:space="0" w:color="auto"/>
          </w:divBdr>
          <w:divsChild>
            <w:div w:id="1924751760">
              <w:marLeft w:val="0"/>
              <w:marRight w:val="0"/>
              <w:marTop w:val="0"/>
              <w:marBottom w:val="0"/>
              <w:divBdr>
                <w:top w:val="none" w:sz="0" w:space="0" w:color="auto"/>
                <w:left w:val="none" w:sz="0" w:space="0" w:color="auto"/>
                <w:bottom w:val="none" w:sz="0" w:space="0" w:color="auto"/>
                <w:right w:val="none" w:sz="0" w:space="0" w:color="auto"/>
              </w:divBdr>
              <w:divsChild>
                <w:div w:id="772097142">
                  <w:marLeft w:val="0"/>
                  <w:marRight w:val="0"/>
                  <w:marTop w:val="0"/>
                  <w:marBottom w:val="0"/>
                  <w:divBdr>
                    <w:top w:val="none" w:sz="0" w:space="0" w:color="auto"/>
                    <w:left w:val="none" w:sz="0" w:space="0" w:color="auto"/>
                    <w:bottom w:val="none" w:sz="0" w:space="0" w:color="auto"/>
                    <w:right w:val="none" w:sz="0" w:space="0" w:color="auto"/>
                  </w:divBdr>
                  <w:divsChild>
                    <w:div w:id="1272397648">
                      <w:marLeft w:val="0"/>
                      <w:marRight w:val="0"/>
                      <w:marTop w:val="0"/>
                      <w:marBottom w:val="0"/>
                      <w:divBdr>
                        <w:top w:val="none" w:sz="0" w:space="0" w:color="auto"/>
                        <w:left w:val="none" w:sz="0" w:space="0" w:color="auto"/>
                        <w:bottom w:val="none" w:sz="0" w:space="0" w:color="auto"/>
                        <w:right w:val="none" w:sz="0" w:space="0" w:color="auto"/>
                      </w:divBdr>
                      <w:divsChild>
                        <w:div w:id="1225682691">
                          <w:marLeft w:val="0"/>
                          <w:marRight w:val="0"/>
                          <w:marTop w:val="0"/>
                          <w:marBottom w:val="0"/>
                          <w:divBdr>
                            <w:top w:val="none" w:sz="0" w:space="0" w:color="auto"/>
                            <w:left w:val="none" w:sz="0" w:space="0" w:color="auto"/>
                            <w:bottom w:val="none" w:sz="0" w:space="0" w:color="auto"/>
                            <w:right w:val="none" w:sz="0" w:space="0" w:color="auto"/>
                          </w:divBdr>
                          <w:divsChild>
                            <w:div w:id="46153204">
                              <w:marLeft w:val="0"/>
                              <w:marRight w:val="0"/>
                              <w:marTop w:val="0"/>
                              <w:marBottom w:val="0"/>
                              <w:divBdr>
                                <w:top w:val="none" w:sz="0" w:space="0" w:color="auto"/>
                                <w:left w:val="none" w:sz="0" w:space="0" w:color="auto"/>
                                <w:bottom w:val="none" w:sz="0" w:space="0" w:color="auto"/>
                                <w:right w:val="none" w:sz="0" w:space="0" w:color="auto"/>
                              </w:divBdr>
                            </w:div>
                          </w:divsChild>
                        </w:div>
                        <w:div w:id="356466892">
                          <w:marLeft w:val="0"/>
                          <w:marRight w:val="0"/>
                          <w:marTop w:val="0"/>
                          <w:marBottom w:val="0"/>
                          <w:divBdr>
                            <w:top w:val="none" w:sz="0" w:space="0" w:color="auto"/>
                            <w:left w:val="none" w:sz="0" w:space="0" w:color="auto"/>
                            <w:bottom w:val="none" w:sz="0" w:space="0" w:color="auto"/>
                            <w:right w:val="none" w:sz="0" w:space="0" w:color="auto"/>
                          </w:divBdr>
                          <w:divsChild>
                            <w:div w:id="1722288236">
                              <w:marLeft w:val="0"/>
                              <w:marRight w:val="0"/>
                              <w:marTop w:val="0"/>
                              <w:marBottom w:val="0"/>
                              <w:divBdr>
                                <w:top w:val="none" w:sz="0" w:space="0" w:color="auto"/>
                                <w:left w:val="none" w:sz="0" w:space="0" w:color="auto"/>
                                <w:bottom w:val="none" w:sz="0" w:space="0" w:color="auto"/>
                                <w:right w:val="none" w:sz="0" w:space="0" w:color="auto"/>
                              </w:divBdr>
                            </w:div>
                          </w:divsChild>
                        </w:div>
                        <w:div w:id="900751589">
                          <w:marLeft w:val="0"/>
                          <w:marRight w:val="0"/>
                          <w:marTop w:val="0"/>
                          <w:marBottom w:val="0"/>
                          <w:divBdr>
                            <w:top w:val="none" w:sz="0" w:space="0" w:color="auto"/>
                            <w:left w:val="none" w:sz="0" w:space="0" w:color="auto"/>
                            <w:bottom w:val="none" w:sz="0" w:space="0" w:color="auto"/>
                            <w:right w:val="none" w:sz="0" w:space="0" w:color="auto"/>
                          </w:divBdr>
                          <w:divsChild>
                            <w:div w:id="17628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76954">
                      <w:marLeft w:val="0"/>
                      <w:marRight w:val="0"/>
                      <w:marTop w:val="0"/>
                      <w:marBottom w:val="0"/>
                      <w:divBdr>
                        <w:top w:val="none" w:sz="0" w:space="0" w:color="auto"/>
                        <w:left w:val="none" w:sz="0" w:space="0" w:color="auto"/>
                        <w:bottom w:val="none" w:sz="0" w:space="0" w:color="auto"/>
                        <w:right w:val="none" w:sz="0" w:space="0" w:color="auto"/>
                      </w:divBdr>
                      <w:divsChild>
                        <w:div w:id="1894148996">
                          <w:marLeft w:val="0"/>
                          <w:marRight w:val="0"/>
                          <w:marTop w:val="0"/>
                          <w:marBottom w:val="0"/>
                          <w:divBdr>
                            <w:top w:val="none" w:sz="0" w:space="0" w:color="auto"/>
                            <w:left w:val="none" w:sz="0" w:space="0" w:color="auto"/>
                            <w:bottom w:val="none" w:sz="0" w:space="0" w:color="auto"/>
                            <w:right w:val="none" w:sz="0" w:space="0" w:color="auto"/>
                          </w:divBdr>
                        </w:div>
                        <w:div w:id="1348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38187">
          <w:marLeft w:val="0"/>
          <w:marRight w:val="0"/>
          <w:marTop w:val="0"/>
          <w:marBottom w:val="0"/>
          <w:divBdr>
            <w:top w:val="none" w:sz="0" w:space="0" w:color="auto"/>
            <w:left w:val="none" w:sz="0" w:space="0" w:color="auto"/>
            <w:bottom w:val="none" w:sz="0" w:space="0" w:color="auto"/>
            <w:right w:val="none" w:sz="0" w:space="0" w:color="auto"/>
          </w:divBdr>
          <w:divsChild>
            <w:div w:id="1499926887">
              <w:marLeft w:val="0"/>
              <w:marRight w:val="0"/>
              <w:marTop w:val="0"/>
              <w:marBottom w:val="0"/>
              <w:divBdr>
                <w:top w:val="none" w:sz="0" w:space="0" w:color="auto"/>
                <w:left w:val="none" w:sz="0" w:space="0" w:color="auto"/>
                <w:bottom w:val="none" w:sz="0" w:space="0" w:color="auto"/>
                <w:right w:val="none" w:sz="0" w:space="0" w:color="auto"/>
              </w:divBdr>
              <w:divsChild>
                <w:div w:id="514274113">
                  <w:marLeft w:val="0"/>
                  <w:marRight w:val="0"/>
                  <w:marTop w:val="0"/>
                  <w:marBottom w:val="0"/>
                  <w:divBdr>
                    <w:top w:val="none" w:sz="0" w:space="0" w:color="auto"/>
                    <w:left w:val="none" w:sz="0" w:space="0" w:color="auto"/>
                    <w:bottom w:val="none" w:sz="0" w:space="0" w:color="auto"/>
                    <w:right w:val="none" w:sz="0" w:space="0" w:color="auto"/>
                  </w:divBdr>
                  <w:divsChild>
                    <w:div w:id="839852078">
                      <w:marLeft w:val="0"/>
                      <w:marRight w:val="0"/>
                      <w:marTop w:val="0"/>
                      <w:marBottom w:val="0"/>
                      <w:divBdr>
                        <w:top w:val="none" w:sz="0" w:space="0" w:color="auto"/>
                        <w:left w:val="none" w:sz="0" w:space="0" w:color="auto"/>
                        <w:bottom w:val="none" w:sz="0" w:space="0" w:color="auto"/>
                        <w:right w:val="none" w:sz="0" w:space="0" w:color="auto"/>
                      </w:divBdr>
                      <w:divsChild>
                        <w:div w:id="387726389">
                          <w:marLeft w:val="0"/>
                          <w:marRight w:val="0"/>
                          <w:marTop w:val="0"/>
                          <w:marBottom w:val="0"/>
                          <w:divBdr>
                            <w:top w:val="none" w:sz="0" w:space="0" w:color="auto"/>
                            <w:left w:val="none" w:sz="0" w:space="0" w:color="auto"/>
                            <w:bottom w:val="none" w:sz="0" w:space="0" w:color="auto"/>
                            <w:right w:val="none" w:sz="0" w:space="0" w:color="auto"/>
                          </w:divBdr>
                          <w:divsChild>
                            <w:div w:id="1751658049">
                              <w:marLeft w:val="0"/>
                              <w:marRight w:val="0"/>
                              <w:marTop w:val="0"/>
                              <w:marBottom w:val="0"/>
                              <w:divBdr>
                                <w:top w:val="none" w:sz="0" w:space="0" w:color="auto"/>
                                <w:left w:val="none" w:sz="0" w:space="0" w:color="auto"/>
                                <w:bottom w:val="none" w:sz="0" w:space="0" w:color="auto"/>
                                <w:right w:val="none" w:sz="0" w:space="0" w:color="auto"/>
                              </w:divBdr>
                            </w:div>
                          </w:divsChild>
                        </w:div>
                        <w:div w:id="1242714502">
                          <w:marLeft w:val="0"/>
                          <w:marRight w:val="0"/>
                          <w:marTop w:val="0"/>
                          <w:marBottom w:val="0"/>
                          <w:divBdr>
                            <w:top w:val="none" w:sz="0" w:space="0" w:color="auto"/>
                            <w:left w:val="none" w:sz="0" w:space="0" w:color="auto"/>
                            <w:bottom w:val="none" w:sz="0" w:space="0" w:color="auto"/>
                            <w:right w:val="none" w:sz="0" w:space="0" w:color="auto"/>
                          </w:divBdr>
                          <w:divsChild>
                            <w:div w:id="1312170148">
                              <w:marLeft w:val="0"/>
                              <w:marRight w:val="0"/>
                              <w:marTop w:val="0"/>
                              <w:marBottom w:val="0"/>
                              <w:divBdr>
                                <w:top w:val="none" w:sz="0" w:space="0" w:color="auto"/>
                                <w:left w:val="none" w:sz="0" w:space="0" w:color="auto"/>
                                <w:bottom w:val="none" w:sz="0" w:space="0" w:color="auto"/>
                                <w:right w:val="none" w:sz="0" w:space="0" w:color="auto"/>
                              </w:divBdr>
                            </w:div>
                          </w:divsChild>
                        </w:div>
                        <w:div w:id="1857578106">
                          <w:marLeft w:val="0"/>
                          <w:marRight w:val="0"/>
                          <w:marTop w:val="0"/>
                          <w:marBottom w:val="0"/>
                          <w:divBdr>
                            <w:top w:val="none" w:sz="0" w:space="0" w:color="auto"/>
                            <w:left w:val="none" w:sz="0" w:space="0" w:color="auto"/>
                            <w:bottom w:val="none" w:sz="0" w:space="0" w:color="auto"/>
                            <w:right w:val="none" w:sz="0" w:space="0" w:color="auto"/>
                          </w:divBdr>
                          <w:divsChild>
                            <w:div w:id="77012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36939">
      <w:bodyDiv w:val="1"/>
      <w:marLeft w:val="0"/>
      <w:marRight w:val="0"/>
      <w:marTop w:val="0"/>
      <w:marBottom w:val="0"/>
      <w:divBdr>
        <w:top w:val="none" w:sz="0" w:space="0" w:color="auto"/>
        <w:left w:val="none" w:sz="0" w:space="0" w:color="auto"/>
        <w:bottom w:val="none" w:sz="0" w:space="0" w:color="auto"/>
        <w:right w:val="none" w:sz="0" w:space="0" w:color="auto"/>
      </w:divBdr>
    </w:div>
    <w:div w:id="156192697">
      <w:bodyDiv w:val="1"/>
      <w:marLeft w:val="0"/>
      <w:marRight w:val="0"/>
      <w:marTop w:val="0"/>
      <w:marBottom w:val="0"/>
      <w:divBdr>
        <w:top w:val="none" w:sz="0" w:space="0" w:color="auto"/>
        <w:left w:val="none" w:sz="0" w:space="0" w:color="auto"/>
        <w:bottom w:val="none" w:sz="0" w:space="0" w:color="auto"/>
        <w:right w:val="none" w:sz="0" w:space="0" w:color="auto"/>
      </w:divBdr>
    </w:div>
    <w:div w:id="165438669">
      <w:bodyDiv w:val="1"/>
      <w:marLeft w:val="0"/>
      <w:marRight w:val="0"/>
      <w:marTop w:val="0"/>
      <w:marBottom w:val="0"/>
      <w:divBdr>
        <w:top w:val="none" w:sz="0" w:space="0" w:color="auto"/>
        <w:left w:val="none" w:sz="0" w:space="0" w:color="auto"/>
        <w:bottom w:val="none" w:sz="0" w:space="0" w:color="auto"/>
        <w:right w:val="none" w:sz="0" w:space="0" w:color="auto"/>
      </w:divBdr>
    </w:div>
    <w:div w:id="172231553">
      <w:bodyDiv w:val="1"/>
      <w:marLeft w:val="0"/>
      <w:marRight w:val="0"/>
      <w:marTop w:val="0"/>
      <w:marBottom w:val="0"/>
      <w:divBdr>
        <w:top w:val="none" w:sz="0" w:space="0" w:color="auto"/>
        <w:left w:val="none" w:sz="0" w:space="0" w:color="auto"/>
        <w:bottom w:val="none" w:sz="0" w:space="0" w:color="auto"/>
        <w:right w:val="none" w:sz="0" w:space="0" w:color="auto"/>
      </w:divBdr>
    </w:div>
    <w:div w:id="173494631">
      <w:bodyDiv w:val="1"/>
      <w:marLeft w:val="0"/>
      <w:marRight w:val="0"/>
      <w:marTop w:val="0"/>
      <w:marBottom w:val="0"/>
      <w:divBdr>
        <w:top w:val="none" w:sz="0" w:space="0" w:color="auto"/>
        <w:left w:val="none" w:sz="0" w:space="0" w:color="auto"/>
        <w:bottom w:val="none" w:sz="0" w:space="0" w:color="auto"/>
        <w:right w:val="none" w:sz="0" w:space="0" w:color="auto"/>
      </w:divBdr>
    </w:div>
    <w:div w:id="178400180">
      <w:bodyDiv w:val="1"/>
      <w:marLeft w:val="0"/>
      <w:marRight w:val="0"/>
      <w:marTop w:val="0"/>
      <w:marBottom w:val="0"/>
      <w:divBdr>
        <w:top w:val="none" w:sz="0" w:space="0" w:color="auto"/>
        <w:left w:val="none" w:sz="0" w:space="0" w:color="auto"/>
        <w:bottom w:val="none" w:sz="0" w:space="0" w:color="auto"/>
        <w:right w:val="none" w:sz="0" w:space="0" w:color="auto"/>
      </w:divBdr>
    </w:div>
    <w:div w:id="217669474">
      <w:bodyDiv w:val="1"/>
      <w:marLeft w:val="0"/>
      <w:marRight w:val="0"/>
      <w:marTop w:val="0"/>
      <w:marBottom w:val="0"/>
      <w:divBdr>
        <w:top w:val="none" w:sz="0" w:space="0" w:color="auto"/>
        <w:left w:val="none" w:sz="0" w:space="0" w:color="auto"/>
        <w:bottom w:val="none" w:sz="0" w:space="0" w:color="auto"/>
        <w:right w:val="none" w:sz="0" w:space="0" w:color="auto"/>
      </w:divBdr>
    </w:div>
    <w:div w:id="223223612">
      <w:bodyDiv w:val="1"/>
      <w:marLeft w:val="0"/>
      <w:marRight w:val="0"/>
      <w:marTop w:val="0"/>
      <w:marBottom w:val="0"/>
      <w:divBdr>
        <w:top w:val="none" w:sz="0" w:space="0" w:color="auto"/>
        <w:left w:val="none" w:sz="0" w:space="0" w:color="auto"/>
        <w:bottom w:val="none" w:sz="0" w:space="0" w:color="auto"/>
        <w:right w:val="none" w:sz="0" w:space="0" w:color="auto"/>
      </w:divBdr>
    </w:div>
    <w:div w:id="227545473">
      <w:bodyDiv w:val="1"/>
      <w:marLeft w:val="0"/>
      <w:marRight w:val="0"/>
      <w:marTop w:val="0"/>
      <w:marBottom w:val="0"/>
      <w:divBdr>
        <w:top w:val="none" w:sz="0" w:space="0" w:color="auto"/>
        <w:left w:val="none" w:sz="0" w:space="0" w:color="auto"/>
        <w:bottom w:val="none" w:sz="0" w:space="0" w:color="auto"/>
        <w:right w:val="none" w:sz="0" w:space="0" w:color="auto"/>
      </w:divBdr>
    </w:div>
    <w:div w:id="241262666">
      <w:bodyDiv w:val="1"/>
      <w:marLeft w:val="0"/>
      <w:marRight w:val="0"/>
      <w:marTop w:val="0"/>
      <w:marBottom w:val="0"/>
      <w:divBdr>
        <w:top w:val="none" w:sz="0" w:space="0" w:color="auto"/>
        <w:left w:val="none" w:sz="0" w:space="0" w:color="auto"/>
        <w:bottom w:val="none" w:sz="0" w:space="0" w:color="auto"/>
        <w:right w:val="none" w:sz="0" w:space="0" w:color="auto"/>
      </w:divBdr>
    </w:div>
    <w:div w:id="267008838">
      <w:bodyDiv w:val="1"/>
      <w:marLeft w:val="0"/>
      <w:marRight w:val="0"/>
      <w:marTop w:val="0"/>
      <w:marBottom w:val="0"/>
      <w:divBdr>
        <w:top w:val="none" w:sz="0" w:space="0" w:color="auto"/>
        <w:left w:val="none" w:sz="0" w:space="0" w:color="auto"/>
        <w:bottom w:val="none" w:sz="0" w:space="0" w:color="auto"/>
        <w:right w:val="none" w:sz="0" w:space="0" w:color="auto"/>
      </w:divBdr>
    </w:div>
    <w:div w:id="287467133">
      <w:bodyDiv w:val="1"/>
      <w:marLeft w:val="0"/>
      <w:marRight w:val="0"/>
      <w:marTop w:val="0"/>
      <w:marBottom w:val="0"/>
      <w:divBdr>
        <w:top w:val="none" w:sz="0" w:space="0" w:color="auto"/>
        <w:left w:val="none" w:sz="0" w:space="0" w:color="auto"/>
        <w:bottom w:val="none" w:sz="0" w:space="0" w:color="auto"/>
        <w:right w:val="none" w:sz="0" w:space="0" w:color="auto"/>
      </w:divBdr>
    </w:div>
    <w:div w:id="288707547">
      <w:bodyDiv w:val="1"/>
      <w:marLeft w:val="0"/>
      <w:marRight w:val="0"/>
      <w:marTop w:val="0"/>
      <w:marBottom w:val="0"/>
      <w:divBdr>
        <w:top w:val="none" w:sz="0" w:space="0" w:color="auto"/>
        <w:left w:val="none" w:sz="0" w:space="0" w:color="auto"/>
        <w:bottom w:val="none" w:sz="0" w:space="0" w:color="auto"/>
        <w:right w:val="none" w:sz="0" w:space="0" w:color="auto"/>
      </w:divBdr>
    </w:div>
    <w:div w:id="300038639">
      <w:bodyDiv w:val="1"/>
      <w:marLeft w:val="0"/>
      <w:marRight w:val="0"/>
      <w:marTop w:val="0"/>
      <w:marBottom w:val="0"/>
      <w:divBdr>
        <w:top w:val="none" w:sz="0" w:space="0" w:color="auto"/>
        <w:left w:val="none" w:sz="0" w:space="0" w:color="auto"/>
        <w:bottom w:val="none" w:sz="0" w:space="0" w:color="auto"/>
        <w:right w:val="none" w:sz="0" w:space="0" w:color="auto"/>
      </w:divBdr>
    </w:div>
    <w:div w:id="302661786">
      <w:bodyDiv w:val="1"/>
      <w:marLeft w:val="0"/>
      <w:marRight w:val="0"/>
      <w:marTop w:val="0"/>
      <w:marBottom w:val="0"/>
      <w:divBdr>
        <w:top w:val="none" w:sz="0" w:space="0" w:color="auto"/>
        <w:left w:val="none" w:sz="0" w:space="0" w:color="auto"/>
        <w:bottom w:val="none" w:sz="0" w:space="0" w:color="auto"/>
        <w:right w:val="none" w:sz="0" w:space="0" w:color="auto"/>
      </w:divBdr>
    </w:div>
    <w:div w:id="310715075">
      <w:bodyDiv w:val="1"/>
      <w:marLeft w:val="0"/>
      <w:marRight w:val="0"/>
      <w:marTop w:val="0"/>
      <w:marBottom w:val="0"/>
      <w:divBdr>
        <w:top w:val="none" w:sz="0" w:space="0" w:color="auto"/>
        <w:left w:val="none" w:sz="0" w:space="0" w:color="auto"/>
        <w:bottom w:val="none" w:sz="0" w:space="0" w:color="auto"/>
        <w:right w:val="none" w:sz="0" w:space="0" w:color="auto"/>
      </w:divBdr>
    </w:div>
    <w:div w:id="320810395">
      <w:bodyDiv w:val="1"/>
      <w:marLeft w:val="0"/>
      <w:marRight w:val="0"/>
      <w:marTop w:val="0"/>
      <w:marBottom w:val="0"/>
      <w:divBdr>
        <w:top w:val="none" w:sz="0" w:space="0" w:color="auto"/>
        <w:left w:val="none" w:sz="0" w:space="0" w:color="auto"/>
        <w:bottom w:val="none" w:sz="0" w:space="0" w:color="auto"/>
        <w:right w:val="none" w:sz="0" w:space="0" w:color="auto"/>
      </w:divBdr>
    </w:div>
    <w:div w:id="322396019">
      <w:bodyDiv w:val="1"/>
      <w:marLeft w:val="0"/>
      <w:marRight w:val="0"/>
      <w:marTop w:val="0"/>
      <w:marBottom w:val="0"/>
      <w:divBdr>
        <w:top w:val="none" w:sz="0" w:space="0" w:color="auto"/>
        <w:left w:val="none" w:sz="0" w:space="0" w:color="auto"/>
        <w:bottom w:val="none" w:sz="0" w:space="0" w:color="auto"/>
        <w:right w:val="none" w:sz="0" w:space="0" w:color="auto"/>
      </w:divBdr>
    </w:div>
    <w:div w:id="350374287">
      <w:bodyDiv w:val="1"/>
      <w:marLeft w:val="0"/>
      <w:marRight w:val="0"/>
      <w:marTop w:val="0"/>
      <w:marBottom w:val="0"/>
      <w:divBdr>
        <w:top w:val="none" w:sz="0" w:space="0" w:color="auto"/>
        <w:left w:val="none" w:sz="0" w:space="0" w:color="auto"/>
        <w:bottom w:val="none" w:sz="0" w:space="0" w:color="auto"/>
        <w:right w:val="none" w:sz="0" w:space="0" w:color="auto"/>
      </w:divBdr>
    </w:div>
    <w:div w:id="356657698">
      <w:bodyDiv w:val="1"/>
      <w:marLeft w:val="0"/>
      <w:marRight w:val="0"/>
      <w:marTop w:val="0"/>
      <w:marBottom w:val="0"/>
      <w:divBdr>
        <w:top w:val="none" w:sz="0" w:space="0" w:color="auto"/>
        <w:left w:val="none" w:sz="0" w:space="0" w:color="auto"/>
        <w:bottom w:val="none" w:sz="0" w:space="0" w:color="auto"/>
        <w:right w:val="none" w:sz="0" w:space="0" w:color="auto"/>
      </w:divBdr>
    </w:div>
    <w:div w:id="367950571">
      <w:bodyDiv w:val="1"/>
      <w:marLeft w:val="0"/>
      <w:marRight w:val="0"/>
      <w:marTop w:val="0"/>
      <w:marBottom w:val="0"/>
      <w:divBdr>
        <w:top w:val="none" w:sz="0" w:space="0" w:color="auto"/>
        <w:left w:val="none" w:sz="0" w:space="0" w:color="auto"/>
        <w:bottom w:val="none" w:sz="0" w:space="0" w:color="auto"/>
        <w:right w:val="none" w:sz="0" w:space="0" w:color="auto"/>
      </w:divBdr>
    </w:div>
    <w:div w:id="371003764">
      <w:bodyDiv w:val="1"/>
      <w:marLeft w:val="0"/>
      <w:marRight w:val="0"/>
      <w:marTop w:val="0"/>
      <w:marBottom w:val="0"/>
      <w:divBdr>
        <w:top w:val="none" w:sz="0" w:space="0" w:color="auto"/>
        <w:left w:val="none" w:sz="0" w:space="0" w:color="auto"/>
        <w:bottom w:val="none" w:sz="0" w:space="0" w:color="auto"/>
        <w:right w:val="none" w:sz="0" w:space="0" w:color="auto"/>
      </w:divBdr>
    </w:div>
    <w:div w:id="384106907">
      <w:bodyDiv w:val="1"/>
      <w:marLeft w:val="0"/>
      <w:marRight w:val="0"/>
      <w:marTop w:val="0"/>
      <w:marBottom w:val="0"/>
      <w:divBdr>
        <w:top w:val="none" w:sz="0" w:space="0" w:color="auto"/>
        <w:left w:val="none" w:sz="0" w:space="0" w:color="auto"/>
        <w:bottom w:val="none" w:sz="0" w:space="0" w:color="auto"/>
        <w:right w:val="none" w:sz="0" w:space="0" w:color="auto"/>
      </w:divBdr>
    </w:div>
    <w:div w:id="388382028">
      <w:bodyDiv w:val="1"/>
      <w:marLeft w:val="0"/>
      <w:marRight w:val="0"/>
      <w:marTop w:val="0"/>
      <w:marBottom w:val="0"/>
      <w:divBdr>
        <w:top w:val="none" w:sz="0" w:space="0" w:color="auto"/>
        <w:left w:val="none" w:sz="0" w:space="0" w:color="auto"/>
        <w:bottom w:val="none" w:sz="0" w:space="0" w:color="auto"/>
        <w:right w:val="none" w:sz="0" w:space="0" w:color="auto"/>
      </w:divBdr>
    </w:div>
    <w:div w:id="394355938">
      <w:bodyDiv w:val="1"/>
      <w:marLeft w:val="0"/>
      <w:marRight w:val="0"/>
      <w:marTop w:val="0"/>
      <w:marBottom w:val="0"/>
      <w:divBdr>
        <w:top w:val="none" w:sz="0" w:space="0" w:color="auto"/>
        <w:left w:val="none" w:sz="0" w:space="0" w:color="auto"/>
        <w:bottom w:val="none" w:sz="0" w:space="0" w:color="auto"/>
        <w:right w:val="none" w:sz="0" w:space="0" w:color="auto"/>
      </w:divBdr>
    </w:div>
    <w:div w:id="397829421">
      <w:bodyDiv w:val="1"/>
      <w:marLeft w:val="0"/>
      <w:marRight w:val="0"/>
      <w:marTop w:val="0"/>
      <w:marBottom w:val="0"/>
      <w:divBdr>
        <w:top w:val="none" w:sz="0" w:space="0" w:color="auto"/>
        <w:left w:val="none" w:sz="0" w:space="0" w:color="auto"/>
        <w:bottom w:val="none" w:sz="0" w:space="0" w:color="auto"/>
        <w:right w:val="none" w:sz="0" w:space="0" w:color="auto"/>
      </w:divBdr>
    </w:div>
    <w:div w:id="398484554">
      <w:bodyDiv w:val="1"/>
      <w:marLeft w:val="0"/>
      <w:marRight w:val="0"/>
      <w:marTop w:val="0"/>
      <w:marBottom w:val="0"/>
      <w:divBdr>
        <w:top w:val="none" w:sz="0" w:space="0" w:color="auto"/>
        <w:left w:val="none" w:sz="0" w:space="0" w:color="auto"/>
        <w:bottom w:val="none" w:sz="0" w:space="0" w:color="auto"/>
        <w:right w:val="none" w:sz="0" w:space="0" w:color="auto"/>
      </w:divBdr>
    </w:div>
    <w:div w:id="422338154">
      <w:bodyDiv w:val="1"/>
      <w:marLeft w:val="0"/>
      <w:marRight w:val="0"/>
      <w:marTop w:val="0"/>
      <w:marBottom w:val="0"/>
      <w:divBdr>
        <w:top w:val="none" w:sz="0" w:space="0" w:color="auto"/>
        <w:left w:val="none" w:sz="0" w:space="0" w:color="auto"/>
        <w:bottom w:val="none" w:sz="0" w:space="0" w:color="auto"/>
        <w:right w:val="none" w:sz="0" w:space="0" w:color="auto"/>
      </w:divBdr>
    </w:div>
    <w:div w:id="460079200">
      <w:bodyDiv w:val="1"/>
      <w:marLeft w:val="0"/>
      <w:marRight w:val="0"/>
      <w:marTop w:val="0"/>
      <w:marBottom w:val="0"/>
      <w:divBdr>
        <w:top w:val="none" w:sz="0" w:space="0" w:color="auto"/>
        <w:left w:val="none" w:sz="0" w:space="0" w:color="auto"/>
        <w:bottom w:val="none" w:sz="0" w:space="0" w:color="auto"/>
        <w:right w:val="none" w:sz="0" w:space="0" w:color="auto"/>
      </w:divBdr>
    </w:div>
    <w:div w:id="475994422">
      <w:bodyDiv w:val="1"/>
      <w:marLeft w:val="0"/>
      <w:marRight w:val="0"/>
      <w:marTop w:val="0"/>
      <w:marBottom w:val="0"/>
      <w:divBdr>
        <w:top w:val="none" w:sz="0" w:space="0" w:color="auto"/>
        <w:left w:val="none" w:sz="0" w:space="0" w:color="auto"/>
        <w:bottom w:val="none" w:sz="0" w:space="0" w:color="auto"/>
        <w:right w:val="none" w:sz="0" w:space="0" w:color="auto"/>
      </w:divBdr>
    </w:div>
    <w:div w:id="483469041">
      <w:bodyDiv w:val="1"/>
      <w:marLeft w:val="0"/>
      <w:marRight w:val="0"/>
      <w:marTop w:val="0"/>
      <w:marBottom w:val="0"/>
      <w:divBdr>
        <w:top w:val="none" w:sz="0" w:space="0" w:color="auto"/>
        <w:left w:val="none" w:sz="0" w:space="0" w:color="auto"/>
        <w:bottom w:val="none" w:sz="0" w:space="0" w:color="auto"/>
        <w:right w:val="none" w:sz="0" w:space="0" w:color="auto"/>
      </w:divBdr>
    </w:div>
    <w:div w:id="484397361">
      <w:bodyDiv w:val="1"/>
      <w:marLeft w:val="0"/>
      <w:marRight w:val="0"/>
      <w:marTop w:val="0"/>
      <w:marBottom w:val="0"/>
      <w:divBdr>
        <w:top w:val="none" w:sz="0" w:space="0" w:color="auto"/>
        <w:left w:val="none" w:sz="0" w:space="0" w:color="auto"/>
        <w:bottom w:val="none" w:sz="0" w:space="0" w:color="auto"/>
        <w:right w:val="none" w:sz="0" w:space="0" w:color="auto"/>
      </w:divBdr>
    </w:div>
    <w:div w:id="488400854">
      <w:bodyDiv w:val="1"/>
      <w:marLeft w:val="0"/>
      <w:marRight w:val="0"/>
      <w:marTop w:val="0"/>
      <w:marBottom w:val="0"/>
      <w:divBdr>
        <w:top w:val="none" w:sz="0" w:space="0" w:color="auto"/>
        <w:left w:val="none" w:sz="0" w:space="0" w:color="auto"/>
        <w:bottom w:val="none" w:sz="0" w:space="0" w:color="auto"/>
        <w:right w:val="none" w:sz="0" w:space="0" w:color="auto"/>
      </w:divBdr>
    </w:div>
    <w:div w:id="503983252">
      <w:bodyDiv w:val="1"/>
      <w:marLeft w:val="0"/>
      <w:marRight w:val="0"/>
      <w:marTop w:val="0"/>
      <w:marBottom w:val="0"/>
      <w:divBdr>
        <w:top w:val="none" w:sz="0" w:space="0" w:color="auto"/>
        <w:left w:val="none" w:sz="0" w:space="0" w:color="auto"/>
        <w:bottom w:val="none" w:sz="0" w:space="0" w:color="auto"/>
        <w:right w:val="none" w:sz="0" w:space="0" w:color="auto"/>
      </w:divBdr>
    </w:div>
    <w:div w:id="504781653">
      <w:bodyDiv w:val="1"/>
      <w:marLeft w:val="0"/>
      <w:marRight w:val="0"/>
      <w:marTop w:val="0"/>
      <w:marBottom w:val="0"/>
      <w:divBdr>
        <w:top w:val="none" w:sz="0" w:space="0" w:color="auto"/>
        <w:left w:val="none" w:sz="0" w:space="0" w:color="auto"/>
        <w:bottom w:val="none" w:sz="0" w:space="0" w:color="auto"/>
        <w:right w:val="none" w:sz="0" w:space="0" w:color="auto"/>
      </w:divBdr>
    </w:div>
    <w:div w:id="507644814">
      <w:bodyDiv w:val="1"/>
      <w:marLeft w:val="0"/>
      <w:marRight w:val="0"/>
      <w:marTop w:val="0"/>
      <w:marBottom w:val="0"/>
      <w:divBdr>
        <w:top w:val="none" w:sz="0" w:space="0" w:color="auto"/>
        <w:left w:val="none" w:sz="0" w:space="0" w:color="auto"/>
        <w:bottom w:val="none" w:sz="0" w:space="0" w:color="auto"/>
        <w:right w:val="none" w:sz="0" w:space="0" w:color="auto"/>
      </w:divBdr>
    </w:div>
    <w:div w:id="511798184">
      <w:bodyDiv w:val="1"/>
      <w:marLeft w:val="0"/>
      <w:marRight w:val="0"/>
      <w:marTop w:val="0"/>
      <w:marBottom w:val="0"/>
      <w:divBdr>
        <w:top w:val="none" w:sz="0" w:space="0" w:color="auto"/>
        <w:left w:val="none" w:sz="0" w:space="0" w:color="auto"/>
        <w:bottom w:val="none" w:sz="0" w:space="0" w:color="auto"/>
        <w:right w:val="none" w:sz="0" w:space="0" w:color="auto"/>
      </w:divBdr>
    </w:div>
    <w:div w:id="531109964">
      <w:bodyDiv w:val="1"/>
      <w:marLeft w:val="0"/>
      <w:marRight w:val="0"/>
      <w:marTop w:val="0"/>
      <w:marBottom w:val="0"/>
      <w:divBdr>
        <w:top w:val="none" w:sz="0" w:space="0" w:color="auto"/>
        <w:left w:val="none" w:sz="0" w:space="0" w:color="auto"/>
        <w:bottom w:val="none" w:sz="0" w:space="0" w:color="auto"/>
        <w:right w:val="none" w:sz="0" w:space="0" w:color="auto"/>
      </w:divBdr>
    </w:div>
    <w:div w:id="560823731">
      <w:bodyDiv w:val="1"/>
      <w:marLeft w:val="0"/>
      <w:marRight w:val="0"/>
      <w:marTop w:val="0"/>
      <w:marBottom w:val="0"/>
      <w:divBdr>
        <w:top w:val="none" w:sz="0" w:space="0" w:color="auto"/>
        <w:left w:val="none" w:sz="0" w:space="0" w:color="auto"/>
        <w:bottom w:val="none" w:sz="0" w:space="0" w:color="auto"/>
        <w:right w:val="none" w:sz="0" w:space="0" w:color="auto"/>
      </w:divBdr>
    </w:div>
    <w:div w:id="564342934">
      <w:bodyDiv w:val="1"/>
      <w:marLeft w:val="0"/>
      <w:marRight w:val="0"/>
      <w:marTop w:val="0"/>
      <w:marBottom w:val="0"/>
      <w:divBdr>
        <w:top w:val="none" w:sz="0" w:space="0" w:color="auto"/>
        <w:left w:val="none" w:sz="0" w:space="0" w:color="auto"/>
        <w:bottom w:val="none" w:sz="0" w:space="0" w:color="auto"/>
        <w:right w:val="none" w:sz="0" w:space="0" w:color="auto"/>
      </w:divBdr>
    </w:div>
    <w:div w:id="564493627">
      <w:bodyDiv w:val="1"/>
      <w:marLeft w:val="0"/>
      <w:marRight w:val="0"/>
      <w:marTop w:val="0"/>
      <w:marBottom w:val="0"/>
      <w:divBdr>
        <w:top w:val="none" w:sz="0" w:space="0" w:color="auto"/>
        <w:left w:val="none" w:sz="0" w:space="0" w:color="auto"/>
        <w:bottom w:val="none" w:sz="0" w:space="0" w:color="auto"/>
        <w:right w:val="none" w:sz="0" w:space="0" w:color="auto"/>
      </w:divBdr>
    </w:div>
    <w:div w:id="613487461">
      <w:bodyDiv w:val="1"/>
      <w:marLeft w:val="0"/>
      <w:marRight w:val="0"/>
      <w:marTop w:val="0"/>
      <w:marBottom w:val="0"/>
      <w:divBdr>
        <w:top w:val="none" w:sz="0" w:space="0" w:color="auto"/>
        <w:left w:val="none" w:sz="0" w:space="0" w:color="auto"/>
        <w:bottom w:val="none" w:sz="0" w:space="0" w:color="auto"/>
        <w:right w:val="none" w:sz="0" w:space="0" w:color="auto"/>
      </w:divBdr>
    </w:div>
    <w:div w:id="614793352">
      <w:bodyDiv w:val="1"/>
      <w:marLeft w:val="0"/>
      <w:marRight w:val="0"/>
      <w:marTop w:val="0"/>
      <w:marBottom w:val="0"/>
      <w:divBdr>
        <w:top w:val="none" w:sz="0" w:space="0" w:color="auto"/>
        <w:left w:val="none" w:sz="0" w:space="0" w:color="auto"/>
        <w:bottom w:val="none" w:sz="0" w:space="0" w:color="auto"/>
        <w:right w:val="none" w:sz="0" w:space="0" w:color="auto"/>
      </w:divBdr>
    </w:div>
    <w:div w:id="662659353">
      <w:bodyDiv w:val="1"/>
      <w:marLeft w:val="0"/>
      <w:marRight w:val="0"/>
      <w:marTop w:val="0"/>
      <w:marBottom w:val="0"/>
      <w:divBdr>
        <w:top w:val="none" w:sz="0" w:space="0" w:color="auto"/>
        <w:left w:val="none" w:sz="0" w:space="0" w:color="auto"/>
        <w:bottom w:val="none" w:sz="0" w:space="0" w:color="auto"/>
        <w:right w:val="none" w:sz="0" w:space="0" w:color="auto"/>
      </w:divBdr>
    </w:div>
    <w:div w:id="669720364">
      <w:bodyDiv w:val="1"/>
      <w:marLeft w:val="0"/>
      <w:marRight w:val="0"/>
      <w:marTop w:val="0"/>
      <w:marBottom w:val="0"/>
      <w:divBdr>
        <w:top w:val="none" w:sz="0" w:space="0" w:color="auto"/>
        <w:left w:val="none" w:sz="0" w:space="0" w:color="auto"/>
        <w:bottom w:val="none" w:sz="0" w:space="0" w:color="auto"/>
        <w:right w:val="none" w:sz="0" w:space="0" w:color="auto"/>
      </w:divBdr>
    </w:div>
    <w:div w:id="674040552">
      <w:bodyDiv w:val="1"/>
      <w:marLeft w:val="0"/>
      <w:marRight w:val="0"/>
      <w:marTop w:val="0"/>
      <w:marBottom w:val="0"/>
      <w:divBdr>
        <w:top w:val="none" w:sz="0" w:space="0" w:color="auto"/>
        <w:left w:val="none" w:sz="0" w:space="0" w:color="auto"/>
        <w:bottom w:val="none" w:sz="0" w:space="0" w:color="auto"/>
        <w:right w:val="none" w:sz="0" w:space="0" w:color="auto"/>
      </w:divBdr>
    </w:div>
    <w:div w:id="682896270">
      <w:bodyDiv w:val="1"/>
      <w:marLeft w:val="0"/>
      <w:marRight w:val="0"/>
      <w:marTop w:val="0"/>
      <w:marBottom w:val="0"/>
      <w:divBdr>
        <w:top w:val="none" w:sz="0" w:space="0" w:color="auto"/>
        <w:left w:val="none" w:sz="0" w:space="0" w:color="auto"/>
        <w:bottom w:val="none" w:sz="0" w:space="0" w:color="auto"/>
        <w:right w:val="none" w:sz="0" w:space="0" w:color="auto"/>
      </w:divBdr>
    </w:div>
    <w:div w:id="694160486">
      <w:bodyDiv w:val="1"/>
      <w:marLeft w:val="0"/>
      <w:marRight w:val="0"/>
      <w:marTop w:val="0"/>
      <w:marBottom w:val="0"/>
      <w:divBdr>
        <w:top w:val="none" w:sz="0" w:space="0" w:color="auto"/>
        <w:left w:val="none" w:sz="0" w:space="0" w:color="auto"/>
        <w:bottom w:val="none" w:sz="0" w:space="0" w:color="auto"/>
        <w:right w:val="none" w:sz="0" w:space="0" w:color="auto"/>
      </w:divBdr>
    </w:div>
    <w:div w:id="698047878">
      <w:bodyDiv w:val="1"/>
      <w:marLeft w:val="0"/>
      <w:marRight w:val="0"/>
      <w:marTop w:val="0"/>
      <w:marBottom w:val="0"/>
      <w:divBdr>
        <w:top w:val="none" w:sz="0" w:space="0" w:color="auto"/>
        <w:left w:val="none" w:sz="0" w:space="0" w:color="auto"/>
        <w:bottom w:val="none" w:sz="0" w:space="0" w:color="auto"/>
        <w:right w:val="none" w:sz="0" w:space="0" w:color="auto"/>
      </w:divBdr>
    </w:div>
    <w:div w:id="704865106">
      <w:bodyDiv w:val="1"/>
      <w:marLeft w:val="0"/>
      <w:marRight w:val="0"/>
      <w:marTop w:val="0"/>
      <w:marBottom w:val="0"/>
      <w:divBdr>
        <w:top w:val="none" w:sz="0" w:space="0" w:color="auto"/>
        <w:left w:val="none" w:sz="0" w:space="0" w:color="auto"/>
        <w:bottom w:val="none" w:sz="0" w:space="0" w:color="auto"/>
        <w:right w:val="none" w:sz="0" w:space="0" w:color="auto"/>
      </w:divBdr>
    </w:div>
    <w:div w:id="721557828">
      <w:bodyDiv w:val="1"/>
      <w:marLeft w:val="0"/>
      <w:marRight w:val="0"/>
      <w:marTop w:val="0"/>
      <w:marBottom w:val="0"/>
      <w:divBdr>
        <w:top w:val="none" w:sz="0" w:space="0" w:color="auto"/>
        <w:left w:val="none" w:sz="0" w:space="0" w:color="auto"/>
        <w:bottom w:val="none" w:sz="0" w:space="0" w:color="auto"/>
        <w:right w:val="none" w:sz="0" w:space="0" w:color="auto"/>
      </w:divBdr>
    </w:div>
    <w:div w:id="751971429">
      <w:bodyDiv w:val="1"/>
      <w:marLeft w:val="0"/>
      <w:marRight w:val="0"/>
      <w:marTop w:val="0"/>
      <w:marBottom w:val="0"/>
      <w:divBdr>
        <w:top w:val="none" w:sz="0" w:space="0" w:color="auto"/>
        <w:left w:val="none" w:sz="0" w:space="0" w:color="auto"/>
        <w:bottom w:val="none" w:sz="0" w:space="0" w:color="auto"/>
        <w:right w:val="none" w:sz="0" w:space="0" w:color="auto"/>
      </w:divBdr>
    </w:div>
    <w:div w:id="768307086">
      <w:bodyDiv w:val="1"/>
      <w:marLeft w:val="0"/>
      <w:marRight w:val="0"/>
      <w:marTop w:val="0"/>
      <w:marBottom w:val="0"/>
      <w:divBdr>
        <w:top w:val="none" w:sz="0" w:space="0" w:color="auto"/>
        <w:left w:val="none" w:sz="0" w:space="0" w:color="auto"/>
        <w:bottom w:val="none" w:sz="0" w:space="0" w:color="auto"/>
        <w:right w:val="none" w:sz="0" w:space="0" w:color="auto"/>
      </w:divBdr>
    </w:div>
    <w:div w:id="773401257">
      <w:bodyDiv w:val="1"/>
      <w:marLeft w:val="0"/>
      <w:marRight w:val="0"/>
      <w:marTop w:val="0"/>
      <w:marBottom w:val="0"/>
      <w:divBdr>
        <w:top w:val="none" w:sz="0" w:space="0" w:color="auto"/>
        <w:left w:val="none" w:sz="0" w:space="0" w:color="auto"/>
        <w:bottom w:val="none" w:sz="0" w:space="0" w:color="auto"/>
        <w:right w:val="none" w:sz="0" w:space="0" w:color="auto"/>
      </w:divBdr>
    </w:div>
    <w:div w:id="774328409">
      <w:bodyDiv w:val="1"/>
      <w:marLeft w:val="0"/>
      <w:marRight w:val="0"/>
      <w:marTop w:val="0"/>
      <w:marBottom w:val="0"/>
      <w:divBdr>
        <w:top w:val="none" w:sz="0" w:space="0" w:color="auto"/>
        <w:left w:val="none" w:sz="0" w:space="0" w:color="auto"/>
        <w:bottom w:val="none" w:sz="0" w:space="0" w:color="auto"/>
        <w:right w:val="none" w:sz="0" w:space="0" w:color="auto"/>
      </w:divBdr>
    </w:div>
    <w:div w:id="775254478">
      <w:bodyDiv w:val="1"/>
      <w:marLeft w:val="0"/>
      <w:marRight w:val="0"/>
      <w:marTop w:val="0"/>
      <w:marBottom w:val="0"/>
      <w:divBdr>
        <w:top w:val="none" w:sz="0" w:space="0" w:color="auto"/>
        <w:left w:val="none" w:sz="0" w:space="0" w:color="auto"/>
        <w:bottom w:val="none" w:sz="0" w:space="0" w:color="auto"/>
        <w:right w:val="none" w:sz="0" w:space="0" w:color="auto"/>
      </w:divBdr>
      <w:divsChild>
        <w:div w:id="1167594148">
          <w:marLeft w:val="0"/>
          <w:marRight w:val="0"/>
          <w:marTop w:val="0"/>
          <w:marBottom w:val="0"/>
          <w:divBdr>
            <w:top w:val="none" w:sz="0" w:space="0" w:color="auto"/>
            <w:left w:val="none" w:sz="0" w:space="0" w:color="auto"/>
            <w:bottom w:val="none" w:sz="0" w:space="0" w:color="auto"/>
            <w:right w:val="none" w:sz="0" w:space="0" w:color="auto"/>
          </w:divBdr>
          <w:divsChild>
            <w:div w:id="307056120">
              <w:marLeft w:val="0"/>
              <w:marRight w:val="0"/>
              <w:marTop w:val="0"/>
              <w:marBottom w:val="0"/>
              <w:divBdr>
                <w:top w:val="none" w:sz="0" w:space="0" w:color="auto"/>
                <w:left w:val="none" w:sz="0" w:space="0" w:color="auto"/>
                <w:bottom w:val="none" w:sz="0" w:space="0" w:color="auto"/>
                <w:right w:val="none" w:sz="0" w:space="0" w:color="auto"/>
              </w:divBdr>
              <w:divsChild>
                <w:div w:id="891773469">
                  <w:marLeft w:val="0"/>
                  <w:marRight w:val="0"/>
                  <w:marTop w:val="0"/>
                  <w:marBottom w:val="0"/>
                  <w:divBdr>
                    <w:top w:val="none" w:sz="0" w:space="0" w:color="auto"/>
                    <w:left w:val="none" w:sz="0" w:space="0" w:color="auto"/>
                    <w:bottom w:val="none" w:sz="0" w:space="0" w:color="auto"/>
                    <w:right w:val="none" w:sz="0" w:space="0" w:color="auto"/>
                  </w:divBdr>
                  <w:divsChild>
                    <w:div w:id="841549345">
                      <w:marLeft w:val="0"/>
                      <w:marRight w:val="0"/>
                      <w:marTop w:val="0"/>
                      <w:marBottom w:val="0"/>
                      <w:divBdr>
                        <w:top w:val="none" w:sz="0" w:space="0" w:color="auto"/>
                        <w:left w:val="none" w:sz="0" w:space="0" w:color="auto"/>
                        <w:bottom w:val="none" w:sz="0" w:space="0" w:color="auto"/>
                        <w:right w:val="none" w:sz="0" w:space="0" w:color="auto"/>
                      </w:divBdr>
                      <w:divsChild>
                        <w:div w:id="1877355898">
                          <w:marLeft w:val="0"/>
                          <w:marRight w:val="0"/>
                          <w:marTop w:val="0"/>
                          <w:marBottom w:val="0"/>
                          <w:divBdr>
                            <w:top w:val="none" w:sz="0" w:space="0" w:color="auto"/>
                            <w:left w:val="none" w:sz="0" w:space="0" w:color="auto"/>
                            <w:bottom w:val="none" w:sz="0" w:space="0" w:color="auto"/>
                            <w:right w:val="none" w:sz="0" w:space="0" w:color="auto"/>
                          </w:divBdr>
                          <w:divsChild>
                            <w:div w:id="16150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876343">
      <w:bodyDiv w:val="1"/>
      <w:marLeft w:val="0"/>
      <w:marRight w:val="0"/>
      <w:marTop w:val="0"/>
      <w:marBottom w:val="0"/>
      <w:divBdr>
        <w:top w:val="none" w:sz="0" w:space="0" w:color="auto"/>
        <w:left w:val="none" w:sz="0" w:space="0" w:color="auto"/>
        <w:bottom w:val="none" w:sz="0" w:space="0" w:color="auto"/>
        <w:right w:val="none" w:sz="0" w:space="0" w:color="auto"/>
      </w:divBdr>
    </w:div>
    <w:div w:id="803350573">
      <w:bodyDiv w:val="1"/>
      <w:marLeft w:val="0"/>
      <w:marRight w:val="0"/>
      <w:marTop w:val="0"/>
      <w:marBottom w:val="0"/>
      <w:divBdr>
        <w:top w:val="none" w:sz="0" w:space="0" w:color="auto"/>
        <w:left w:val="none" w:sz="0" w:space="0" w:color="auto"/>
        <w:bottom w:val="none" w:sz="0" w:space="0" w:color="auto"/>
        <w:right w:val="none" w:sz="0" w:space="0" w:color="auto"/>
      </w:divBdr>
    </w:div>
    <w:div w:id="819922364">
      <w:bodyDiv w:val="1"/>
      <w:marLeft w:val="0"/>
      <w:marRight w:val="0"/>
      <w:marTop w:val="0"/>
      <w:marBottom w:val="0"/>
      <w:divBdr>
        <w:top w:val="none" w:sz="0" w:space="0" w:color="auto"/>
        <w:left w:val="none" w:sz="0" w:space="0" w:color="auto"/>
        <w:bottom w:val="none" w:sz="0" w:space="0" w:color="auto"/>
        <w:right w:val="none" w:sz="0" w:space="0" w:color="auto"/>
      </w:divBdr>
    </w:div>
    <w:div w:id="821505098">
      <w:bodyDiv w:val="1"/>
      <w:marLeft w:val="0"/>
      <w:marRight w:val="0"/>
      <w:marTop w:val="0"/>
      <w:marBottom w:val="0"/>
      <w:divBdr>
        <w:top w:val="none" w:sz="0" w:space="0" w:color="auto"/>
        <w:left w:val="none" w:sz="0" w:space="0" w:color="auto"/>
        <w:bottom w:val="none" w:sz="0" w:space="0" w:color="auto"/>
        <w:right w:val="none" w:sz="0" w:space="0" w:color="auto"/>
      </w:divBdr>
    </w:div>
    <w:div w:id="826282487">
      <w:bodyDiv w:val="1"/>
      <w:marLeft w:val="0"/>
      <w:marRight w:val="0"/>
      <w:marTop w:val="0"/>
      <w:marBottom w:val="0"/>
      <w:divBdr>
        <w:top w:val="none" w:sz="0" w:space="0" w:color="auto"/>
        <w:left w:val="none" w:sz="0" w:space="0" w:color="auto"/>
        <w:bottom w:val="none" w:sz="0" w:space="0" w:color="auto"/>
        <w:right w:val="none" w:sz="0" w:space="0" w:color="auto"/>
      </w:divBdr>
    </w:div>
    <w:div w:id="833953567">
      <w:bodyDiv w:val="1"/>
      <w:marLeft w:val="0"/>
      <w:marRight w:val="0"/>
      <w:marTop w:val="0"/>
      <w:marBottom w:val="0"/>
      <w:divBdr>
        <w:top w:val="none" w:sz="0" w:space="0" w:color="auto"/>
        <w:left w:val="none" w:sz="0" w:space="0" w:color="auto"/>
        <w:bottom w:val="none" w:sz="0" w:space="0" w:color="auto"/>
        <w:right w:val="none" w:sz="0" w:space="0" w:color="auto"/>
      </w:divBdr>
    </w:div>
    <w:div w:id="843476773">
      <w:bodyDiv w:val="1"/>
      <w:marLeft w:val="0"/>
      <w:marRight w:val="0"/>
      <w:marTop w:val="0"/>
      <w:marBottom w:val="0"/>
      <w:divBdr>
        <w:top w:val="none" w:sz="0" w:space="0" w:color="auto"/>
        <w:left w:val="none" w:sz="0" w:space="0" w:color="auto"/>
        <w:bottom w:val="none" w:sz="0" w:space="0" w:color="auto"/>
        <w:right w:val="none" w:sz="0" w:space="0" w:color="auto"/>
      </w:divBdr>
    </w:div>
    <w:div w:id="857626125">
      <w:bodyDiv w:val="1"/>
      <w:marLeft w:val="0"/>
      <w:marRight w:val="0"/>
      <w:marTop w:val="0"/>
      <w:marBottom w:val="0"/>
      <w:divBdr>
        <w:top w:val="none" w:sz="0" w:space="0" w:color="auto"/>
        <w:left w:val="none" w:sz="0" w:space="0" w:color="auto"/>
        <w:bottom w:val="none" w:sz="0" w:space="0" w:color="auto"/>
        <w:right w:val="none" w:sz="0" w:space="0" w:color="auto"/>
      </w:divBdr>
    </w:div>
    <w:div w:id="859395478">
      <w:bodyDiv w:val="1"/>
      <w:marLeft w:val="0"/>
      <w:marRight w:val="0"/>
      <w:marTop w:val="0"/>
      <w:marBottom w:val="0"/>
      <w:divBdr>
        <w:top w:val="none" w:sz="0" w:space="0" w:color="auto"/>
        <w:left w:val="none" w:sz="0" w:space="0" w:color="auto"/>
        <w:bottom w:val="none" w:sz="0" w:space="0" w:color="auto"/>
        <w:right w:val="none" w:sz="0" w:space="0" w:color="auto"/>
      </w:divBdr>
    </w:div>
    <w:div w:id="878781448">
      <w:bodyDiv w:val="1"/>
      <w:marLeft w:val="0"/>
      <w:marRight w:val="0"/>
      <w:marTop w:val="0"/>
      <w:marBottom w:val="0"/>
      <w:divBdr>
        <w:top w:val="none" w:sz="0" w:space="0" w:color="auto"/>
        <w:left w:val="none" w:sz="0" w:space="0" w:color="auto"/>
        <w:bottom w:val="none" w:sz="0" w:space="0" w:color="auto"/>
        <w:right w:val="none" w:sz="0" w:space="0" w:color="auto"/>
      </w:divBdr>
    </w:div>
    <w:div w:id="885027994">
      <w:bodyDiv w:val="1"/>
      <w:marLeft w:val="0"/>
      <w:marRight w:val="0"/>
      <w:marTop w:val="0"/>
      <w:marBottom w:val="0"/>
      <w:divBdr>
        <w:top w:val="none" w:sz="0" w:space="0" w:color="auto"/>
        <w:left w:val="none" w:sz="0" w:space="0" w:color="auto"/>
        <w:bottom w:val="none" w:sz="0" w:space="0" w:color="auto"/>
        <w:right w:val="none" w:sz="0" w:space="0" w:color="auto"/>
      </w:divBdr>
    </w:div>
    <w:div w:id="886792891">
      <w:bodyDiv w:val="1"/>
      <w:marLeft w:val="0"/>
      <w:marRight w:val="0"/>
      <w:marTop w:val="0"/>
      <w:marBottom w:val="0"/>
      <w:divBdr>
        <w:top w:val="none" w:sz="0" w:space="0" w:color="auto"/>
        <w:left w:val="none" w:sz="0" w:space="0" w:color="auto"/>
        <w:bottom w:val="none" w:sz="0" w:space="0" w:color="auto"/>
        <w:right w:val="none" w:sz="0" w:space="0" w:color="auto"/>
      </w:divBdr>
    </w:div>
    <w:div w:id="886799149">
      <w:bodyDiv w:val="1"/>
      <w:marLeft w:val="0"/>
      <w:marRight w:val="0"/>
      <w:marTop w:val="0"/>
      <w:marBottom w:val="0"/>
      <w:divBdr>
        <w:top w:val="none" w:sz="0" w:space="0" w:color="auto"/>
        <w:left w:val="none" w:sz="0" w:space="0" w:color="auto"/>
        <w:bottom w:val="none" w:sz="0" w:space="0" w:color="auto"/>
        <w:right w:val="none" w:sz="0" w:space="0" w:color="auto"/>
      </w:divBdr>
    </w:div>
    <w:div w:id="890070700">
      <w:bodyDiv w:val="1"/>
      <w:marLeft w:val="0"/>
      <w:marRight w:val="0"/>
      <w:marTop w:val="0"/>
      <w:marBottom w:val="0"/>
      <w:divBdr>
        <w:top w:val="none" w:sz="0" w:space="0" w:color="auto"/>
        <w:left w:val="none" w:sz="0" w:space="0" w:color="auto"/>
        <w:bottom w:val="none" w:sz="0" w:space="0" w:color="auto"/>
        <w:right w:val="none" w:sz="0" w:space="0" w:color="auto"/>
      </w:divBdr>
    </w:div>
    <w:div w:id="890464289">
      <w:bodyDiv w:val="1"/>
      <w:marLeft w:val="0"/>
      <w:marRight w:val="0"/>
      <w:marTop w:val="0"/>
      <w:marBottom w:val="0"/>
      <w:divBdr>
        <w:top w:val="none" w:sz="0" w:space="0" w:color="auto"/>
        <w:left w:val="none" w:sz="0" w:space="0" w:color="auto"/>
        <w:bottom w:val="none" w:sz="0" w:space="0" w:color="auto"/>
        <w:right w:val="none" w:sz="0" w:space="0" w:color="auto"/>
      </w:divBdr>
    </w:div>
    <w:div w:id="900019669">
      <w:bodyDiv w:val="1"/>
      <w:marLeft w:val="0"/>
      <w:marRight w:val="0"/>
      <w:marTop w:val="0"/>
      <w:marBottom w:val="0"/>
      <w:divBdr>
        <w:top w:val="none" w:sz="0" w:space="0" w:color="auto"/>
        <w:left w:val="none" w:sz="0" w:space="0" w:color="auto"/>
        <w:bottom w:val="none" w:sz="0" w:space="0" w:color="auto"/>
        <w:right w:val="none" w:sz="0" w:space="0" w:color="auto"/>
      </w:divBdr>
    </w:div>
    <w:div w:id="917637805">
      <w:bodyDiv w:val="1"/>
      <w:marLeft w:val="0"/>
      <w:marRight w:val="0"/>
      <w:marTop w:val="0"/>
      <w:marBottom w:val="0"/>
      <w:divBdr>
        <w:top w:val="none" w:sz="0" w:space="0" w:color="auto"/>
        <w:left w:val="none" w:sz="0" w:space="0" w:color="auto"/>
        <w:bottom w:val="none" w:sz="0" w:space="0" w:color="auto"/>
        <w:right w:val="none" w:sz="0" w:space="0" w:color="auto"/>
      </w:divBdr>
    </w:div>
    <w:div w:id="924260830">
      <w:bodyDiv w:val="1"/>
      <w:marLeft w:val="0"/>
      <w:marRight w:val="0"/>
      <w:marTop w:val="0"/>
      <w:marBottom w:val="0"/>
      <w:divBdr>
        <w:top w:val="none" w:sz="0" w:space="0" w:color="auto"/>
        <w:left w:val="none" w:sz="0" w:space="0" w:color="auto"/>
        <w:bottom w:val="none" w:sz="0" w:space="0" w:color="auto"/>
        <w:right w:val="none" w:sz="0" w:space="0" w:color="auto"/>
      </w:divBdr>
    </w:div>
    <w:div w:id="929966326">
      <w:bodyDiv w:val="1"/>
      <w:marLeft w:val="0"/>
      <w:marRight w:val="0"/>
      <w:marTop w:val="0"/>
      <w:marBottom w:val="0"/>
      <w:divBdr>
        <w:top w:val="none" w:sz="0" w:space="0" w:color="auto"/>
        <w:left w:val="none" w:sz="0" w:space="0" w:color="auto"/>
        <w:bottom w:val="none" w:sz="0" w:space="0" w:color="auto"/>
        <w:right w:val="none" w:sz="0" w:space="0" w:color="auto"/>
      </w:divBdr>
    </w:div>
    <w:div w:id="950430633">
      <w:bodyDiv w:val="1"/>
      <w:marLeft w:val="0"/>
      <w:marRight w:val="0"/>
      <w:marTop w:val="0"/>
      <w:marBottom w:val="0"/>
      <w:divBdr>
        <w:top w:val="none" w:sz="0" w:space="0" w:color="auto"/>
        <w:left w:val="none" w:sz="0" w:space="0" w:color="auto"/>
        <w:bottom w:val="none" w:sz="0" w:space="0" w:color="auto"/>
        <w:right w:val="none" w:sz="0" w:space="0" w:color="auto"/>
      </w:divBdr>
    </w:div>
    <w:div w:id="955714698">
      <w:bodyDiv w:val="1"/>
      <w:marLeft w:val="0"/>
      <w:marRight w:val="0"/>
      <w:marTop w:val="0"/>
      <w:marBottom w:val="0"/>
      <w:divBdr>
        <w:top w:val="none" w:sz="0" w:space="0" w:color="auto"/>
        <w:left w:val="none" w:sz="0" w:space="0" w:color="auto"/>
        <w:bottom w:val="none" w:sz="0" w:space="0" w:color="auto"/>
        <w:right w:val="none" w:sz="0" w:space="0" w:color="auto"/>
      </w:divBdr>
    </w:div>
    <w:div w:id="964845370">
      <w:bodyDiv w:val="1"/>
      <w:marLeft w:val="0"/>
      <w:marRight w:val="0"/>
      <w:marTop w:val="0"/>
      <w:marBottom w:val="0"/>
      <w:divBdr>
        <w:top w:val="none" w:sz="0" w:space="0" w:color="auto"/>
        <w:left w:val="none" w:sz="0" w:space="0" w:color="auto"/>
        <w:bottom w:val="none" w:sz="0" w:space="0" w:color="auto"/>
        <w:right w:val="none" w:sz="0" w:space="0" w:color="auto"/>
      </w:divBdr>
    </w:div>
    <w:div w:id="980697298">
      <w:bodyDiv w:val="1"/>
      <w:marLeft w:val="0"/>
      <w:marRight w:val="0"/>
      <w:marTop w:val="0"/>
      <w:marBottom w:val="0"/>
      <w:divBdr>
        <w:top w:val="none" w:sz="0" w:space="0" w:color="auto"/>
        <w:left w:val="none" w:sz="0" w:space="0" w:color="auto"/>
        <w:bottom w:val="none" w:sz="0" w:space="0" w:color="auto"/>
        <w:right w:val="none" w:sz="0" w:space="0" w:color="auto"/>
      </w:divBdr>
    </w:div>
    <w:div w:id="984313902">
      <w:bodyDiv w:val="1"/>
      <w:marLeft w:val="0"/>
      <w:marRight w:val="0"/>
      <w:marTop w:val="0"/>
      <w:marBottom w:val="0"/>
      <w:divBdr>
        <w:top w:val="none" w:sz="0" w:space="0" w:color="auto"/>
        <w:left w:val="none" w:sz="0" w:space="0" w:color="auto"/>
        <w:bottom w:val="none" w:sz="0" w:space="0" w:color="auto"/>
        <w:right w:val="none" w:sz="0" w:space="0" w:color="auto"/>
      </w:divBdr>
    </w:div>
    <w:div w:id="1006397741">
      <w:bodyDiv w:val="1"/>
      <w:marLeft w:val="0"/>
      <w:marRight w:val="0"/>
      <w:marTop w:val="0"/>
      <w:marBottom w:val="0"/>
      <w:divBdr>
        <w:top w:val="none" w:sz="0" w:space="0" w:color="auto"/>
        <w:left w:val="none" w:sz="0" w:space="0" w:color="auto"/>
        <w:bottom w:val="none" w:sz="0" w:space="0" w:color="auto"/>
        <w:right w:val="none" w:sz="0" w:space="0" w:color="auto"/>
      </w:divBdr>
    </w:div>
    <w:div w:id="1038428119">
      <w:bodyDiv w:val="1"/>
      <w:marLeft w:val="0"/>
      <w:marRight w:val="0"/>
      <w:marTop w:val="0"/>
      <w:marBottom w:val="0"/>
      <w:divBdr>
        <w:top w:val="none" w:sz="0" w:space="0" w:color="auto"/>
        <w:left w:val="none" w:sz="0" w:space="0" w:color="auto"/>
        <w:bottom w:val="none" w:sz="0" w:space="0" w:color="auto"/>
        <w:right w:val="none" w:sz="0" w:space="0" w:color="auto"/>
      </w:divBdr>
    </w:div>
    <w:div w:id="1047293978">
      <w:bodyDiv w:val="1"/>
      <w:marLeft w:val="0"/>
      <w:marRight w:val="0"/>
      <w:marTop w:val="0"/>
      <w:marBottom w:val="0"/>
      <w:divBdr>
        <w:top w:val="none" w:sz="0" w:space="0" w:color="auto"/>
        <w:left w:val="none" w:sz="0" w:space="0" w:color="auto"/>
        <w:bottom w:val="none" w:sz="0" w:space="0" w:color="auto"/>
        <w:right w:val="none" w:sz="0" w:space="0" w:color="auto"/>
      </w:divBdr>
    </w:div>
    <w:div w:id="1066952308">
      <w:bodyDiv w:val="1"/>
      <w:marLeft w:val="0"/>
      <w:marRight w:val="0"/>
      <w:marTop w:val="0"/>
      <w:marBottom w:val="0"/>
      <w:divBdr>
        <w:top w:val="none" w:sz="0" w:space="0" w:color="auto"/>
        <w:left w:val="none" w:sz="0" w:space="0" w:color="auto"/>
        <w:bottom w:val="none" w:sz="0" w:space="0" w:color="auto"/>
        <w:right w:val="none" w:sz="0" w:space="0" w:color="auto"/>
      </w:divBdr>
    </w:div>
    <w:div w:id="1074663000">
      <w:bodyDiv w:val="1"/>
      <w:marLeft w:val="0"/>
      <w:marRight w:val="0"/>
      <w:marTop w:val="0"/>
      <w:marBottom w:val="0"/>
      <w:divBdr>
        <w:top w:val="none" w:sz="0" w:space="0" w:color="auto"/>
        <w:left w:val="none" w:sz="0" w:space="0" w:color="auto"/>
        <w:bottom w:val="none" w:sz="0" w:space="0" w:color="auto"/>
        <w:right w:val="none" w:sz="0" w:space="0" w:color="auto"/>
      </w:divBdr>
    </w:div>
    <w:div w:id="1085800791">
      <w:bodyDiv w:val="1"/>
      <w:marLeft w:val="0"/>
      <w:marRight w:val="0"/>
      <w:marTop w:val="0"/>
      <w:marBottom w:val="0"/>
      <w:divBdr>
        <w:top w:val="none" w:sz="0" w:space="0" w:color="auto"/>
        <w:left w:val="none" w:sz="0" w:space="0" w:color="auto"/>
        <w:bottom w:val="none" w:sz="0" w:space="0" w:color="auto"/>
        <w:right w:val="none" w:sz="0" w:space="0" w:color="auto"/>
      </w:divBdr>
    </w:div>
    <w:div w:id="1087265581">
      <w:bodyDiv w:val="1"/>
      <w:marLeft w:val="0"/>
      <w:marRight w:val="0"/>
      <w:marTop w:val="0"/>
      <w:marBottom w:val="0"/>
      <w:divBdr>
        <w:top w:val="none" w:sz="0" w:space="0" w:color="auto"/>
        <w:left w:val="none" w:sz="0" w:space="0" w:color="auto"/>
        <w:bottom w:val="none" w:sz="0" w:space="0" w:color="auto"/>
        <w:right w:val="none" w:sz="0" w:space="0" w:color="auto"/>
      </w:divBdr>
    </w:div>
    <w:div w:id="1088504792">
      <w:bodyDiv w:val="1"/>
      <w:marLeft w:val="0"/>
      <w:marRight w:val="0"/>
      <w:marTop w:val="0"/>
      <w:marBottom w:val="0"/>
      <w:divBdr>
        <w:top w:val="none" w:sz="0" w:space="0" w:color="auto"/>
        <w:left w:val="none" w:sz="0" w:space="0" w:color="auto"/>
        <w:bottom w:val="none" w:sz="0" w:space="0" w:color="auto"/>
        <w:right w:val="none" w:sz="0" w:space="0" w:color="auto"/>
      </w:divBdr>
    </w:div>
    <w:div w:id="1094781363">
      <w:bodyDiv w:val="1"/>
      <w:marLeft w:val="0"/>
      <w:marRight w:val="0"/>
      <w:marTop w:val="0"/>
      <w:marBottom w:val="0"/>
      <w:divBdr>
        <w:top w:val="none" w:sz="0" w:space="0" w:color="auto"/>
        <w:left w:val="none" w:sz="0" w:space="0" w:color="auto"/>
        <w:bottom w:val="none" w:sz="0" w:space="0" w:color="auto"/>
        <w:right w:val="none" w:sz="0" w:space="0" w:color="auto"/>
      </w:divBdr>
    </w:div>
    <w:div w:id="1126266929">
      <w:bodyDiv w:val="1"/>
      <w:marLeft w:val="0"/>
      <w:marRight w:val="0"/>
      <w:marTop w:val="0"/>
      <w:marBottom w:val="0"/>
      <w:divBdr>
        <w:top w:val="none" w:sz="0" w:space="0" w:color="auto"/>
        <w:left w:val="none" w:sz="0" w:space="0" w:color="auto"/>
        <w:bottom w:val="none" w:sz="0" w:space="0" w:color="auto"/>
        <w:right w:val="none" w:sz="0" w:space="0" w:color="auto"/>
      </w:divBdr>
    </w:div>
    <w:div w:id="1129086723">
      <w:bodyDiv w:val="1"/>
      <w:marLeft w:val="0"/>
      <w:marRight w:val="0"/>
      <w:marTop w:val="0"/>
      <w:marBottom w:val="0"/>
      <w:divBdr>
        <w:top w:val="none" w:sz="0" w:space="0" w:color="auto"/>
        <w:left w:val="none" w:sz="0" w:space="0" w:color="auto"/>
        <w:bottom w:val="none" w:sz="0" w:space="0" w:color="auto"/>
        <w:right w:val="none" w:sz="0" w:space="0" w:color="auto"/>
      </w:divBdr>
    </w:div>
    <w:div w:id="1137525008">
      <w:bodyDiv w:val="1"/>
      <w:marLeft w:val="0"/>
      <w:marRight w:val="0"/>
      <w:marTop w:val="0"/>
      <w:marBottom w:val="0"/>
      <w:divBdr>
        <w:top w:val="none" w:sz="0" w:space="0" w:color="auto"/>
        <w:left w:val="none" w:sz="0" w:space="0" w:color="auto"/>
        <w:bottom w:val="none" w:sz="0" w:space="0" w:color="auto"/>
        <w:right w:val="none" w:sz="0" w:space="0" w:color="auto"/>
      </w:divBdr>
    </w:div>
    <w:div w:id="1154225952">
      <w:bodyDiv w:val="1"/>
      <w:marLeft w:val="0"/>
      <w:marRight w:val="0"/>
      <w:marTop w:val="0"/>
      <w:marBottom w:val="0"/>
      <w:divBdr>
        <w:top w:val="none" w:sz="0" w:space="0" w:color="auto"/>
        <w:left w:val="none" w:sz="0" w:space="0" w:color="auto"/>
        <w:bottom w:val="none" w:sz="0" w:space="0" w:color="auto"/>
        <w:right w:val="none" w:sz="0" w:space="0" w:color="auto"/>
      </w:divBdr>
    </w:div>
    <w:div w:id="1171485857">
      <w:bodyDiv w:val="1"/>
      <w:marLeft w:val="0"/>
      <w:marRight w:val="0"/>
      <w:marTop w:val="0"/>
      <w:marBottom w:val="0"/>
      <w:divBdr>
        <w:top w:val="none" w:sz="0" w:space="0" w:color="auto"/>
        <w:left w:val="none" w:sz="0" w:space="0" w:color="auto"/>
        <w:bottom w:val="none" w:sz="0" w:space="0" w:color="auto"/>
        <w:right w:val="none" w:sz="0" w:space="0" w:color="auto"/>
      </w:divBdr>
    </w:div>
    <w:div w:id="1171718486">
      <w:bodyDiv w:val="1"/>
      <w:marLeft w:val="0"/>
      <w:marRight w:val="0"/>
      <w:marTop w:val="0"/>
      <w:marBottom w:val="0"/>
      <w:divBdr>
        <w:top w:val="none" w:sz="0" w:space="0" w:color="auto"/>
        <w:left w:val="none" w:sz="0" w:space="0" w:color="auto"/>
        <w:bottom w:val="none" w:sz="0" w:space="0" w:color="auto"/>
        <w:right w:val="none" w:sz="0" w:space="0" w:color="auto"/>
      </w:divBdr>
    </w:div>
    <w:div w:id="1190527409">
      <w:bodyDiv w:val="1"/>
      <w:marLeft w:val="0"/>
      <w:marRight w:val="0"/>
      <w:marTop w:val="0"/>
      <w:marBottom w:val="0"/>
      <w:divBdr>
        <w:top w:val="none" w:sz="0" w:space="0" w:color="auto"/>
        <w:left w:val="none" w:sz="0" w:space="0" w:color="auto"/>
        <w:bottom w:val="none" w:sz="0" w:space="0" w:color="auto"/>
        <w:right w:val="none" w:sz="0" w:space="0" w:color="auto"/>
      </w:divBdr>
    </w:div>
    <w:div w:id="1197474623">
      <w:bodyDiv w:val="1"/>
      <w:marLeft w:val="0"/>
      <w:marRight w:val="0"/>
      <w:marTop w:val="0"/>
      <w:marBottom w:val="0"/>
      <w:divBdr>
        <w:top w:val="none" w:sz="0" w:space="0" w:color="auto"/>
        <w:left w:val="none" w:sz="0" w:space="0" w:color="auto"/>
        <w:bottom w:val="none" w:sz="0" w:space="0" w:color="auto"/>
        <w:right w:val="none" w:sz="0" w:space="0" w:color="auto"/>
      </w:divBdr>
    </w:div>
    <w:div w:id="1214855640">
      <w:bodyDiv w:val="1"/>
      <w:marLeft w:val="0"/>
      <w:marRight w:val="0"/>
      <w:marTop w:val="0"/>
      <w:marBottom w:val="0"/>
      <w:divBdr>
        <w:top w:val="none" w:sz="0" w:space="0" w:color="auto"/>
        <w:left w:val="none" w:sz="0" w:space="0" w:color="auto"/>
        <w:bottom w:val="none" w:sz="0" w:space="0" w:color="auto"/>
        <w:right w:val="none" w:sz="0" w:space="0" w:color="auto"/>
      </w:divBdr>
    </w:div>
    <w:div w:id="1215040949">
      <w:bodyDiv w:val="1"/>
      <w:marLeft w:val="0"/>
      <w:marRight w:val="0"/>
      <w:marTop w:val="0"/>
      <w:marBottom w:val="0"/>
      <w:divBdr>
        <w:top w:val="none" w:sz="0" w:space="0" w:color="auto"/>
        <w:left w:val="none" w:sz="0" w:space="0" w:color="auto"/>
        <w:bottom w:val="none" w:sz="0" w:space="0" w:color="auto"/>
        <w:right w:val="none" w:sz="0" w:space="0" w:color="auto"/>
      </w:divBdr>
    </w:div>
    <w:div w:id="1226840029">
      <w:bodyDiv w:val="1"/>
      <w:marLeft w:val="0"/>
      <w:marRight w:val="0"/>
      <w:marTop w:val="0"/>
      <w:marBottom w:val="0"/>
      <w:divBdr>
        <w:top w:val="none" w:sz="0" w:space="0" w:color="auto"/>
        <w:left w:val="none" w:sz="0" w:space="0" w:color="auto"/>
        <w:bottom w:val="none" w:sz="0" w:space="0" w:color="auto"/>
        <w:right w:val="none" w:sz="0" w:space="0" w:color="auto"/>
      </w:divBdr>
    </w:div>
    <w:div w:id="1230114700">
      <w:bodyDiv w:val="1"/>
      <w:marLeft w:val="0"/>
      <w:marRight w:val="0"/>
      <w:marTop w:val="0"/>
      <w:marBottom w:val="0"/>
      <w:divBdr>
        <w:top w:val="none" w:sz="0" w:space="0" w:color="auto"/>
        <w:left w:val="none" w:sz="0" w:space="0" w:color="auto"/>
        <w:bottom w:val="none" w:sz="0" w:space="0" w:color="auto"/>
        <w:right w:val="none" w:sz="0" w:space="0" w:color="auto"/>
      </w:divBdr>
    </w:div>
    <w:div w:id="1235041834">
      <w:bodyDiv w:val="1"/>
      <w:marLeft w:val="0"/>
      <w:marRight w:val="0"/>
      <w:marTop w:val="0"/>
      <w:marBottom w:val="0"/>
      <w:divBdr>
        <w:top w:val="none" w:sz="0" w:space="0" w:color="auto"/>
        <w:left w:val="none" w:sz="0" w:space="0" w:color="auto"/>
        <w:bottom w:val="none" w:sz="0" w:space="0" w:color="auto"/>
        <w:right w:val="none" w:sz="0" w:space="0" w:color="auto"/>
      </w:divBdr>
    </w:div>
    <w:div w:id="1242258272">
      <w:bodyDiv w:val="1"/>
      <w:marLeft w:val="0"/>
      <w:marRight w:val="0"/>
      <w:marTop w:val="0"/>
      <w:marBottom w:val="0"/>
      <w:divBdr>
        <w:top w:val="none" w:sz="0" w:space="0" w:color="auto"/>
        <w:left w:val="none" w:sz="0" w:space="0" w:color="auto"/>
        <w:bottom w:val="none" w:sz="0" w:space="0" w:color="auto"/>
        <w:right w:val="none" w:sz="0" w:space="0" w:color="auto"/>
      </w:divBdr>
    </w:div>
    <w:div w:id="1250627084">
      <w:bodyDiv w:val="1"/>
      <w:marLeft w:val="0"/>
      <w:marRight w:val="0"/>
      <w:marTop w:val="0"/>
      <w:marBottom w:val="0"/>
      <w:divBdr>
        <w:top w:val="none" w:sz="0" w:space="0" w:color="auto"/>
        <w:left w:val="none" w:sz="0" w:space="0" w:color="auto"/>
        <w:bottom w:val="none" w:sz="0" w:space="0" w:color="auto"/>
        <w:right w:val="none" w:sz="0" w:space="0" w:color="auto"/>
      </w:divBdr>
    </w:div>
    <w:div w:id="1254121037">
      <w:bodyDiv w:val="1"/>
      <w:marLeft w:val="0"/>
      <w:marRight w:val="0"/>
      <w:marTop w:val="0"/>
      <w:marBottom w:val="0"/>
      <w:divBdr>
        <w:top w:val="none" w:sz="0" w:space="0" w:color="auto"/>
        <w:left w:val="none" w:sz="0" w:space="0" w:color="auto"/>
        <w:bottom w:val="none" w:sz="0" w:space="0" w:color="auto"/>
        <w:right w:val="none" w:sz="0" w:space="0" w:color="auto"/>
      </w:divBdr>
    </w:div>
    <w:div w:id="1255821991">
      <w:bodyDiv w:val="1"/>
      <w:marLeft w:val="0"/>
      <w:marRight w:val="0"/>
      <w:marTop w:val="0"/>
      <w:marBottom w:val="0"/>
      <w:divBdr>
        <w:top w:val="none" w:sz="0" w:space="0" w:color="auto"/>
        <w:left w:val="none" w:sz="0" w:space="0" w:color="auto"/>
        <w:bottom w:val="none" w:sz="0" w:space="0" w:color="auto"/>
        <w:right w:val="none" w:sz="0" w:space="0" w:color="auto"/>
      </w:divBdr>
    </w:div>
    <w:div w:id="1264724749">
      <w:bodyDiv w:val="1"/>
      <w:marLeft w:val="0"/>
      <w:marRight w:val="0"/>
      <w:marTop w:val="0"/>
      <w:marBottom w:val="0"/>
      <w:divBdr>
        <w:top w:val="none" w:sz="0" w:space="0" w:color="auto"/>
        <w:left w:val="none" w:sz="0" w:space="0" w:color="auto"/>
        <w:bottom w:val="none" w:sz="0" w:space="0" w:color="auto"/>
        <w:right w:val="none" w:sz="0" w:space="0" w:color="auto"/>
      </w:divBdr>
    </w:div>
    <w:div w:id="1271283010">
      <w:bodyDiv w:val="1"/>
      <w:marLeft w:val="0"/>
      <w:marRight w:val="0"/>
      <w:marTop w:val="0"/>
      <w:marBottom w:val="0"/>
      <w:divBdr>
        <w:top w:val="none" w:sz="0" w:space="0" w:color="auto"/>
        <w:left w:val="none" w:sz="0" w:space="0" w:color="auto"/>
        <w:bottom w:val="none" w:sz="0" w:space="0" w:color="auto"/>
        <w:right w:val="none" w:sz="0" w:space="0" w:color="auto"/>
      </w:divBdr>
    </w:div>
    <w:div w:id="1271662033">
      <w:bodyDiv w:val="1"/>
      <w:marLeft w:val="0"/>
      <w:marRight w:val="0"/>
      <w:marTop w:val="0"/>
      <w:marBottom w:val="0"/>
      <w:divBdr>
        <w:top w:val="none" w:sz="0" w:space="0" w:color="auto"/>
        <w:left w:val="none" w:sz="0" w:space="0" w:color="auto"/>
        <w:bottom w:val="none" w:sz="0" w:space="0" w:color="auto"/>
        <w:right w:val="none" w:sz="0" w:space="0" w:color="auto"/>
      </w:divBdr>
    </w:div>
    <w:div w:id="1303148401">
      <w:bodyDiv w:val="1"/>
      <w:marLeft w:val="0"/>
      <w:marRight w:val="0"/>
      <w:marTop w:val="0"/>
      <w:marBottom w:val="0"/>
      <w:divBdr>
        <w:top w:val="none" w:sz="0" w:space="0" w:color="auto"/>
        <w:left w:val="none" w:sz="0" w:space="0" w:color="auto"/>
        <w:bottom w:val="none" w:sz="0" w:space="0" w:color="auto"/>
        <w:right w:val="none" w:sz="0" w:space="0" w:color="auto"/>
      </w:divBdr>
    </w:div>
    <w:div w:id="1304653806">
      <w:bodyDiv w:val="1"/>
      <w:marLeft w:val="0"/>
      <w:marRight w:val="0"/>
      <w:marTop w:val="0"/>
      <w:marBottom w:val="0"/>
      <w:divBdr>
        <w:top w:val="none" w:sz="0" w:space="0" w:color="auto"/>
        <w:left w:val="none" w:sz="0" w:space="0" w:color="auto"/>
        <w:bottom w:val="none" w:sz="0" w:space="0" w:color="auto"/>
        <w:right w:val="none" w:sz="0" w:space="0" w:color="auto"/>
      </w:divBdr>
    </w:div>
    <w:div w:id="1323705598">
      <w:bodyDiv w:val="1"/>
      <w:marLeft w:val="0"/>
      <w:marRight w:val="0"/>
      <w:marTop w:val="0"/>
      <w:marBottom w:val="0"/>
      <w:divBdr>
        <w:top w:val="none" w:sz="0" w:space="0" w:color="auto"/>
        <w:left w:val="none" w:sz="0" w:space="0" w:color="auto"/>
        <w:bottom w:val="none" w:sz="0" w:space="0" w:color="auto"/>
        <w:right w:val="none" w:sz="0" w:space="0" w:color="auto"/>
      </w:divBdr>
    </w:div>
    <w:div w:id="1326587797">
      <w:bodyDiv w:val="1"/>
      <w:marLeft w:val="0"/>
      <w:marRight w:val="0"/>
      <w:marTop w:val="0"/>
      <w:marBottom w:val="0"/>
      <w:divBdr>
        <w:top w:val="none" w:sz="0" w:space="0" w:color="auto"/>
        <w:left w:val="none" w:sz="0" w:space="0" w:color="auto"/>
        <w:bottom w:val="none" w:sz="0" w:space="0" w:color="auto"/>
        <w:right w:val="none" w:sz="0" w:space="0" w:color="auto"/>
      </w:divBdr>
    </w:div>
    <w:div w:id="1370228155">
      <w:bodyDiv w:val="1"/>
      <w:marLeft w:val="0"/>
      <w:marRight w:val="0"/>
      <w:marTop w:val="0"/>
      <w:marBottom w:val="0"/>
      <w:divBdr>
        <w:top w:val="none" w:sz="0" w:space="0" w:color="auto"/>
        <w:left w:val="none" w:sz="0" w:space="0" w:color="auto"/>
        <w:bottom w:val="none" w:sz="0" w:space="0" w:color="auto"/>
        <w:right w:val="none" w:sz="0" w:space="0" w:color="auto"/>
      </w:divBdr>
    </w:div>
    <w:div w:id="1416854136">
      <w:bodyDiv w:val="1"/>
      <w:marLeft w:val="0"/>
      <w:marRight w:val="0"/>
      <w:marTop w:val="0"/>
      <w:marBottom w:val="0"/>
      <w:divBdr>
        <w:top w:val="none" w:sz="0" w:space="0" w:color="auto"/>
        <w:left w:val="none" w:sz="0" w:space="0" w:color="auto"/>
        <w:bottom w:val="none" w:sz="0" w:space="0" w:color="auto"/>
        <w:right w:val="none" w:sz="0" w:space="0" w:color="auto"/>
      </w:divBdr>
    </w:div>
    <w:div w:id="1420131680">
      <w:bodyDiv w:val="1"/>
      <w:marLeft w:val="0"/>
      <w:marRight w:val="0"/>
      <w:marTop w:val="0"/>
      <w:marBottom w:val="0"/>
      <w:divBdr>
        <w:top w:val="none" w:sz="0" w:space="0" w:color="auto"/>
        <w:left w:val="none" w:sz="0" w:space="0" w:color="auto"/>
        <w:bottom w:val="none" w:sz="0" w:space="0" w:color="auto"/>
        <w:right w:val="none" w:sz="0" w:space="0" w:color="auto"/>
      </w:divBdr>
    </w:div>
    <w:div w:id="1432777823">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36450">
      <w:bodyDiv w:val="1"/>
      <w:marLeft w:val="0"/>
      <w:marRight w:val="0"/>
      <w:marTop w:val="0"/>
      <w:marBottom w:val="0"/>
      <w:divBdr>
        <w:top w:val="none" w:sz="0" w:space="0" w:color="auto"/>
        <w:left w:val="none" w:sz="0" w:space="0" w:color="auto"/>
        <w:bottom w:val="none" w:sz="0" w:space="0" w:color="auto"/>
        <w:right w:val="none" w:sz="0" w:space="0" w:color="auto"/>
      </w:divBdr>
    </w:div>
    <w:div w:id="1433623585">
      <w:bodyDiv w:val="1"/>
      <w:marLeft w:val="0"/>
      <w:marRight w:val="0"/>
      <w:marTop w:val="0"/>
      <w:marBottom w:val="0"/>
      <w:divBdr>
        <w:top w:val="none" w:sz="0" w:space="0" w:color="auto"/>
        <w:left w:val="none" w:sz="0" w:space="0" w:color="auto"/>
        <w:bottom w:val="none" w:sz="0" w:space="0" w:color="auto"/>
        <w:right w:val="none" w:sz="0" w:space="0" w:color="auto"/>
      </w:divBdr>
    </w:div>
    <w:div w:id="1433892356">
      <w:bodyDiv w:val="1"/>
      <w:marLeft w:val="0"/>
      <w:marRight w:val="0"/>
      <w:marTop w:val="0"/>
      <w:marBottom w:val="0"/>
      <w:divBdr>
        <w:top w:val="none" w:sz="0" w:space="0" w:color="auto"/>
        <w:left w:val="none" w:sz="0" w:space="0" w:color="auto"/>
        <w:bottom w:val="none" w:sz="0" w:space="0" w:color="auto"/>
        <w:right w:val="none" w:sz="0" w:space="0" w:color="auto"/>
      </w:divBdr>
    </w:div>
    <w:div w:id="1438788868">
      <w:bodyDiv w:val="1"/>
      <w:marLeft w:val="0"/>
      <w:marRight w:val="0"/>
      <w:marTop w:val="0"/>
      <w:marBottom w:val="0"/>
      <w:divBdr>
        <w:top w:val="none" w:sz="0" w:space="0" w:color="auto"/>
        <w:left w:val="none" w:sz="0" w:space="0" w:color="auto"/>
        <w:bottom w:val="none" w:sz="0" w:space="0" w:color="auto"/>
        <w:right w:val="none" w:sz="0" w:space="0" w:color="auto"/>
      </w:divBdr>
    </w:div>
    <w:div w:id="1444838545">
      <w:bodyDiv w:val="1"/>
      <w:marLeft w:val="0"/>
      <w:marRight w:val="0"/>
      <w:marTop w:val="0"/>
      <w:marBottom w:val="0"/>
      <w:divBdr>
        <w:top w:val="none" w:sz="0" w:space="0" w:color="auto"/>
        <w:left w:val="none" w:sz="0" w:space="0" w:color="auto"/>
        <w:bottom w:val="none" w:sz="0" w:space="0" w:color="auto"/>
        <w:right w:val="none" w:sz="0" w:space="0" w:color="auto"/>
      </w:divBdr>
    </w:div>
    <w:div w:id="1445340405">
      <w:bodyDiv w:val="1"/>
      <w:marLeft w:val="0"/>
      <w:marRight w:val="0"/>
      <w:marTop w:val="0"/>
      <w:marBottom w:val="0"/>
      <w:divBdr>
        <w:top w:val="none" w:sz="0" w:space="0" w:color="auto"/>
        <w:left w:val="none" w:sz="0" w:space="0" w:color="auto"/>
        <w:bottom w:val="none" w:sz="0" w:space="0" w:color="auto"/>
        <w:right w:val="none" w:sz="0" w:space="0" w:color="auto"/>
      </w:divBdr>
    </w:div>
    <w:div w:id="1447388650">
      <w:bodyDiv w:val="1"/>
      <w:marLeft w:val="0"/>
      <w:marRight w:val="0"/>
      <w:marTop w:val="0"/>
      <w:marBottom w:val="0"/>
      <w:divBdr>
        <w:top w:val="none" w:sz="0" w:space="0" w:color="auto"/>
        <w:left w:val="none" w:sz="0" w:space="0" w:color="auto"/>
        <w:bottom w:val="none" w:sz="0" w:space="0" w:color="auto"/>
        <w:right w:val="none" w:sz="0" w:space="0" w:color="auto"/>
      </w:divBdr>
    </w:div>
    <w:div w:id="1461151204">
      <w:bodyDiv w:val="1"/>
      <w:marLeft w:val="0"/>
      <w:marRight w:val="0"/>
      <w:marTop w:val="0"/>
      <w:marBottom w:val="0"/>
      <w:divBdr>
        <w:top w:val="none" w:sz="0" w:space="0" w:color="auto"/>
        <w:left w:val="none" w:sz="0" w:space="0" w:color="auto"/>
        <w:bottom w:val="none" w:sz="0" w:space="0" w:color="auto"/>
        <w:right w:val="none" w:sz="0" w:space="0" w:color="auto"/>
      </w:divBdr>
    </w:div>
    <w:div w:id="1466661187">
      <w:bodyDiv w:val="1"/>
      <w:marLeft w:val="0"/>
      <w:marRight w:val="0"/>
      <w:marTop w:val="0"/>
      <w:marBottom w:val="0"/>
      <w:divBdr>
        <w:top w:val="none" w:sz="0" w:space="0" w:color="auto"/>
        <w:left w:val="none" w:sz="0" w:space="0" w:color="auto"/>
        <w:bottom w:val="none" w:sz="0" w:space="0" w:color="auto"/>
        <w:right w:val="none" w:sz="0" w:space="0" w:color="auto"/>
      </w:divBdr>
    </w:div>
    <w:div w:id="1495218215">
      <w:bodyDiv w:val="1"/>
      <w:marLeft w:val="0"/>
      <w:marRight w:val="0"/>
      <w:marTop w:val="0"/>
      <w:marBottom w:val="0"/>
      <w:divBdr>
        <w:top w:val="none" w:sz="0" w:space="0" w:color="auto"/>
        <w:left w:val="none" w:sz="0" w:space="0" w:color="auto"/>
        <w:bottom w:val="none" w:sz="0" w:space="0" w:color="auto"/>
        <w:right w:val="none" w:sz="0" w:space="0" w:color="auto"/>
      </w:divBdr>
    </w:div>
    <w:div w:id="1499886013">
      <w:bodyDiv w:val="1"/>
      <w:marLeft w:val="0"/>
      <w:marRight w:val="0"/>
      <w:marTop w:val="0"/>
      <w:marBottom w:val="0"/>
      <w:divBdr>
        <w:top w:val="none" w:sz="0" w:space="0" w:color="auto"/>
        <w:left w:val="none" w:sz="0" w:space="0" w:color="auto"/>
        <w:bottom w:val="none" w:sz="0" w:space="0" w:color="auto"/>
        <w:right w:val="none" w:sz="0" w:space="0" w:color="auto"/>
      </w:divBdr>
    </w:div>
    <w:div w:id="1500123512">
      <w:bodyDiv w:val="1"/>
      <w:marLeft w:val="0"/>
      <w:marRight w:val="0"/>
      <w:marTop w:val="0"/>
      <w:marBottom w:val="0"/>
      <w:divBdr>
        <w:top w:val="none" w:sz="0" w:space="0" w:color="auto"/>
        <w:left w:val="none" w:sz="0" w:space="0" w:color="auto"/>
        <w:bottom w:val="none" w:sz="0" w:space="0" w:color="auto"/>
        <w:right w:val="none" w:sz="0" w:space="0" w:color="auto"/>
      </w:divBdr>
    </w:div>
    <w:div w:id="1500995802">
      <w:bodyDiv w:val="1"/>
      <w:marLeft w:val="0"/>
      <w:marRight w:val="0"/>
      <w:marTop w:val="0"/>
      <w:marBottom w:val="0"/>
      <w:divBdr>
        <w:top w:val="none" w:sz="0" w:space="0" w:color="auto"/>
        <w:left w:val="none" w:sz="0" w:space="0" w:color="auto"/>
        <w:bottom w:val="none" w:sz="0" w:space="0" w:color="auto"/>
        <w:right w:val="none" w:sz="0" w:space="0" w:color="auto"/>
      </w:divBdr>
    </w:div>
    <w:div w:id="1501388987">
      <w:bodyDiv w:val="1"/>
      <w:marLeft w:val="0"/>
      <w:marRight w:val="0"/>
      <w:marTop w:val="0"/>
      <w:marBottom w:val="0"/>
      <w:divBdr>
        <w:top w:val="none" w:sz="0" w:space="0" w:color="auto"/>
        <w:left w:val="none" w:sz="0" w:space="0" w:color="auto"/>
        <w:bottom w:val="none" w:sz="0" w:space="0" w:color="auto"/>
        <w:right w:val="none" w:sz="0" w:space="0" w:color="auto"/>
      </w:divBdr>
    </w:div>
    <w:div w:id="1518034041">
      <w:bodyDiv w:val="1"/>
      <w:marLeft w:val="0"/>
      <w:marRight w:val="0"/>
      <w:marTop w:val="0"/>
      <w:marBottom w:val="0"/>
      <w:divBdr>
        <w:top w:val="none" w:sz="0" w:space="0" w:color="auto"/>
        <w:left w:val="none" w:sz="0" w:space="0" w:color="auto"/>
        <w:bottom w:val="none" w:sz="0" w:space="0" w:color="auto"/>
        <w:right w:val="none" w:sz="0" w:space="0" w:color="auto"/>
      </w:divBdr>
    </w:div>
    <w:div w:id="1519854329">
      <w:bodyDiv w:val="1"/>
      <w:marLeft w:val="0"/>
      <w:marRight w:val="0"/>
      <w:marTop w:val="0"/>
      <w:marBottom w:val="0"/>
      <w:divBdr>
        <w:top w:val="none" w:sz="0" w:space="0" w:color="auto"/>
        <w:left w:val="none" w:sz="0" w:space="0" w:color="auto"/>
        <w:bottom w:val="none" w:sz="0" w:space="0" w:color="auto"/>
        <w:right w:val="none" w:sz="0" w:space="0" w:color="auto"/>
      </w:divBdr>
    </w:div>
    <w:div w:id="1520005815">
      <w:bodyDiv w:val="1"/>
      <w:marLeft w:val="0"/>
      <w:marRight w:val="0"/>
      <w:marTop w:val="0"/>
      <w:marBottom w:val="0"/>
      <w:divBdr>
        <w:top w:val="none" w:sz="0" w:space="0" w:color="auto"/>
        <w:left w:val="none" w:sz="0" w:space="0" w:color="auto"/>
        <w:bottom w:val="none" w:sz="0" w:space="0" w:color="auto"/>
        <w:right w:val="none" w:sz="0" w:space="0" w:color="auto"/>
      </w:divBdr>
    </w:div>
    <w:div w:id="1539660811">
      <w:bodyDiv w:val="1"/>
      <w:marLeft w:val="0"/>
      <w:marRight w:val="0"/>
      <w:marTop w:val="0"/>
      <w:marBottom w:val="0"/>
      <w:divBdr>
        <w:top w:val="none" w:sz="0" w:space="0" w:color="auto"/>
        <w:left w:val="none" w:sz="0" w:space="0" w:color="auto"/>
        <w:bottom w:val="none" w:sz="0" w:space="0" w:color="auto"/>
        <w:right w:val="none" w:sz="0" w:space="0" w:color="auto"/>
      </w:divBdr>
    </w:div>
    <w:div w:id="1545480276">
      <w:bodyDiv w:val="1"/>
      <w:marLeft w:val="0"/>
      <w:marRight w:val="0"/>
      <w:marTop w:val="0"/>
      <w:marBottom w:val="0"/>
      <w:divBdr>
        <w:top w:val="none" w:sz="0" w:space="0" w:color="auto"/>
        <w:left w:val="none" w:sz="0" w:space="0" w:color="auto"/>
        <w:bottom w:val="none" w:sz="0" w:space="0" w:color="auto"/>
        <w:right w:val="none" w:sz="0" w:space="0" w:color="auto"/>
      </w:divBdr>
    </w:div>
    <w:div w:id="1554805475">
      <w:bodyDiv w:val="1"/>
      <w:marLeft w:val="0"/>
      <w:marRight w:val="0"/>
      <w:marTop w:val="0"/>
      <w:marBottom w:val="0"/>
      <w:divBdr>
        <w:top w:val="none" w:sz="0" w:space="0" w:color="auto"/>
        <w:left w:val="none" w:sz="0" w:space="0" w:color="auto"/>
        <w:bottom w:val="none" w:sz="0" w:space="0" w:color="auto"/>
        <w:right w:val="none" w:sz="0" w:space="0" w:color="auto"/>
      </w:divBdr>
    </w:div>
    <w:div w:id="1557082649">
      <w:bodyDiv w:val="1"/>
      <w:marLeft w:val="0"/>
      <w:marRight w:val="0"/>
      <w:marTop w:val="0"/>
      <w:marBottom w:val="0"/>
      <w:divBdr>
        <w:top w:val="none" w:sz="0" w:space="0" w:color="auto"/>
        <w:left w:val="none" w:sz="0" w:space="0" w:color="auto"/>
        <w:bottom w:val="none" w:sz="0" w:space="0" w:color="auto"/>
        <w:right w:val="none" w:sz="0" w:space="0" w:color="auto"/>
      </w:divBdr>
    </w:div>
    <w:div w:id="1561096573">
      <w:bodyDiv w:val="1"/>
      <w:marLeft w:val="0"/>
      <w:marRight w:val="0"/>
      <w:marTop w:val="0"/>
      <w:marBottom w:val="0"/>
      <w:divBdr>
        <w:top w:val="none" w:sz="0" w:space="0" w:color="auto"/>
        <w:left w:val="none" w:sz="0" w:space="0" w:color="auto"/>
        <w:bottom w:val="none" w:sz="0" w:space="0" w:color="auto"/>
        <w:right w:val="none" w:sz="0" w:space="0" w:color="auto"/>
      </w:divBdr>
    </w:div>
    <w:div w:id="1562909206">
      <w:bodyDiv w:val="1"/>
      <w:marLeft w:val="0"/>
      <w:marRight w:val="0"/>
      <w:marTop w:val="0"/>
      <w:marBottom w:val="0"/>
      <w:divBdr>
        <w:top w:val="none" w:sz="0" w:space="0" w:color="auto"/>
        <w:left w:val="none" w:sz="0" w:space="0" w:color="auto"/>
        <w:bottom w:val="none" w:sz="0" w:space="0" w:color="auto"/>
        <w:right w:val="none" w:sz="0" w:space="0" w:color="auto"/>
      </w:divBdr>
    </w:div>
    <w:div w:id="1564222473">
      <w:bodyDiv w:val="1"/>
      <w:marLeft w:val="0"/>
      <w:marRight w:val="0"/>
      <w:marTop w:val="0"/>
      <w:marBottom w:val="0"/>
      <w:divBdr>
        <w:top w:val="none" w:sz="0" w:space="0" w:color="auto"/>
        <w:left w:val="none" w:sz="0" w:space="0" w:color="auto"/>
        <w:bottom w:val="none" w:sz="0" w:space="0" w:color="auto"/>
        <w:right w:val="none" w:sz="0" w:space="0" w:color="auto"/>
      </w:divBdr>
    </w:div>
    <w:div w:id="1615014916">
      <w:bodyDiv w:val="1"/>
      <w:marLeft w:val="0"/>
      <w:marRight w:val="0"/>
      <w:marTop w:val="0"/>
      <w:marBottom w:val="0"/>
      <w:divBdr>
        <w:top w:val="none" w:sz="0" w:space="0" w:color="auto"/>
        <w:left w:val="none" w:sz="0" w:space="0" w:color="auto"/>
        <w:bottom w:val="none" w:sz="0" w:space="0" w:color="auto"/>
        <w:right w:val="none" w:sz="0" w:space="0" w:color="auto"/>
      </w:divBdr>
    </w:div>
    <w:div w:id="1631862977">
      <w:bodyDiv w:val="1"/>
      <w:marLeft w:val="0"/>
      <w:marRight w:val="0"/>
      <w:marTop w:val="0"/>
      <w:marBottom w:val="0"/>
      <w:divBdr>
        <w:top w:val="none" w:sz="0" w:space="0" w:color="auto"/>
        <w:left w:val="none" w:sz="0" w:space="0" w:color="auto"/>
        <w:bottom w:val="none" w:sz="0" w:space="0" w:color="auto"/>
        <w:right w:val="none" w:sz="0" w:space="0" w:color="auto"/>
      </w:divBdr>
    </w:div>
    <w:div w:id="1635522782">
      <w:bodyDiv w:val="1"/>
      <w:marLeft w:val="0"/>
      <w:marRight w:val="0"/>
      <w:marTop w:val="0"/>
      <w:marBottom w:val="0"/>
      <w:divBdr>
        <w:top w:val="none" w:sz="0" w:space="0" w:color="auto"/>
        <w:left w:val="none" w:sz="0" w:space="0" w:color="auto"/>
        <w:bottom w:val="none" w:sz="0" w:space="0" w:color="auto"/>
        <w:right w:val="none" w:sz="0" w:space="0" w:color="auto"/>
      </w:divBdr>
      <w:divsChild>
        <w:div w:id="2085367827">
          <w:marLeft w:val="0"/>
          <w:marRight w:val="0"/>
          <w:marTop w:val="0"/>
          <w:marBottom w:val="150"/>
          <w:divBdr>
            <w:top w:val="single" w:sz="24" w:space="0" w:color="004C97"/>
            <w:left w:val="single" w:sz="24" w:space="0" w:color="004C97"/>
            <w:bottom w:val="single" w:sz="24" w:space="0" w:color="004C97"/>
            <w:right w:val="single" w:sz="24" w:space="0" w:color="004C97"/>
          </w:divBdr>
          <w:divsChild>
            <w:div w:id="339162456">
              <w:marLeft w:val="0"/>
              <w:marRight w:val="0"/>
              <w:marTop w:val="0"/>
              <w:marBottom w:val="0"/>
              <w:divBdr>
                <w:top w:val="none" w:sz="0" w:space="0" w:color="auto"/>
                <w:left w:val="none" w:sz="0" w:space="0" w:color="auto"/>
                <w:bottom w:val="none" w:sz="0" w:space="0" w:color="auto"/>
                <w:right w:val="none" w:sz="0" w:space="0" w:color="auto"/>
              </w:divBdr>
              <w:divsChild>
                <w:div w:id="242883987">
                  <w:marLeft w:val="0"/>
                  <w:marRight w:val="0"/>
                  <w:marTop w:val="0"/>
                  <w:marBottom w:val="0"/>
                  <w:divBdr>
                    <w:top w:val="none" w:sz="0" w:space="0" w:color="auto"/>
                    <w:left w:val="none" w:sz="0" w:space="0" w:color="auto"/>
                    <w:bottom w:val="none" w:sz="0" w:space="0" w:color="auto"/>
                    <w:right w:val="none" w:sz="0" w:space="0" w:color="auto"/>
                  </w:divBdr>
                  <w:divsChild>
                    <w:div w:id="1307540813">
                      <w:marLeft w:val="0"/>
                      <w:marRight w:val="0"/>
                      <w:marTop w:val="0"/>
                      <w:marBottom w:val="0"/>
                      <w:divBdr>
                        <w:top w:val="none" w:sz="0" w:space="0" w:color="auto"/>
                        <w:left w:val="none" w:sz="0" w:space="0" w:color="auto"/>
                        <w:bottom w:val="none" w:sz="0" w:space="0" w:color="auto"/>
                        <w:right w:val="none" w:sz="0" w:space="0" w:color="auto"/>
                      </w:divBdr>
                      <w:divsChild>
                        <w:div w:id="17514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545351">
      <w:bodyDiv w:val="1"/>
      <w:marLeft w:val="0"/>
      <w:marRight w:val="0"/>
      <w:marTop w:val="0"/>
      <w:marBottom w:val="0"/>
      <w:divBdr>
        <w:top w:val="none" w:sz="0" w:space="0" w:color="auto"/>
        <w:left w:val="none" w:sz="0" w:space="0" w:color="auto"/>
        <w:bottom w:val="none" w:sz="0" w:space="0" w:color="auto"/>
        <w:right w:val="none" w:sz="0" w:space="0" w:color="auto"/>
      </w:divBdr>
    </w:div>
    <w:div w:id="1649895628">
      <w:bodyDiv w:val="1"/>
      <w:marLeft w:val="0"/>
      <w:marRight w:val="0"/>
      <w:marTop w:val="0"/>
      <w:marBottom w:val="0"/>
      <w:divBdr>
        <w:top w:val="none" w:sz="0" w:space="0" w:color="auto"/>
        <w:left w:val="none" w:sz="0" w:space="0" w:color="auto"/>
        <w:bottom w:val="none" w:sz="0" w:space="0" w:color="auto"/>
        <w:right w:val="none" w:sz="0" w:space="0" w:color="auto"/>
      </w:divBdr>
    </w:div>
    <w:div w:id="1658025107">
      <w:bodyDiv w:val="1"/>
      <w:marLeft w:val="0"/>
      <w:marRight w:val="0"/>
      <w:marTop w:val="0"/>
      <w:marBottom w:val="0"/>
      <w:divBdr>
        <w:top w:val="none" w:sz="0" w:space="0" w:color="auto"/>
        <w:left w:val="none" w:sz="0" w:space="0" w:color="auto"/>
        <w:bottom w:val="none" w:sz="0" w:space="0" w:color="auto"/>
        <w:right w:val="none" w:sz="0" w:space="0" w:color="auto"/>
      </w:divBdr>
    </w:div>
    <w:div w:id="1671520070">
      <w:bodyDiv w:val="1"/>
      <w:marLeft w:val="0"/>
      <w:marRight w:val="0"/>
      <w:marTop w:val="0"/>
      <w:marBottom w:val="0"/>
      <w:divBdr>
        <w:top w:val="none" w:sz="0" w:space="0" w:color="auto"/>
        <w:left w:val="none" w:sz="0" w:space="0" w:color="auto"/>
        <w:bottom w:val="none" w:sz="0" w:space="0" w:color="auto"/>
        <w:right w:val="none" w:sz="0" w:space="0" w:color="auto"/>
      </w:divBdr>
    </w:div>
    <w:div w:id="1671520759">
      <w:bodyDiv w:val="1"/>
      <w:marLeft w:val="0"/>
      <w:marRight w:val="0"/>
      <w:marTop w:val="0"/>
      <w:marBottom w:val="0"/>
      <w:divBdr>
        <w:top w:val="none" w:sz="0" w:space="0" w:color="auto"/>
        <w:left w:val="none" w:sz="0" w:space="0" w:color="auto"/>
        <w:bottom w:val="none" w:sz="0" w:space="0" w:color="auto"/>
        <w:right w:val="none" w:sz="0" w:space="0" w:color="auto"/>
      </w:divBdr>
    </w:div>
    <w:div w:id="1676805224">
      <w:bodyDiv w:val="1"/>
      <w:marLeft w:val="0"/>
      <w:marRight w:val="0"/>
      <w:marTop w:val="0"/>
      <w:marBottom w:val="0"/>
      <w:divBdr>
        <w:top w:val="none" w:sz="0" w:space="0" w:color="auto"/>
        <w:left w:val="none" w:sz="0" w:space="0" w:color="auto"/>
        <w:bottom w:val="none" w:sz="0" w:space="0" w:color="auto"/>
        <w:right w:val="none" w:sz="0" w:space="0" w:color="auto"/>
      </w:divBdr>
    </w:div>
    <w:div w:id="1676877975">
      <w:bodyDiv w:val="1"/>
      <w:marLeft w:val="0"/>
      <w:marRight w:val="0"/>
      <w:marTop w:val="0"/>
      <w:marBottom w:val="0"/>
      <w:divBdr>
        <w:top w:val="none" w:sz="0" w:space="0" w:color="auto"/>
        <w:left w:val="none" w:sz="0" w:space="0" w:color="auto"/>
        <w:bottom w:val="none" w:sz="0" w:space="0" w:color="auto"/>
        <w:right w:val="none" w:sz="0" w:space="0" w:color="auto"/>
      </w:divBdr>
    </w:div>
    <w:div w:id="1677072848">
      <w:bodyDiv w:val="1"/>
      <w:marLeft w:val="0"/>
      <w:marRight w:val="0"/>
      <w:marTop w:val="0"/>
      <w:marBottom w:val="0"/>
      <w:divBdr>
        <w:top w:val="none" w:sz="0" w:space="0" w:color="auto"/>
        <w:left w:val="none" w:sz="0" w:space="0" w:color="auto"/>
        <w:bottom w:val="none" w:sz="0" w:space="0" w:color="auto"/>
        <w:right w:val="none" w:sz="0" w:space="0" w:color="auto"/>
      </w:divBdr>
    </w:div>
    <w:div w:id="1681007994">
      <w:bodyDiv w:val="1"/>
      <w:marLeft w:val="0"/>
      <w:marRight w:val="0"/>
      <w:marTop w:val="0"/>
      <w:marBottom w:val="0"/>
      <w:divBdr>
        <w:top w:val="none" w:sz="0" w:space="0" w:color="auto"/>
        <w:left w:val="none" w:sz="0" w:space="0" w:color="auto"/>
        <w:bottom w:val="none" w:sz="0" w:space="0" w:color="auto"/>
        <w:right w:val="none" w:sz="0" w:space="0" w:color="auto"/>
      </w:divBdr>
    </w:div>
    <w:div w:id="1688750393">
      <w:bodyDiv w:val="1"/>
      <w:marLeft w:val="0"/>
      <w:marRight w:val="0"/>
      <w:marTop w:val="0"/>
      <w:marBottom w:val="0"/>
      <w:divBdr>
        <w:top w:val="none" w:sz="0" w:space="0" w:color="auto"/>
        <w:left w:val="none" w:sz="0" w:space="0" w:color="auto"/>
        <w:bottom w:val="none" w:sz="0" w:space="0" w:color="auto"/>
        <w:right w:val="none" w:sz="0" w:space="0" w:color="auto"/>
      </w:divBdr>
    </w:div>
    <w:div w:id="1722056237">
      <w:bodyDiv w:val="1"/>
      <w:marLeft w:val="0"/>
      <w:marRight w:val="0"/>
      <w:marTop w:val="0"/>
      <w:marBottom w:val="0"/>
      <w:divBdr>
        <w:top w:val="none" w:sz="0" w:space="0" w:color="auto"/>
        <w:left w:val="none" w:sz="0" w:space="0" w:color="auto"/>
        <w:bottom w:val="none" w:sz="0" w:space="0" w:color="auto"/>
        <w:right w:val="none" w:sz="0" w:space="0" w:color="auto"/>
      </w:divBdr>
    </w:div>
    <w:div w:id="1734350402">
      <w:bodyDiv w:val="1"/>
      <w:marLeft w:val="0"/>
      <w:marRight w:val="0"/>
      <w:marTop w:val="0"/>
      <w:marBottom w:val="0"/>
      <w:divBdr>
        <w:top w:val="none" w:sz="0" w:space="0" w:color="auto"/>
        <w:left w:val="none" w:sz="0" w:space="0" w:color="auto"/>
        <w:bottom w:val="none" w:sz="0" w:space="0" w:color="auto"/>
        <w:right w:val="none" w:sz="0" w:space="0" w:color="auto"/>
      </w:divBdr>
    </w:div>
    <w:div w:id="1752847516">
      <w:bodyDiv w:val="1"/>
      <w:marLeft w:val="0"/>
      <w:marRight w:val="0"/>
      <w:marTop w:val="0"/>
      <w:marBottom w:val="0"/>
      <w:divBdr>
        <w:top w:val="none" w:sz="0" w:space="0" w:color="auto"/>
        <w:left w:val="none" w:sz="0" w:space="0" w:color="auto"/>
        <w:bottom w:val="none" w:sz="0" w:space="0" w:color="auto"/>
        <w:right w:val="none" w:sz="0" w:space="0" w:color="auto"/>
      </w:divBdr>
    </w:div>
    <w:div w:id="1771971212">
      <w:bodyDiv w:val="1"/>
      <w:marLeft w:val="0"/>
      <w:marRight w:val="0"/>
      <w:marTop w:val="0"/>
      <w:marBottom w:val="0"/>
      <w:divBdr>
        <w:top w:val="none" w:sz="0" w:space="0" w:color="auto"/>
        <w:left w:val="none" w:sz="0" w:space="0" w:color="auto"/>
        <w:bottom w:val="none" w:sz="0" w:space="0" w:color="auto"/>
        <w:right w:val="none" w:sz="0" w:space="0" w:color="auto"/>
      </w:divBdr>
    </w:div>
    <w:div w:id="1772316715">
      <w:bodyDiv w:val="1"/>
      <w:marLeft w:val="0"/>
      <w:marRight w:val="0"/>
      <w:marTop w:val="0"/>
      <w:marBottom w:val="0"/>
      <w:divBdr>
        <w:top w:val="none" w:sz="0" w:space="0" w:color="auto"/>
        <w:left w:val="none" w:sz="0" w:space="0" w:color="auto"/>
        <w:bottom w:val="none" w:sz="0" w:space="0" w:color="auto"/>
        <w:right w:val="none" w:sz="0" w:space="0" w:color="auto"/>
      </w:divBdr>
    </w:div>
    <w:div w:id="1775900779">
      <w:bodyDiv w:val="1"/>
      <w:marLeft w:val="0"/>
      <w:marRight w:val="0"/>
      <w:marTop w:val="0"/>
      <w:marBottom w:val="0"/>
      <w:divBdr>
        <w:top w:val="none" w:sz="0" w:space="0" w:color="auto"/>
        <w:left w:val="none" w:sz="0" w:space="0" w:color="auto"/>
        <w:bottom w:val="none" w:sz="0" w:space="0" w:color="auto"/>
        <w:right w:val="none" w:sz="0" w:space="0" w:color="auto"/>
      </w:divBdr>
    </w:div>
    <w:div w:id="1780640982">
      <w:bodyDiv w:val="1"/>
      <w:marLeft w:val="0"/>
      <w:marRight w:val="0"/>
      <w:marTop w:val="0"/>
      <w:marBottom w:val="0"/>
      <w:divBdr>
        <w:top w:val="none" w:sz="0" w:space="0" w:color="auto"/>
        <w:left w:val="none" w:sz="0" w:space="0" w:color="auto"/>
        <w:bottom w:val="none" w:sz="0" w:space="0" w:color="auto"/>
        <w:right w:val="none" w:sz="0" w:space="0" w:color="auto"/>
      </w:divBdr>
    </w:div>
    <w:div w:id="1801847721">
      <w:bodyDiv w:val="1"/>
      <w:marLeft w:val="0"/>
      <w:marRight w:val="0"/>
      <w:marTop w:val="0"/>
      <w:marBottom w:val="0"/>
      <w:divBdr>
        <w:top w:val="none" w:sz="0" w:space="0" w:color="auto"/>
        <w:left w:val="none" w:sz="0" w:space="0" w:color="auto"/>
        <w:bottom w:val="none" w:sz="0" w:space="0" w:color="auto"/>
        <w:right w:val="none" w:sz="0" w:space="0" w:color="auto"/>
      </w:divBdr>
    </w:div>
    <w:div w:id="1811702836">
      <w:bodyDiv w:val="1"/>
      <w:marLeft w:val="0"/>
      <w:marRight w:val="0"/>
      <w:marTop w:val="0"/>
      <w:marBottom w:val="0"/>
      <w:divBdr>
        <w:top w:val="none" w:sz="0" w:space="0" w:color="auto"/>
        <w:left w:val="none" w:sz="0" w:space="0" w:color="auto"/>
        <w:bottom w:val="none" w:sz="0" w:space="0" w:color="auto"/>
        <w:right w:val="none" w:sz="0" w:space="0" w:color="auto"/>
      </w:divBdr>
    </w:div>
    <w:div w:id="1825124766">
      <w:bodyDiv w:val="1"/>
      <w:marLeft w:val="0"/>
      <w:marRight w:val="0"/>
      <w:marTop w:val="0"/>
      <w:marBottom w:val="0"/>
      <w:divBdr>
        <w:top w:val="none" w:sz="0" w:space="0" w:color="auto"/>
        <w:left w:val="none" w:sz="0" w:space="0" w:color="auto"/>
        <w:bottom w:val="none" w:sz="0" w:space="0" w:color="auto"/>
        <w:right w:val="none" w:sz="0" w:space="0" w:color="auto"/>
      </w:divBdr>
    </w:div>
    <w:div w:id="1833325348">
      <w:bodyDiv w:val="1"/>
      <w:marLeft w:val="0"/>
      <w:marRight w:val="0"/>
      <w:marTop w:val="0"/>
      <w:marBottom w:val="0"/>
      <w:divBdr>
        <w:top w:val="none" w:sz="0" w:space="0" w:color="auto"/>
        <w:left w:val="none" w:sz="0" w:space="0" w:color="auto"/>
        <w:bottom w:val="none" w:sz="0" w:space="0" w:color="auto"/>
        <w:right w:val="none" w:sz="0" w:space="0" w:color="auto"/>
      </w:divBdr>
    </w:div>
    <w:div w:id="1836265410">
      <w:bodyDiv w:val="1"/>
      <w:marLeft w:val="0"/>
      <w:marRight w:val="0"/>
      <w:marTop w:val="0"/>
      <w:marBottom w:val="0"/>
      <w:divBdr>
        <w:top w:val="none" w:sz="0" w:space="0" w:color="auto"/>
        <w:left w:val="none" w:sz="0" w:space="0" w:color="auto"/>
        <w:bottom w:val="none" w:sz="0" w:space="0" w:color="auto"/>
        <w:right w:val="none" w:sz="0" w:space="0" w:color="auto"/>
      </w:divBdr>
    </w:div>
    <w:div w:id="1844709954">
      <w:bodyDiv w:val="1"/>
      <w:marLeft w:val="0"/>
      <w:marRight w:val="0"/>
      <w:marTop w:val="0"/>
      <w:marBottom w:val="0"/>
      <w:divBdr>
        <w:top w:val="none" w:sz="0" w:space="0" w:color="auto"/>
        <w:left w:val="none" w:sz="0" w:space="0" w:color="auto"/>
        <w:bottom w:val="none" w:sz="0" w:space="0" w:color="auto"/>
        <w:right w:val="none" w:sz="0" w:space="0" w:color="auto"/>
      </w:divBdr>
    </w:div>
    <w:div w:id="1863012554">
      <w:bodyDiv w:val="1"/>
      <w:marLeft w:val="0"/>
      <w:marRight w:val="0"/>
      <w:marTop w:val="0"/>
      <w:marBottom w:val="0"/>
      <w:divBdr>
        <w:top w:val="none" w:sz="0" w:space="0" w:color="auto"/>
        <w:left w:val="none" w:sz="0" w:space="0" w:color="auto"/>
        <w:bottom w:val="none" w:sz="0" w:space="0" w:color="auto"/>
        <w:right w:val="none" w:sz="0" w:space="0" w:color="auto"/>
      </w:divBdr>
    </w:div>
    <w:div w:id="1863087008">
      <w:bodyDiv w:val="1"/>
      <w:marLeft w:val="0"/>
      <w:marRight w:val="0"/>
      <w:marTop w:val="0"/>
      <w:marBottom w:val="0"/>
      <w:divBdr>
        <w:top w:val="none" w:sz="0" w:space="0" w:color="auto"/>
        <w:left w:val="none" w:sz="0" w:space="0" w:color="auto"/>
        <w:bottom w:val="none" w:sz="0" w:space="0" w:color="auto"/>
        <w:right w:val="none" w:sz="0" w:space="0" w:color="auto"/>
      </w:divBdr>
    </w:div>
    <w:div w:id="1866672729">
      <w:bodyDiv w:val="1"/>
      <w:marLeft w:val="0"/>
      <w:marRight w:val="0"/>
      <w:marTop w:val="0"/>
      <w:marBottom w:val="0"/>
      <w:divBdr>
        <w:top w:val="none" w:sz="0" w:space="0" w:color="auto"/>
        <w:left w:val="none" w:sz="0" w:space="0" w:color="auto"/>
        <w:bottom w:val="none" w:sz="0" w:space="0" w:color="auto"/>
        <w:right w:val="none" w:sz="0" w:space="0" w:color="auto"/>
      </w:divBdr>
    </w:div>
    <w:div w:id="1879195208">
      <w:bodyDiv w:val="1"/>
      <w:marLeft w:val="0"/>
      <w:marRight w:val="0"/>
      <w:marTop w:val="0"/>
      <w:marBottom w:val="0"/>
      <w:divBdr>
        <w:top w:val="none" w:sz="0" w:space="0" w:color="auto"/>
        <w:left w:val="none" w:sz="0" w:space="0" w:color="auto"/>
        <w:bottom w:val="none" w:sz="0" w:space="0" w:color="auto"/>
        <w:right w:val="none" w:sz="0" w:space="0" w:color="auto"/>
      </w:divBdr>
    </w:div>
    <w:div w:id="1908494832">
      <w:bodyDiv w:val="1"/>
      <w:marLeft w:val="0"/>
      <w:marRight w:val="0"/>
      <w:marTop w:val="0"/>
      <w:marBottom w:val="0"/>
      <w:divBdr>
        <w:top w:val="none" w:sz="0" w:space="0" w:color="auto"/>
        <w:left w:val="none" w:sz="0" w:space="0" w:color="auto"/>
        <w:bottom w:val="none" w:sz="0" w:space="0" w:color="auto"/>
        <w:right w:val="none" w:sz="0" w:space="0" w:color="auto"/>
      </w:divBdr>
    </w:div>
    <w:div w:id="1913195723">
      <w:bodyDiv w:val="1"/>
      <w:marLeft w:val="0"/>
      <w:marRight w:val="0"/>
      <w:marTop w:val="0"/>
      <w:marBottom w:val="0"/>
      <w:divBdr>
        <w:top w:val="none" w:sz="0" w:space="0" w:color="auto"/>
        <w:left w:val="none" w:sz="0" w:space="0" w:color="auto"/>
        <w:bottom w:val="none" w:sz="0" w:space="0" w:color="auto"/>
        <w:right w:val="none" w:sz="0" w:space="0" w:color="auto"/>
      </w:divBdr>
    </w:div>
    <w:div w:id="1936595372">
      <w:bodyDiv w:val="1"/>
      <w:marLeft w:val="0"/>
      <w:marRight w:val="0"/>
      <w:marTop w:val="0"/>
      <w:marBottom w:val="0"/>
      <w:divBdr>
        <w:top w:val="none" w:sz="0" w:space="0" w:color="auto"/>
        <w:left w:val="none" w:sz="0" w:space="0" w:color="auto"/>
        <w:bottom w:val="none" w:sz="0" w:space="0" w:color="auto"/>
        <w:right w:val="none" w:sz="0" w:space="0" w:color="auto"/>
      </w:divBdr>
    </w:div>
    <w:div w:id="1938899872">
      <w:bodyDiv w:val="1"/>
      <w:marLeft w:val="0"/>
      <w:marRight w:val="0"/>
      <w:marTop w:val="0"/>
      <w:marBottom w:val="0"/>
      <w:divBdr>
        <w:top w:val="none" w:sz="0" w:space="0" w:color="auto"/>
        <w:left w:val="none" w:sz="0" w:space="0" w:color="auto"/>
        <w:bottom w:val="none" w:sz="0" w:space="0" w:color="auto"/>
        <w:right w:val="none" w:sz="0" w:space="0" w:color="auto"/>
      </w:divBdr>
    </w:div>
    <w:div w:id="1952197899">
      <w:bodyDiv w:val="1"/>
      <w:marLeft w:val="0"/>
      <w:marRight w:val="0"/>
      <w:marTop w:val="0"/>
      <w:marBottom w:val="0"/>
      <w:divBdr>
        <w:top w:val="none" w:sz="0" w:space="0" w:color="auto"/>
        <w:left w:val="none" w:sz="0" w:space="0" w:color="auto"/>
        <w:bottom w:val="none" w:sz="0" w:space="0" w:color="auto"/>
        <w:right w:val="none" w:sz="0" w:space="0" w:color="auto"/>
      </w:divBdr>
    </w:div>
    <w:div w:id="1963533941">
      <w:bodyDiv w:val="1"/>
      <w:marLeft w:val="0"/>
      <w:marRight w:val="0"/>
      <w:marTop w:val="0"/>
      <w:marBottom w:val="0"/>
      <w:divBdr>
        <w:top w:val="none" w:sz="0" w:space="0" w:color="auto"/>
        <w:left w:val="none" w:sz="0" w:space="0" w:color="auto"/>
        <w:bottom w:val="none" w:sz="0" w:space="0" w:color="auto"/>
        <w:right w:val="none" w:sz="0" w:space="0" w:color="auto"/>
      </w:divBdr>
    </w:div>
    <w:div w:id="1965844918">
      <w:bodyDiv w:val="1"/>
      <w:marLeft w:val="0"/>
      <w:marRight w:val="0"/>
      <w:marTop w:val="0"/>
      <w:marBottom w:val="0"/>
      <w:divBdr>
        <w:top w:val="none" w:sz="0" w:space="0" w:color="auto"/>
        <w:left w:val="none" w:sz="0" w:space="0" w:color="auto"/>
        <w:bottom w:val="none" w:sz="0" w:space="0" w:color="auto"/>
        <w:right w:val="none" w:sz="0" w:space="0" w:color="auto"/>
      </w:divBdr>
    </w:div>
    <w:div w:id="1968469613">
      <w:bodyDiv w:val="1"/>
      <w:marLeft w:val="0"/>
      <w:marRight w:val="0"/>
      <w:marTop w:val="0"/>
      <w:marBottom w:val="0"/>
      <w:divBdr>
        <w:top w:val="none" w:sz="0" w:space="0" w:color="auto"/>
        <w:left w:val="none" w:sz="0" w:space="0" w:color="auto"/>
        <w:bottom w:val="none" w:sz="0" w:space="0" w:color="auto"/>
        <w:right w:val="none" w:sz="0" w:space="0" w:color="auto"/>
      </w:divBdr>
    </w:div>
    <w:div w:id="1976064448">
      <w:bodyDiv w:val="1"/>
      <w:marLeft w:val="0"/>
      <w:marRight w:val="0"/>
      <w:marTop w:val="0"/>
      <w:marBottom w:val="0"/>
      <w:divBdr>
        <w:top w:val="none" w:sz="0" w:space="0" w:color="auto"/>
        <w:left w:val="none" w:sz="0" w:space="0" w:color="auto"/>
        <w:bottom w:val="none" w:sz="0" w:space="0" w:color="auto"/>
        <w:right w:val="none" w:sz="0" w:space="0" w:color="auto"/>
      </w:divBdr>
    </w:div>
    <w:div w:id="1976711084">
      <w:bodyDiv w:val="1"/>
      <w:marLeft w:val="0"/>
      <w:marRight w:val="0"/>
      <w:marTop w:val="0"/>
      <w:marBottom w:val="0"/>
      <w:divBdr>
        <w:top w:val="none" w:sz="0" w:space="0" w:color="auto"/>
        <w:left w:val="none" w:sz="0" w:space="0" w:color="auto"/>
        <w:bottom w:val="none" w:sz="0" w:space="0" w:color="auto"/>
        <w:right w:val="none" w:sz="0" w:space="0" w:color="auto"/>
      </w:divBdr>
    </w:div>
    <w:div w:id="1976906859">
      <w:bodyDiv w:val="1"/>
      <w:marLeft w:val="0"/>
      <w:marRight w:val="0"/>
      <w:marTop w:val="0"/>
      <w:marBottom w:val="0"/>
      <w:divBdr>
        <w:top w:val="none" w:sz="0" w:space="0" w:color="auto"/>
        <w:left w:val="none" w:sz="0" w:space="0" w:color="auto"/>
        <w:bottom w:val="none" w:sz="0" w:space="0" w:color="auto"/>
        <w:right w:val="none" w:sz="0" w:space="0" w:color="auto"/>
      </w:divBdr>
    </w:div>
    <w:div w:id="1985547619">
      <w:bodyDiv w:val="1"/>
      <w:marLeft w:val="0"/>
      <w:marRight w:val="0"/>
      <w:marTop w:val="0"/>
      <w:marBottom w:val="0"/>
      <w:divBdr>
        <w:top w:val="none" w:sz="0" w:space="0" w:color="auto"/>
        <w:left w:val="none" w:sz="0" w:space="0" w:color="auto"/>
        <w:bottom w:val="none" w:sz="0" w:space="0" w:color="auto"/>
        <w:right w:val="none" w:sz="0" w:space="0" w:color="auto"/>
      </w:divBdr>
    </w:div>
    <w:div w:id="1987707631">
      <w:bodyDiv w:val="1"/>
      <w:marLeft w:val="0"/>
      <w:marRight w:val="0"/>
      <w:marTop w:val="0"/>
      <w:marBottom w:val="0"/>
      <w:divBdr>
        <w:top w:val="none" w:sz="0" w:space="0" w:color="auto"/>
        <w:left w:val="none" w:sz="0" w:space="0" w:color="auto"/>
        <w:bottom w:val="none" w:sz="0" w:space="0" w:color="auto"/>
        <w:right w:val="none" w:sz="0" w:space="0" w:color="auto"/>
      </w:divBdr>
    </w:div>
    <w:div w:id="1993177021">
      <w:bodyDiv w:val="1"/>
      <w:marLeft w:val="0"/>
      <w:marRight w:val="0"/>
      <w:marTop w:val="0"/>
      <w:marBottom w:val="0"/>
      <w:divBdr>
        <w:top w:val="none" w:sz="0" w:space="0" w:color="auto"/>
        <w:left w:val="none" w:sz="0" w:space="0" w:color="auto"/>
        <w:bottom w:val="none" w:sz="0" w:space="0" w:color="auto"/>
        <w:right w:val="none" w:sz="0" w:space="0" w:color="auto"/>
      </w:divBdr>
    </w:div>
    <w:div w:id="2003240833">
      <w:bodyDiv w:val="1"/>
      <w:marLeft w:val="0"/>
      <w:marRight w:val="0"/>
      <w:marTop w:val="0"/>
      <w:marBottom w:val="0"/>
      <w:divBdr>
        <w:top w:val="none" w:sz="0" w:space="0" w:color="auto"/>
        <w:left w:val="none" w:sz="0" w:space="0" w:color="auto"/>
        <w:bottom w:val="none" w:sz="0" w:space="0" w:color="auto"/>
        <w:right w:val="none" w:sz="0" w:space="0" w:color="auto"/>
      </w:divBdr>
    </w:div>
    <w:div w:id="2008894872">
      <w:bodyDiv w:val="1"/>
      <w:marLeft w:val="0"/>
      <w:marRight w:val="0"/>
      <w:marTop w:val="0"/>
      <w:marBottom w:val="0"/>
      <w:divBdr>
        <w:top w:val="none" w:sz="0" w:space="0" w:color="auto"/>
        <w:left w:val="none" w:sz="0" w:space="0" w:color="auto"/>
        <w:bottom w:val="none" w:sz="0" w:space="0" w:color="auto"/>
        <w:right w:val="none" w:sz="0" w:space="0" w:color="auto"/>
      </w:divBdr>
    </w:div>
    <w:div w:id="2008973268">
      <w:bodyDiv w:val="1"/>
      <w:marLeft w:val="0"/>
      <w:marRight w:val="0"/>
      <w:marTop w:val="0"/>
      <w:marBottom w:val="0"/>
      <w:divBdr>
        <w:top w:val="none" w:sz="0" w:space="0" w:color="auto"/>
        <w:left w:val="none" w:sz="0" w:space="0" w:color="auto"/>
        <w:bottom w:val="none" w:sz="0" w:space="0" w:color="auto"/>
        <w:right w:val="none" w:sz="0" w:space="0" w:color="auto"/>
      </w:divBdr>
    </w:div>
    <w:div w:id="2017154132">
      <w:bodyDiv w:val="1"/>
      <w:marLeft w:val="0"/>
      <w:marRight w:val="0"/>
      <w:marTop w:val="0"/>
      <w:marBottom w:val="0"/>
      <w:divBdr>
        <w:top w:val="none" w:sz="0" w:space="0" w:color="auto"/>
        <w:left w:val="none" w:sz="0" w:space="0" w:color="auto"/>
        <w:bottom w:val="none" w:sz="0" w:space="0" w:color="auto"/>
        <w:right w:val="none" w:sz="0" w:space="0" w:color="auto"/>
      </w:divBdr>
    </w:div>
    <w:div w:id="2024935694">
      <w:bodyDiv w:val="1"/>
      <w:marLeft w:val="0"/>
      <w:marRight w:val="0"/>
      <w:marTop w:val="0"/>
      <w:marBottom w:val="0"/>
      <w:divBdr>
        <w:top w:val="none" w:sz="0" w:space="0" w:color="auto"/>
        <w:left w:val="none" w:sz="0" w:space="0" w:color="auto"/>
        <w:bottom w:val="none" w:sz="0" w:space="0" w:color="auto"/>
        <w:right w:val="none" w:sz="0" w:space="0" w:color="auto"/>
      </w:divBdr>
    </w:div>
    <w:div w:id="2030642888">
      <w:bodyDiv w:val="1"/>
      <w:marLeft w:val="0"/>
      <w:marRight w:val="0"/>
      <w:marTop w:val="0"/>
      <w:marBottom w:val="0"/>
      <w:divBdr>
        <w:top w:val="none" w:sz="0" w:space="0" w:color="auto"/>
        <w:left w:val="none" w:sz="0" w:space="0" w:color="auto"/>
        <w:bottom w:val="none" w:sz="0" w:space="0" w:color="auto"/>
        <w:right w:val="none" w:sz="0" w:space="0" w:color="auto"/>
      </w:divBdr>
    </w:div>
    <w:div w:id="2034451559">
      <w:bodyDiv w:val="1"/>
      <w:marLeft w:val="0"/>
      <w:marRight w:val="0"/>
      <w:marTop w:val="0"/>
      <w:marBottom w:val="0"/>
      <w:divBdr>
        <w:top w:val="none" w:sz="0" w:space="0" w:color="auto"/>
        <w:left w:val="none" w:sz="0" w:space="0" w:color="auto"/>
        <w:bottom w:val="none" w:sz="0" w:space="0" w:color="auto"/>
        <w:right w:val="none" w:sz="0" w:space="0" w:color="auto"/>
      </w:divBdr>
    </w:div>
    <w:div w:id="2037273981">
      <w:bodyDiv w:val="1"/>
      <w:marLeft w:val="0"/>
      <w:marRight w:val="0"/>
      <w:marTop w:val="0"/>
      <w:marBottom w:val="0"/>
      <w:divBdr>
        <w:top w:val="none" w:sz="0" w:space="0" w:color="auto"/>
        <w:left w:val="none" w:sz="0" w:space="0" w:color="auto"/>
        <w:bottom w:val="none" w:sz="0" w:space="0" w:color="auto"/>
        <w:right w:val="none" w:sz="0" w:space="0" w:color="auto"/>
      </w:divBdr>
    </w:div>
    <w:div w:id="2037347041">
      <w:bodyDiv w:val="1"/>
      <w:marLeft w:val="0"/>
      <w:marRight w:val="0"/>
      <w:marTop w:val="0"/>
      <w:marBottom w:val="0"/>
      <w:divBdr>
        <w:top w:val="none" w:sz="0" w:space="0" w:color="auto"/>
        <w:left w:val="none" w:sz="0" w:space="0" w:color="auto"/>
        <w:bottom w:val="none" w:sz="0" w:space="0" w:color="auto"/>
        <w:right w:val="none" w:sz="0" w:space="0" w:color="auto"/>
      </w:divBdr>
    </w:div>
    <w:div w:id="2039306534">
      <w:bodyDiv w:val="1"/>
      <w:marLeft w:val="0"/>
      <w:marRight w:val="0"/>
      <w:marTop w:val="0"/>
      <w:marBottom w:val="0"/>
      <w:divBdr>
        <w:top w:val="none" w:sz="0" w:space="0" w:color="auto"/>
        <w:left w:val="none" w:sz="0" w:space="0" w:color="auto"/>
        <w:bottom w:val="none" w:sz="0" w:space="0" w:color="auto"/>
        <w:right w:val="none" w:sz="0" w:space="0" w:color="auto"/>
      </w:divBdr>
    </w:div>
    <w:div w:id="2040080206">
      <w:bodyDiv w:val="1"/>
      <w:marLeft w:val="0"/>
      <w:marRight w:val="0"/>
      <w:marTop w:val="0"/>
      <w:marBottom w:val="0"/>
      <w:divBdr>
        <w:top w:val="none" w:sz="0" w:space="0" w:color="auto"/>
        <w:left w:val="none" w:sz="0" w:space="0" w:color="auto"/>
        <w:bottom w:val="none" w:sz="0" w:space="0" w:color="auto"/>
        <w:right w:val="none" w:sz="0" w:space="0" w:color="auto"/>
      </w:divBdr>
    </w:div>
    <w:div w:id="2063405449">
      <w:bodyDiv w:val="1"/>
      <w:marLeft w:val="0"/>
      <w:marRight w:val="0"/>
      <w:marTop w:val="0"/>
      <w:marBottom w:val="0"/>
      <w:divBdr>
        <w:top w:val="none" w:sz="0" w:space="0" w:color="auto"/>
        <w:left w:val="none" w:sz="0" w:space="0" w:color="auto"/>
        <w:bottom w:val="none" w:sz="0" w:space="0" w:color="auto"/>
        <w:right w:val="none" w:sz="0" w:space="0" w:color="auto"/>
      </w:divBdr>
    </w:div>
    <w:div w:id="2094431156">
      <w:bodyDiv w:val="1"/>
      <w:marLeft w:val="0"/>
      <w:marRight w:val="0"/>
      <w:marTop w:val="0"/>
      <w:marBottom w:val="0"/>
      <w:divBdr>
        <w:top w:val="none" w:sz="0" w:space="0" w:color="auto"/>
        <w:left w:val="none" w:sz="0" w:space="0" w:color="auto"/>
        <w:bottom w:val="none" w:sz="0" w:space="0" w:color="auto"/>
        <w:right w:val="none" w:sz="0" w:space="0" w:color="auto"/>
      </w:divBdr>
    </w:div>
    <w:div w:id="2112889203">
      <w:bodyDiv w:val="1"/>
      <w:marLeft w:val="0"/>
      <w:marRight w:val="0"/>
      <w:marTop w:val="0"/>
      <w:marBottom w:val="0"/>
      <w:divBdr>
        <w:top w:val="none" w:sz="0" w:space="0" w:color="auto"/>
        <w:left w:val="none" w:sz="0" w:space="0" w:color="auto"/>
        <w:bottom w:val="none" w:sz="0" w:space="0" w:color="auto"/>
        <w:right w:val="none" w:sz="0" w:space="0" w:color="auto"/>
      </w:divBdr>
    </w:div>
    <w:div w:id="2115050261">
      <w:bodyDiv w:val="1"/>
      <w:marLeft w:val="0"/>
      <w:marRight w:val="0"/>
      <w:marTop w:val="0"/>
      <w:marBottom w:val="0"/>
      <w:divBdr>
        <w:top w:val="none" w:sz="0" w:space="0" w:color="auto"/>
        <w:left w:val="none" w:sz="0" w:space="0" w:color="auto"/>
        <w:bottom w:val="none" w:sz="0" w:space="0" w:color="auto"/>
        <w:right w:val="none" w:sz="0" w:space="0" w:color="auto"/>
      </w:divBdr>
    </w:div>
    <w:div w:id="2134710445">
      <w:bodyDiv w:val="1"/>
      <w:marLeft w:val="0"/>
      <w:marRight w:val="0"/>
      <w:marTop w:val="0"/>
      <w:marBottom w:val="0"/>
      <w:divBdr>
        <w:top w:val="none" w:sz="0" w:space="0" w:color="auto"/>
        <w:left w:val="none" w:sz="0" w:space="0" w:color="auto"/>
        <w:bottom w:val="none" w:sz="0" w:space="0" w:color="auto"/>
        <w:right w:val="none" w:sz="0" w:space="0" w:color="auto"/>
      </w:divBdr>
    </w:div>
    <w:div w:id="2134861814">
      <w:bodyDiv w:val="1"/>
      <w:marLeft w:val="0"/>
      <w:marRight w:val="0"/>
      <w:marTop w:val="0"/>
      <w:marBottom w:val="0"/>
      <w:divBdr>
        <w:top w:val="none" w:sz="0" w:space="0" w:color="auto"/>
        <w:left w:val="none" w:sz="0" w:space="0" w:color="auto"/>
        <w:bottom w:val="none" w:sz="0" w:space="0" w:color="auto"/>
        <w:right w:val="none" w:sz="0" w:space="0" w:color="auto"/>
      </w:divBdr>
    </w:div>
    <w:div w:id="214087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agedcare.health.gov.au/programs/streamlined-consumer-assessment-for-aged-care" TargetMode="External"/><Relationship Id="rId26" Type="http://schemas.openxmlformats.org/officeDocument/2006/relationships/hyperlink" Target="https://www.eventbrite.com.au/e/discussion-forums-residential-care-places-alternative-allocation-models-registration-59653841245" TargetMode="External"/><Relationship Id="rId39"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consultations.health.gov.au/aged-care-policy-and-regulation/alternative-allocation-models-residential-care" TargetMode="External"/><Relationship Id="rId34" Type="http://schemas.openxmlformats.org/officeDocument/2006/relationships/hyperlink" Target="https://agedcare.health.gov.au/reform/aged-care-legislated-review"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hyperlink" Target="https://agedcare.health.gov.au/quality/enhanced-information-on-quality-of-services" TargetMode="External"/><Relationship Id="rId33" Type="http://schemas.openxmlformats.org/officeDocument/2006/relationships/image" Target="media/image5.png"/><Relationship Id="rId38"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agedcare.health.gov.au/reform/resource-utilisation-and-classification-study" TargetMode="External"/><Relationship Id="rId29" Type="http://schemas.openxmlformats.org/officeDocument/2006/relationships/hyperlink" Target="mailto:ACARImpactAnalysis@health.gov.au"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dcarequality.gov.au/" TargetMode="External"/><Relationship Id="rId24" Type="http://schemas.openxmlformats.org/officeDocument/2006/relationships/hyperlink" Target="https://agedcare.health.gov.au/sites/default/files/documents/11_2018/acfa_report_on_respite_care_for_aged_care_recipients.pdf" TargetMode="External"/><Relationship Id="rId32" Type="http://schemas.openxmlformats.org/officeDocument/2006/relationships/image" Target="media/image4.png"/><Relationship Id="rId37" Type="http://schemas.openxmlformats.org/officeDocument/2006/relationships/image" Target="media/image6.emf"/><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agedcare.health.gov.au/increasing-choice-in-home-care" TargetMode="External"/><Relationship Id="rId28" Type="http://schemas.openxmlformats.org/officeDocument/2006/relationships/hyperlink" Target="https://consultations.health.gov.au/residential-and-flexi-aged-care-division/managing-prudential-risk-in-residential-aged-care/" TargetMode="External"/><Relationship Id="rId36" Type="http://schemas.openxmlformats.org/officeDocument/2006/relationships/hyperlink" Target="https://consultations.health.gov.au/aged-care-policy-and-regulation/alternative-allocation-models-residential-care/" TargetMode="External"/><Relationship Id="rId10" Type="http://schemas.openxmlformats.org/officeDocument/2006/relationships/endnotes" Target="endnotes.xml"/><Relationship Id="rId19" Type="http://schemas.openxmlformats.org/officeDocument/2006/relationships/hyperlink" Target="https://health.gov.au/internet/budget/publishing.nsf/Content/budget2018-factsheet78.htm" TargetMode="External"/><Relationship Id="rId31"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edcare.royalcommission.gov.au/Pages/default.aspx" TargetMode="External"/><Relationship Id="rId22" Type="http://schemas.openxmlformats.org/officeDocument/2006/relationships/hyperlink" Target="https://consultations.health.gov.au/aged-care-division/proposed-new-residential-aged-care-funding-model/" TargetMode="External"/><Relationship Id="rId27" Type="http://schemas.openxmlformats.org/officeDocument/2006/relationships/hyperlink" Target="https://agedcare.health.gov.au/reform/aged-care-workforce-strategy-taskforce" TargetMode="External"/><Relationship Id="rId30" Type="http://schemas.openxmlformats.org/officeDocument/2006/relationships/image" Target="media/image3.png"/><Relationship Id="rId35" Type="http://schemas.openxmlformats.org/officeDocument/2006/relationships/hyperlink" Target="https://agedcare.health.gov.au/programs/flexible-care/review-of-the-multi-purpose-services-program?utm-medium=discovery&amp;utm-campaign=social&amp;utm-content=attendeeshare&amp;aff=escb&amp;utm-source=cp&amp;utm-term=listing"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gedcarequality.gov.au/providers/assessment-processes/accreditation-and-re-accreditation" TargetMode="External"/><Relationship Id="rId2" Type="http://schemas.openxmlformats.org/officeDocument/2006/relationships/hyperlink" Target="https://agedcare.health.gov.au/funding/aged-care-approvals-round-acar/2018-19-aged-care-approvals-round/results" TargetMode="External"/><Relationship Id="rId1" Type="http://schemas.openxmlformats.org/officeDocument/2006/relationships/hyperlink" Target="https://agedcare.health.gov.au/funding/becoming-an-approved-provider" TargetMode="External"/><Relationship Id="rId4" Type="http://schemas.openxmlformats.org/officeDocument/2006/relationships/hyperlink" Target="http://www.dss.gov.au/disability-and-carers/programmes-services/for-people-with-disability/younger-people-with-disability-in-residential-aged-care-initi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E93AF2D8-2509-41D6-BA06-7AC2DF3B41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6CAB00AEEFA494F8855472756C40A7A" ma:contentTypeVersion="" ma:contentTypeDescription="PDMS Document Site Content Type" ma:contentTypeScope="" ma:versionID="3bbcfc8d9f3c7c7c7315a3d9c924e9c6">
  <xsd:schema xmlns:xsd="http://www.w3.org/2001/XMLSchema" xmlns:xs="http://www.w3.org/2001/XMLSchema" xmlns:p="http://schemas.microsoft.com/office/2006/metadata/properties" xmlns:ns2="E93AF2D8-2509-41D6-BA06-7AC2DF3B4174" targetNamespace="http://schemas.microsoft.com/office/2006/metadata/properties" ma:root="true" ma:fieldsID="d388a20d771e1466d09e5522f8d84ffa" ns2:_="">
    <xsd:import namespace="E93AF2D8-2509-41D6-BA06-7AC2DF3B4174"/>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AF2D8-2509-41D6-BA06-7AC2DF3B417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ADF27-AE68-4E4B-9B9C-C53B81A31E2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93AF2D8-2509-41D6-BA06-7AC2DF3B4174"/>
    <ds:schemaRef ds:uri="http://www.w3.org/XML/1998/namespace"/>
    <ds:schemaRef ds:uri="http://purl.org/dc/dcmitype/"/>
  </ds:schemaRefs>
</ds:datastoreItem>
</file>

<file path=customXml/itemProps2.xml><?xml version="1.0" encoding="utf-8"?>
<ds:datastoreItem xmlns:ds="http://schemas.openxmlformats.org/officeDocument/2006/customXml" ds:itemID="{F1263F66-8DA5-4C8F-8417-20F4FE850E5D}">
  <ds:schemaRefs>
    <ds:schemaRef ds:uri="http://schemas.microsoft.com/sharepoint/v3/contenttype/forms"/>
  </ds:schemaRefs>
</ds:datastoreItem>
</file>

<file path=customXml/itemProps3.xml><?xml version="1.0" encoding="utf-8"?>
<ds:datastoreItem xmlns:ds="http://schemas.openxmlformats.org/officeDocument/2006/customXml" ds:itemID="{35A90E25-C1D8-454E-A948-A0AEAE04C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AF2D8-2509-41D6-BA06-7AC2DF3B4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2CB39-266D-407D-8F95-CAF8617B1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15243</Words>
  <Characters>86890</Characters>
  <Application>Microsoft Office Word</Application>
  <DocSecurity>8</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2020-09-11T04:58:00Z</dcterms:created>
  <dcterms:modified xsi:type="dcterms:W3CDTF">2020-09-11T04:58:00Z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0x010100266966F133664895A6EE3632470D45F50096CAB00AEEFA494F8855472756C40A7A</vt:lpwstr>
  </property>
</Properties>
</file>