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Australian Government and MTTA Agreement 2017-2022 High Level Work Plan"/>
        <w:tblDescription w:val="Table detailing the Intent, Commitment and Key activities agreed to."/>
      </w:tblPr>
      <w:tblGrid>
        <w:gridCol w:w="2571"/>
        <w:gridCol w:w="5232"/>
        <w:gridCol w:w="7479"/>
        <w:gridCol w:w="12"/>
      </w:tblGrid>
      <w:tr w:rsidR="00B70C7A" w:rsidRPr="003F73EE" w14:paraId="5257A504" w14:textId="77777777" w:rsidTr="00D341D8">
        <w:trPr>
          <w:gridAfter w:val="1"/>
          <w:wAfter w:w="12" w:type="dxa"/>
          <w:tblHeader/>
          <w:jc w:val="center"/>
        </w:trPr>
        <w:tc>
          <w:tcPr>
            <w:tcW w:w="15282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4F81BD" w:themeFill="accent1"/>
          </w:tcPr>
          <w:p w14:paraId="6FEC2BC2" w14:textId="0702532A" w:rsidR="00B70C7A" w:rsidRPr="00B70C7A" w:rsidRDefault="008102C8" w:rsidP="00B2326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Australian Government </w:t>
            </w:r>
            <w:r w:rsidR="001A690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and MTAA Agreement </w:t>
            </w:r>
            <w:r w:rsidR="008B5F6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2017 – 2022:</w:t>
            </w:r>
            <w:r w:rsidR="001A690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2326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High Level Workplan</w:t>
            </w:r>
          </w:p>
        </w:tc>
      </w:tr>
      <w:tr w:rsidR="007C31FF" w:rsidRPr="003F73EE" w14:paraId="2593D2CD" w14:textId="77777777" w:rsidTr="00D341D8">
        <w:trPr>
          <w:gridAfter w:val="1"/>
          <w:wAfter w:w="12" w:type="dxa"/>
          <w:tblHeader/>
          <w:jc w:val="center"/>
        </w:trPr>
        <w:tc>
          <w:tcPr>
            <w:tcW w:w="2571" w:type="dxa"/>
            <w:tcBorders>
              <w:top w:val="single" w:sz="18" w:space="0" w:color="1F497D" w:themeColor="text2"/>
            </w:tcBorders>
          </w:tcPr>
          <w:p w14:paraId="076267E4" w14:textId="77777777" w:rsidR="007C31FF" w:rsidRPr="003F73EE" w:rsidRDefault="007C31FF" w:rsidP="00483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5232" w:type="dxa"/>
            <w:tcBorders>
              <w:top w:val="single" w:sz="18" w:space="0" w:color="1F497D" w:themeColor="text2"/>
            </w:tcBorders>
          </w:tcPr>
          <w:p w14:paraId="65385CB5" w14:textId="77777777" w:rsidR="007C31FF" w:rsidRPr="003F73EE" w:rsidRDefault="007C31FF" w:rsidP="00483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</w:t>
            </w:r>
          </w:p>
        </w:tc>
        <w:tc>
          <w:tcPr>
            <w:tcW w:w="7479" w:type="dxa"/>
            <w:tcBorders>
              <w:top w:val="single" w:sz="18" w:space="0" w:color="1F497D" w:themeColor="text2"/>
              <w:bottom w:val="single" w:sz="18" w:space="0" w:color="365F91" w:themeColor="accent1" w:themeShade="BF"/>
            </w:tcBorders>
          </w:tcPr>
          <w:p w14:paraId="3E498583" w14:textId="2658B876" w:rsidR="007C31FF" w:rsidRPr="003F73EE" w:rsidRDefault="007C31FF" w:rsidP="009A71BD">
            <w:pPr>
              <w:jc w:val="center"/>
              <w:rPr>
                <w:rFonts w:ascii="Arial" w:hAnsi="Arial" w:cs="Arial"/>
                <w:b/>
              </w:rPr>
            </w:pPr>
            <w:r w:rsidRPr="009A71BD">
              <w:rPr>
                <w:rFonts w:ascii="Arial" w:hAnsi="Arial" w:cs="Arial"/>
                <w:b/>
              </w:rPr>
              <w:t xml:space="preserve">Key Activities </w:t>
            </w:r>
          </w:p>
        </w:tc>
      </w:tr>
      <w:tr w:rsidR="007C31FF" w:rsidRPr="003F73EE" w14:paraId="1C0935E4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548DD4" w:themeFill="text2" w:themeFillTint="99"/>
            <w:vAlign w:val="center"/>
          </w:tcPr>
          <w:p w14:paraId="330ABEA4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Sector Stability and Sustainability</w:t>
            </w: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365F91" w:themeColor="accent1" w:themeShade="BF"/>
            </w:tcBorders>
          </w:tcPr>
          <w:p w14:paraId="3E406DF3" w14:textId="00241DDD" w:rsidR="007C31FF" w:rsidRPr="00B665A4" w:rsidRDefault="00A50D5D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Implementing </w:t>
            </w:r>
            <w:r w:rsidR="00D12F9D">
              <w:rPr>
                <w:rFonts w:ascii="Arial" w:hAnsi="Arial" w:cs="Arial"/>
                <w:sz w:val="22"/>
                <w:szCs w:val="22"/>
              </w:rPr>
              <w:t xml:space="preserve">agreed </w:t>
            </w:r>
            <w:r>
              <w:rPr>
                <w:rFonts w:ascii="Arial" w:hAnsi="Arial" w:cs="Arial"/>
                <w:sz w:val="22"/>
                <w:szCs w:val="22"/>
              </w:rPr>
              <w:t>benefit r</w:t>
            </w:r>
            <w:r w:rsidR="007C31FF" w:rsidRPr="00B665A4">
              <w:rPr>
                <w:rFonts w:ascii="Arial" w:hAnsi="Arial" w:cs="Arial"/>
                <w:sz w:val="22"/>
                <w:szCs w:val="22"/>
              </w:rPr>
              <w:t>eductions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48C6CAFC" w14:textId="06E14244" w:rsidR="007C31FF" w:rsidRPr="00655583" w:rsidRDefault="00EF7D74" w:rsidP="00483E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reductions took</w:t>
            </w:r>
            <w:r w:rsidR="00557935" w:rsidRPr="00EB2299">
              <w:rPr>
                <w:rFonts w:ascii="Arial" w:hAnsi="Arial" w:cs="Arial"/>
                <w:sz w:val="20"/>
                <w:szCs w:val="20"/>
              </w:rPr>
              <w:t xml:space="preserve"> effect February 2018 (Completed</w:t>
            </w:r>
            <w:r w:rsidR="00557935" w:rsidRPr="00655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1FD" w:rsidRPr="00CB51FD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="00557935" w:rsidRPr="00EB22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65F8DF" w14:textId="5BAD0A98" w:rsidR="007C31FF" w:rsidRPr="00655583" w:rsidRDefault="00EF7D74" w:rsidP="003C48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</w:t>
            </w:r>
            <w:r w:rsidR="00557935" w:rsidRPr="00EB2299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7C31FF" w:rsidRPr="00EB2299">
              <w:rPr>
                <w:rFonts w:ascii="Arial" w:hAnsi="Arial" w:cs="Arial"/>
                <w:sz w:val="20"/>
                <w:szCs w:val="20"/>
              </w:rPr>
              <w:t xml:space="preserve">eductions take effect </w:t>
            </w:r>
            <w:r>
              <w:rPr>
                <w:rFonts w:ascii="Arial" w:hAnsi="Arial" w:cs="Arial"/>
                <w:sz w:val="20"/>
                <w:szCs w:val="20"/>
              </w:rPr>
              <w:t>August 2018</w:t>
            </w:r>
            <w:r w:rsidR="003C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557935" w:rsidRPr="00EB2299">
              <w:rPr>
                <w:rFonts w:ascii="Arial" w:hAnsi="Arial" w:cs="Arial"/>
                <w:sz w:val="20"/>
                <w:szCs w:val="20"/>
              </w:rPr>
              <w:t>February 2020</w:t>
            </w:r>
            <w:r w:rsidR="00EB2299" w:rsidRPr="00EB2299">
              <w:rPr>
                <w:rFonts w:ascii="Arial" w:hAnsi="Arial" w:cs="Arial"/>
                <w:sz w:val="20"/>
                <w:szCs w:val="20"/>
              </w:rPr>
              <w:t xml:space="preserve"> (On track</w:t>
            </w:r>
            <w:r w:rsidR="00EB2299" w:rsidRPr="00655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90A" w:rsidRPr="00EB2299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EB2299" w:rsidRPr="00EB2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49DF5ACC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548DD4" w:themeFill="text2" w:themeFillTint="99"/>
            <w:vAlign w:val="center"/>
          </w:tcPr>
          <w:p w14:paraId="28652C1E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365F91" w:themeColor="accent1" w:themeShade="BF"/>
            </w:tcBorders>
          </w:tcPr>
          <w:p w14:paraId="4C5A4EE5" w14:textId="049A59A4" w:rsidR="007C31FF" w:rsidRPr="00D12F9D" w:rsidRDefault="00D12F9D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12F9D">
              <w:rPr>
                <w:rFonts w:ascii="Arial" w:hAnsi="Arial" w:cs="Arial"/>
                <w:sz w:val="22"/>
                <w:szCs w:val="22"/>
              </w:rPr>
              <w:t>Exempting new groups added to a category from the agreed benefit reductions </w:t>
            </w:r>
          </w:p>
        </w:tc>
        <w:tc>
          <w:tcPr>
            <w:tcW w:w="7491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F91726B" w14:textId="44D6D287" w:rsidR="007C31FF" w:rsidRPr="00EB2299" w:rsidRDefault="00576BDD" w:rsidP="00483E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299">
              <w:rPr>
                <w:rFonts w:ascii="Arial" w:hAnsi="Arial" w:cs="Arial"/>
                <w:sz w:val="20"/>
                <w:szCs w:val="20"/>
              </w:rPr>
              <w:t xml:space="preserve">Processes implemented </w:t>
            </w:r>
            <w:r w:rsidR="00EB2299" w:rsidRPr="00EB2299">
              <w:rPr>
                <w:rFonts w:ascii="Arial" w:hAnsi="Arial" w:cs="Arial"/>
                <w:sz w:val="20"/>
                <w:szCs w:val="20"/>
              </w:rPr>
              <w:t xml:space="preserve">by Department of Health (Completed </w:t>
            </w:r>
            <w:r w:rsidR="00CB51FD" w:rsidRPr="00CB51FD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="00EB2299" w:rsidRPr="00EB2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4238C3E8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  <w:jc w:val="center"/>
        </w:trPr>
        <w:tc>
          <w:tcPr>
            <w:tcW w:w="2571" w:type="dxa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548DD4" w:themeFill="text2" w:themeFillTint="99"/>
            <w:vAlign w:val="center"/>
          </w:tcPr>
          <w:p w14:paraId="18AB1B7A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365F91" w:themeColor="accent1" w:themeShade="BF"/>
            </w:tcBorders>
          </w:tcPr>
          <w:p w14:paraId="7749E937" w14:textId="77777777" w:rsidR="007C31FF" w:rsidRPr="00B665A4" w:rsidRDefault="007C31FF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665A4">
              <w:rPr>
                <w:rFonts w:ascii="Arial" w:hAnsi="Arial" w:cs="Arial"/>
                <w:sz w:val="22"/>
                <w:szCs w:val="22"/>
              </w:rPr>
              <w:t>Public commitment to Agreement</w:t>
            </w:r>
          </w:p>
        </w:tc>
        <w:tc>
          <w:tcPr>
            <w:tcW w:w="7491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6984D146" w14:textId="1FA773CB" w:rsidR="007C31FF" w:rsidRPr="00EB2299" w:rsidRDefault="00AD0518" w:rsidP="00483E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299">
              <w:rPr>
                <w:rFonts w:ascii="Arial" w:hAnsi="Arial" w:cs="Arial"/>
                <w:sz w:val="20"/>
                <w:szCs w:val="20"/>
              </w:rPr>
              <w:t>Minister announced the agreement</w:t>
            </w:r>
            <w:r w:rsidR="007C31FF" w:rsidRPr="00EB2299">
              <w:rPr>
                <w:rFonts w:ascii="Arial" w:hAnsi="Arial" w:cs="Arial"/>
                <w:sz w:val="20"/>
                <w:szCs w:val="20"/>
              </w:rPr>
              <w:t xml:space="preserve"> (13/10/17)</w:t>
            </w:r>
          </w:p>
          <w:p w14:paraId="4069F28C" w14:textId="50D81944" w:rsidR="007C31FF" w:rsidRPr="00EB2299" w:rsidRDefault="00AD0518" w:rsidP="00AD0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299">
              <w:rPr>
                <w:rFonts w:ascii="Arial" w:hAnsi="Arial" w:cs="Arial"/>
                <w:sz w:val="20"/>
                <w:szCs w:val="20"/>
              </w:rPr>
              <w:t>Department of Health p</w:t>
            </w:r>
            <w:r w:rsidR="007C31FF" w:rsidRPr="00EB2299">
              <w:rPr>
                <w:rFonts w:ascii="Arial" w:hAnsi="Arial" w:cs="Arial"/>
                <w:sz w:val="20"/>
                <w:szCs w:val="20"/>
              </w:rPr>
              <w:t>ublish</w:t>
            </w:r>
            <w:r w:rsidRPr="00EB2299">
              <w:rPr>
                <w:rFonts w:ascii="Arial" w:hAnsi="Arial" w:cs="Arial"/>
                <w:sz w:val="20"/>
                <w:szCs w:val="20"/>
              </w:rPr>
              <w:t>ed a</w:t>
            </w:r>
            <w:r w:rsidR="007C31FF" w:rsidRPr="00EB2299">
              <w:rPr>
                <w:rFonts w:ascii="Arial" w:hAnsi="Arial" w:cs="Arial"/>
                <w:sz w:val="20"/>
                <w:szCs w:val="20"/>
              </w:rPr>
              <w:t xml:space="preserve">greement on </w:t>
            </w:r>
            <w:r w:rsidRPr="00EB2299">
              <w:rPr>
                <w:rFonts w:ascii="Arial" w:hAnsi="Arial" w:cs="Arial"/>
                <w:sz w:val="20"/>
                <w:szCs w:val="20"/>
              </w:rPr>
              <w:t>its</w:t>
            </w:r>
            <w:r w:rsidR="007C31FF" w:rsidRPr="00EB2299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Pr="00EB2299">
              <w:rPr>
                <w:rFonts w:ascii="Arial" w:hAnsi="Arial" w:cs="Arial"/>
                <w:sz w:val="20"/>
                <w:szCs w:val="20"/>
              </w:rPr>
              <w:t xml:space="preserve"> (Completed </w:t>
            </w:r>
            <w:r w:rsidR="00CB51FD" w:rsidRPr="00CB51FD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Pr="00EB22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5D52A8" w14:textId="0A2B1D04" w:rsidR="00AD0518" w:rsidRPr="00655583" w:rsidRDefault="00AD0518" w:rsidP="00AD0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299">
              <w:rPr>
                <w:rFonts w:ascii="Arial" w:hAnsi="Arial" w:cs="Arial"/>
                <w:sz w:val="20"/>
                <w:szCs w:val="20"/>
              </w:rPr>
              <w:t xml:space="preserve">MTAA published agreement on its website (Completed </w:t>
            </w:r>
            <w:r w:rsidR="00CB51FD" w:rsidRPr="00CB51FD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Pr="00EB2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0ED2C083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548DD4" w:themeFill="text2" w:themeFillTint="99"/>
            <w:vAlign w:val="center"/>
          </w:tcPr>
          <w:p w14:paraId="16C0830F" w14:textId="3B8ABFF9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365F91" w:themeColor="accent1" w:themeShade="BF"/>
            </w:tcBorders>
          </w:tcPr>
          <w:p w14:paraId="72709FE0" w14:textId="4B1349BF" w:rsidR="007C31FF" w:rsidRPr="006E4E4E" w:rsidRDefault="006E4E4E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E4E4E">
              <w:rPr>
                <w:rFonts w:ascii="Arial" w:hAnsi="Arial" w:cs="Arial"/>
                <w:sz w:val="22"/>
                <w:szCs w:val="22"/>
              </w:rPr>
              <w:t>No changes to benefits on the Prostheses List during the term of this Agreement without agreement with the MTAA on behalf of the industry </w:t>
            </w:r>
          </w:p>
        </w:tc>
        <w:tc>
          <w:tcPr>
            <w:tcW w:w="7491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056F0300" w14:textId="60069734" w:rsidR="007C31FF" w:rsidRPr="00EB2299" w:rsidRDefault="007C31FF" w:rsidP="00EB22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299">
              <w:rPr>
                <w:rFonts w:ascii="Arial" w:hAnsi="Arial" w:cs="Arial"/>
                <w:sz w:val="20"/>
                <w:szCs w:val="20"/>
              </w:rPr>
              <w:t>Establish protocols for seeking MTAA agreement to changes</w:t>
            </w:r>
            <w:r w:rsidR="00EB2299" w:rsidRPr="00EB2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816">
              <w:rPr>
                <w:rFonts w:ascii="Arial" w:hAnsi="Arial" w:cs="Arial"/>
                <w:sz w:val="20"/>
                <w:szCs w:val="20"/>
              </w:rPr>
              <w:t>(Not commenced)</w:t>
            </w:r>
          </w:p>
        </w:tc>
      </w:tr>
      <w:tr w:rsidR="007C31FF" w:rsidRPr="003F73EE" w14:paraId="2AD06705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1F497D" w:themeColor="text2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9BBB59" w:themeFill="accent3"/>
            <w:vAlign w:val="center"/>
          </w:tcPr>
          <w:p w14:paraId="46302D31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Reduce time to market</w:t>
            </w: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3262D504" w14:textId="7DA3A605" w:rsidR="007C31FF" w:rsidRPr="00B665A4" w:rsidRDefault="007C31FF" w:rsidP="00B466FA">
            <w:pPr>
              <w:pStyle w:val="p1"/>
              <w:spacing w:after="60"/>
              <w:rPr>
                <w:sz w:val="22"/>
                <w:szCs w:val="22"/>
              </w:rPr>
            </w:pPr>
            <w:r w:rsidRPr="00B665A4">
              <w:rPr>
                <w:sz w:val="22"/>
                <w:szCs w:val="22"/>
              </w:rPr>
              <w:t xml:space="preserve">Remove </w:t>
            </w:r>
            <w:r w:rsidR="008F6ABB">
              <w:rPr>
                <w:sz w:val="22"/>
                <w:szCs w:val="22"/>
              </w:rPr>
              <w:t xml:space="preserve">requirement for </w:t>
            </w:r>
            <w:r w:rsidR="008F6ABB" w:rsidRPr="008F6ABB">
              <w:rPr>
                <w:sz w:val="22"/>
                <w:szCs w:val="22"/>
              </w:rPr>
              <w:t>clinical evidence with 2 years of follow up data for some devices</w:t>
            </w:r>
            <w:r w:rsidR="00F735FF">
              <w:rPr>
                <w:sz w:val="22"/>
                <w:szCs w:val="22"/>
              </w:rPr>
              <w:t xml:space="preserve">, where appropriate, by </w:t>
            </w:r>
            <w:r w:rsidR="00F735FF" w:rsidRPr="00F735FF">
              <w:rPr>
                <w:b/>
                <w:sz w:val="22"/>
                <w:szCs w:val="22"/>
              </w:rPr>
              <w:t>1 August 2018</w:t>
            </w:r>
          </w:p>
        </w:tc>
        <w:tc>
          <w:tcPr>
            <w:tcW w:w="7491" w:type="dxa"/>
            <w:gridSpan w:val="2"/>
            <w:tcBorders>
              <w:top w:val="single" w:sz="18" w:space="0" w:color="365F91" w:themeColor="accent1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18F620EB" w14:textId="77777777" w:rsidR="00E50BD1" w:rsidRPr="00377F1F" w:rsidRDefault="00E50BD1" w:rsidP="00E5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Advice to applicants provided on Department of Health website and all Clinical Advisory Groups have been advised (On track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99A80B" w14:textId="2F2C49D9" w:rsidR="007C31FF" w:rsidRPr="00377F1F" w:rsidRDefault="00C54A95" w:rsidP="00B544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Develop</w:t>
            </w:r>
            <w:r w:rsidR="00F735FF" w:rsidRPr="00377F1F">
              <w:rPr>
                <w:rFonts w:ascii="Arial" w:hAnsi="Arial" w:cs="Arial"/>
                <w:sz w:val="20"/>
                <w:szCs w:val="20"/>
              </w:rPr>
              <w:t xml:space="preserve"> criteria </w:t>
            </w:r>
            <w:r w:rsidR="008D6F6E" w:rsidRPr="00377F1F">
              <w:rPr>
                <w:rFonts w:ascii="Arial" w:hAnsi="Arial" w:cs="Arial"/>
                <w:sz w:val="20"/>
                <w:szCs w:val="20"/>
              </w:rPr>
              <w:t xml:space="preserve">that specify </w:t>
            </w:r>
            <w:r w:rsidR="008F6ABB" w:rsidRPr="00377F1F">
              <w:rPr>
                <w:rFonts w:ascii="Arial" w:hAnsi="Arial" w:cs="Arial"/>
                <w:sz w:val="20"/>
                <w:szCs w:val="20"/>
              </w:rPr>
              <w:t>circumstances in which follow up data are required (</w:t>
            </w:r>
            <w:r w:rsidR="00B5445D">
              <w:rPr>
                <w:rFonts w:ascii="Arial" w:hAnsi="Arial" w:cs="Arial"/>
                <w:sz w:val="20"/>
                <w:szCs w:val="20"/>
              </w:rPr>
              <w:t>work commenced</w:t>
            </w:r>
            <w:r w:rsidR="00B5445D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B54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ABB"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458DE6C4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9BBB59" w:themeFill="accent3"/>
            <w:vAlign w:val="center"/>
          </w:tcPr>
          <w:p w14:paraId="180CE710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6F2FD9F7" w14:textId="2300B396" w:rsidR="007C31FF" w:rsidRPr="00B665A4" w:rsidRDefault="008F6ABB" w:rsidP="00F559E3">
            <w:pPr>
              <w:pStyle w:val="p1"/>
              <w:spacing w:after="60"/>
              <w:rPr>
                <w:sz w:val="22"/>
                <w:szCs w:val="22"/>
              </w:rPr>
            </w:pPr>
            <w:r w:rsidRPr="008F6ABB">
              <w:rPr>
                <w:sz w:val="22"/>
                <w:szCs w:val="22"/>
              </w:rPr>
              <w:t xml:space="preserve">From </w:t>
            </w:r>
            <w:r w:rsidRPr="008F6ABB">
              <w:rPr>
                <w:b/>
                <w:sz w:val="22"/>
                <w:szCs w:val="22"/>
              </w:rPr>
              <w:t>1 February 2018</w:t>
            </w:r>
            <w:r w:rsidRPr="008F6ABB">
              <w:rPr>
                <w:sz w:val="22"/>
                <w:szCs w:val="22"/>
              </w:rPr>
              <w:t xml:space="preserve">, applications for listing on the Prostheses List which have been approved by the Therapeutic Goods </w:t>
            </w:r>
            <w:r w:rsidR="00F559E3">
              <w:rPr>
                <w:sz w:val="22"/>
                <w:szCs w:val="22"/>
              </w:rPr>
              <w:t xml:space="preserve">Administration </w:t>
            </w:r>
            <w:r w:rsidRPr="008F6ABB">
              <w:rPr>
                <w:sz w:val="22"/>
                <w:szCs w:val="22"/>
              </w:rPr>
              <w:t xml:space="preserve">for safety and efficacy will not have duplicative safety and efficacy assessment by PLAC and its </w:t>
            </w:r>
            <w:r w:rsidR="00D0416B">
              <w:rPr>
                <w:sz w:val="22"/>
                <w:szCs w:val="22"/>
              </w:rPr>
              <w:t>Clinical Advisory Groups (CAGs)</w:t>
            </w:r>
          </w:p>
        </w:tc>
        <w:tc>
          <w:tcPr>
            <w:tcW w:w="7491" w:type="dxa"/>
            <w:gridSpan w:val="2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696AE988" w14:textId="41C7F98B" w:rsidR="00A31635" w:rsidRPr="00377F1F" w:rsidRDefault="000A3B9D" w:rsidP="00AB718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Discussed at 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 xml:space="preserve">November 2017 </w:t>
            </w:r>
            <w:r w:rsidRPr="00377F1F">
              <w:rPr>
                <w:rFonts w:ascii="Arial" w:hAnsi="Arial" w:cs="Arial"/>
                <w:sz w:val="20"/>
                <w:szCs w:val="20"/>
              </w:rPr>
              <w:t>PLAC and CAG Chairs meeting and T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 xml:space="preserve">erms of Reference for PLAC and CAGs updated 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December 2017 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 xml:space="preserve">to clarify </w:t>
            </w:r>
            <w:r w:rsidR="00256819" w:rsidRPr="00377F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>role</w:t>
            </w:r>
            <w:r w:rsidR="00256819" w:rsidRPr="00377F1F">
              <w:rPr>
                <w:rFonts w:ascii="Arial" w:hAnsi="Arial" w:cs="Arial"/>
                <w:sz w:val="20"/>
                <w:szCs w:val="20"/>
              </w:rPr>
              <w:t>s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56819" w:rsidRPr="00377F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 xml:space="preserve">PLAC and </w:t>
            </w:r>
            <w:r w:rsidR="00256819" w:rsidRPr="00377F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0416B" w:rsidRPr="00377F1F">
              <w:rPr>
                <w:rFonts w:ascii="Arial" w:hAnsi="Arial" w:cs="Arial"/>
                <w:sz w:val="20"/>
                <w:szCs w:val="20"/>
              </w:rPr>
              <w:t>TGA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(Completed </w:t>
            </w:r>
            <w:r w:rsidR="00CB51FD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54003B77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9BBB59" w:themeFill="accent3"/>
            <w:vAlign w:val="center"/>
          </w:tcPr>
          <w:p w14:paraId="6FDAB74E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70001678" w14:textId="08CA3907" w:rsidR="007C31FF" w:rsidRPr="00B665A4" w:rsidRDefault="007C31FF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665A4">
              <w:rPr>
                <w:rFonts w:ascii="Arial" w:hAnsi="Arial" w:cs="Arial"/>
                <w:sz w:val="22"/>
                <w:szCs w:val="22"/>
              </w:rPr>
              <w:t>Advise Minister on options for expedited pathways for listing on Prostheses List</w:t>
            </w:r>
            <w:r w:rsidR="000511B7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0511B7">
              <w:rPr>
                <w:rFonts w:ascii="Arial" w:hAnsi="Arial" w:cs="Arial"/>
                <w:b/>
                <w:sz w:val="22"/>
                <w:szCs w:val="22"/>
              </w:rPr>
              <w:t>15 </w:t>
            </w:r>
            <w:r w:rsidR="000511B7" w:rsidRPr="000511B7">
              <w:rPr>
                <w:rFonts w:ascii="Arial" w:hAnsi="Arial" w:cs="Arial"/>
                <w:b/>
                <w:sz w:val="22"/>
                <w:szCs w:val="22"/>
              </w:rPr>
              <w:t>April 2018</w:t>
            </w:r>
          </w:p>
        </w:tc>
        <w:tc>
          <w:tcPr>
            <w:tcW w:w="7491" w:type="dxa"/>
            <w:gridSpan w:val="2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4C6DC337" w14:textId="0621A43B" w:rsidR="00AB7182" w:rsidRPr="00377F1F" w:rsidRDefault="00AB7182" w:rsidP="00465B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Advice on options for expedited pathways provided to the Minister</w:t>
            </w:r>
            <w:r w:rsidR="00E50BD1" w:rsidRPr="00377F1F">
              <w:rPr>
                <w:rFonts w:ascii="Arial" w:hAnsi="Arial" w:cs="Arial"/>
                <w:sz w:val="20"/>
                <w:szCs w:val="20"/>
              </w:rPr>
              <w:t>. These will be considered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 w:rsidR="00F832F3">
              <w:rPr>
                <w:rFonts w:ascii="Arial" w:hAnsi="Arial" w:cs="Arial"/>
                <w:sz w:val="20"/>
                <w:szCs w:val="20"/>
              </w:rPr>
              <w:t>Quality of Information and Guidance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Industry Working Group (</w:t>
            </w:r>
            <w:r w:rsidR="000372E5">
              <w:rPr>
                <w:rFonts w:ascii="Arial" w:hAnsi="Arial" w:cs="Arial"/>
                <w:sz w:val="20"/>
                <w:szCs w:val="20"/>
              </w:rPr>
              <w:t>Ongoing</w:t>
            </w:r>
            <w:bookmarkStart w:id="0" w:name="_GoBack"/>
            <w:bookmarkEnd w:id="0"/>
            <w:r w:rsidRPr="00377F1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4722736C" w14:textId="77777777" w:rsidR="007C31FF" w:rsidRPr="00377F1F" w:rsidRDefault="000511B7" w:rsidP="00465B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PLAC business process review commenced (On track</w:t>
            </w:r>
            <w:r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916C9A" w14:textId="7172E72F" w:rsidR="000511B7" w:rsidRPr="00377F1F" w:rsidRDefault="00D61102" w:rsidP="00D611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Collaboration with TGA to ensure regulatory and prostheses listing processes align</w:t>
            </w:r>
            <w:r w:rsidR="00D51619" w:rsidRPr="00377F1F">
              <w:rPr>
                <w:rFonts w:ascii="Arial" w:hAnsi="Arial" w:cs="Arial"/>
                <w:sz w:val="20"/>
                <w:szCs w:val="20"/>
              </w:rPr>
              <w:t>, where appropriate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(On track</w:t>
            </w:r>
            <w:r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163E840C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9BBB59" w:themeFill="accent3"/>
            <w:vAlign w:val="center"/>
          </w:tcPr>
          <w:p w14:paraId="27F6372C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01D80462" w14:textId="30259E9E" w:rsidR="007C31FF" w:rsidRPr="00B665A4" w:rsidRDefault="001375C7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Publish three</w:t>
            </w:r>
            <w:r w:rsidR="007C3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7B2">
              <w:rPr>
                <w:rFonts w:ascii="Arial" w:hAnsi="Arial" w:cs="Arial"/>
                <w:sz w:val="22"/>
                <w:szCs w:val="22"/>
              </w:rPr>
              <w:t>Prostheses List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B37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(PL) annually </w:t>
            </w:r>
            <w:r w:rsidR="007C31FF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7C31FF" w:rsidRPr="001375C7">
              <w:rPr>
                <w:rFonts w:ascii="Arial" w:hAnsi="Arial" w:cs="Arial"/>
                <w:b/>
                <w:sz w:val="22"/>
                <w:szCs w:val="22"/>
              </w:rPr>
              <w:t>1 March 2019</w:t>
            </w:r>
          </w:p>
        </w:tc>
        <w:tc>
          <w:tcPr>
            <w:tcW w:w="7491" w:type="dxa"/>
            <w:gridSpan w:val="2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5A58A854" w14:textId="6F0C658E" w:rsidR="007C31FF" w:rsidRPr="00377F1F" w:rsidRDefault="001375C7" w:rsidP="001375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Assessment of Department of Health processes and resources required for implementing three PLs annually (On track</w:t>
            </w:r>
            <w:r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1E868906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9BBB59" w:themeFill="accent3"/>
            <w:vAlign w:val="center"/>
          </w:tcPr>
          <w:p w14:paraId="775C788D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0CEE8D16" w14:textId="4D6830F9" w:rsidR="007C31FF" w:rsidRDefault="00BA38C0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and publish </w:t>
            </w:r>
            <w:r w:rsidR="007C31FF">
              <w:rPr>
                <w:rFonts w:ascii="Arial" w:hAnsi="Arial" w:cs="Arial"/>
                <w:sz w:val="22"/>
                <w:szCs w:val="22"/>
              </w:rPr>
              <w:t xml:space="preserve">PLAC and </w:t>
            </w:r>
            <w:r>
              <w:rPr>
                <w:rFonts w:ascii="Arial" w:hAnsi="Arial" w:cs="Arial"/>
                <w:sz w:val="22"/>
                <w:szCs w:val="22"/>
              </w:rPr>
              <w:t xml:space="preserve">CAG key performance indicators (KPIs) </w:t>
            </w:r>
            <w:r w:rsidR="007C31FF">
              <w:rPr>
                <w:rFonts w:ascii="Arial" w:hAnsi="Arial" w:cs="Arial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b/>
                <w:sz w:val="22"/>
                <w:szCs w:val="22"/>
              </w:rPr>
              <w:t>1 February </w:t>
            </w:r>
            <w:r w:rsidR="007C31FF" w:rsidRPr="00BA38C0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491" w:type="dxa"/>
            <w:gridSpan w:val="2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14:paraId="78E2593E" w14:textId="3A2FF037" w:rsidR="007C31FF" w:rsidRPr="00377F1F" w:rsidRDefault="00803B71" w:rsidP="00803B71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With input from key stakeholders d</w:t>
            </w:r>
            <w:r w:rsidR="00BA38C0" w:rsidRPr="00377F1F">
              <w:rPr>
                <w:rFonts w:ascii="Arial" w:hAnsi="Arial" w:cs="Arial"/>
                <w:sz w:val="20"/>
                <w:szCs w:val="20"/>
              </w:rPr>
              <w:t xml:space="preserve">evelop </w:t>
            </w:r>
            <w:r w:rsidR="005749B9" w:rsidRPr="00377F1F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7C31FF" w:rsidRPr="00377F1F">
              <w:rPr>
                <w:rFonts w:ascii="Arial" w:hAnsi="Arial" w:cs="Arial"/>
                <w:sz w:val="20"/>
                <w:szCs w:val="20"/>
              </w:rPr>
              <w:t>performance indicators and reporting mechanisms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8C0" w:rsidRPr="00377F1F">
              <w:rPr>
                <w:rFonts w:ascii="Arial" w:hAnsi="Arial" w:cs="Arial"/>
                <w:sz w:val="20"/>
                <w:szCs w:val="20"/>
              </w:rPr>
              <w:t>(</w:t>
            </w:r>
            <w:r w:rsidR="005C304A" w:rsidRPr="00377F1F">
              <w:rPr>
                <w:rFonts w:ascii="Arial" w:hAnsi="Arial" w:cs="Arial"/>
                <w:sz w:val="20"/>
                <w:szCs w:val="20"/>
              </w:rPr>
              <w:t>On track</w:t>
            </w:r>
            <w:r w:rsidR="005C304A"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304A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5C304A"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B0477" w:rsidRPr="003F73EE" w14:paraId="6E73C118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76923C" w:themeColor="accent3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79646" w:themeFill="accent6"/>
            <w:vAlign w:val="center"/>
          </w:tcPr>
          <w:p w14:paraId="2A437B6E" w14:textId="77777777" w:rsidR="005B0477" w:rsidRPr="00267287" w:rsidRDefault="005B047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Access to safe, effective and cost effective devices</w:t>
            </w:r>
          </w:p>
        </w:tc>
        <w:tc>
          <w:tcPr>
            <w:tcW w:w="5232" w:type="dxa"/>
            <w:tcBorders>
              <w:top w:val="single" w:sz="18" w:space="0" w:color="76923C" w:themeColor="accent3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1292BCCC" w14:textId="42D641E8" w:rsidR="005B0477" w:rsidRDefault="005B0477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Industry Working Group to inform benefit setting framework</w:t>
            </w:r>
            <w:r w:rsidR="00BA38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BA38C0">
              <w:rPr>
                <w:rFonts w:ascii="Arial" w:hAnsi="Arial" w:cs="Arial"/>
                <w:b/>
                <w:sz w:val="22"/>
                <w:szCs w:val="22"/>
              </w:rPr>
              <w:t>31 March 2018</w:t>
            </w:r>
          </w:p>
        </w:tc>
        <w:tc>
          <w:tcPr>
            <w:tcW w:w="7491" w:type="dxa"/>
            <w:gridSpan w:val="2"/>
            <w:tcBorders>
              <w:top w:val="single" w:sz="18" w:space="0" w:color="76923C" w:themeColor="accent3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75D1032D" w14:textId="0A3D5602" w:rsidR="005B0477" w:rsidRPr="00377F1F" w:rsidRDefault="00BA38C0" w:rsidP="005749B9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Department of Health and MTAA have agreed to Terms of Reference and membership </w:t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(Completed </w:t>
            </w:r>
            <w:r w:rsidR="00D341D8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5B0477" w:rsidRPr="003F73EE" w14:paraId="24F8DA05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79646" w:themeFill="accent6"/>
            <w:vAlign w:val="center"/>
          </w:tcPr>
          <w:p w14:paraId="69C39759" w14:textId="77777777" w:rsidR="005B0477" w:rsidRPr="00267287" w:rsidRDefault="005B047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0F922540" w14:textId="007CE0BB" w:rsidR="005B0477" w:rsidRDefault="005B0477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Industry Working Group to inform funding of cardiac device tech support services</w:t>
            </w:r>
            <w:r w:rsidR="00AD1CCB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D1CCB" w:rsidRPr="00BA38C0">
              <w:rPr>
                <w:rFonts w:ascii="Arial" w:hAnsi="Arial" w:cs="Arial"/>
                <w:b/>
                <w:sz w:val="22"/>
                <w:szCs w:val="22"/>
              </w:rPr>
              <w:t>31 March 2018</w:t>
            </w:r>
          </w:p>
        </w:tc>
        <w:tc>
          <w:tcPr>
            <w:tcW w:w="74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3735C5FA" w14:textId="5AB61414" w:rsidR="005B0477" w:rsidRPr="00377F1F" w:rsidRDefault="00BA38C0" w:rsidP="00483E55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Department of Health and MTAA have agreed to Terms of Reference and membership </w:t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(Completed </w:t>
            </w:r>
            <w:r w:rsidR="00D341D8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5B0477" w:rsidRPr="003F73EE" w14:paraId="2FDC98E8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79646" w:themeFill="accent6"/>
            <w:vAlign w:val="center"/>
          </w:tcPr>
          <w:p w14:paraId="79D0AF41" w14:textId="77777777" w:rsidR="005B0477" w:rsidRPr="00267287" w:rsidRDefault="005B047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55E04EB7" w14:textId="6D6143BB" w:rsidR="00096A9F" w:rsidRDefault="00096A9F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96A9F">
              <w:rPr>
                <w:rFonts w:ascii="Arial" w:hAnsi="Arial" w:cs="Arial"/>
                <w:sz w:val="22"/>
                <w:szCs w:val="22"/>
              </w:rPr>
              <w:t>Continuing with targeted reviews of prostheses but not implementing any changes to benefit levels without agreement of the MTAA during the life of the Agreement </w:t>
            </w:r>
            <w:r w:rsidR="0094041D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94041D" w:rsidRPr="0094041D">
              <w:rPr>
                <w:rFonts w:ascii="Arial" w:hAnsi="Arial" w:cs="Arial"/>
                <w:b/>
                <w:sz w:val="22"/>
                <w:szCs w:val="22"/>
              </w:rPr>
              <w:t>TBD</w:t>
            </w:r>
          </w:p>
        </w:tc>
        <w:tc>
          <w:tcPr>
            <w:tcW w:w="74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1938B74C" w14:textId="17F90E26" w:rsidR="005B0477" w:rsidRPr="00377F1F" w:rsidRDefault="00C73DDE" w:rsidP="00483E55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Early planning commenced</w:t>
            </w:r>
            <w:r w:rsidR="00C325F1" w:rsidRPr="00377F1F">
              <w:rPr>
                <w:rFonts w:ascii="Arial" w:hAnsi="Arial" w:cs="Arial"/>
                <w:sz w:val="20"/>
                <w:szCs w:val="20"/>
              </w:rPr>
              <w:t xml:space="preserve"> (On track</w:t>
            </w:r>
            <w:r w:rsidR="00C325F1"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5F1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C325F1"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B0477" w:rsidRPr="003F73EE" w14:paraId="002268AF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14:paraId="3CE2BBE5" w14:textId="77777777" w:rsidR="005B0477" w:rsidRPr="00267287" w:rsidRDefault="005B047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614F2232" w14:textId="3BF74B3D" w:rsidR="005B0477" w:rsidRPr="00B466FA" w:rsidRDefault="005B0477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466FA">
              <w:rPr>
                <w:rFonts w:ascii="Arial" w:hAnsi="Arial" w:cs="Arial"/>
                <w:sz w:val="22"/>
                <w:szCs w:val="22"/>
              </w:rPr>
              <w:t xml:space="preserve">Review ways to list new targeted devices on the </w:t>
            </w:r>
            <w:r w:rsidR="00803B71" w:rsidRPr="00B466FA">
              <w:rPr>
                <w:rFonts w:ascii="Arial" w:hAnsi="Arial" w:cs="Arial"/>
                <w:sz w:val="22"/>
                <w:szCs w:val="22"/>
              </w:rPr>
              <w:t xml:space="preserve">PL that do not meet the current criteria for listing by </w:t>
            </w:r>
            <w:r w:rsidR="00803B71" w:rsidRPr="00B466FA">
              <w:rPr>
                <w:rFonts w:ascii="Arial" w:hAnsi="Arial" w:cs="Arial"/>
                <w:b/>
                <w:sz w:val="22"/>
                <w:szCs w:val="22"/>
              </w:rPr>
              <w:t>30 June 2020</w:t>
            </w:r>
          </w:p>
        </w:tc>
        <w:tc>
          <w:tcPr>
            <w:tcW w:w="74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FFFFF" w:themeFill="background1"/>
          </w:tcPr>
          <w:p w14:paraId="3FB0E3DD" w14:textId="177D4318" w:rsidR="005B0477" w:rsidRPr="00377F1F" w:rsidRDefault="00F95093" w:rsidP="00F9509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to commence in early 2019 under the Benefit Setting IWG with engagement and advice from PLAC. This work will include broad stakeholder consultation as it progresses (Not commenced)</w:t>
            </w:r>
            <w:r w:rsidR="005B0477" w:rsidRPr="00377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31FF" w:rsidRPr="003F73EE" w14:paraId="33030426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E36C0A" w:themeColor="accent6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4BACC6" w:themeFill="accent5"/>
            <w:vAlign w:val="center"/>
          </w:tcPr>
          <w:p w14:paraId="4316BB6B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Improve transparency and efficiency</w:t>
            </w:r>
          </w:p>
        </w:tc>
        <w:tc>
          <w:tcPr>
            <w:tcW w:w="5232" w:type="dxa"/>
            <w:tcBorders>
              <w:top w:val="single" w:sz="18" w:space="0" w:color="E36C0A" w:themeColor="accent6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3967842D" w14:textId="125C9DC3" w:rsidR="007C31FF" w:rsidRDefault="007C31FF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Establish Industry Working Group to </w:t>
            </w:r>
            <w:r w:rsidR="005B64F8">
              <w:rPr>
                <w:rFonts w:ascii="Arial" w:hAnsi="Arial" w:cs="Arial"/>
                <w:sz w:val="22"/>
                <w:szCs w:val="22"/>
              </w:rPr>
              <w:t>improve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r w:rsidR="005B64F8">
              <w:rPr>
                <w:rFonts w:ascii="Arial" w:hAnsi="Arial" w:cs="Arial"/>
                <w:sz w:val="22"/>
                <w:szCs w:val="22"/>
              </w:rPr>
              <w:t>available to applicants</w:t>
            </w:r>
            <w:r w:rsidR="00285B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94041D">
              <w:rPr>
                <w:rFonts w:ascii="Arial" w:hAnsi="Arial" w:cs="Arial"/>
                <w:b/>
                <w:sz w:val="22"/>
                <w:szCs w:val="22"/>
              </w:rPr>
              <w:t>31 </w:t>
            </w:r>
            <w:r w:rsidRPr="00285B0C">
              <w:rPr>
                <w:rFonts w:ascii="Arial" w:hAnsi="Arial" w:cs="Arial"/>
                <w:b/>
                <w:sz w:val="22"/>
                <w:szCs w:val="22"/>
              </w:rPr>
              <w:t>March 2018</w:t>
            </w:r>
          </w:p>
        </w:tc>
        <w:tc>
          <w:tcPr>
            <w:tcW w:w="7491" w:type="dxa"/>
            <w:gridSpan w:val="2"/>
            <w:tcBorders>
              <w:top w:val="single" w:sz="18" w:space="0" w:color="E36C0A" w:themeColor="accent6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3112A2F9" w14:textId="5B832953" w:rsidR="007C31FF" w:rsidRPr="00377F1F" w:rsidRDefault="00CD667B" w:rsidP="00483E55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Department of Health and MTAA have agreed to Terms of Reference and membership </w:t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(Completed </w:t>
            </w:r>
            <w:r w:rsidR="00D341D8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="00D341D8" w:rsidRPr="00377F1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7C31FF" w:rsidRPr="003F73EE" w14:paraId="62360ED9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4BACC6" w:themeFill="accent5"/>
            <w:vAlign w:val="center"/>
          </w:tcPr>
          <w:p w14:paraId="15C2E98B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718634C3" w14:textId="0764118B" w:rsidR="00CB691A" w:rsidRPr="00655583" w:rsidRDefault="00CB691A" w:rsidP="00B466FA">
            <w:pPr>
              <w:pStyle w:val="p2"/>
              <w:spacing w:after="60"/>
              <w:rPr>
                <w:sz w:val="22"/>
                <w:szCs w:val="22"/>
                <w:lang w:val="en-AU" w:eastAsia="en-US"/>
              </w:rPr>
            </w:pPr>
            <w:r w:rsidRPr="00CB691A">
              <w:rPr>
                <w:sz w:val="22"/>
                <w:szCs w:val="22"/>
                <w:lang w:val="en-AU" w:eastAsia="en-US"/>
              </w:rPr>
              <w:t xml:space="preserve">Conducting a process review of the PLAC assessment process with a view to ensuring consistent processes are adopted across the PLAC and its </w:t>
            </w:r>
            <w:r>
              <w:rPr>
                <w:sz w:val="22"/>
                <w:szCs w:val="22"/>
                <w:lang w:val="en-AU" w:eastAsia="en-US"/>
              </w:rPr>
              <w:t>CAGs</w:t>
            </w:r>
            <w:r w:rsidRPr="00CB691A">
              <w:rPr>
                <w:sz w:val="22"/>
                <w:szCs w:val="22"/>
                <w:lang w:val="en-AU" w:eastAsia="en-US"/>
              </w:rPr>
              <w:t xml:space="preserve"> and improving the quality and timeliness of written information provided to applicants </w:t>
            </w:r>
            <w:r w:rsidR="007A32C1">
              <w:rPr>
                <w:sz w:val="22"/>
                <w:szCs w:val="22"/>
                <w:lang w:val="en-AU" w:eastAsia="en-US"/>
              </w:rPr>
              <w:t xml:space="preserve">by </w:t>
            </w:r>
            <w:r w:rsidR="007A32C1" w:rsidRPr="007A32C1">
              <w:rPr>
                <w:b/>
                <w:sz w:val="22"/>
                <w:szCs w:val="22"/>
                <w:lang w:val="en-AU" w:eastAsia="en-US"/>
              </w:rPr>
              <w:t>1 July 2019</w:t>
            </w:r>
          </w:p>
        </w:tc>
        <w:tc>
          <w:tcPr>
            <w:tcW w:w="749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0FD46512" w14:textId="60D2E119" w:rsidR="007C31FF" w:rsidRPr="00377F1F" w:rsidRDefault="00E50BD1" w:rsidP="00E50BD1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This work is being done by the Quality of Information and Guidelines Industry Working group and will involve extensive consultation</w:t>
            </w:r>
            <w:r w:rsidR="00CB691A" w:rsidRPr="00377F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77F1F">
              <w:rPr>
                <w:rFonts w:ascii="Arial" w:hAnsi="Arial" w:cs="Arial"/>
                <w:sz w:val="20"/>
                <w:szCs w:val="20"/>
              </w:rPr>
              <w:t>On track</w:t>
            </w:r>
            <w:r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0BD1" w:rsidRPr="003F73EE" w14:paraId="5B82F9C6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4BACC6" w:themeFill="accent5"/>
            <w:vAlign w:val="center"/>
          </w:tcPr>
          <w:p w14:paraId="4EE47439" w14:textId="77777777" w:rsidR="00E50BD1" w:rsidRPr="00267287" w:rsidRDefault="00E50BD1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4404A894" w14:textId="5C3BCF3A" w:rsidR="00E50BD1" w:rsidRDefault="00E50BD1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 cost recovery arrangements by </w:t>
            </w:r>
            <w:r>
              <w:rPr>
                <w:rFonts w:ascii="Arial" w:hAnsi="Arial" w:cs="Arial"/>
                <w:b/>
                <w:sz w:val="22"/>
                <w:szCs w:val="22"/>
              </w:rPr>
              <w:t>1 July </w:t>
            </w:r>
            <w:r w:rsidRPr="001B3C02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49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233FA3FE" w14:textId="428ED8AF" w:rsidR="00E50BD1" w:rsidRPr="00377F1F" w:rsidRDefault="00E50BD1" w:rsidP="004B0D78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This work is being done by the Quality of Information and Guidelines Industry Working group and will involve extensive consultation (On track</w:t>
            </w:r>
            <w:r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7287" w:rsidRPr="003F73EE" w14:paraId="23E3D61A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31849B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8064A2" w:themeFill="accent4"/>
            <w:vAlign w:val="center"/>
          </w:tcPr>
          <w:p w14:paraId="4AB50B1A" w14:textId="77777777" w:rsidR="00267287" w:rsidRPr="00267287" w:rsidRDefault="0026728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Recognise superior clinical performance</w:t>
            </w:r>
          </w:p>
        </w:tc>
        <w:tc>
          <w:tcPr>
            <w:tcW w:w="5232" w:type="dxa"/>
            <w:tcBorders>
              <w:top w:val="single" w:sz="18" w:space="0" w:color="31849B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E77CD0C" w14:textId="7477E31C" w:rsidR="00267287" w:rsidRDefault="00655583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recognise</w:t>
            </w:r>
            <w:r w:rsidR="002672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superior clinical performance (</w:t>
            </w:r>
            <w:r w:rsidR="00267287">
              <w:rPr>
                <w:rFonts w:ascii="Arial" w:hAnsi="Arial" w:cs="Arial"/>
                <w:sz w:val="22"/>
                <w:szCs w:val="22"/>
              </w:rPr>
              <w:t>SCP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267287">
              <w:rPr>
                <w:rFonts w:ascii="Arial" w:hAnsi="Arial" w:cs="Arial"/>
                <w:sz w:val="22"/>
                <w:szCs w:val="22"/>
              </w:rPr>
              <w:t xml:space="preserve"> and reduce benefit premium</w:t>
            </w:r>
          </w:p>
        </w:tc>
        <w:tc>
          <w:tcPr>
            <w:tcW w:w="7491" w:type="dxa"/>
            <w:gridSpan w:val="2"/>
            <w:tcBorders>
              <w:top w:val="single" w:sz="18" w:space="0" w:color="31849B" w:themeColor="accent5" w:themeShade="BF"/>
              <w:left w:val="single" w:sz="18" w:space="0" w:color="7030A0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3D3EACE" w14:textId="6756E081" w:rsidR="00267287" w:rsidRPr="00377F1F" w:rsidRDefault="00655583" w:rsidP="00483E55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Department of Health is continuing to apply the SCP suffix until the new model for SCP benefit is introduced</w:t>
            </w:r>
            <w:r w:rsidR="003C48EB" w:rsidRPr="00377F1F">
              <w:rPr>
                <w:rFonts w:ascii="Arial" w:hAnsi="Arial" w:cs="Arial"/>
                <w:sz w:val="20"/>
                <w:szCs w:val="20"/>
              </w:rPr>
              <w:t>. T</w:t>
            </w:r>
            <w:r w:rsidR="00256819" w:rsidRPr="00377F1F">
              <w:rPr>
                <w:rFonts w:ascii="Arial" w:hAnsi="Arial" w:cs="Arial"/>
                <w:sz w:val="20"/>
                <w:szCs w:val="20"/>
              </w:rPr>
              <w:t>he SCP suffix will remain, the premium benefit for SCP will cease February 2019.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 (Completed </w:t>
            </w:r>
            <w:r w:rsidR="00CB51FD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7287" w:rsidRPr="003F73EE" w14:paraId="2BB4322A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6996142" w14:textId="77777777" w:rsidR="00267287" w:rsidRPr="00267287" w:rsidRDefault="00267287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16F1D16" w14:textId="5C8667AD" w:rsidR="00267287" w:rsidRDefault="00267287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Introduce new model for SCP benefit</w:t>
            </w:r>
            <w:r w:rsidR="007362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477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736210" w:rsidRPr="00736210">
              <w:rPr>
                <w:rFonts w:ascii="Arial" w:hAnsi="Arial" w:cs="Arial"/>
                <w:b/>
                <w:sz w:val="22"/>
                <w:szCs w:val="22"/>
              </w:rPr>
              <w:t>1 </w:t>
            </w:r>
            <w:r w:rsidRPr="00736210">
              <w:rPr>
                <w:rFonts w:ascii="Arial" w:hAnsi="Arial" w:cs="Arial"/>
                <w:b/>
                <w:sz w:val="22"/>
                <w:szCs w:val="22"/>
              </w:rPr>
              <w:t>February 2022</w:t>
            </w:r>
          </w:p>
        </w:tc>
        <w:tc>
          <w:tcPr>
            <w:tcW w:w="7491" w:type="dxa"/>
            <w:gridSpan w:val="2"/>
            <w:tcBorders>
              <w:top w:val="single" w:sz="18" w:space="0" w:color="5F497A" w:themeColor="accent4" w:themeShade="BF"/>
              <w:left w:val="single" w:sz="18" w:space="0" w:color="7030A0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EBB8A44" w14:textId="24F29B70" w:rsidR="00267287" w:rsidRPr="00377F1F" w:rsidRDefault="00655583" w:rsidP="00655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With input from key stakeholders develop a revised model for recognising SCP (Not commenced)</w:t>
            </w:r>
          </w:p>
        </w:tc>
      </w:tr>
      <w:tr w:rsidR="007C31FF" w:rsidRPr="003F73EE" w14:paraId="4AFAA41C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6699FF"/>
            <w:vAlign w:val="center"/>
          </w:tcPr>
          <w:p w14:paraId="3AF5389E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672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Agreement Governance</w:t>
            </w: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6C89EA8D" w14:textId="43F28673" w:rsidR="007C31FF" w:rsidRDefault="00655583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a Governance Committee to oversee the MTAA Agreement implementation program</w:t>
            </w:r>
          </w:p>
        </w:tc>
        <w:tc>
          <w:tcPr>
            <w:tcW w:w="7491" w:type="dxa"/>
            <w:gridSpan w:val="2"/>
            <w:tcBorders>
              <w:top w:val="single" w:sz="18" w:space="0" w:color="17365D" w:themeColor="text2" w:themeShade="BF"/>
              <w:left w:val="single" w:sz="18" w:space="0" w:color="1F497D" w:themeColor="text2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78936E47" w14:textId="25562795" w:rsidR="007C31FF" w:rsidRPr="00377F1F" w:rsidRDefault="00655583" w:rsidP="00655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 xml:space="preserve">Governance Committee, comprised of MTAA and Department of Health representatives, held its first meeting in February 2018 (Completed </w:t>
            </w:r>
            <w:r w:rsidR="00CB51FD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 2" w:char="F050"/>
            </w:r>
            <w:r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75F4C12F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6699FF"/>
            <w:vAlign w:val="center"/>
          </w:tcPr>
          <w:p w14:paraId="0C76AC01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3FB15012" w14:textId="77777777" w:rsidR="007C31FF" w:rsidRDefault="007C31FF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Agreement in 2021</w:t>
            </w:r>
          </w:p>
        </w:tc>
        <w:tc>
          <w:tcPr>
            <w:tcW w:w="7491" w:type="dxa"/>
            <w:gridSpan w:val="2"/>
            <w:tcBorders>
              <w:top w:val="single" w:sz="18" w:space="0" w:color="17365D" w:themeColor="text2" w:themeShade="BF"/>
              <w:left w:val="single" w:sz="18" w:space="0" w:color="1F497D" w:themeColor="text2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57ABD41A" w14:textId="3368C41C" w:rsidR="007C31FF" w:rsidRPr="00377F1F" w:rsidRDefault="00C06B6D" w:rsidP="005C30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Define performance</w:t>
            </w:r>
            <w:r w:rsidR="007C31FF" w:rsidRPr="00377F1F">
              <w:rPr>
                <w:rFonts w:ascii="Arial" w:hAnsi="Arial" w:cs="Arial"/>
                <w:sz w:val="20"/>
                <w:szCs w:val="20"/>
              </w:rPr>
              <w:t xml:space="preserve"> data to </w:t>
            </w:r>
            <w:r w:rsidRPr="00377F1F">
              <w:rPr>
                <w:rFonts w:ascii="Arial" w:hAnsi="Arial" w:cs="Arial"/>
                <w:sz w:val="20"/>
                <w:szCs w:val="20"/>
              </w:rPr>
              <w:t xml:space="preserve">inform evaluation of </w:t>
            </w:r>
            <w:r w:rsidR="007C31FF" w:rsidRPr="00377F1F">
              <w:rPr>
                <w:rFonts w:ascii="Arial" w:hAnsi="Arial" w:cs="Arial"/>
                <w:sz w:val="20"/>
                <w:szCs w:val="20"/>
              </w:rPr>
              <w:t>Agreement</w:t>
            </w:r>
            <w:r w:rsidR="00655583" w:rsidRPr="00377F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304A" w:rsidRPr="00377F1F">
              <w:rPr>
                <w:rFonts w:ascii="Arial" w:hAnsi="Arial" w:cs="Arial"/>
                <w:sz w:val="20"/>
                <w:szCs w:val="20"/>
              </w:rPr>
              <w:t>On track</w:t>
            </w:r>
            <w:r w:rsidR="005C304A"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304A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5C304A"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31FF" w:rsidRPr="003F73EE" w14:paraId="704F61BE" w14:textId="77777777" w:rsidTr="00D3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71" w:type="dxa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6699FF"/>
            <w:vAlign w:val="center"/>
          </w:tcPr>
          <w:p w14:paraId="49A41CD0" w14:textId="77777777" w:rsidR="007C31FF" w:rsidRPr="00267287" w:rsidRDefault="007C31FF" w:rsidP="002672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37F23167" w14:textId="6F0F927C" w:rsidR="007C31FF" w:rsidRDefault="00655583" w:rsidP="00B466F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commercially sensitive information</w:t>
            </w:r>
            <w:r w:rsidR="00553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FE">
              <w:rPr>
                <w:rFonts w:ascii="Arial" w:hAnsi="Arial" w:cs="Arial"/>
                <w:sz w:val="22"/>
                <w:szCs w:val="22"/>
              </w:rPr>
              <w:t>used in this program of work</w:t>
            </w:r>
          </w:p>
        </w:tc>
        <w:tc>
          <w:tcPr>
            <w:tcW w:w="7491" w:type="dxa"/>
            <w:gridSpan w:val="2"/>
            <w:tcBorders>
              <w:top w:val="single" w:sz="18" w:space="0" w:color="17365D" w:themeColor="text2" w:themeShade="BF"/>
              <w:left w:val="single" w:sz="18" w:space="0" w:color="1F497D" w:themeColor="text2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615E0E17" w14:textId="13DDB2DE" w:rsidR="007C31FF" w:rsidRPr="00377F1F" w:rsidRDefault="007C31FF" w:rsidP="00655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7F1F">
              <w:rPr>
                <w:rFonts w:ascii="Arial" w:hAnsi="Arial" w:cs="Arial"/>
                <w:sz w:val="20"/>
                <w:szCs w:val="20"/>
              </w:rPr>
              <w:t>Develop protocols for handling commercially confidential data</w:t>
            </w:r>
            <w:r w:rsidR="00655583" w:rsidRPr="00377F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50BD1" w:rsidRPr="00377F1F">
              <w:rPr>
                <w:rFonts w:ascii="Arial" w:hAnsi="Arial" w:cs="Arial"/>
                <w:sz w:val="20"/>
                <w:szCs w:val="20"/>
              </w:rPr>
              <w:t>On track</w:t>
            </w:r>
            <w:r w:rsidR="00E50BD1" w:rsidRPr="00377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0BD1" w:rsidRPr="00377F1F">
              <w:rPr>
                <w:rFonts w:ascii="Arial" w:hAnsi="Arial" w:cs="Arial"/>
                <w:b/>
                <w:color w:val="00B050"/>
                <w:sz w:val="28"/>
                <w:szCs w:val="28"/>
              </w:rPr>
              <w:sym w:font="Wingdings" w:char="F043"/>
            </w:r>
            <w:r w:rsidR="00E50BD1" w:rsidRPr="00377F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8BC9B13" w14:textId="77777777" w:rsidR="00256819" w:rsidRPr="00256819" w:rsidRDefault="00256819" w:rsidP="00256819">
      <w:pPr>
        <w:jc w:val="center"/>
        <w:rPr>
          <w:rFonts w:asciiTheme="minorHAnsi" w:hAnsiTheme="minorHAnsi"/>
          <w:sz w:val="14"/>
          <w:szCs w:val="22"/>
        </w:rPr>
      </w:pPr>
    </w:p>
    <w:p w14:paraId="3065AA9D" w14:textId="410C75A9" w:rsidR="00003743" w:rsidRPr="00256819" w:rsidRDefault="00256819" w:rsidP="00256819">
      <w:pPr>
        <w:jc w:val="center"/>
        <w:rPr>
          <w:rFonts w:asciiTheme="minorHAnsi" w:hAnsiTheme="minorHAnsi"/>
          <w:sz w:val="22"/>
          <w:szCs w:val="22"/>
        </w:rPr>
      </w:pPr>
      <w:r w:rsidRPr="00256819">
        <w:rPr>
          <w:rFonts w:asciiTheme="minorHAnsi" w:hAnsiTheme="minorHAnsi"/>
          <w:sz w:val="22"/>
          <w:szCs w:val="22"/>
        </w:rPr>
        <w:t>Page 1 of 1</w:t>
      </w:r>
    </w:p>
    <w:sectPr w:rsidR="00003743" w:rsidRPr="00256819" w:rsidSect="00256819">
      <w:footerReference w:type="default" r:id="rId11"/>
      <w:pgSz w:w="16839" w:h="23814" w:code="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E47C" w14:textId="77777777" w:rsidR="003F1480" w:rsidRDefault="003F1480" w:rsidP="00B466FA">
      <w:r>
        <w:separator/>
      </w:r>
    </w:p>
  </w:endnote>
  <w:endnote w:type="continuationSeparator" w:id="0">
    <w:p w14:paraId="7F79E3CA" w14:textId="77777777" w:rsidR="003F1480" w:rsidRDefault="003F1480" w:rsidP="00B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DDB0" w14:textId="58EA4DC2" w:rsidR="00B466FA" w:rsidRPr="00256819" w:rsidRDefault="00256819" w:rsidP="00256819">
    <w:pPr>
      <w:pStyle w:val="Footer"/>
      <w:jc w:val="right"/>
      <w:rPr>
        <w:rFonts w:asciiTheme="minorHAnsi" w:hAnsiTheme="minorHAnsi"/>
        <w:sz w:val="20"/>
        <w:szCs w:val="20"/>
      </w:rPr>
    </w:pPr>
    <w:r w:rsidRPr="00256819">
      <w:rPr>
        <w:rFonts w:asciiTheme="minorHAnsi" w:hAnsiTheme="minorHAnsi"/>
        <w:sz w:val="20"/>
        <w:szCs w:val="20"/>
      </w:rPr>
      <w:t xml:space="preserve">As at </w:t>
    </w:r>
    <w:r w:rsidR="00F832F3">
      <w:rPr>
        <w:rFonts w:asciiTheme="minorHAnsi" w:hAnsiTheme="minorHAnsi"/>
        <w:sz w:val="20"/>
        <w:szCs w:val="20"/>
      </w:rPr>
      <w:t>21 December</w:t>
    </w:r>
    <w:r w:rsidRPr="00256819">
      <w:rPr>
        <w:rFonts w:asciiTheme="minorHAnsi" w:hAnsiTheme="minorHAnsi"/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6DBF" w14:textId="77777777" w:rsidR="003F1480" w:rsidRDefault="003F1480" w:rsidP="00B466FA">
      <w:r>
        <w:separator/>
      </w:r>
    </w:p>
  </w:footnote>
  <w:footnote w:type="continuationSeparator" w:id="0">
    <w:p w14:paraId="03D5E120" w14:textId="77777777" w:rsidR="003F1480" w:rsidRDefault="003F1480" w:rsidP="00B4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625B"/>
    <w:multiLevelType w:val="hybridMultilevel"/>
    <w:tmpl w:val="EAF8B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FF"/>
    <w:rsid w:val="00003743"/>
    <w:rsid w:val="000372E5"/>
    <w:rsid w:val="000511B7"/>
    <w:rsid w:val="00067456"/>
    <w:rsid w:val="000845EE"/>
    <w:rsid w:val="00096A9F"/>
    <w:rsid w:val="000A3B9D"/>
    <w:rsid w:val="001021C7"/>
    <w:rsid w:val="001375C7"/>
    <w:rsid w:val="001713CE"/>
    <w:rsid w:val="001A6905"/>
    <w:rsid w:val="001B3443"/>
    <w:rsid w:val="001B3C02"/>
    <w:rsid w:val="001D5D43"/>
    <w:rsid w:val="00256819"/>
    <w:rsid w:val="002568C9"/>
    <w:rsid w:val="00267287"/>
    <w:rsid w:val="00285B0C"/>
    <w:rsid w:val="002F3AE3"/>
    <w:rsid w:val="0030786C"/>
    <w:rsid w:val="0031090A"/>
    <w:rsid w:val="00377F1F"/>
    <w:rsid w:val="003A5371"/>
    <w:rsid w:val="003B37B2"/>
    <w:rsid w:val="003C48EB"/>
    <w:rsid w:val="003D17F9"/>
    <w:rsid w:val="003F1480"/>
    <w:rsid w:val="00465BAD"/>
    <w:rsid w:val="004867E2"/>
    <w:rsid w:val="004B0D78"/>
    <w:rsid w:val="004D16CC"/>
    <w:rsid w:val="004D55EB"/>
    <w:rsid w:val="00524BC7"/>
    <w:rsid w:val="0053094C"/>
    <w:rsid w:val="005327CA"/>
    <w:rsid w:val="005513E8"/>
    <w:rsid w:val="00553F74"/>
    <w:rsid w:val="00557935"/>
    <w:rsid w:val="005749B9"/>
    <w:rsid w:val="00576BDD"/>
    <w:rsid w:val="00577CB1"/>
    <w:rsid w:val="0058614C"/>
    <w:rsid w:val="00592BFE"/>
    <w:rsid w:val="005B0477"/>
    <w:rsid w:val="005B64F8"/>
    <w:rsid w:val="005C304A"/>
    <w:rsid w:val="005E64D5"/>
    <w:rsid w:val="00612043"/>
    <w:rsid w:val="006509E1"/>
    <w:rsid w:val="00655583"/>
    <w:rsid w:val="0067140A"/>
    <w:rsid w:val="0069418D"/>
    <w:rsid w:val="006A50E8"/>
    <w:rsid w:val="006D635D"/>
    <w:rsid w:val="006E4E4E"/>
    <w:rsid w:val="00736210"/>
    <w:rsid w:val="00742D91"/>
    <w:rsid w:val="00754E30"/>
    <w:rsid w:val="007A32C1"/>
    <w:rsid w:val="007B69C5"/>
    <w:rsid w:val="007C31FF"/>
    <w:rsid w:val="007E7C0E"/>
    <w:rsid w:val="00803B71"/>
    <w:rsid w:val="008102C8"/>
    <w:rsid w:val="008152AF"/>
    <w:rsid w:val="008264EB"/>
    <w:rsid w:val="00840D1F"/>
    <w:rsid w:val="008A0FD4"/>
    <w:rsid w:val="008B5F60"/>
    <w:rsid w:val="008D6F6E"/>
    <w:rsid w:val="008F6ABB"/>
    <w:rsid w:val="009301AB"/>
    <w:rsid w:val="0094041D"/>
    <w:rsid w:val="00946E81"/>
    <w:rsid w:val="00962253"/>
    <w:rsid w:val="009A71BD"/>
    <w:rsid w:val="009E024A"/>
    <w:rsid w:val="00A16511"/>
    <w:rsid w:val="00A31635"/>
    <w:rsid w:val="00A4512D"/>
    <w:rsid w:val="00A50D5D"/>
    <w:rsid w:val="00A705AF"/>
    <w:rsid w:val="00AB7182"/>
    <w:rsid w:val="00AD0518"/>
    <w:rsid w:val="00AD1CCB"/>
    <w:rsid w:val="00AD27A7"/>
    <w:rsid w:val="00AF275A"/>
    <w:rsid w:val="00B20C42"/>
    <w:rsid w:val="00B23267"/>
    <w:rsid w:val="00B42851"/>
    <w:rsid w:val="00B466FA"/>
    <w:rsid w:val="00B5445D"/>
    <w:rsid w:val="00B70C7A"/>
    <w:rsid w:val="00BA38C0"/>
    <w:rsid w:val="00BD2D7F"/>
    <w:rsid w:val="00C06B6D"/>
    <w:rsid w:val="00C325F1"/>
    <w:rsid w:val="00C32EC9"/>
    <w:rsid w:val="00C54A95"/>
    <w:rsid w:val="00C73DDE"/>
    <w:rsid w:val="00C9028F"/>
    <w:rsid w:val="00CB1B67"/>
    <w:rsid w:val="00CB51FD"/>
    <w:rsid w:val="00CB5B1A"/>
    <w:rsid w:val="00CB691A"/>
    <w:rsid w:val="00CD667B"/>
    <w:rsid w:val="00D0416B"/>
    <w:rsid w:val="00D07BA6"/>
    <w:rsid w:val="00D12F9D"/>
    <w:rsid w:val="00D341D8"/>
    <w:rsid w:val="00D51619"/>
    <w:rsid w:val="00D525B0"/>
    <w:rsid w:val="00D61102"/>
    <w:rsid w:val="00D81816"/>
    <w:rsid w:val="00DA4D0F"/>
    <w:rsid w:val="00DD056B"/>
    <w:rsid w:val="00DE6E78"/>
    <w:rsid w:val="00DF054A"/>
    <w:rsid w:val="00E50BD1"/>
    <w:rsid w:val="00E97E5B"/>
    <w:rsid w:val="00EA08D7"/>
    <w:rsid w:val="00EB2299"/>
    <w:rsid w:val="00EF6452"/>
    <w:rsid w:val="00EF7D74"/>
    <w:rsid w:val="00F1558E"/>
    <w:rsid w:val="00F559E3"/>
    <w:rsid w:val="00F5739D"/>
    <w:rsid w:val="00F735FF"/>
    <w:rsid w:val="00F832F3"/>
    <w:rsid w:val="00F95093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C0C061F"/>
  <w15:docId w15:val="{0E256B20-BC26-4AD6-80AE-FDFEEA1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7C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09E1"/>
    <w:rPr>
      <w:sz w:val="24"/>
      <w:szCs w:val="24"/>
      <w:lang w:eastAsia="en-US"/>
    </w:rPr>
  </w:style>
  <w:style w:type="paragraph" w:customStyle="1" w:styleId="p1">
    <w:name w:val="p1"/>
    <w:basedOn w:val="Normal"/>
    <w:rsid w:val="006E4E4E"/>
    <w:rPr>
      <w:rFonts w:ascii="Arial" w:hAnsi="Arial" w:cs="Arial"/>
      <w:sz w:val="18"/>
      <w:szCs w:val="18"/>
      <w:lang w:val="en-GB" w:eastAsia="en-GB"/>
    </w:rPr>
  </w:style>
  <w:style w:type="paragraph" w:customStyle="1" w:styleId="p2">
    <w:name w:val="p2"/>
    <w:basedOn w:val="Normal"/>
    <w:rsid w:val="006E4E4E"/>
    <w:rPr>
      <w:rFonts w:ascii="Arial" w:hAnsi="Arial" w:cs="Arial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6E4E4E"/>
  </w:style>
  <w:style w:type="paragraph" w:styleId="Header">
    <w:name w:val="header"/>
    <w:basedOn w:val="Normal"/>
    <w:link w:val="HeaderChar"/>
    <w:unhideWhenUsed/>
    <w:rsid w:val="00B46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66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46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66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8E78BF7456CA0A43A77C695A2305F8E1" ma:contentTypeVersion="" ma:contentTypeDescription="PDMS Documentation Content Type" ma:contentTypeScope="" ma:versionID="f63eb4c9d02c2f03c63d92cc762d0745">
  <xsd:schema xmlns:xsd="http://www.w3.org/2001/XMLSchema" xmlns:xs="http://www.w3.org/2001/XMLSchema" xmlns:p="http://schemas.microsoft.com/office/2006/metadata/properties" xmlns:ns2="E7392BC7-7B02-4F09-B377-8D75B2B85B0F" targetNamespace="http://schemas.microsoft.com/office/2006/metadata/properties" ma:root="true" ma:fieldsID="9823c46205548cb6d171d30a05cf718d" ns2:_="">
    <xsd:import namespace="E7392BC7-7B02-4F09-B377-8D75B2B85B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2BC7-7B02-4F09-B377-8D75B2B85B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E7392BC7-7B02-4F09-B377-8D75B2B85B0F" xsi:nil="true"/>
    <SecurityClassification xmlns="E7392BC7-7B02-4F09-B377-8D75B2B85B0F" xsi:nil="true"/>
    <pdms_SecurityClassification xmlns="E7392BC7-7B02-4F09-B377-8D75B2B85B0F" xsi:nil="true"/>
    <pdms_AttachedBy xmlns="E7392BC7-7B02-4F09-B377-8D75B2B85B0F" xsi:nil="true"/>
    <pdms_DocumentType xmlns="E7392BC7-7B02-4F09-B377-8D75B2B85B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0EFA89-37C3-4C14-BA53-84207A630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7734C-62C1-4D07-8659-E14477BB7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2BC7-7B02-4F09-B377-8D75B2B85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46E7F-99DD-476F-8D52-9BA59F881918}">
  <ds:schemaRefs>
    <ds:schemaRef ds:uri="http://purl.org/dc/dcmitype/"/>
    <ds:schemaRef ds:uri="http://schemas.microsoft.com/office/infopath/2007/PartnerControls"/>
    <ds:schemaRef ds:uri="E7392BC7-7B02-4F09-B377-8D75B2B85B0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1BE004-A9B6-4B43-A3B7-7FF42D9F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MTAA Agreement - Programme - Work Plan</dc:subject>
  <dc:creator>DEWHURST, Cherie</dc:creator>
  <cp:lastModifiedBy>Neist, Erinn</cp:lastModifiedBy>
  <cp:revision>4</cp:revision>
  <cp:lastPrinted>2018-04-04T23:13:00Z</cp:lastPrinted>
  <dcterms:created xsi:type="dcterms:W3CDTF">2018-12-20T05:26:00Z</dcterms:created>
  <dcterms:modified xsi:type="dcterms:W3CDTF">2018-12-21T04:41:00Z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0x010100266966F133664895A6EE3632470D45F501008E78BF7456CA0A43A77C695A2305F8E1</vt:lpwstr>
  </property>
</Properties>
</file>