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F0036" w14:textId="4C4C7AC8" w:rsidR="004D51C8" w:rsidRPr="00275856" w:rsidRDefault="00EB415F" w:rsidP="00F57E2E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275856">
        <w:rPr>
          <w:rFonts w:cs="Times New Roman"/>
          <w:b/>
          <w:sz w:val="28"/>
          <w:szCs w:val="28"/>
          <w:lang w:val="en-US"/>
        </w:rPr>
        <w:t>Australian Technical Advisory Group on Immunisation</w:t>
      </w:r>
      <w:r w:rsidR="00A12D59">
        <w:rPr>
          <w:rFonts w:cs="Times New Roman"/>
          <w:b/>
          <w:sz w:val="28"/>
          <w:szCs w:val="28"/>
          <w:lang w:val="en-US"/>
        </w:rPr>
        <w:t xml:space="preserve"> (ATAGI)</w:t>
      </w:r>
    </w:p>
    <w:p w14:paraId="0AA7E94B" w14:textId="77777777" w:rsidR="00BA4D08" w:rsidRPr="00275856" w:rsidRDefault="00565947" w:rsidP="00F57E2E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275856">
        <w:rPr>
          <w:rFonts w:cs="Times New Roman"/>
          <w:b/>
          <w:sz w:val="28"/>
          <w:szCs w:val="28"/>
          <w:lang w:val="en-US"/>
        </w:rPr>
        <w:t xml:space="preserve">Strategic </w:t>
      </w:r>
      <w:r w:rsidR="002841D3" w:rsidRPr="00275856">
        <w:rPr>
          <w:rFonts w:cs="Times New Roman"/>
          <w:b/>
          <w:sz w:val="28"/>
          <w:szCs w:val="28"/>
          <w:lang w:val="en-US"/>
        </w:rPr>
        <w:t>Intent</w:t>
      </w:r>
    </w:p>
    <w:p w14:paraId="66AD9545" w14:textId="77777777" w:rsidR="00EB415F" w:rsidRPr="0061439E" w:rsidRDefault="00EB415F" w:rsidP="00EB415F">
      <w:pPr>
        <w:spacing w:after="0" w:line="240" w:lineRule="auto"/>
        <w:rPr>
          <w:rFonts w:cstheme="minorHAnsi"/>
          <w:b/>
          <w:lang w:val="en-US"/>
        </w:rPr>
      </w:pPr>
      <w:r w:rsidRPr="0061439E">
        <w:rPr>
          <w:rFonts w:cstheme="minorHAnsi"/>
          <w:b/>
          <w:lang w:val="en-US"/>
        </w:rPr>
        <w:t>Vision</w:t>
      </w:r>
    </w:p>
    <w:p w14:paraId="2C446CA8" w14:textId="5E0D328B" w:rsidR="00EB415F" w:rsidRPr="0061439E" w:rsidRDefault="00862E5C" w:rsidP="00EB415F">
      <w:pPr>
        <w:spacing w:after="0" w:line="240" w:lineRule="auto"/>
        <w:rPr>
          <w:rFonts w:cstheme="minorHAnsi"/>
          <w:lang w:val="en-US"/>
        </w:rPr>
      </w:pPr>
      <w:r w:rsidRPr="0061439E">
        <w:rPr>
          <w:rFonts w:cstheme="minorHAnsi"/>
          <w:lang w:val="en-US"/>
        </w:rPr>
        <w:t xml:space="preserve">To </w:t>
      </w:r>
      <w:r w:rsidR="00F654C0" w:rsidRPr="0061439E">
        <w:rPr>
          <w:rFonts w:cstheme="minorHAnsi"/>
          <w:lang w:val="en-US"/>
        </w:rPr>
        <w:t>protect</w:t>
      </w:r>
      <w:r w:rsidR="006C6527" w:rsidRPr="0061439E">
        <w:rPr>
          <w:rFonts w:cstheme="minorHAnsi"/>
          <w:lang w:val="en-US"/>
        </w:rPr>
        <w:t xml:space="preserve"> the Australian population</w:t>
      </w:r>
      <w:r w:rsidR="00F654C0" w:rsidRPr="0061439E">
        <w:rPr>
          <w:rFonts w:cstheme="minorHAnsi"/>
          <w:lang w:val="en-US"/>
        </w:rPr>
        <w:t xml:space="preserve"> from </w:t>
      </w:r>
      <w:r w:rsidR="00C56535" w:rsidRPr="0061439E">
        <w:rPr>
          <w:rFonts w:cstheme="minorHAnsi"/>
          <w:lang w:val="en-US"/>
        </w:rPr>
        <w:t xml:space="preserve">vaccine-preventable diseases. </w:t>
      </w:r>
    </w:p>
    <w:p w14:paraId="580934C8" w14:textId="77777777" w:rsidR="00862E5C" w:rsidRPr="0061439E" w:rsidRDefault="00862E5C" w:rsidP="00EB415F">
      <w:pPr>
        <w:spacing w:after="0" w:line="240" w:lineRule="auto"/>
        <w:rPr>
          <w:rFonts w:cstheme="minorHAnsi"/>
          <w:lang w:val="en-US"/>
        </w:rPr>
      </w:pPr>
    </w:p>
    <w:p w14:paraId="743ACEFE" w14:textId="77777777" w:rsidR="00EB415F" w:rsidRPr="0061439E" w:rsidRDefault="00EB415F" w:rsidP="00EB415F">
      <w:pPr>
        <w:spacing w:after="0" w:line="240" w:lineRule="auto"/>
        <w:rPr>
          <w:rFonts w:cstheme="minorHAnsi"/>
          <w:b/>
          <w:lang w:val="en-US"/>
        </w:rPr>
      </w:pPr>
      <w:r w:rsidRPr="0061439E">
        <w:rPr>
          <w:rFonts w:cstheme="minorHAnsi"/>
          <w:b/>
          <w:lang w:val="en-US"/>
        </w:rPr>
        <w:t>Purpose</w:t>
      </w:r>
    </w:p>
    <w:p w14:paraId="0F23ED86" w14:textId="210E0F78" w:rsidR="00EB415F" w:rsidRPr="0061439E" w:rsidRDefault="00862E5C" w:rsidP="00EB415F">
      <w:pPr>
        <w:spacing w:after="0" w:line="240" w:lineRule="auto"/>
        <w:rPr>
          <w:rFonts w:cstheme="minorHAnsi"/>
          <w:lang w:val="en-US"/>
        </w:rPr>
      </w:pPr>
      <w:r w:rsidRPr="0061439E">
        <w:rPr>
          <w:rFonts w:cstheme="minorHAnsi"/>
          <w:lang w:val="en-US"/>
        </w:rPr>
        <w:t>To p</w:t>
      </w:r>
      <w:r w:rsidR="00C56535" w:rsidRPr="0061439E">
        <w:rPr>
          <w:rFonts w:cstheme="minorHAnsi"/>
          <w:lang w:val="en-US"/>
        </w:rPr>
        <w:t>rovide evidence-based advice on immunisation policies, programs and</w:t>
      </w:r>
      <w:r w:rsidR="00977D3C" w:rsidRPr="0061439E">
        <w:rPr>
          <w:rFonts w:cstheme="minorHAnsi"/>
          <w:lang w:val="en-US"/>
        </w:rPr>
        <w:t xml:space="preserve"> future</w:t>
      </w:r>
      <w:r w:rsidR="00C56535" w:rsidRPr="0061439E">
        <w:rPr>
          <w:rFonts w:cstheme="minorHAnsi"/>
          <w:lang w:val="en-US"/>
        </w:rPr>
        <w:t xml:space="preserve"> research priorities to the Minister of Health and other key policy makers</w:t>
      </w:r>
      <w:r w:rsidR="00AE4797" w:rsidRPr="0061439E">
        <w:rPr>
          <w:rFonts w:cstheme="minorHAnsi"/>
          <w:lang w:val="en-US"/>
        </w:rPr>
        <w:t xml:space="preserve">. This includes </w:t>
      </w:r>
      <w:r w:rsidR="00F50658" w:rsidRPr="0061439E">
        <w:rPr>
          <w:rFonts w:cstheme="minorHAnsi"/>
          <w:lang w:val="en-US"/>
        </w:rPr>
        <w:t>identifying and prioritizing gaps in the immunisation landscape to improve</w:t>
      </w:r>
      <w:r w:rsidR="00E3760A" w:rsidRPr="0061439E">
        <w:rPr>
          <w:rFonts w:cstheme="minorHAnsi"/>
          <w:lang w:val="en-US"/>
        </w:rPr>
        <w:t xml:space="preserve"> impact,</w:t>
      </w:r>
      <w:r w:rsidR="00326EE6" w:rsidRPr="0061439E">
        <w:rPr>
          <w:rFonts w:cstheme="minorHAnsi"/>
          <w:lang w:val="en-US"/>
        </w:rPr>
        <w:t xml:space="preserve"> </w:t>
      </w:r>
      <w:r w:rsidR="00F50658" w:rsidRPr="0061439E">
        <w:rPr>
          <w:rFonts w:cstheme="minorHAnsi"/>
          <w:lang w:val="en-US"/>
        </w:rPr>
        <w:t>confidence and equity</w:t>
      </w:r>
      <w:r w:rsidR="00326EE6" w:rsidRPr="0061439E">
        <w:rPr>
          <w:rFonts w:cstheme="minorHAnsi"/>
          <w:lang w:val="en-US"/>
        </w:rPr>
        <w:t>.</w:t>
      </w:r>
    </w:p>
    <w:p w14:paraId="705BDBE8" w14:textId="77777777" w:rsidR="00EB415F" w:rsidRPr="0061439E" w:rsidRDefault="00EB415F" w:rsidP="00EB415F">
      <w:pPr>
        <w:spacing w:after="0" w:line="240" w:lineRule="auto"/>
        <w:rPr>
          <w:rFonts w:cstheme="minorHAnsi"/>
          <w:lang w:val="en-US"/>
        </w:rPr>
      </w:pPr>
    </w:p>
    <w:p w14:paraId="0F105642" w14:textId="77777777" w:rsidR="00EB415F" w:rsidRPr="0061439E" w:rsidRDefault="00EB415F" w:rsidP="00EB415F">
      <w:pPr>
        <w:spacing w:after="0" w:line="240" w:lineRule="auto"/>
        <w:rPr>
          <w:rFonts w:cstheme="minorHAnsi"/>
          <w:b/>
          <w:lang w:val="en-US"/>
        </w:rPr>
      </w:pPr>
      <w:r w:rsidRPr="0061439E">
        <w:rPr>
          <w:rFonts w:cstheme="minorHAnsi"/>
          <w:b/>
          <w:lang w:val="en-US"/>
        </w:rPr>
        <w:t>Strategic priorities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  <w:tblCaption w:val="ATAGI Strategic Priorities"/>
      </w:tblPr>
      <w:tblGrid>
        <w:gridCol w:w="3544"/>
        <w:gridCol w:w="3544"/>
        <w:gridCol w:w="3544"/>
      </w:tblGrid>
      <w:tr w:rsidR="009B381B" w:rsidRPr="0061439E" w14:paraId="40FE870D" w14:textId="77777777" w:rsidTr="40D28F69">
        <w:trPr>
          <w:tblHeader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C9E8F0" w14:textId="307E5DA0" w:rsidR="00FA0ACD" w:rsidRPr="0061439E" w:rsidRDefault="00977D3C" w:rsidP="007F2A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b/>
                <w:sz w:val="20"/>
                <w:szCs w:val="20"/>
                <w:lang w:val="en-US"/>
              </w:rPr>
              <w:t xml:space="preserve"> Impact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9F330" w14:textId="7ADA9E76" w:rsidR="00FA0ACD" w:rsidRPr="0061439E" w:rsidRDefault="00217A19" w:rsidP="007F2A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b/>
                <w:sz w:val="20"/>
                <w:szCs w:val="20"/>
                <w:lang w:val="en-US"/>
              </w:rPr>
              <w:t>Confidence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35486" w14:textId="2FFDFED1" w:rsidR="00FA0ACD" w:rsidRPr="0061439E" w:rsidRDefault="00EC6B61" w:rsidP="007F2A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b/>
                <w:sz w:val="20"/>
                <w:szCs w:val="20"/>
                <w:lang w:val="en-US"/>
              </w:rPr>
              <w:t xml:space="preserve"> Equity</w:t>
            </w:r>
          </w:p>
        </w:tc>
      </w:tr>
      <w:tr w:rsidR="009B381B" w:rsidRPr="0061439E" w14:paraId="69ECF423" w14:textId="77777777" w:rsidTr="40D28F69">
        <w:trPr>
          <w:jc w:val="center"/>
        </w:trPr>
        <w:tc>
          <w:tcPr>
            <w:tcW w:w="3544" w:type="dxa"/>
            <w:tcBorders>
              <w:bottom w:val="nil"/>
            </w:tcBorders>
          </w:tcPr>
          <w:p w14:paraId="7F8FC6A0" w14:textId="3B58F7F5" w:rsidR="00217A19" w:rsidRPr="0061439E" w:rsidRDefault="00217A19" w:rsidP="006335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Maximise </w:t>
            </w:r>
            <w:r w:rsidR="00F50658" w:rsidRPr="0061439E">
              <w:rPr>
                <w:rFonts w:cstheme="minorHAnsi"/>
                <w:sz w:val="20"/>
                <w:szCs w:val="20"/>
                <w:lang w:val="en-US"/>
              </w:rPr>
              <w:t xml:space="preserve">impact 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through use of the most effective vaccines and schedules that are relevant to epidemiology in Australia</w:t>
            </w:r>
            <w:r w:rsidR="00E3760A"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9C3DE36" w14:textId="4905FF36" w:rsidR="00217A19" w:rsidRPr="0061439E" w:rsidRDefault="00A12D59" w:rsidP="006335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Maximise</w:t>
            </w:r>
            <w:r w:rsidR="00217A19" w:rsidRPr="0061439E">
              <w:rPr>
                <w:rFonts w:cstheme="minorHAnsi"/>
                <w:sz w:val="20"/>
                <w:szCs w:val="20"/>
                <w:lang w:val="en-US"/>
              </w:rPr>
              <w:t xml:space="preserve"> vaccine coverage </w:t>
            </w:r>
            <w:r w:rsidR="149BEFDE" w:rsidRPr="0061439E">
              <w:rPr>
                <w:rFonts w:cstheme="minorHAnsi"/>
                <w:sz w:val="20"/>
                <w:szCs w:val="20"/>
                <w:lang w:val="en-US"/>
              </w:rPr>
              <w:t xml:space="preserve">through </w:t>
            </w:r>
            <w:r w:rsidR="00DE096D" w:rsidRPr="0061439E">
              <w:rPr>
                <w:rFonts w:cstheme="minorHAnsi"/>
                <w:sz w:val="20"/>
                <w:szCs w:val="20"/>
                <w:lang w:val="en-US"/>
              </w:rPr>
              <w:t>population-based</w:t>
            </w:r>
            <w:r w:rsidR="00217A19" w:rsidRPr="0061439E">
              <w:rPr>
                <w:rFonts w:cstheme="minorHAnsi"/>
                <w:sz w:val="20"/>
                <w:szCs w:val="20"/>
                <w:lang w:val="en-US"/>
              </w:rPr>
              <w:t xml:space="preserve"> strategies</w:t>
            </w:r>
            <w:r w:rsidR="00E3760A"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04801A05" w14:textId="05CA8CA1" w:rsidR="009B72EF" w:rsidRPr="0061439E" w:rsidRDefault="00F50658" w:rsidP="00CB61B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Advise on how and where improvements to coverage could reduce morbidity and mortality from vaccine preventable diseases.</w:t>
            </w:r>
          </w:p>
          <w:p w14:paraId="4172F434" w14:textId="7828C9D2" w:rsidR="00EC6B61" w:rsidRPr="0061439E" w:rsidRDefault="006C6527" w:rsidP="00EC6B6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Promote and facilitate</w:t>
            </w:r>
            <w:r w:rsidR="003F599E" w:rsidRPr="0061439E">
              <w:rPr>
                <w:rFonts w:cstheme="minorHAnsi"/>
                <w:sz w:val="20"/>
                <w:szCs w:val="20"/>
                <w:lang w:val="en-US"/>
              </w:rPr>
              <w:t xml:space="preserve"> when required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 the need for </w:t>
            </w:r>
            <w:r w:rsidR="00CB61B0" w:rsidRPr="0061439E">
              <w:rPr>
                <w:rFonts w:cstheme="minorHAnsi"/>
                <w:sz w:val="20"/>
                <w:szCs w:val="20"/>
                <w:lang w:val="en-US"/>
              </w:rPr>
              <w:t xml:space="preserve">evaluations </w:t>
            </w:r>
            <w:r w:rsidR="00EC6B61" w:rsidRPr="0061439E">
              <w:rPr>
                <w:rFonts w:cstheme="minorHAnsi"/>
                <w:sz w:val="20"/>
                <w:szCs w:val="20"/>
                <w:lang w:val="en-US"/>
              </w:rPr>
              <w:t xml:space="preserve">to assess impact and outcomes of immunisation programs. </w:t>
            </w:r>
          </w:p>
          <w:p w14:paraId="4F044400" w14:textId="584814D5" w:rsidR="00FA0ACD" w:rsidRPr="0061439E" w:rsidRDefault="00CB61B0" w:rsidP="0061439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Use</w:t>
            </w:r>
            <w:r w:rsidR="00FC7510" w:rsidRPr="0061439E">
              <w:rPr>
                <w:rFonts w:cstheme="minorHAnsi"/>
                <w:sz w:val="20"/>
                <w:szCs w:val="20"/>
                <w:lang w:val="en-US"/>
              </w:rPr>
              <w:t xml:space="preserve"> data to identify evidence gaps and establish future research priorities</w:t>
            </w:r>
            <w:r w:rsidR="00F50658"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FC7510"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bottom w:val="nil"/>
            </w:tcBorders>
          </w:tcPr>
          <w:p w14:paraId="71B1A66A" w14:textId="1BED5D41" w:rsidR="00EC6B61" w:rsidRPr="0061439E" w:rsidRDefault="00EC6B61" w:rsidP="00CE016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Develop trust and confidence through leadership and evidence- based, independent advice.</w:t>
            </w:r>
          </w:p>
          <w:p w14:paraId="7C1F3AAF" w14:textId="4FD38402" w:rsidR="00F50658" w:rsidRPr="0061439E" w:rsidRDefault="00F50658" w:rsidP="00CE016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Identify</w:t>
            </w:r>
            <w:r w:rsidR="006C6527" w:rsidRPr="0061439E">
              <w:rPr>
                <w:rFonts w:cstheme="minorHAnsi"/>
                <w:sz w:val="20"/>
                <w:szCs w:val="20"/>
                <w:lang w:val="en-US"/>
              </w:rPr>
              <w:t xml:space="preserve"> potential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 safety concerns </w:t>
            </w:r>
            <w:r w:rsidR="006C6527" w:rsidRPr="0061439E">
              <w:rPr>
                <w:rFonts w:cstheme="minorHAnsi"/>
                <w:sz w:val="20"/>
                <w:szCs w:val="20"/>
                <w:lang w:val="en-US"/>
              </w:rPr>
              <w:t>and promote strategies</w:t>
            </w:r>
            <w:r w:rsidR="0C99402F" w:rsidRPr="0061439E">
              <w:rPr>
                <w:rFonts w:cstheme="minorHAnsi"/>
                <w:sz w:val="20"/>
                <w:szCs w:val="20"/>
                <w:lang w:val="en-US"/>
              </w:rPr>
              <w:t xml:space="preserve"> to address</w:t>
            </w:r>
            <w:r w:rsidR="006C6527" w:rsidRPr="0061439E">
              <w:rPr>
                <w:rFonts w:cstheme="minorHAnsi"/>
                <w:sz w:val="20"/>
                <w:szCs w:val="20"/>
                <w:lang w:val="en-US"/>
              </w:rPr>
              <w:t xml:space="preserve"> these risks</w:t>
            </w:r>
            <w:r w:rsidR="00E3760A"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74A185C" w14:textId="7568E668" w:rsidR="00EC6B61" w:rsidRPr="0061439E" w:rsidRDefault="00EC6B61" w:rsidP="00CE016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Collaborate with </w:t>
            </w:r>
            <w:r w:rsidR="00911B5D" w:rsidRPr="0061439E">
              <w:rPr>
                <w:rFonts w:cstheme="minorHAnsi"/>
                <w:sz w:val="20"/>
                <w:szCs w:val="20"/>
                <w:lang w:val="en-US"/>
              </w:rPr>
              <w:t xml:space="preserve">key 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stakeholders, promoting research and advising on programs to improve confidence.</w:t>
            </w:r>
          </w:p>
          <w:p w14:paraId="4BA68E61" w14:textId="4DDB7A95" w:rsidR="00FA0ACD" w:rsidRPr="0061439E" w:rsidRDefault="00CE0168" w:rsidP="00911B5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Build and disseminate information on the administration</w:t>
            </w:r>
            <w:r w:rsidR="009F54C7" w:rsidRPr="0061439E">
              <w:rPr>
                <w:rFonts w:cstheme="minorHAnsi"/>
                <w:sz w:val="20"/>
                <w:szCs w:val="20"/>
                <w:lang w:val="en-US"/>
              </w:rPr>
              <w:t xml:space="preserve"> and safety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 of vaccines</w:t>
            </w:r>
            <w:r w:rsidR="00EC6B61"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7834AD6D" w:rsidRPr="0061439E">
              <w:rPr>
                <w:rFonts w:cstheme="minorHAnsi"/>
                <w:sz w:val="20"/>
                <w:szCs w:val="20"/>
                <w:lang w:val="en-US"/>
              </w:rPr>
              <w:t>to enhance</w:t>
            </w:r>
            <w:r w:rsidR="00EC6B61" w:rsidRPr="0061439E">
              <w:rPr>
                <w:rFonts w:cstheme="minorHAnsi"/>
                <w:sz w:val="20"/>
                <w:szCs w:val="20"/>
                <w:lang w:val="en-US"/>
              </w:rPr>
              <w:t xml:space="preserve"> the quality use of vaccines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14:paraId="01A4FAA3" w14:textId="7DFE9719" w:rsidR="003420CC" w:rsidRPr="0061439E" w:rsidRDefault="00CE62BD" w:rsidP="00911B5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</w:rPr>
              <w:t xml:space="preserve">Improve equity in outcomes by improving access to vaccination </w:t>
            </w:r>
            <w:r w:rsidR="5F6A6F67" w:rsidRPr="0061439E">
              <w:rPr>
                <w:rFonts w:cstheme="minorHAnsi"/>
                <w:sz w:val="20"/>
                <w:szCs w:val="20"/>
              </w:rPr>
              <w:t>for persons of all ages</w:t>
            </w:r>
            <w:r w:rsidR="003B710F" w:rsidRPr="0061439E">
              <w:rPr>
                <w:rFonts w:cstheme="minorHAnsi"/>
                <w:sz w:val="20"/>
                <w:szCs w:val="20"/>
              </w:rPr>
              <w:t>.</w:t>
            </w:r>
            <w:r w:rsidRPr="0061439E">
              <w:rPr>
                <w:rFonts w:cstheme="minorHAnsi"/>
              </w:rPr>
              <w:t xml:space="preserve"> </w:t>
            </w:r>
          </w:p>
          <w:p w14:paraId="312FE521" w14:textId="7E8E734B" w:rsidR="003420CC" w:rsidRPr="0061439E" w:rsidRDefault="003420CC" w:rsidP="009B381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Identify </w:t>
            </w:r>
            <w:r w:rsidR="00911B5D" w:rsidRPr="0061439E">
              <w:rPr>
                <w:rFonts w:cstheme="minorHAnsi"/>
                <w:sz w:val="20"/>
                <w:szCs w:val="20"/>
                <w:lang w:val="en-US"/>
              </w:rPr>
              <w:t>vulnerable population</w:t>
            </w:r>
            <w:r w:rsidR="6055F586" w:rsidRPr="0061439E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911B5D"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DE096D" w:rsidRPr="0061439E">
              <w:rPr>
                <w:rFonts w:cstheme="minorHAnsi"/>
                <w:sz w:val="20"/>
                <w:szCs w:val="20"/>
                <w:lang w:val="en-US"/>
              </w:rPr>
              <w:t>and difficult</w:t>
            </w:r>
            <w:r w:rsidR="00AE4797" w:rsidRPr="0061439E">
              <w:rPr>
                <w:rFonts w:cstheme="minorHAnsi"/>
                <w:sz w:val="20"/>
                <w:szCs w:val="20"/>
                <w:lang w:val="en-US"/>
              </w:rPr>
              <w:t xml:space="preserve"> to reach</w:t>
            </w:r>
            <w:r w:rsidR="002A233F"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911B5D" w:rsidRPr="0061439E">
              <w:rPr>
                <w:rFonts w:cstheme="minorHAnsi"/>
                <w:sz w:val="20"/>
                <w:szCs w:val="20"/>
                <w:lang w:val="en-US"/>
              </w:rPr>
              <w:t>groups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 and advise on </w:t>
            </w:r>
            <w:r w:rsidR="00B172C4" w:rsidRPr="0061439E">
              <w:rPr>
                <w:rFonts w:cstheme="minorHAnsi"/>
                <w:sz w:val="20"/>
                <w:szCs w:val="20"/>
                <w:lang w:val="en-US"/>
              </w:rPr>
              <w:t xml:space="preserve">strategies 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to target</w:t>
            </w:r>
            <w:r w:rsidR="4E5B701E"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those at greatest risk.</w:t>
            </w:r>
          </w:p>
          <w:p w14:paraId="573D35C5" w14:textId="2E7E8049" w:rsidR="0031776E" w:rsidRPr="0061439E" w:rsidRDefault="2D80732B" w:rsidP="009B381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Contribute</w:t>
            </w:r>
            <w:r w:rsidR="4E2EDC8E" w:rsidRPr="0061439E">
              <w:rPr>
                <w:rFonts w:cstheme="minorHAnsi"/>
                <w:sz w:val="20"/>
                <w:szCs w:val="20"/>
                <w:lang w:val="en-US"/>
              </w:rPr>
              <w:t xml:space="preserve"> to </w:t>
            </w:r>
            <w:r w:rsidR="003420CC" w:rsidRPr="0061439E">
              <w:rPr>
                <w:rFonts w:cstheme="minorHAnsi"/>
                <w:sz w:val="20"/>
                <w:szCs w:val="20"/>
                <w:lang w:val="en-US"/>
              </w:rPr>
              <w:t xml:space="preserve">leadership </w:t>
            </w:r>
            <w:r w:rsidR="00CB61B0" w:rsidRPr="0061439E">
              <w:rPr>
                <w:rFonts w:cstheme="minorHAnsi"/>
                <w:sz w:val="20"/>
                <w:szCs w:val="20"/>
                <w:lang w:val="en-US"/>
              </w:rPr>
              <w:t>at the regional and global level.</w:t>
            </w:r>
            <w:r w:rsidR="00EC6B61"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1575F962" w14:textId="460C42CA" w:rsidR="00EC6B61" w:rsidRPr="0061439E" w:rsidRDefault="00EC6B61" w:rsidP="006659D4">
            <w:pPr>
              <w:pStyle w:val="ListParagraph"/>
              <w:ind w:left="284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25EC881" w14:textId="77777777" w:rsidR="008A56FE" w:rsidRPr="0061439E" w:rsidRDefault="008A56FE" w:rsidP="008A56FE">
      <w:pPr>
        <w:spacing w:after="0"/>
        <w:rPr>
          <w:rFonts w:cstheme="minorHAnsi"/>
          <w:sz w:val="2"/>
          <w:szCs w:val="2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  <w:tblCaption w:val="ATAGI Strategic Priorities"/>
      </w:tblPr>
      <w:tblGrid>
        <w:gridCol w:w="10632"/>
      </w:tblGrid>
      <w:tr w:rsidR="009B381B" w:rsidRPr="0061439E" w14:paraId="0C3DD7DE" w14:textId="77777777" w:rsidTr="582B8FD0">
        <w:trPr>
          <w:tblHeader/>
          <w:jc w:val="center"/>
        </w:trPr>
        <w:tc>
          <w:tcPr>
            <w:tcW w:w="10632" w:type="dxa"/>
            <w:shd w:val="clear" w:color="auto" w:fill="auto"/>
          </w:tcPr>
          <w:p w14:paraId="493EE0AB" w14:textId="77777777" w:rsidR="00472A03" w:rsidRPr="0061439E" w:rsidRDefault="00472A03" w:rsidP="00472A0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b/>
                <w:sz w:val="20"/>
                <w:szCs w:val="20"/>
                <w:lang w:val="en-US"/>
              </w:rPr>
              <w:t>Communication and engagement</w:t>
            </w:r>
          </w:p>
        </w:tc>
      </w:tr>
      <w:tr w:rsidR="009B381B" w:rsidRPr="0061439E" w14:paraId="4EB4145E" w14:textId="77777777" w:rsidTr="582B8FD0">
        <w:trPr>
          <w:jc w:val="center"/>
        </w:trPr>
        <w:tc>
          <w:tcPr>
            <w:tcW w:w="10632" w:type="dxa"/>
          </w:tcPr>
          <w:p w14:paraId="3B8F07A9" w14:textId="5061F621" w:rsidR="00FA0ACD" w:rsidRPr="0061439E" w:rsidRDefault="00B172C4" w:rsidP="00FA0A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Promote </w:t>
            </w:r>
            <w:r w:rsidR="0031776E" w:rsidRPr="0061439E">
              <w:rPr>
                <w:rFonts w:cstheme="minorHAnsi"/>
                <w:sz w:val="20"/>
                <w:szCs w:val="20"/>
                <w:lang w:val="en-US"/>
              </w:rPr>
              <w:t>community co</w:t>
            </w:r>
            <w:r w:rsidR="00A12D59" w:rsidRPr="0061439E">
              <w:rPr>
                <w:rFonts w:cstheme="minorHAnsi"/>
                <w:sz w:val="20"/>
                <w:szCs w:val="20"/>
                <w:lang w:val="en-US"/>
              </w:rPr>
              <w:t>nfidence in the National Immunis</w:t>
            </w:r>
            <w:r w:rsidR="0031776E" w:rsidRPr="0061439E">
              <w:rPr>
                <w:rFonts w:cstheme="minorHAnsi"/>
                <w:sz w:val="20"/>
                <w:szCs w:val="20"/>
                <w:lang w:val="en-US"/>
              </w:rPr>
              <w:t xml:space="preserve">ation Program </w:t>
            </w:r>
            <w:r w:rsidR="04AC81B3" w:rsidRPr="0061439E">
              <w:rPr>
                <w:rFonts w:cstheme="minorHAnsi"/>
                <w:sz w:val="20"/>
                <w:szCs w:val="20"/>
                <w:lang w:val="en-US"/>
              </w:rPr>
              <w:t>through effective communication</w:t>
            </w:r>
            <w:r w:rsidR="7E890DA0" w:rsidRPr="0061439E">
              <w:rPr>
                <w:rFonts w:cstheme="minorHAnsi"/>
                <w:sz w:val="20"/>
                <w:szCs w:val="20"/>
                <w:lang w:val="en-US"/>
              </w:rPr>
              <w:t xml:space="preserve"> mechanisms</w:t>
            </w:r>
            <w:r w:rsidR="0031776E" w:rsidRPr="0061439E">
              <w:rPr>
                <w:rFonts w:cstheme="minorHAnsi"/>
                <w:sz w:val="20"/>
                <w:szCs w:val="20"/>
                <w:lang w:val="en-US"/>
              </w:rPr>
              <w:t xml:space="preserve">, including </w:t>
            </w:r>
            <w:r w:rsidR="00FA0ACD" w:rsidRPr="0061439E">
              <w:rPr>
                <w:rFonts w:cstheme="minorHAnsi"/>
                <w:sz w:val="20"/>
                <w:szCs w:val="20"/>
                <w:lang w:val="en-US"/>
              </w:rPr>
              <w:t>the Australian Immunisation Handbook</w:t>
            </w:r>
            <w:r w:rsidR="003263E9" w:rsidRPr="0061439E">
              <w:rPr>
                <w:rFonts w:cstheme="minorHAnsi"/>
                <w:sz w:val="20"/>
                <w:szCs w:val="20"/>
                <w:lang w:val="en-US"/>
              </w:rPr>
              <w:t xml:space="preserve"> and supporting </w:t>
            </w:r>
            <w:r w:rsidR="00CB61B0" w:rsidRPr="0061439E">
              <w:rPr>
                <w:rFonts w:cstheme="minorHAnsi"/>
                <w:sz w:val="20"/>
                <w:szCs w:val="20"/>
                <w:lang w:val="en-US"/>
              </w:rPr>
              <w:t xml:space="preserve">ATAGI </w:t>
            </w:r>
            <w:r w:rsidR="003263E9" w:rsidRPr="0061439E">
              <w:rPr>
                <w:rFonts w:cstheme="minorHAnsi"/>
                <w:sz w:val="20"/>
                <w:szCs w:val="20"/>
                <w:lang w:val="en-US"/>
              </w:rPr>
              <w:t>clinical statements</w:t>
            </w:r>
            <w:r w:rsidR="00FA0ACD"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925B815" w14:textId="7ED2D10F" w:rsidR="00FA0ACD" w:rsidRPr="0061439E" w:rsidRDefault="0AF2AFA4" w:rsidP="00FA0A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Compile </w:t>
            </w:r>
            <w:r w:rsidR="00FA0ACD" w:rsidRPr="0061439E">
              <w:rPr>
                <w:rFonts w:cstheme="minorHAnsi"/>
                <w:sz w:val="20"/>
                <w:szCs w:val="20"/>
                <w:lang w:val="en-US"/>
              </w:rPr>
              <w:t>and disseminate evidence on priority groups for immunisation, including Aboriginal and Torres Strait Islander people.</w:t>
            </w:r>
          </w:p>
          <w:p w14:paraId="3713E7BA" w14:textId="13FE9CD3" w:rsidR="00FA0ACD" w:rsidRPr="0061439E" w:rsidRDefault="00333A63" w:rsidP="00FA0A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Collaborate </w:t>
            </w:r>
            <w:r w:rsidR="00FA0ACD" w:rsidRPr="0061439E">
              <w:rPr>
                <w:rFonts w:cstheme="minorHAnsi"/>
                <w:sz w:val="20"/>
                <w:szCs w:val="20"/>
                <w:lang w:val="en-US"/>
              </w:rPr>
              <w:t>with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 other </w:t>
            </w:r>
            <w:r w:rsidR="00B172C4" w:rsidRPr="0061439E">
              <w:rPr>
                <w:rFonts w:cstheme="minorHAnsi"/>
                <w:sz w:val="20"/>
                <w:szCs w:val="20"/>
                <w:lang w:val="en-US"/>
              </w:rPr>
              <w:t xml:space="preserve">Commonwealth Authorities, 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committees</w:t>
            </w:r>
            <w:r w:rsidR="00B172C4" w:rsidRPr="0061439E">
              <w:rPr>
                <w:rFonts w:cstheme="minorHAnsi"/>
                <w:sz w:val="20"/>
                <w:szCs w:val="20"/>
                <w:lang w:val="en-US"/>
              </w:rPr>
              <w:t xml:space="preserve"> and their sub-committees involved in immunisation</w:t>
            </w:r>
            <w:r w:rsidR="00D52983"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172C4" w:rsidRPr="0061439E">
              <w:rPr>
                <w:rFonts w:cstheme="minorHAnsi"/>
                <w:sz w:val="20"/>
                <w:szCs w:val="20"/>
                <w:lang w:val="en-US"/>
              </w:rPr>
              <w:t>*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11ADAC34" w14:textId="3BB8C3DF" w:rsidR="00472A03" w:rsidRPr="0061439E" w:rsidRDefault="00FA0ACD" w:rsidP="002F17A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Engage with industry</w:t>
            </w:r>
            <w:r w:rsidR="003F599E" w:rsidRPr="0061439E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AE4797"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22F9A" w:rsidRPr="0061439E">
              <w:rPr>
                <w:rFonts w:cstheme="minorHAnsi"/>
                <w:sz w:val="20"/>
                <w:szCs w:val="20"/>
                <w:lang w:val="en-US"/>
              </w:rPr>
              <w:t xml:space="preserve">scientific bodies and </w:t>
            </w:r>
            <w:r w:rsidR="00C56535" w:rsidRPr="0061439E">
              <w:rPr>
                <w:rFonts w:cstheme="minorHAnsi"/>
                <w:sz w:val="20"/>
                <w:szCs w:val="20"/>
                <w:lang w:val="en-US"/>
              </w:rPr>
              <w:t>community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 to support </w:t>
            </w:r>
            <w:r w:rsidR="00621CB6">
              <w:rPr>
                <w:rFonts w:cstheme="minorHAnsi"/>
                <w:sz w:val="20"/>
                <w:szCs w:val="20"/>
                <w:lang w:val="en-US"/>
              </w:rPr>
              <w:t xml:space="preserve">the stated 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Vision and Purpose.</w:t>
            </w:r>
          </w:p>
        </w:tc>
      </w:tr>
      <w:tr w:rsidR="009B381B" w:rsidRPr="0061439E" w14:paraId="1C8F0EBE" w14:textId="77777777" w:rsidTr="582B8FD0">
        <w:trPr>
          <w:jc w:val="center"/>
        </w:trPr>
        <w:tc>
          <w:tcPr>
            <w:tcW w:w="10632" w:type="dxa"/>
            <w:shd w:val="clear" w:color="auto" w:fill="auto"/>
          </w:tcPr>
          <w:p w14:paraId="6D7E2CF1" w14:textId="4FA6E0BC" w:rsidR="00472A03" w:rsidRPr="0061439E" w:rsidRDefault="00217A19" w:rsidP="00F654C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="00472A03" w:rsidRPr="0061439E">
              <w:rPr>
                <w:rFonts w:cstheme="minorHAnsi"/>
                <w:b/>
                <w:sz w:val="20"/>
                <w:szCs w:val="20"/>
                <w:lang w:val="en-US"/>
              </w:rPr>
              <w:t xml:space="preserve">mplementation </w:t>
            </w:r>
            <w:r w:rsidR="00F654C0" w:rsidRPr="0061439E">
              <w:rPr>
                <w:rFonts w:cstheme="minorHAnsi"/>
                <w:b/>
                <w:sz w:val="20"/>
                <w:szCs w:val="20"/>
                <w:lang w:val="en-US"/>
              </w:rPr>
              <w:t>and access</w:t>
            </w:r>
          </w:p>
        </w:tc>
      </w:tr>
      <w:tr w:rsidR="009B381B" w:rsidRPr="0061439E" w14:paraId="54361D6F" w14:textId="77777777" w:rsidTr="582B8FD0">
        <w:trPr>
          <w:jc w:val="center"/>
        </w:trPr>
        <w:tc>
          <w:tcPr>
            <w:tcW w:w="10632" w:type="dxa"/>
            <w:shd w:val="clear" w:color="auto" w:fill="auto"/>
          </w:tcPr>
          <w:p w14:paraId="5CDC51A1" w14:textId="7054873D" w:rsidR="00F50658" w:rsidRPr="0061439E" w:rsidRDefault="00E3760A" w:rsidP="00FA0A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Id</w:t>
            </w:r>
            <w:r w:rsidR="00F50658" w:rsidRPr="0061439E">
              <w:rPr>
                <w:rFonts w:cstheme="minorHAnsi"/>
                <w:sz w:val="20"/>
                <w:szCs w:val="20"/>
                <w:lang w:val="en-US"/>
              </w:rPr>
              <w:t>entify implementation gaps and opportunities</w:t>
            </w:r>
            <w:r w:rsidR="00FD4C0C"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73545CC" w14:textId="1474B8A5" w:rsidR="00FA0ACD" w:rsidRPr="0061439E" w:rsidRDefault="00FA0ACD" w:rsidP="00FA0A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Advice to the Minister for Health and Department of Health.</w:t>
            </w:r>
          </w:p>
          <w:p w14:paraId="11C3747C" w14:textId="004FFA1D" w:rsidR="00FA0ACD" w:rsidRPr="0061439E" w:rsidRDefault="00FA0ACD" w:rsidP="009B72E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Advice to PBAC on new and emerging vaccines</w:t>
            </w:r>
            <w:r w:rsidR="002E5B7C" w:rsidRPr="0061439E">
              <w:rPr>
                <w:rFonts w:cstheme="minorHAnsi"/>
                <w:sz w:val="20"/>
                <w:szCs w:val="20"/>
                <w:lang w:val="en-US"/>
              </w:rPr>
              <w:t xml:space="preserve"> in relation to their effectiveness and use in Australian populations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6C95105" w14:textId="24F4DB1E" w:rsidR="00F654C0" w:rsidRPr="0061439E" w:rsidRDefault="00217A19" w:rsidP="00CB61B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Align with </w:t>
            </w:r>
            <w:r w:rsidR="00F654C0" w:rsidRPr="0061439E">
              <w:rPr>
                <w:rFonts w:cstheme="minorHAnsi"/>
                <w:sz w:val="20"/>
                <w:szCs w:val="20"/>
                <w:lang w:val="en-US"/>
              </w:rPr>
              <w:t>the National Immunisation Strategy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 xml:space="preserve"> for Australia</w:t>
            </w:r>
            <w:r w:rsidR="00F654C0" w:rsidRPr="006143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2019</w:t>
            </w:r>
            <w:r w:rsidR="00F654C0" w:rsidRPr="0061439E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61439E">
              <w:rPr>
                <w:rFonts w:cstheme="minorHAnsi"/>
                <w:sz w:val="20"/>
                <w:szCs w:val="20"/>
                <w:lang w:val="en-US"/>
              </w:rPr>
              <w:t>2024</w:t>
            </w:r>
            <w:r w:rsidR="00F654C0" w:rsidRPr="0061439E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</w:tc>
      </w:tr>
      <w:tr w:rsidR="009B381B" w:rsidRPr="0061439E" w14:paraId="0A1F8D8C" w14:textId="77777777" w:rsidTr="582B8FD0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3B140563" w14:textId="77777777" w:rsidR="00966BC8" w:rsidRPr="0061439E" w:rsidRDefault="00966BC8" w:rsidP="00C5653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b/>
                <w:sz w:val="20"/>
                <w:szCs w:val="20"/>
                <w:lang w:val="en-US"/>
              </w:rPr>
              <w:t xml:space="preserve">International </w:t>
            </w:r>
            <w:r w:rsidR="00C56535" w:rsidRPr="0061439E">
              <w:rPr>
                <w:rFonts w:cstheme="minorHAnsi"/>
                <w:b/>
                <w:sz w:val="20"/>
                <w:szCs w:val="20"/>
                <w:lang w:val="en-US"/>
              </w:rPr>
              <w:t>collaboration</w:t>
            </w:r>
          </w:p>
        </w:tc>
      </w:tr>
      <w:tr w:rsidR="00966BC8" w:rsidRPr="0061439E" w14:paraId="651D1607" w14:textId="77777777" w:rsidTr="582B8FD0">
        <w:trPr>
          <w:jc w:val="center"/>
        </w:trPr>
        <w:tc>
          <w:tcPr>
            <w:tcW w:w="10632" w:type="dxa"/>
            <w:shd w:val="clear" w:color="auto" w:fill="auto"/>
          </w:tcPr>
          <w:p w14:paraId="62A3E695" w14:textId="77777777" w:rsidR="00966BC8" w:rsidRPr="0061439E" w:rsidRDefault="00966BC8" w:rsidP="00966BC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  <w:lang w:val="en-US"/>
              </w:rPr>
              <w:t>Engage with NITAGs globally and regionally to share information and develop advice on vaccine administration.</w:t>
            </w:r>
          </w:p>
          <w:p w14:paraId="7785DA85" w14:textId="6FCB5842" w:rsidR="0031776E" w:rsidRPr="0061439E" w:rsidRDefault="0031776E" w:rsidP="00966BC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61439E">
              <w:rPr>
                <w:rFonts w:cstheme="minorHAnsi"/>
                <w:sz w:val="20"/>
                <w:szCs w:val="20"/>
              </w:rPr>
              <w:t>Continue to be an active participant in the WHO WPRO Expanded Programme on Immunization, and other regional and globally relevant immunisation initiatives.</w:t>
            </w:r>
          </w:p>
        </w:tc>
      </w:tr>
    </w:tbl>
    <w:p w14:paraId="6A936C47" w14:textId="3E530F8A" w:rsidR="00FA6A2A" w:rsidRPr="0061439E" w:rsidRDefault="00F22F9A" w:rsidP="00D15028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61439E">
        <w:rPr>
          <w:rFonts w:cstheme="minorHAnsi"/>
          <w:lang w:val="en-US"/>
        </w:rPr>
        <w:t xml:space="preserve"> </w:t>
      </w:r>
      <w:r w:rsidRPr="0061439E">
        <w:rPr>
          <w:rFonts w:cstheme="minorHAnsi"/>
          <w:sz w:val="18"/>
          <w:szCs w:val="18"/>
          <w:lang w:val="en-US"/>
        </w:rPr>
        <w:t xml:space="preserve">* </w:t>
      </w:r>
      <w:r w:rsidRPr="0061439E">
        <w:rPr>
          <w:rFonts w:cstheme="minorHAnsi"/>
          <w:sz w:val="20"/>
          <w:szCs w:val="20"/>
          <w:lang w:val="en-US"/>
        </w:rPr>
        <w:t xml:space="preserve">including the National Health and Medical Research Council (NHMRC), the </w:t>
      </w:r>
      <w:r w:rsidR="00B172C4" w:rsidRPr="0061439E">
        <w:rPr>
          <w:rFonts w:cstheme="minorHAnsi"/>
          <w:sz w:val="20"/>
          <w:szCs w:val="20"/>
          <w:lang w:val="en-US"/>
        </w:rPr>
        <w:t>Pharmaceutical Benefit</w:t>
      </w:r>
      <w:r w:rsidRPr="0061439E">
        <w:rPr>
          <w:rFonts w:cstheme="minorHAnsi"/>
          <w:sz w:val="20"/>
          <w:szCs w:val="20"/>
          <w:lang w:val="en-US"/>
        </w:rPr>
        <w:t xml:space="preserve">s Advisory Committee (PBAC), </w:t>
      </w:r>
      <w:r w:rsidRPr="0061439E">
        <w:rPr>
          <w:rStyle w:val="Emphasis"/>
          <w:rFonts w:cstheme="minorHAnsi"/>
          <w:bCs/>
          <w:i w:val="0"/>
          <w:iCs w:val="0"/>
          <w:sz w:val="20"/>
          <w:szCs w:val="20"/>
        </w:rPr>
        <w:t>Communicable Diseases Network Australia</w:t>
      </w:r>
      <w:r w:rsidRPr="0061439E">
        <w:rPr>
          <w:rFonts w:cstheme="minorHAnsi"/>
          <w:sz w:val="20"/>
          <w:szCs w:val="20"/>
          <w:shd w:val="clear" w:color="auto" w:fill="FFFFFF"/>
        </w:rPr>
        <w:t xml:space="preserve"> (</w:t>
      </w:r>
      <w:r w:rsidRPr="0061439E">
        <w:rPr>
          <w:rStyle w:val="Emphasis"/>
          <w:rFonts w:cstheme="minorHAnsi"/>
          <w:bCs/>
          <w:i w:val="0"/>
          <w:iCs w:val="0"/>
          <w:sz w:val="20"/>
          <w:szCs w:val="20"/>
        </w:rPr>
        <w:t>CDNA) and the Advisory Committee on Vaccines</w:t>
      </w:r>
      <w:r w:rsidR="00EF1887" w:rsidRPr="0061439E">
        <w:rPr>
          <w:rStyle w:val="Emphasis"/>
          <w:rFonts w:cstheme="minorHAnsi"/>
          <w:bCs/>
          <w:i w:val="0"/>
          <w:iCs w:val="0"/>
          <w:sz w:val="20"/>
          <w:szCs w:val="20"/>
        </w:rPr>
        <w:t xml:space="preserve"> </w:t>
      </w:r>
      <w:r w:rsidRPr="0061439E">
        <w:rPr>
          <w:rStyle w:val="Emphasis"/>
          <w:rFonts w:cstheme="minorHAnsi"/>
          <w:bCs/>
          <w:i w:val="0"/>
          <w:iCs w:val="0"/>
          <w:sz w:val="20"/>
          <w:szCs w:val="20"/>
        </w:rPr>
        <w:t>(ACV)</w:t>
      </w:r>
    </w:p>
    <w:p w14:paraId="4C76A54C" w14:textId="77777777" w:rsidR="00DE096D" w:rsidRPr="0061439E" w:rsidRDefault="00DE096D" w:rsidP="00D15028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</w:p>
    <w:p w14:paraId="5C70C628" w14:textId="0E4661CA" w:rsidR="00F22F9A" w:rsidRPr="0061439E" w:rsidRDefault="00F22F9A" w:rsidP="00D15028">
      <w:pPr>
        <w:spacing w:after="0" w:line="240" w:lineRule="auto"/>
        <w:rPr>
          <w:rFonts w:cstheme="minorHAnsi"/>
          <w:b/>
          <w:lang w:val="en-US"/>
        </w:rPr>
      </w:pPr>
      <w:r w:rsidRPr="0061439E">
        <w:rPr>
          <w:rFonts w:cstheme="minorHAnsi"/>
          <w:b/>
          <w:lang w:val="en-US"/>
        </w:rPr>
        <w:t>Operating principles</w:t>
      </w:r>
    </w:p>
    <w:p w14:paraId="6D6ECC4A" w14:textId="1387F6A1" w:rsidR="00F22F9A" w:rsidRPr="0061439E" w:rsidRDefault="00F22F9A" w:rsidP="00F22F9A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lang w:val="en-US"/>
        </w:rPr>
      </w:pPr>
      <w:r w:rsidRPr="0061439E">
        <w:rPr>
          <w:rFonts w:cstheme="minorHAnsi"/>
          <w:lang w:val="en-US"/>
        </w:rPr>
        <w:t>A focus on continuous improvement in ATAGI’s work and methods of operating, to ensure quality outputs.</w:t>
      </w:r>
    </w:p>
    <w:p w14:paraId="4EA011F7" w14:textId="620D3BA1" w:rsidR="00F22F9A" w:rsidRPr="0061439E" w:rsidRDefault="00F22F9A" w:rsidP="00F22F9A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lang w:val="en-US"/>
        </w:rPr>
      </w:pPr>
      <w:r w:rsidRPr="0061439E">
        <w:rPr>
          <w:rFonts w:cstheme="minorHAnsi"/>
          <w:lang w:val="en-US"/>
        </w:rPr>
        <w:t xml:space="preserve">Transparency of ATAGI’s work program, its outputs and its members (including </w:t>
      </w:r>
      <w:r w:rsidR="4307B55F" w:rsidRPr="0061439E">
        <w:rPr>
          <w:rFonts w:cstheme="minorHAnsi"/>
          <w:lang w:val="en-US"/>
        </w:rPr>
        <w:t xml:space="preserve">a strict policy on </w:t>
      </w:r>
      <w:r w:rsidR="003F599E" w:rsidRPr="0061439E">
        <w:rPr>
          <w:rFonts w:cstheme="minorHAnsi"/>
          <w:lang w:val="en-US"/>
        </w:rPr>
        <w:t>declarations</w:t>
      </w:r>
      <w:r w:rsidRPr="0061439E">
        <w:rPr>
          <w:rFonts w:cstheme="minorHAnsi"/>
          <w:lang w:val="en-US"/>
        </w:rPr>
        <w:t xml:space="preserve"> of interest).</w:t>
      </w:r>
    </w:p>
    <w:p w14:paraId="6DDE1DE6" w14:textId="77777777" w:rsidR="00F22F9A" w:rsidRPr="0061439E" w:rsidRDefault="00F22F9A" w:rsidP="00F22F9A">
      <w:pPr>
        <w:spacing w:after="0" w:line="240" w:lineRule="auto"/>
        <w:rPr>
          <w:rFonts w:cstheme="minorHAnsi"/>
          <w:lang w:val="en-US"/>
        </w:rPr>
      </w:pPr>
    </w:p>
    <w:p w14:paraId="7D2DF357" w14:textId="77777777" w:rsidR="00F22F9A" w:rsidRPr="0061439E" w:rsidRDefault="00F22F9A" w:rsidP="00F22F9A">
      <w:pPr>
        <w:spacing w:after="0" w:line="240" w:lineRule="auto"/>
        <w:rPr>
          <w:rFonts w:cstheme="minorHAnsi"/>
          <w:b/>
          <w:lang w:val="en-US"/>
        </w:rPr>
      </w:pPr>
      <w:r w:rsidRPr="0061439E">
        <w:rPr>
          <w:rFonts w:cstheme="minorHAnsi"/>
          <w:b/>
          <w:lang w:val="en-US"/>
        </w:rPr>
        <w:t>Measurement and evaluation</w:t>
      </w:r>
    </w:p>
    <w:p w14:paraId="4A40CDEC" w14:textId="30B571B8" w:rsidR="00F22F9A" w:rsidRPr="0061439E" w:rsidRDefault="00F22F9A" w:rsidP="00FA6A2A">
      <w:pPr>
        <w:spacing w:after="0" w:line="240" w:lineRule="auto"/>
        <w:rPr>
          <w:rFonts w:cstheme="minorHAnsi"/>
          <w:lang w:val="en-US"/>
        </w:rPr>
      </w:pPr>
      <w:r w:rsidRPr="0061439E">
        <w:rPr>
          <w:rFonts w:cstheme="minorHAnsi"/>
          <w:lang w:val="en-US"/>
        </w:rPr>
        <w:t>ATAGI</w:t>
      </w:r>
      <w:r w:rsidR="00FA6A2A" w:rsidRPr="0061439E">
        <w:rPr>
          <w:rFonts w:cstheme="minorHAnsi"/>
          <w:lang w:val="en-US"/>
        </w:rPr>
        <w:t xml:space="preserve"> will monitor vaccine coverage and the impact that it </w:t>
      </w:r>
      <w:r w:rsidRPr="0061439E">
        <w:rPr>
          <w:rFonts w:cstheme="minorHAnsi"/>
          <w:lang w:val="en-US"/>
        </w:rPr>
        <w:t xml:space="preserve">has on the burden of vaccine-preventable diseases. </w:t>
      </w:r>
    </w:p>
    <w:p w14:paraId="20A10606" w14:textId="41F7137E" w:rsidR="00F22F9A" w:rsidRPr="0061439E" w:rsidRDefault="00F22F9A" w:rsidP="00F22F9A">
      <w:pPr>
        <w:spacing w:after="0" w:line="240" w:lineRule="auto"/>
        <w:rPr>
          <w:rFonts w:cstheme="minorHAnsi"/>
          <w:lang w:val="en-US"/>
        </w:rPr>
      </w:pPr>
      <w:bookmarkStart w:id="0" w:name="_GoBack"/>
      <w:bookmarkEnd w:id="0"/>
    </w:p>
    <w:p w14:paraId="5F3A97F7" w14:textId="4214FEAE" w:rsidR="00491DA9" w:rsidRDefault="00491DA9" w:rsidP="22876CCB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  <w:lang w:val="en-US"/>
        </w:rPr>
      </w:pPr>
    </w:p>
    <w:p w14:paraId="3A7B30F4" w14:textId="2311CF05" w:rsidR="22876CCB" w:rsidRPr="00491DA9" w:rsidRDefault="00491DA9" w:rsidP="00491DA9">
      <w:pPr>
        <w:tabs>
          <w:tab w:val="left" w:pos="8202"/>
        </w:tabs>
        <w:rPr>
          <w:lang w:val="en-US"/>
        </w:rPr>
      </w:pPr>
      <w:r>
        <w:rPr>
          <w:lang w:val="en-US"/>
        </w:rPr>
        <w:tab/>
      </w:r>
    </w:p>
    <w:sectPr w:rsidR="22876CCB" w:rsidRPr="00491DA9" w:rsidSect="00325A7A">
      <w:headerReference w:type="default" r:id="rId11"/>
      <w:footerReference w:type="default" r:id="rId12"/>
      <w:pgSz w:w="11906" w:h="16838"/>
      <w:pgMar w:top="567" w:right="964" w:bottom="568" w:left="964" w:header="454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AC9288" w16cex:dateUtc="2020-07-29T08:49:04.292Z"/>
  <w16cex:commentExtensible w16cex:durableId="3AEDB5CA" w16cex:dateUtc="2020-07-29T08:50:33.998Z"/>
  <w16cex:commentExtensible w16cex:durableId="680E2D76" w16cex:dateUtc="2020-07-29T08:51:59.364Z"/>
  <w16cex:commentExtensible w16cex:durableId="201011FE" w16cex:dateUtc="2020-07-29T08:53:4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C030FBC" w16cid:durableId="06AC9288"/>
  <w16cid:commentId w16cid:paraId="18C74145" w16cid:durableId="3AEDB5CA"/>
  <w16cid:commentId w16cid:paraId="24CB8E1C" w16cid:durableId="680E2D76"/>
  <w16cid:commentId w16cid:paraId="6C04A9CE" w16cid:durableId="201011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9E8E0" w14:textId="77777777" w:rsidR="00CD30DF" w:rsidRDefault="00CD30DF" w:rsidP="006F4CAE">
      <w:pPr>
        <w:spacing w:after="0" w:line="240" w:lineRule="auto"/>
      </w:pPr>
      <w:r>
        <w:separator/>
      </w:r>
    </w:p>
  </w:endnote>
  <w:endnote w:type="continuationSeparator" w:id="0">
    <w:p w14:paraId="221FA59A" w14:textId="77777777" w:rsidR="00CD30DF" w:rsidRDefault="00CD30DF" w:rsidP="006F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A63E2" w14:textId="54199A45" w:rsidR="00325A7A" w:rsidRDefault="00491DA9" w:rsidP="00325A7A">
    <w:pPr>
      <w:pStyle w:val="Footer"/>
      <w:jc w:val="right"/>
    </w:pPr>
    <w:r>
      <w:t>10 September</w:t>
    </w:r>
    <w:r>
      <w:t xml:space="preserve"> </w:t>
    </w:r>
    <w:r>
      <w:t>2020</w:t>
    </w:r>
  </w:p>
  <w:p w14:paraId="3016C0A0" w14:textId="77777777" w:rsidR="00325A7A" w:rsidRDefault="0032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9864" w14:textId="77777777" w:rsidR="00CD30DF" w:rsidRDefault="00CD30DF" w:rsidP="006F4CAE">
      <w:pPr>
        <w:spacing w:after="0" w:line="240" w:lineRule="auto"/>
      </w:pPr>
      <w:r>
        <w:separator/>
      </w:r>
    </w:p>
  </w:footnote>
  <w:footnote w:type="continuationSeparator" w:id="0">
    <w:p w14:paraId="31758BEF" w14:textId="77777777" w:rsidR="00CD30DF" w:rsidRDefault="00CD30DF" w:rsidP="006F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FA13" w14:textId="75AB2771" w:rsidR="003E0593" w:rsidRPr="003E0593" w:rsidRDefault="003E0593" w:rsidP="0047281B">
    <w:pPr>
      <w:spacing w:after="0" w:line="240" w:lineRule="auto"/>
      <w:jc w:val="right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336"/>
    <w:multiLevelType w:val="hybridMultilevel"/>
    <w:tmpl w:val="FA3A3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377A8"/>
    <w:multiLevelType w:val="hybridMultilevel"/>
    <w:tmpl w:val="916A0A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63163"/>
    <w:multiLevelType w:val="hybridMultilevel"/>
    <w:tmpl w:val="FEF8F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52558"/>
    <w:multiLevelType w:val="hybridMultilevel"/>
    <w:tmpl w:val="CC848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4F3805"/>
    <w:multiLevelType w:val="hybridMultilevel"/>
    <w:tmpl w:val="A2E23F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5F"/>
    <w:rsid w:val="00005ABC"/>
    <w:rsid w:val="000062ED"/>
    <w:rsid w:val="000A7353"/>
    <w:rsid w:val="00102237"/>
    <w:rsid w:val="00131FC0"/>
    <w:rsid w:val="00134252"/>
    <w:rsid w:val="00217A19"/>
    <w:rsid w:val="00224557"/>
    <w:rsid w:val="002666F2"/>
    <w:rsid w:val="00267A0A"/>
    <w:rsid w:val="00275856"/>
    <w:rsid w:val="00281041"/>
    <w:rsid w:val="002841D3"/>
    <w:rsid w:val="00286F29"/>
    <w:rsid w:val="002965CD"/>
    <w:rsid w:val="002A233F"/>
    <w:rsid w:val="002A3E91"/>
    <w:rsid w:val="002E5B7C"/>
    <w:rsid w:val="002F17A2"/>
    <w:rsid w:val="003031AD"/>
    <w:rsid w:val="0031776E"/>
    <w:rsid w:val="00317B1F"/>
    <w:rsid w:val="00324AD0"/>
    <w:rsid w:val="00325A7A"/>
    <w:rsid w:val="003263E9"/>
    <w:rsid w:val="00326EE6"/>
    <w:rsid w:val="00333A63"/>
    <w:rsid w:val="003420CC"/>
    <w:rsid w:val="00356DC9"/>
    <w:rsid w:val="003B710F"/>
    <w:rsid w:val="003E0593"/>
    <w:rsid w:val="003F04BB"/>
    <w:rsid w:val="003F226D"/>
    <w:rsid w:val="003F599E"/>
    <w:rsid w:val="00436450"/>
    <w:rsid w:val="00463B8B"/>
    <w:rsid w:val="0047281B"/>
    <w:rsid w:val="00472A03"/>
    <w:rsid w:val="00491DA9"/>
    <w:rsid w:val="004D51C8"/>
    <w:rsid w:val="004D7AE8"/>
    <w:rsid w:val="005023CA"/>
    <w:rsid w:val="00514507"/>
    <w:rsid w:val="00565947"/>
    <w:rsid w:val="0058119D"/>
    <w:rsid w:val="0061439E"/>
    <w:rsid w:val="00621CB6"/>
    <w:rsid w:val="00633516"/>
    <w:rsid w:val="006439A0"/>
    <w:rsid w:val="006659D4"/>
    <w:rsid w:val="006A7138"/>
    <w:rsid w:val="006C23CF"/>
    <w:rsid w:val="006C6527"/>
    <w:rsid w:val="006E57A8"/>
    <w:rsid w:val="006F4CAE"/>
    <w:rsid w:val="00745D3A"/>
    <w:rsid w:val="0075667E"/>
    <w:rsid w:val="00771215"/>
    <w:rsid w:val="0079664E"/>
    <w:rsid w:val="007F162E"/>
    <w:rsid w:val="007F2A06"/>
    <w:rsid w:val="007F6400"/>
    <w:rsid w:val="007F663C"/>
    <w:rsid w:val="00805494"/>
    <w:rsid w:val="00862E5C"/>
    <w:rsid w:val="00876E94"/>
    <w:rsid w:val="00890C99"/>
    <w:rsid w:val="00893197"/>
    <w:rsid w:val="008A56FE"/>
    <w:rsid w:val="008A6F55"/>
    <w:rsid w:val="008B31AB"/>
    <w:rsid w:val="008C4E65"/>
    <w:rsid w:val="00911B5D"/>
    <w:rsid w:val="009506B4"/>
    <w:rsid w:val="00953943"/>
    <w:rsid w:val="00966BC8"/>
    <w:rsid w:val="00974D95"/>
    <w:rsid w:val="00977D3C"/>
    <w:rsid w:val="009B381B"/>
    <w:rsid w:val="009B72EF"/>
    <w:rsid w:val="009E77B9"/>
    <w:rsid w:val="009F54C7"/>
    <w:rsid w:val="00A12D59"/>
    <w:rsid w:val="00A246BC"/>
    <w:rsid w:val="00A71052"/>
    <w:rsid w:val="00A71FE5"/>
    <w:rsid w:val="00AB7902"/>
    <w:rsid w:val="00AE4797"/>
    <w:rsid w:val="00B172C4"/>
    <w:rsid w:val="00B23840"/>
    <w:rsid w:val="00BA4D08"/>
    <w:rsid w:val="00BD2652"/>
    <w:rsid w:val="00C540A8"/>
    <w:rsid w:val="00C56535"/>
    <w:rsid w:val="00C91E8C"/>
    <w:rsid w:val="00C95A2A"/>
    <w:rsid w:val="00CB34FC"/>
    <w:rsid w:val="00CB61B0"/>
    <w:rsid w:val="00CD30DF"/>
    <w:rsid w:val="00CE0168"/>
    <w:rsid w:val="00CE62BD"/>
    <w:rsid w:val="00D15028"/>
    <w:rsid w:val="00D356A9"/>
    <w:rsid w:val="00D52983"/>
    <w:rsid w:val="00D536A9"/>
    <w:rsid w:val="00D85BE2"/>
    <w:rsid w:val="00D973B6"/>
    <w:rsid w:val="00DA29DC"/>
    <w:rsid w:val="00DA7CB8"/>
    <w:rsid w:val="00DB0F92"/>
    <w:rsid w:val="00DD2905"/>
    <w:rsid w:val="00DE096D"/>
    <w:rsid w:val="00DF5305"/>
    <w:rsid w:val="00E3760A"/>
    <w:rsid w:val="00E94923"/>
    <w:rsid w:val="00EB415F"/>
    <w:rsid w:val="00EC6B61"/>
    <w:rsid w:val="00EF1887"/>
    <w:rsid w:val="00F10B11"/>
    <w:rsid w:val="00F22F9A"/>
    <w:rsid w:val="00F50658"/>
    <w:rsid w:val="00F57E2E"/>
    <w:rsid w:val="00F63CA5"/>
    <w:rsid w:val="00F654C0"/>
    <w:rsid w:val="00FA0ACD"/>
    <w:rsid w:val="00FA6A2A"/>
    <w:rsid w:val="00FC7510"/>
    <w:rsid w:val="00FD4C0C"/>
    <w:rsid w:val="00FD4F9A"/>
    <w:rsid w:val="00FF1E8C"/>
    <w:rsid w:val="04AC81B3"/>
    <w:rsid w:val="04F4D3A5"/>
    <w:rsid w:val="06DD81E5"/>
    <w:rsid w:val="0781985C"/>
    <w:rsid w:val="07EF295D"/>
    <w:rsid w:val="0AF2AFA4"/>
    <w:rsid w:val="0C99402F"/>
    <w:rsid w:val="0FF62706"/>
    <w:rsid w:val="140EEA1F"/>
    <w:rsid w:val="149BEFDE"/>
    <w:rsid w:val="1D90D94E"/>
    <w:rsid w:val="22876CCB"/>
    <w:rsid w:val="228AD41F"/>
    <w:rsid w:val="245B444E"/>
    <w:rsid w:val="2D4A710B"/>
    <w:rsid w:val="2D80732B"/>
    <w:rsid w:val="3812BE29"/>
    <w:rsid w:val="3B9868D8"/>
    <w:rsid w:val="3DD90991"/>
    <w:rsid w:val="40D28F69"/>
    <w:rsid w:val="4307B55F"/>
    <w:rsid w:val="440ED152"/>
    <w:rsid w:val="4AECAD51"/>
    <w:rsid w:val="4BC0D5D0"/>
    <w:rsid w:val="4D6774AD"/>
    <w:rsid w:val="4E2EDC8E"/>
    <w:rsid w:val="4E5B701E"/>
    <w:rsid w:val="4E65F088"/>
    <w:rsid w:val="505CFF49"/>
    <w:rsid w:val="508EADD5"/>
    <w:rsid w:val="565A495F"/>
    <w:rsid w:val="56B8F94C"/>
    <w:rsid w:val="5746D12B"/>
    <w:rsid w:val="582B8FD0"/>
    <w:rsid w:val="5F2CC940"/>
    <w:rsid w:val="5F6A6F67"/>
    <w:rsid w:val="6055F586"/>
    <w:rsid w:val="6FAE3FBD"/>
    <w:rsid w:val="715099F2"/>
    <w:rsid w:val="72B91F78"/>
    <w:rsid w:val="739B1134"/>
    <w:rsid w:val="7834AD6D"/>
    <w:rsid w:val="798F9862"/>
    <w:rsid w:val="7E89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343C6E5F"/>
  <w15:docId w15:val="{73092711-0D7D-4537-815F-0B705CFB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AE"/>
  </w:style>
  <w:style w:type="paragraph" w:styleId="Footer">
    <w:name w:val="footer"/>
    <w:basedOn w:val="Normal"/>
    <w:link w:val="FooterChar"/>
    <w:uiPriority w:val="99"/>
    <w:unhideWhenUsed/>
    <w:rsid w:val="006F4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AE"/>
  </w:style>
  <w:style w:type="paragraph" w:styleId="BalloonText">
    <w:name w:val="Balloon Text"/>
    <w:basedOn w:val="Normal"/>
    <w:link w:val="BalloonTextChar"/>
    <w:uiPriority w:val="99"/>
    <w:semiHidden/>
    <w:unhideWhenUsed/>
    <w:rsid w:val="004D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6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B6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22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e74e83fbce604582" Type="http://schemas.microsoft.com/office/2016/09/relationships/commentsIds" Target="commentsIds.xml"/><Relationship Id="R63cf9d248f3943a4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BB576E0460B449EB723BD33C8E86C" ma:contentTypeVersion="6" ma:contentTypeDescription="Create a new document." ma:contentTypeScope="" ma:versionID="58a01d6df8e766426ba76828a9fa9ddb">
  <xsd:schema xmlns:xsd="http://www.w3.org/2001/XMLSchema" xmlns:xs="http://www.w3.org/2001/XMLSchema" xmlns:p="http://schemas.microsoft.com/office/2006/metadata/properties" xmlns:ns2="46e47e4d-f345-4aa9-af87-02fe37eb7d32" xmlns:ns3="b5a74ce3-2699-45d0-a45b-bd63c2c19ef5" targetNamespace="http://schemas.microsoft.com/office/2006/metadata/properties" ma:root="true" ma:fieldsID="afa4d187c73486e55746b2380f9c1077" ns2:_="" ns3:_="">
    <xsd:import namespace="46e47e4d-f345-4aa9-af87-02fe37eb7d32"/>
    <xsd:import namespace="b5a74ce3-2699-45d0-a45b-bd63c2c19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47e4d-f345-4aa9-af87-02fe37eb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ce3-2699-45d0-a45b-bd63c2c1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F257-D9F5-4D10-AF0E-490B679DD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14DF-6DF7-48C3-A45B-8A5419D30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47e4d-f345-4aa9-af87-02fe37eb7d32"/>
    <ds:schemaRef ds:uri="b5a74ce3-2699-45d0-a45b-bd63c2c19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AF706-322B-4E2D-94A7-E69FB375B21A}">
  <ds:schemaRefs>
    <ds:schemaRef ds:uri="http://schemas.openxmlformats.org/package/2006/metadata/core-properties"/>
    <ds:schemaRef ds:uri="b5a74ce3-2699-45d0-a45b-bd63c2c19ef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46e47e4d-f345-4aa9-af87-02fe37eb7d3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464966-03A8-4C6B-A567-493BDC87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Somi</dc:creator>
  <cp:lastModifiedBy>Watson, Helen</cp:lastModifiedBy>
  <cp:revision>4</cp:revision>
  <cp:lastPrinted>2016-12-08T05:04:00Z</cp:lastPrinted>
  <dcterms:created xsi:type="dcterms:W3CDTF">2020-09-07T13:36:00Z</dcterms:created>
  <dcterms:modified xsi:type="dcterms:W3CDTF">2020-09-10T04:49:00Z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0x0101007ABBB576E0460B449EB723BD33C8E86C</vt:lpwstr>
  </property>
</Properties>
</file>