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9C90" w14:textId="34FEC2F3" w:rsidR="005A17CB" w:rsidRPr="00E61D40" w:rsidRDefault="00E61D40" w:rsidP="00883B27">
      <w:pPr>
        <w:pStyle w:val="Title"/>
        <w:rPr>
          <w:sz w:val="52"/>
          <w:szCs w:val="52"/>
          <w:lang w:val="en-GB"/>
        </w:rPr>
      </w:pPr>
      <w:bookmarkStart w:id="0" w:name="_Hlk22472019"/>
      <w:r>
        <w:rPr>
          <w:sz w:val="52"/>
          <w:szCs w:val="52"/>
          <w:lang w:val="en-GB"/>
        </w:rPr>
        <w:t>Protocols for National Action to Respond to Adverse Events Following Immunisation</w:t>
      </w:r>
    </w:p>
    <w:bookmarkEnd w:id="0"/>
    <w:p w14:paraId="5D1BEFC7" w14:textId="77777777" w:rsidR="004B7198" w:rsidRDefault="004B7198" w:rsidP="009A714D">
      <w:pPr>
        <w:rPr>
          <w:lang w:val="en-GB"/>
        </w:rPr>
      </w:pPr>
    </w:p>
    <w:sdt>
      <w:sdtPr>
        <w:rPr>
          <w:rFonts w:ascii="Calibri" w:eastAsiaTheme="minorEastAsia" w:hAnsi="Calibri" w:cstheme="minorBidi"/>
          <w:color w:val="auto"/>
          <w:sz w:val="22"/>
          <w:szCs w:val="21"/>
        </w:rPr>
        <w:id w:val="-921562298"/>
        <w:docPartObj>
          <w:docPartGallery w:val="Table of Contents"/>
          <w:docPartUnique/>
        </w:docPartObj>
      </w:sdtPr>
      <w:sdtEndPr>
        <w:rPr>
          <w:b/>
          <w:bCs/>
          <w:noProof/>
        </w:rPr>
      </w:sdtEndPr>
      <w:sdtContent>
        <w:p w14:paraId="5B874AB0" w14:textId="72B9FF71" w:rsidR="004B7198" w:rsidRDefault="004B7198">
          <w:pPr>
            <w:pStyle w:val="TOCHeading"/>
          </w:pPr>
          <w:r>
            <w:t>Contents</w:t>
          </w:r>
        </w:p>
        <w:p w14:paraId="1F6D416D" w14:textId="6B5B60A1" w:rsidR="006227DF" w:rsidRDefault="004B7198">
          <w:pPr>
            <w:pStyle w:val="TOC1"/>
            <w:tabs>
              <w:tab w:val="right" w:leader="dot" w:pos="9016"/>
            </w:tabs>
            <w:rPr>
              <w:rFonts w:cstheme="minorBidi"/>
              <w:noProof/>
              <w:lang w:val="en-AU" w:eastAsia="en-AU"/>
            </w:rPr>
          </w:pPr>
          <w:r>
            <w:fldChar w:fldCharType="begin"/>
          </w:r>
          <w:r>
            <w:instrText xml:space="preserve"> TOC \o "1-3" \h \z \u </w:instrText>
          </w:r>
          <w:r>
            <w:fldChar w:fldCharType="separate"/>
          </w:r>
          <w:hyperlink w:anchor="_Toc22621884" w:history="1">
            <w:r w:rsidR="006227DF" w:rsidRPr="00F235A4">
              <w:rPr>
                <w:rStyle w:val="Hyperlink"/>
                <w:noProof/>
                <w:lang w:val="en-GB"/>
              </w:rPr>
              <w:t>Section 1: Introduction and background</w:t>
            </w:r>
            <w:r w:rsidR="006227DF">
              <w:rPr>
                <w:noProof/>
                <w:webHidden/>
              </w:rPr>
              <w:tab/>
            </w:r>
            <w:r w:rsidR="006227DF">
              <w:rPr>
                <w:noProof/>
                <w:webHidden/>
              </w:rPr>
              <w:fldChar w:fldCharType="begin"/>
            </w:r>
            <w:r w:rsidR="006227DF">
              <w:rPr>
                <w:noProof/>
                <w:webHidden/>
              </w:rPr>
              <w:instrText xml:space="preserve"> PAGEREF _Toc22621884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3D73B715" w14:textId="29665304" w:rsidR="006227DF" w:rsidRDefault="00572949">
          <w:pPr>
            <w:pStyle w:val="TOC2"/>
            <w:tabs>
              <w:tab w:val="right" w:leader="dot" w:pos="9016"/>
            </w:tabs>
            <w:rPr>
              <w:rFonts w:cstheme="minorBidi"/>
              <w:noProof/>
              <w:lang w:val="en-AU" w:eastAsia="en-AU"/>
            </w:rPr>
          </w:pPr>
          <w:hyperlink w:anchor="_Toc22621885" w:history="1">
            <w:r w:rsidR="006227DF" w:rsidRPr="00F235A4">
              <w:rPr>
                <w:rStyle w:val="Hyperlink"/>
                <w:noProof/>
                <w:lang w:val="en-GB"/>
              </w:rPr>
              <w:t>Background</w:t>
            </w:r>
            <w:r w:rsidR="006227DF">
              <w:rPr>
                <w:noProof/>
                <w:webHidden/>
              </w:rPr>
              <w:tab/>
            </w:r>
            <w:r w:rsidR="006227DF">
              <w:rPr>
                <w:noProof/>
                <w:webHidden/>
              </w:rPr>
              <w:fldChar w:fldCharType="begin"/>
            </w:r>
            <w:r w:rsidR="006227DF">
              <w:rPr>
                <w:noProof/>
                <w:webHidden/>
              </w:rPr>
              <w:instrText xml:space="preserve"> PAGEREF _Toc22621885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1B437B38" w14:textId="634CD339" w:rsidR="006227DF" w:rsidRDefault="00572949">
          <w:pPr>
            <w:pStyle w:val="TOC2"/>
            <w:tabs>
              <w:tab w:val="right" w:leader="dot" w:pos="9016"/>
            </w:tabs>
            <w:rPr>
              <w:rFonts w:cstheme="minorBidi"/>
              <w:noProof/>
              <w:lang w:val="en-AU" w:eastAsia="en-AU"/>
            </w:rPr>
          </w:pPr>
          <w:hyperlink w:anchor="_Toc22621886" w:history="1">
            <w:r w:rsidR="006227DF" w:rsidRPr="00F235A4">
              <w:rPr>
                <w:rStyle w:val="Hyperlink"/>
                <w:noProof/>
                <w:lang w:val="en-GB"/>
              </w:rPr>
              <w:t>What is an adverse event following immunisation?</w:t>
            </w:r>
            <w:r w:rsidR="006227DF">
              <w:rPr>
                <w:noProof/>
                <w:webHidden/>
              </w:rPr>
              <w:tab/>
            </w:r>
            <w:r w:rsidR="006227DF">
              <w:rPr>
                <w:noProof/>
                <w:webHidden/>
              </w:rPr>
              <w:fldChar w:fldCharType="begin"/>
            </w:r>
            <w:r w:rsidR="006227DF">
              <w:rPr>
                <w:noProof/>
                <w:webHidden/>
              </w:rPr>
              <w:instrText xml:space="preserve"> PAGEREF _Toc22621886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06DADDFA" w14:textId="3F4CF830" w:rsidR="006227DF" w:rsidRDefault="00572949">
          <w:pPr>
            <w:pStyle w:val="TOC2"/>
            <w:tabs>
              <w:tab w:val="right" w:leader="dot" w:pos="9016"/>
            </w:tabs>
            <w:rPr>
              <w:rFonts w:cstheme="minorBidi"/>
              <w:noProof/>
              <w:lang w:val="en-AU" w:eastAsia="en-AU"/>
            </w:rPr>
          </w:pPr>
          <w:hyperlink w:anchor="_Toc22621887" w:history="1">
            <w:r w:rsidR="006227DF" w:rsidRPr="00F235A4">
              <w:rPr>
                <w:rStyle w:val="Hyperlink"/>
                <w:noProof/>
                <w:lang w:val="en-GB"/>
              </w:rPr>
              <w:t>What is a safety signal?</w:t>
            </w:r>
            <w:r w:rsidR="006227DF">
              <w:rPr>
                <w:noProof/>
                <w:webHidden/>
              </w:rPr>
              <w:tab/>
            </w:r>
            <w:r w:rsidR="006227DF">
              <w:rPr>
                <w:noProof/>
                <w:webHidden/>
              </w:rPr>
              <w:fldChar w:fldCharType="begin"/>
            </w:r>
            <w:r w:rsidR="006227DF">
              <w:rPr>
                <w:noProof/>
                <w:webHidden/>
              </w:rPr>
              <w:instrText xml:space="preserve"> PAGEREF _Toc22621887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15827001" w14:textId="7B7F35D4" w:rsidR="006227DF" w:rsidRDefault="00572949">
          <w:pPr>
            <w:pStyle w:val="TOC2"/>
            <w:tabs>
              <w:tab w:val="right" w:leader="dot" w:pos="9016"/>
            </w:tabs>
            <w:rPr>
              <w:rFonts w:cstheme="minorBidi"/>
              <w:noProof/>
              <w:lang w:val="en-AU" w:eastAsia="en-AU"/>
            </w:rPr>
          </w:pPr>
          <w:hyperlink w:anchor="_Toc22621888" w:history="1">
            <w:r w:rsidR="006227DF" w:rsidRPr="00F235A4">
              <w:rPr>
                <w:rStyle w:val="Hyperlink"/>
                <w:noProof/>
                <w:lang w:val="en-GB"/>
              </w:rPr>
              <w:t>Purpose of the Protocols</w:t>
            </w:r>
            <w:r w:rsidR="006227DF">
              <w:rPr>
                <w:noProof/>
                <w:webHidden/>
              </w:rPr>
              <w:tab/>
            </w:r>
            <w:r w:rsidR="006227DF">
              <w:rPr>
                <w:noProof/>
                <w:webHidden/>
              </w:rPr>
              <w:fldChar w:fldCharType="begin"/>
            </w:r>
            <w:r w:rsidR="006227DF">
              <w:rPr>
                <w:noProof/>
                <w:webHidden/>
              </w:rPr>
              <w:instrText xml:space="preserve"> PAGEREF _Toc22621888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480F81F9" w14:textId="0CAF3779" w:rsidR="006227DF" w:rsidRDefault="00572949">
          <w:pPr>
            <w:pStyle w:val="TOC2"/>
            <w:tabs>
              <w:tab w:val="right" w:leader="dot" w:pos="9016"/>
            </w:tabs>
            <w:rPr>
              <w:rFonts w:cstheme="minorBidi"/>
              <w:noProof/>
              <w:lang w:val="en-AU" w:eastAsia="en-AU"/>
            </w:rPr>
          </w:pPr>
          <w:hyperlink w:anchor="_Toc22621889" w:history="1">
            <w:r w:rsidR="006227DF" w:rsidRPr="00F235A4">
              <w:rPr>
                <w:rStyle w:val="Hyperlink"/>
                <w:noProof/>
                <w:lang w:val="en-GB"/>
              </w:rPr>
              <w:t>Scope</w:t>
            </w:r>
            <w:r w:rsidR="006227DF">
              <w:rPr>
                <w:noProof/>
                <w:webHidden/>
              </w:rPr>
              <w:tab/>
            </w:r>
            <w:r w:rsidR="006227DF">
              <w:rPr>
                <w:noProof/>
                <w:webHidden/>
              </w:rPr>
              <w:fldChar w:fldCharType="begin"/>
            </w:r>
            <w:r w:rsidR="006227DF">
              <w:rPr>
                <w:noProof/>
                <w:webHidden/>
              </w:rPr>
              <w:instrText xml:space="preserve"> PAGEREF _Toc22621889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15F9FC5C" w14:textId="66607E5C" w:rsidR="006227DF" w:rsidRDefault="00572949">
          <w:pPr>
            <w:pStyle w:val="TOC2"/>
            <w:tabs>
              <w:tab w:val="right" w:leader="dot" w:pos="9016"/>
            </w:tabs>
            <w:rPr>
              <w:rFonts w:cstheme="minorBidi"/>
              <w:noProof/>
              <w:lang w:val="en-AU" w:eastAsia="en-AU"/>
            </w:rPr>
          </w:pPr>
          <w:hyperlink w:anchor="_Toc22621890" w:history="1">
            <w:r w:rsidR="006227DF" w:rsidRPr="00F235A4">
              <w:rPr>
                <w:rStyle w:val="Hyperlink"/>
                <w:noProof/>
                <w:lang w:val="en-GB"/>
              </w:rPr>
              <w:t>Coordination</w:t>
            </w:r>
            <w:r w:rsidR="006227DF">
              <w:rPr>
                <w:noProof/>
                <w:webHidden/>
              </w:rPr>
              <w:tab/>
            </w:r>
            <w:r w:rsidR="006227DF">
              <w:rPr>
                <w:noProof/>
                <w:webHidden/>
              </w:rPr>
              <w:fldChar w:fldCharType="begin"/>
            </w:r>
            <w:r w:rsidR="006227DF">
              <w:rPr>
                <w:noProof/>
                <w:webHidden/>
              </w:rPr>
              <w:instrText xml:space="preserve"> PAGEREF _Toc22621890 \h </w:instrText>
            </w:r>
            <w:r w:rsidR="006227DF">
              <w:rPr>
                <w:noProof/>
                <w:webHidden/>
              </w:rPr>
            </w:r>
            <w:r w:rsidR="006227DF">
              <w:rPr>
                <w:noProof/>
                <w:webHidden/>
              </w:rPr>
              <w:fldChar w:fldCharType="separate"/>
            </w:r>
            <w:r w:rsidR="00F8610F">
              <w:rPr>
                <w:noProof/>
                <w:webHidden/>
              </w:rPr>
              <w:t>2</w:t>
            </w:r>
            <w:r w:rsidR="006227DF">
              <w:rPr>
                <w:noProof/>
                <w:webHidden/>
              </w:rPr>
              <w:fldChar w:fldCharType="end"/>
            </w:r>
          </w:hyperlink>
        </w:p>
        <w:p w14:paraId="3253132A" w14:textId="0CEF30C7" w:rsidR="006227DF" w:rsidRDefault="00572949">
          <w:pPr>
            <w:pStyle w:val="TOC2"/>
            <w:tabs>
              <w:tab w:val="right" w:leader="dot" w:pos="9016"/>
            </w:tabs>
            <w:rPr>
              <w:rFonts w:cstheme="minorBidi"/>
              <w:noProof/>
              <w:lang w:val="en-AU" w:eastAsia="en-AU"/>
            </w:rPr>
          </w:pPr>
          <w:hyperlink w:anchor="_Toc22621891" w:history="1">
            <w:r w:rsidR="006227DF" w:rsidRPr="00F235A4">
              <w:rPr>
                <w:rStyle w:val="Hyperlink"/>
                <w:noProof/>
                <w:lang w:val="en-GB"/>
              </w:rPr>
              <w:t>Authority</w:t>
            </w:r>
            <w:r w:rsidR="006227DF">
              <w:rPr>
                <w:noProof/>
                <w:webHidden/>
              </w:rPr>
              <w:tab/>
            </w:r>
            <w:r w:rsidR="006227DF">
              <w:rPr>
                <w:noProof/>
                <w:webHidden/>
              </w:rPr>
              <w:fldChar w:fldCharType="begin"/>
            </w:r>
            <w:r w:rsidR="006227DF">
              <w:rPr>
                <w:noProof/>
                <w:webHidden/>
              </w:rPr>
              <w:instrText xml:space="preserve"> PAGEREF _Toc22621891 \h </w:instrText>
            </w:r>
            <w:r w:rsidR="006227DF">
              <w:rPr>
                <w:noProof/>
                <w:webHidden/>
              </w:rPr>
            </w:r>
            <w:r w:rsidR="006227DF">
              <w:rPr>
                <w:noProof/>
                <w:webHidden/>
              </w:rPr>
              <w:fldChar w:fldCharType="separate"/>
            </w:r>
            <w:r w:rsidR="00F8610F">
              <w:rPr>
                <w:noProof/>
                <w:webHidden/>
              </w:rPr>
              <w:t>3</w:t>
            </w:r>
            <w:r w:rsidR="006227DF">
              <w:rPr>
                <w:noProof/>
                <w:webHidden/>
              </w:rPr>
              <w:fldChar w:fldCharType="end"/>
            </w:r>
          </w:hyperlink>
        </w:p>
        <w:p w14:paraId="3812FF82" w14:textId="57217D8A" w:rsidR="006227DF" w:rsidRDefault="00572949">
          <w:pPr>
            <w:pStyle w:val="TOC1"/>
            <w:tabs>
              <w:tab w:val="right" w:leader="dot" w:pos="9016"/>
            </w:tabs>
            <w:rPr>
              <w:rFonts w:cstheme="minorBidi"/>
              <w:noProof/>
              <w:lang w:val="en-AU" w:eastAsia="en-AU"/>
            </w:rPr>
          </w:pPr>
          <w:hyperlink w:anchor="_Toc22621892" w:history="1">
            <w:r w:rsidR="006227DF" w:rsidRPr="00F235A4">
              <w:rPr>
                <w:rStyle w:val="Hyperlink"/>
                <w:noProof/>
                <w:lang w:val="en-GB"/>
              </w:rPr>
              <w:t>Section 2: Vaccine Safety Surveillance</w:t>
            </w:r>
            <w:r w:rsidR="006227DF">
              <w:rPr>
                <w:noProof/>
                <w:webHidden/>
              </w:rPr>
              <w:tab/>
            </w:r>
            <w:r w:rsidR="006227DF">
              <w:rPr>
                <w:noProof/>
                <w:webHidden/>
              </w:rPr>
              <w:fldChar w:fldCharType="begin"/>
            </w:r>
            <w:r w:rsidR="006227DF">
              <w:rPr>
                <w:noProof/>
                <w:webHidden/>
              </w:rPr>
              <w:instrText xml:space="preserve"> PAGEREF _Toc22621892 \h </w:instrText>
            </w:r>
            <w:r w:rsidR="006227DF">
              <w:rPr>
                <w:noProof/>
                <w:webHidden/>
              </w:rPr>
            </w:r>
            <w:r w:rsidR="006227DF">
              <w:rPr>
                <w:noProof/>
                <w:webHidden/>
              </w:rPr>
              <w:fldChar w:fldCharType="separate"/>
            </w:r>
            <w:r w:rsidR="00F8610F">
              <w:rPr>
                <w:noProof/>
                <w:webHidden/>
              </w:rPr>
              <w:t>3</w:t>
            </w:r>
            <w:r w:rsidR="006227DF">
              <w:rPr>
                <w:noProof/>
                <w:webHidden/>
              </w:rPr>
              <w:fldChar w:fldCharType="end"/>
            </w:r>
          </w:hyperlink>
        </w:p>
        <w:p w14:paraId="4BE1027B" w14:textId="58401822" w:rsidR="006227DF" w:rsidRDefault="00572949">
          <w:pPr>
            <w:pStyle w:val="TOC2"/>
            <w:tabs>
              <w:tab w:val="right" w:leader="dot" w:pos="9016"/>
            </w:tabs>
            <w:rPr>
              <w:rFonts w:cstheme="minorBidi"/>
              <w:noProof/>
              <w:lang w:val="en-AU" w:eastAsia="en-AU"/>
            </w:rPr>
          </w:pPr>
          <w:hyperlink w:anchor="_Toc22621893" w:history="1">
            <w:r w:rsidR="006227DF" w:rsidRPr="00F235A4">
              <w:rPr>
                <w:rStyle w:val="Hyperlink"/>
                <w:noProof/>
                <w:lang w:val="en-GB"/>
              </w:rPr>
              <w:t>What is vaccine safety surveillance?</w:t>
            </w:r>
            <w:r w:rsidR="006227DF">
              <w:rPr>
                <w:noProof/>
                <w:webHidden/>
              </w:rPr>
              <w:tab/>
            </w:r>
            <w:r w:rsidR="006227DF">
              <w:rPr>
                <w:noProof/>
                <w:webHidden/>
              </w:rPr>
              <w:fldChar w:fldCharType="begin"/>
            </w:r>
            <w:r w:rsidR="006227DF">
              <w:rPr>
                <w:noProof/>
                <w:webHidden/>
              </w:rPr>
              <w:instrText xml:space="preserve"> PAGEREF _Toc22621893 \h </w:instrText>
            </w:r>
            <w:r w:rsidR="006227DF">
              <w:rPr>
                <w:noProof/>
                <w:webHidden/>
              </w:rPr>
            </w:r>
            <w:r w:rsidR="006227DF">
              <w:rPr>
                <w:noProof/>
                <w:webHidden/>
              </w:rPr>
              <w:fldChar w:fldCharType="separate"/>
            </w:r>
            <w:r w:rsidR="00F8610F">
              <w:rPr>
                <w:noProof/>
                <w:webHidden/>
              </w:rPr>
              <w:t>3</w:t>
            </w:r>
            <w:r w:rsidR="006227DF">
              <w:rPr>
                <w:noProof/>
                <w:webHidden/>
              </w:rPr>
              <w:fldChar w:fldCharType="end"/>
            </w:r>
          </w:hyperlink>
        </w:p>
        <w:p w14:paraId="122903E0" w14:textId="20D77139" w:rsidR="006227DF" w:rsidRDefault="00572949">
          <w:pPr>
            <w:pStyle w:val="TOC2"/>
            <w:tabs>
              <w:tab w:val="right" w:leader="dot" w:pos="9016"/>
            </w:tabs>
            <w:rPr>
              <w:rFonts w:cstheme="minorBidi"/>
              <w:noProof/>
              <w:lang w:val="en-AU" w:eastAsia="en-AU"/>
            </w:rPr>
          </w:pPr>
          <w:hyperlink w:anchor="_Toc22621894" w:history="1">
            <w:r w:rsidR="006227DF" w:rsidRPr="00F235A4">
              <w:rPr>
                <w:rStyle w:val="Hyperlink"/>
                <w:noProof/>
                <w:lang w:val="en-GB"/>
              </w:rPr>
              <w:t>Australia’s vaccine safety surveillance system</w:t>
            </w:r>
            <w:r w:rsidR="006227DF">
              <w:rPr>
                <w:noProof/>
                <w:webHidden/>
              </w:rPr>
              <w:tab/>
            </w:r>
            <w:r w:rsidR="006227DF">
              <w:rPr>
                <w:noProof/>
                <w:webHidden/>
              </w:rPr>
              <w:fldChar w:fldCharType="begin"/>
            </w:r>
            <w:r w:rsidR="006227DF">
              <w:rPr>
                <w:noProof/>
                <w:webHidden/>
              </w:rPr>
              <w:instrText xml:space="preserve"> PAGEREF _Toc22621894 \h </w:instrText>
            </w:r>
            <w:r w:rsidR="006227DF">
              <w:rPr>
                <w:noProof/>
                <w:webHidden/>
              </w:rPr>
            </w:r>
            <w:r w:rsidR="006227DF">
              <w:rPr>
                <w:noProof/>
                <w:webHidden/>
              </w:rPr>
              <w:fldChar w:fldCharType="separate"/>
            </w:r>
            <w:r w:rsidR="00F8610F">
              <w:rPr>
                <w:noProof/>
                <w:webHidden/>
              </w:rPr>
              <w:t>3</w:t>
            </w:r>
            <w:r w:rsidR="006227DF">
              <w:rPr>
                <w:noProof/>
                <w:webHidden/>
              </w:rPr>
              <w:fldChar w:fldCharType="end"/>
            </w:r>
          </w:hyperlink>
        </w:p>
        <w:p w14:paraId="4A865E06" w14:textId="409F6FB8" w:rsidR="006227DF" w:rsidRDefault="00572949">
          <w:pPr>
            <w:pStyle w:val="TOC2"/>
            <w:tabs>
              <w:tab w:val="right" w:leader="dot" w:pos="9016"/>
            </w:tabs>
            <w:rPr>
              <w:rFonts w:cstheme="minorBidi"/>
              <w:noProof/>
              <w:lang w:val="en-AU" w:eastAsia="en-AU"/>
            </w:rPr>
          </w:pPr>
          <w:hyperlink w:anchor="_Toc22621895" w:history="1">
            <w:r w:rsidR="006227DF" w:rsidRPr="00F235A4">
              <w:rPr>
                <w:rStyle w:val="Hyperlink"/>
                <w:noProof/>
                <w:lang w:val="en-GB"/>
              </w:rPr>
              <w:t>Identifying a safety signal</w:t>
            </w:r>
            <w:r w:rsidR="006227DF">
              <w:rPr>
                <w:noProof/>
                <w:webHidden/>
              </w:rPr>
              <w:tab/>
            </w:r>
            <w:r w:rsidR="006227DF">
              <w:rPr>
                <w:noProof/>
                <w:webHidden/>
              </w:rPr>
              <w:fldChar w:fldCharType="begin"/>
            </w:r>
            <w:r w:rsidR="006227DF">
              <w:rPr>
                <w:noProof/>
                <w:webHidden/>
              </w:rPr>
              <w:instrText xml:space="preserve"> PAGEREF _Toc22621895 \h </w:instrText>
            </w:r>
            <w:r w:rsidR="006227DF">
              <w:rPr>
                <w:noProof/>
                <w:webHidden/>
              </w:rPr>
            </w:r>
            <w:r w:rsidR="006227DF">
              <w:rPr>
                <w:noProof/>
                <w:webHidden/>
              </w:rPr>
              <w:fldChar w:fldCharType="separate"/>
            </w:r>
            <w:r w:rsidR="00F8610F">
              <w:rPr>
                <w:noProof/>
                <w:webHidden/>
              </w:rPr>
              <w:t>3</w:t>
            </w:r>
            <w:r w:rsidR="006227DF">
              <w:rPr>
                <w:noProof/>
                <w:webHidden/>
              </w:rPr>
              <w:fldChar w:fldCharType="end"/>
            </w:r>
          </w:hyperlink>
        </w:p>
        <w:p w14:paraId="1FD1E81E" w14:textId="3BFC8E60" w:rsidR="006227DF" w:rsidRDefault="00572949">
          <w:pPr>
            <w:pStyle w:val="TOC1"/>
            <w:tabs>
              <w:tab w:val="right" w:leader="dot" w:pos="9016"/>
            </w:tabs>
            <w:rPr>
              <w:rFonts w:cstheme="minorBidi"/>
              <w:noProof/>
              <w:lang w:val="en-AU" w:eastAsia="en-AU"/>
            </w:rPr>
          </w:pPr>
          <w:hyperlink w:anchor="_Toc22621896" w:history="1">
            <w:r w:rsidR="006227DF" w:rsidRPr="00F235A4">
              <w:rPr>
                <w:rStyle w:val="Hyperlink"/>
                <w:noProof/>
                <w:lang w:val="en-GB"/>
              </w:rPr>
              <w:t>Section 3: Responding to a potential safety signal</w:t>
            </w:r>
            <w:r w:rsidR="006227DF">
              <w:rPr>
                <w:noProof/>
                <w:webHidden/>
              </w:rPr>
              <w:tab/>
            </w:r>
            <w:r w:rsidR="006227DF">
              <w:rPr>
                <w:noProof/>
                <w:webHidden/>
              </w:rPr>
              <w:fldChar w:fldCharType="begin"/>
            </w:r>
            <w:r w:rsidR="006227DF">
              <w:rPr>
                <w:noProof/>
                <w:webHidden/>
              </w:rPr>
              <w:instrText xml:space="preserve"> PAGEREF _Toc22621896 \h </w:instrText>
            </w:r>
            <w:r w:rsidR="006227DF">
              <w:rPr>
                <w:noProof/>
                <w:webHidden/>
              </w:rPr>
            </w:r>
            <w:r w:rsidR="006227DF">
              <w:rPr>
                <w:noProof/>
                <w:webHidden/>
              </w:rPr>
              <w:fldChar w:fldCharType="separate"/>
            </w:r>
            <w:r w:rsidR="00F8610F">
              <w:rPr>
                <w:noProof/>
                <w:webHidden/>
              </w:rPr>
              <w:t>4</w:t>
            </w:r>
            <w:r w:rsidR="006227DF">
              <w:rPr>
                <w:noProof/>
                <w:webHidden/>
              </w:rPr>
              <w:fldChar w:fldCharType="end"/>
            </w:r>
          </w:hyperlink>
        </w:p>
        <w:p w14:paraId="52C29BDE" w14:textId="7FA361D0" w:rsidR="006227DF" w:rsidRDefault="00572949">
          <w:pPr>
            <w:pStyle w:val="TOC2"/>
            <w:tabs>
              <w:tab w:val="right" w:leader="dot" w:pos="9016"/>
            </w:tabs>
            <w:rPr>
              <w:rFonts w:cstheme="minorBidi"/>
              <w:noProof/>
              <w:lang w:val="en-AU" w:eastAsia="en-AU"/>
            </w:rPr>
          </w:pPr>
          <w:hyperlink w:anchor="_Toc22621897" w:history="1">
            <w:r w:rsidR="006227DF" w:rsidRPr="00F235A4">
              <w:rPr>
                <w:rStyle w:val="Hyperlink"/>
                <w:noProof/>
                <w:lang w:val="en-GB"/>
              </w:rPr>
              <w:t>A phased approach that includes ongoing risk assessment</w:t>
            </w:r>
            <w:r w:rsidR="006227DF">
              <w:rPr>
                <w:noProof/>
                <w:webHidden/>
              </w:rPr>
              <w:tab/>
            </w:r>
            <w:r w:rsidR="006227DF">
              <w:rPr>
                <w:noProof/>
                <w:webHidden/>
              </w:rPr>
              <w:fldChar w:fldCharType="begin"/>
            </w:r>
            <w:r w:rsidR="006227DF">
              <w:rPr>
                <w:noProof/>
                <w:webHidden/>
              </w:rPr>
              <w:instrText xml:space="preserve"> PAGEREF _Toc22621897 \h </w:instrText>
            </w:r>
            <w:r w:rsidR="006227DF">
              <w:rPr>
                <w:noProof/>
                <w:webHidden/>
              </w:rPr>
            </w:r>
            <w:r w:rsidR="006227DF">
              <w:rPr>
                <w:noProof/>
                <w:webHidden/>
              </w:rPr>
              <w:fldChar w:fldCharType="separate"/>
            </w:r>
            <w:r w:rsidR="00F8610F">
              <w:rPr>
                <w:noProof/>
                <w:webHidden/>
              </w:rPr>
              <w:t>4</w:t>
            </w:r>
            <w:r w:rsidR="006227DF">
              <w:rPr>
                <w:noProof/>
                <w:webHidden/>
              </w:rPr>
              <w:fldChar w:fldCharType="end"/>
            </w:r>
          </w:hyperlink>
        </w:p>
        <w:p w14:paraId="0EE26CBE" w14:textId="3BE6AB43" w:rsidR="006227DF" w:rsidRDefault="00572949">
          <w:pPr>
            <w:pStyle w:val="TOC2"/>
            <w:tabs>
              <w:tab w:val="right" w:leader="dot" w:pos="9016"/>
            </w:tabs>
            <w:rPr>
              <w:rFonts w:cstheme="minorBidi"/>
              <w:noProof/>
              <w:lang w:val="en-AU" w:eastAsia="en-AU"/>
            </w:rPr>
          </w:pPr>
          <w:hyperlink w:anchor="_Toc22621898" w:history="1">
            <w:r w:rsidR="006227DF" w:rsidRPr="00F235A4">
              <w:rPr>
                <w:rStyle w:val="Hyperlink"/>
                <w:noProof/>
                <w:lang w:val="en-GB"/>
              </w:rPr>
              <w:t>When are the Protocols initiated?</w:t>
            </w:r>
            <w:r w:rsidR="006227DF">
              <w:rPr>
                <w:noProof/>
                <w:webHidden/>
              </w:rPr>
              <w:tab/>
            </w:r>
            <w:r w:rsidR="006227DF">
              <w:rPr>
                <w:noProof/>
                <w:webHidden/>
              </w:rPr>
              <w:fldChar w:fldCharType="begin"/>
            </w:r>
            <w:r w:rsidR="006227DF">
              <w:rPr>
                <w:noProof/>
                <w:webHidden/>
              </w:rPr>
              <w:instrText xml:space="preserve"> PAGEREF _Toc22621898 \h </w:instrText>
            </w:r>
            <w:r w:rsidR="006227DF">
              <w:rPr>
                <w:noProof/>
                <w:webHidden/>
              </w:rPr>
            </w:r>
            <w:r w:rsidR="006227DF">
              <w:rPr>
                <w:noProof/>
                <w:webHidden/>
              </w:rPr>
              <w:fldChar w:fldCharType="separate"/>
            </w:r>
            <w:r w:rsidR="00F8610F">
              <w:rPr>
                <w:noProof/>
                <w:webHidden/>
              </w:rPr>
              <w:t>4</w:t>
            </w:r>
            <w:r w:rsidR="006227DF">
              <w:rPr>
                <w:noProof/>
                <w:webHidden/>
              </w:rPr>
              <w:fldChar w:fldCharType="end"/>
            </w:r>
          </w:hyperlink>
        </w:p>
        <w:p w14:paraId="1F726761" w14:textId="3EB50E9F" w:rsidR="006227DF" w:rsidRDefault="00572949">
          <w:pPr>
            <w:pStyle w:val="TOC2"/>
            <w:tabs>
              <w:tab w:val="right" w:leader="dot" w:pos="9016"/>
            </w:tabs>
            <w:rPr>
              <w:rFonts w:cstheme="minorBidi"/>
              <w:noProof/>
              <w:lang w:val="en-AU" w:eastAsia="en-AU"/>
            </w:rPr>
          </w:pPr>
          <w:hyperlink w:anchor="_Toc22621899" w:history="1">
            <w:r w:rsidR="006227DF" w:rsidRPr="00F235A4">
              <w:rPr>
                <w:rStyle w:val="Hyperlink"/>
                <w:noProof/>
                <w:lang w:val="en-GB"/>
              </w:rPr>
              <w:t>Phase 1: Investigate</w:t>
            </w:r>
            <w:r w:rsidR="006227DF">
              <w:rPr>
                <w:noProof/>
                <w:webHidden/>
              </w:rPr>
              <w:tab/>
            </w:r>
            <w:r w:rsidR="006227DF">
              <w:rPr>
                <w:noProof/>
                <w:webHidden/>
              </w:rPr>
              <w:fldChar w:fldCharType="begin"/>
            </w:r>
            <w:r w:rsidR="006227DF">
              <w:rPr>
                <w:noProof/>
                <w:webHidden/>
              </w:rPr>
              <w:instrText xml:space="preserve"> PAGEREF _Toc22621899 \h </w:instrText>
            </w:r>
            <w:r w:rsidR="006227DF">
              <w:rPr>
                <w:noProof/>
                <w:webHidden/>
              </w:rPr>
            </w:r>
            <w:r w:rsidR="006227DF">
              <w:rPr>
                <w:noProof/>
                <w:webHidden/>
              </w:rPr>
              <w:fldChar w:fldCharType="separate"/>
            </w:r>
            <w:r w:rsidR="00F8610F">
              <w:rPr>
                <w:noProof/>
                <w:webHidden/>
              </w:rPr>
              <w:t>5</w:t>
            </w:r>
            <w:r w:rsidR="006227DF">
              <w:rPr>
                <w:noProof/>
                <w:webHidden/>
              </w:rPr>
              <w:fldChar w:fldCharType="end"/>
            </w:r>
          </w:hyperlink>
        </w:p>
        <w:p w14:paraId="02F4AA1E" w14:textId="404FB763" w:rsidR="006227DF" w:rsidRDefault="00572949">
          <w:pPr>
            <w:pStyle w:val="TOC2"/>
            <w:tabs>
              <w:tab w:val="right" w:leader="dot" w:pos="9016"/>
            </w:tabs>
            <w:rPr>
              <w:rFonts w:cstheme="minorBidi"/>
              <w:noProof/>
              <w:lang w:val="en-AU" w:eastAsia="en-AU"/>
            </w:rPr>
          </w:pPr>
          <w:hyperlink w:anchor="_Toc22621900" w:history="1">
            <w:r w:rsidR="006227DF" w:rsidRPr="00F235A4">
              <w:rPr>
                <w:rStyle w:val="Hyperlink"/>
                <w:noProof/>
                <w:lang w:val="en-GB"/>
              </w:rPr>
              <w:t>Phase 2: Plan</w:t>
            </w:r>
            <w:r w:rsidR="006227DF">
              <w:rPr>
                <w:noProof/>
                <w:webHidden/>
              </w:rPr>
              <w:tab/>
            </w:r>
            <w:r w:rsidR="006227DF">
              <w:rPr>
                <w:noProof/>
                <w:webHidden/>
              </w:rPr>
              <w:fldChar w:fldCharType="begin"/>
            </w:r>
            <w:r w:rsidR="006227DF">
              <w:rPr>
                <w:noProof/>
                <w:webHidden/>
              </w:rPr>
              <w:instrText xml:space="preserve"> PAGEREF _Toc22621900 \h </w:instrText>
            </w:r>
            <w:r w:rsidR="006227DF">
              <w:rPr>
                <w:noProof/>
                <w:webHidden/>
              </w:rPr>
            </w:r>
            <w:r w:rsidR="006227DF">
              <w:rPr>
                <w:noProof/>
                <w:webHidden/>
              </w:rPr>
              <w:fldChar w:fldCharType="separate"/>
            </w:r>
            <w:r w:rsidR="00F8610F">
              <w:rPr>
                <w:noProof/>
                <w:webHidden/>
              </w:rPr>
              <w:t>5</w:t>
            </w:r>
            <w:r w:rsidR="006227DF">
              <w:rPr>
                <w:noProof/>
                <w:webHidden/>
              </w:rPr>
              <w:fldChar w:fldCharType="end"/>
            </w:r>
          </w:hyperlink>
        </w:p>
        <w:p w14:paraId="7F2EE503" w14:textId="733083A2" w:rsidR="006227DF" w:rsidRDefault="00572949">
          <w:pPr>
            <w:pStyle w:val="TOC2"/>
            <w:tabs>
              <w:tab w:val="right" w:leader="dot" w:pos="9016"/>
            </w:tabs>
            <w:rPr>
              <w:rFonts w:cstheme="minorBidi"/>
              <w:noProof/>
              <w:lang w:val="en-AU" w:eastAsia="en-AU"/>
            </w:rPr>
          </w:pPr>
          <w:hyperlink w:anchor="_Toc22621901" w:history="1">
            <w:r w:rsidR="006227DF" w:rsidRPr="00F235A4">
              <w:rPr>
                <w:rStyle w:val="Hyperlink"/>
                <w:noProof/>
                <w:lang w:val="en-GB"/>
              </w:rPr>
              <w:t>Phase 3: Act</w:t>
            </w:r>
            <w:r w:rsidR="006227DF">
              <w:rPr>
                <w:noProof/>
                <w:webHidden/>
              </w:rPr>
              <w:tab/>
            </w:r>
            <w:r w:rsidR="006227DF">
              <w:rPr>
                <w:noProof/>
                <w:webHidden/>
              </w:rPr>
              <w:fldChar w:fldCharType="begin"/>
            </w:r>
            <w:r w:rsidR="006227DF">
              <w:rPr>
                <w:noProof/>
                <w:webHidden/>
              </w:rPr>
              <w:instrText xml:space="preserve"> PAGEREF _Toc22621901 \h </w:instrText>
            </w:r>
            <w:r w:rsidR="006227DF">
              <w:rPr>
                <w:noProof/>
                <w:webHidden/>
              </w:rPr>
            </w:r>
            <w:r w:rsidR="006227DF">
              <w:rPr>
                <w:noProof/>
                <w:webHidden/>
              </w:rPr>
              <w:fldChar w:fldCharType="separate"/>
            </w:r>
            <w:r w:rsidR="00F8610F">
              <w:rPr>
                <w:noProof/>
                <w:webHidden/>
              </w:rPr>
              <w:t>6</w:t>
            </w:r>
            <w:r w:rsidR="006227DF">
              <w:rPr>
                <w:noProof/>
                <w:webHidden/>
              </w:rPr>
              <w:fldChar w:fldCharType="end"/>
            </w:r>
          </w:hyperlink>
        </w:p>
        <w:p w14:paraId="45149310" w14:textId="7CD808F0" w:rsidR="006227DF" w:rsidRDefault="00572949">
          <w:pPr>
            <w:pStyle w:val="TOC2"/>
            <w:tabs>
              <w:tab w:val="right" w:leader="dot" w:pos="9016"/>
            </w:tabs>
            <w:rPr>
              <w:rFonts w:cstheme="minorBidi"/>
              <w:noProof/>
              <w:lang w:val="en-AU" w:eastAsia="en-AU"/>
            </w:rPr>
          </w:pPr>
          <w:hyperlink w:anchor="_Toc22621902" w:history="1">
            <w:r w:rsidR="006227DF" w:rsidRPr="00F235A4">
              <w:rPr>
                <w:rStyle w:val="Hyperlink"/>
                <w:noProof/>
                <w:lang w:val="en-GB"/>
              </w:rPr>
              <w:t>Phase 4: Review</w:t>
            </w:r>
            <w:r w:rsidR="006227DF">
              <w:rPr>
                <w:noProof/>
                <w:webHidden/>
              </w:rPr>
              <w:tab/>
            </w:r>
            <w:r w:rsidR="006227DF">
              <w:rPr>
                <w:noProof/>
                <w:webHidden/>
              </w:rPr>
              <w:fldChar w:fldCharType="begin"/>
            </w:r>
            <w:r w:rsidR="006227DF">
              <w:rPr>
                <w:noProof/>
                <w:webHidden/>
              </w:rPr>
              <w:instrText xml:space="preserve"> PAGEREF _Toc22621902 \h </w:instrText>
            </w:r>
            <w:r w:rsidR="006227DF">
              <w:rPr>
                <w:noProof/>
                <w:webHidden/>
              </w:rPr>
            </w:r>
            <w:r w:rsidR="006227DF">
              <w:rPr>
                <w:noProof/>
                <w:webHidden/>
              </w:rPr>
              <w:fldChar w:fldCharType="separate"/>
            </w:r>
            <w:r w:rsidR="00F8610F">
              <w:rPr>
                <w:noProof/>
                <w:webHidden/>
              </w:rPr>
              <w:t>6</w:t>
            </w:r>
            <w:r w:rsidR="006227DF">
              <w:rPr>
                <w:noProof/>
                <w:webHidden/>
              </w:rPr>
              <w:fldChar w:fldCharType="end"/>
            </w:r>
          </w:hyperlink>
        </w:p>
        <w:p w14:paraId="70492B49" w14:textId="69AFFC41" w:rsidR="004B7198" w:rsidRDefault="004B7198">
          <w:r>
            <w:rPr>
              <w:b/>
              <w:bCs/>
              <w:noProof/>
            </w:rPr>
            <w:fldChar w:fldCharType="end"/>
          </w:r>
        </w:p>
      </w:sdtContent>
    </w:sdt>
    <w:p w14:paraId="5A17BBAA" w14:textId="77777777" w:rsidR="004B7198" w:rsidRDefault="004B7198" w:rsidP="00986499">
      <w:pPr>
        <w:pStyle w:val="Heading1"/>
        <w:rPr>
          <w:lang w:val="en-GB"/>
        </w:rPr>
      </w:pPr>
    </w:p>
    <w:p w14:paraId="3EB2D0CC" w14:textId="77777777" w:rsidR="004B7198" w:rsidRDefault="004B7198">
      <w:pPr>
        <w:rPr>
          <w:rFonts w:asciiTheme="majorHAnsi" w:eastAsiaTheme="majorEastAsia" w:hAnsiTheme="majorHAnsi" w:cstheme="majorBidi"/>
          <w:color w:val="B76E0B" w:themeColor="accent1" w:themeShade="BF"/>
          <w:sz w:val="36"/>
          <w:szCs w:val="36"/>
          <w:lang w:val="en-GB"/>
        </w:rPr>
      </w:pPr>
      <w:r>
        <w:rPr>
          <w:lang w:val="en-GB"/>
        </w:rPr>
        <w:br w:type="page"/>
      </w:r>
    </w:p>
    <w:p w14:paraId="0C806D2D" w14:textId="566A14F5" w:rsidR="00F157CE" w:rsidRPr="00F157CE" w:rsidRDefault="00F157CE" w:rsidP="00986499">
      <w:pPr>
        <w:pStyle w:val="Heading1"/>
        <w:rPr>
          <w:lang w:val="en-GB"/>
        </w:rPr>
      </w:pPr>
      <w:bookmarkStart w:id="1" w:name="_Toc22621884"/>
      <w:r>
        <w:rPr>
          <w:lang w:val="en-GB"/>
        </w:rPr>
        <w:lastRenderedPageBreak/>
        <w:t>Section 1: Introduction and background</w:t>
      </w:r>
      <w:bookmarkEnd w:id="1"/>
    </w:p>
    <w:p w14:paraId="73566EE3" w14:textId="3BF15875" w:rsidR="009A714D" w:rsidRDefault="009A714D" w:rsidP="004B7198">
      <w:pPr>
        <w:pStyle w:val="Heading2"/>
        <w:rPr>
          <w:lang w:val="en-GB"/>
        </w:rPr>
      </w:pPr>
      <w:bookmarkStart w:id="2" w:name="_Toc22621885"/>
      <w:r>
        <w:rPr>
          <w:lang w:val="en-GB"/>
        </w:rPr>
        <w:t>Background</w:t>
      </w:r>
      <w:bookmarkEnd w:id="2"/>
    </w:p>
    <w:p w14:paraId="76BB5A04" w14:textId="223E9AEB" w:rsidR="002B31BD" w:rsidRDefault="0047214D" w:rsidP="009A714D">
      <w:r>
        <w:t xml:space="preserve">Immunisation is one of the most effective </w:t>
      </w:r>
      <w:r w:rsidR="001C7EB0">
        <w:t>ways to protect</w:t>
      </w:r>
      <w:r>
        <w:t xml:space="preserve"> individuals and the community from many common diseases. </w:t>
      </w:r>
      <w:r w:rsidR="001C7EB0">
        <w:t xml:space="preserve"> </w:t>
      </w:r>
      <w:r>
        <w:t xml:space="preserve">The low incidence of vaccine-preventable diseases in Australia is due to the effectiveness of our immunisation services and programs. </w:t>
      </w:r>
    </w:p>
    <w:p w14:paraId="606A3DBE" w14:textId="56C9E935" w:rsidR="002B31BD" w:rsidRPr="00F3418D" w:rsidRDefault="002B31BD" w:rsidP="002B31BD">
      <w:r w:rsidRPr="00A3412A">
        <w:t xml:space="preserve">The </w:t>
      </w:r>
      <w:proofErr w:type="gramStart"/>
      <w:r w:rsidRPr="00A3412A">
        <w:t>National Immunisation Program was set up by the Commonwealth and state and territory governments in 1997</w:t>
      </w:r>
      <w:proofErr w:type="gramEnd"/>
      <w:r w:rsidRPr="00A3412A">
        <w:t>.</w:t>
      </w:r>
      <w:r w:rsidR="001C7EB0">
        <w:t xml:space="preserve"> </w:t>
      </w:r>
      <w:r w:rsidRPr="00A3412A">
        <w:t xml:space="preserve"> It provides free vaccines to eligible people to help reduce disease and improve national immunisation coverage rates.</w:t>
      </w:r>
    </w:p>
    <w:p w14:paraId="5FAC125A" w14:textId="6F336676" w:rsidR="009A714D" w:rsidRDefault="0047214D" w:rsidP="009A714D">
      <w:r>
        <w:t xml:space="preserve">Since routine immunisations </w:t>
      </w:r>
      <w:proofErr w:type="gramStart"/>
      <w:r>
        <w:t>were introduced</w:t>
      </w:r>
      <w:proofErr w:type="gramEnd"/>
      <w:r>
        <w:t xml:space="preserve"> in Australia in the 1950s, death or disability from many once-common infectious diseases </w:t>
      </w:r>
      <w:r w:rsidR="001C7EB0">
        <w:t xml:space="preserve">have become </w:t>
      </w:r>
      <w:r>
        <w:t xml:space="preserve">rare </w:t>
      </w:r>
      <w:sdt>
        <w:sdtPr>
          <w:id w:val="1003858311"/>
          <w:citation/>
        </w:sdtPr>
        <w:sdtEndPr/>
        <w:sdtContent>
          <w:r>
            <w:fldChar w:fldCharType="begin"/>
          </w:r>
          <w:r>
            <w:rPr>
              <w:lang w:val="en-GB"/>
            </w:rPr>
            <w:instrText xml:space="preserve">CITATION Aus \l 2057 </w:instrText>
          </w:r>
          <w:r>
            <w:fldChar w:fldCharType="separate"/>
          </w:r>
          <w:r>
            <w:rPr>
              <w:noProof/>
              <w:lang w:val="en-GB"/>
            </w:rPr>
            <w:t>(Australian Government Department of Health, 2018)</w:t>
          </w:r>
          <w:r>
            <w:fldChar w:fldCharType="end"/>
          </w:r>
        </w:sdtContent>
      </w:sdt>
      <w:r>
        <w:t>.</w:t>
      </w:r>
    </w:p>
    <w:p w14:paraId="1C890CA8" w14:textId="1B048D2B" w:rsidR="00C41B53" w:rsidRPr="00466F66" w:rsidRDefault="005941F9" w:rsidP="00466F66">
      <w:pPr>
        <w:spacing w:after="0" w:line="240" w:lineRule="auto"/>
        <w:rPr>
          <w:lang w:val="en-GB"/>
        </w:rPr>
      </w:pPr>
      <w:r w:rsidRPr="00466F66">
        <w:rPr>
          <w:lang w:val="en-GB"/>
        </w:rPr>
        <w:t xml:space="preserve">Vaccines used in national immunisation programs are extremely safe and effective. </w:t>
      </w:r>
      <w:r w:rsidR="001C7EB0">
        <w:rPr>
          <w:lang w:val="en-GB"/>
        </w:rPr>
        <w:t xml:space="preserve"> </w:t>
      </w:r>
      <w:r w:rsidRPr="00466F66">
        <w:rPr>
          <w:lang w:val="en-GB"/>
        </w:rPr>
        <w:t xml:space="preserve">Nevertheless, few things are completely safe, and adverse reactions to vaccines can occur. </w:t>
      </w:r>
    </w:p>
    <w:p w14:paraId="6AB75587" w14:textId="5564A044" w:rsidR="009B3FFB" w:rsidRDefault="009B3FFB" w:rsidP="004B7198">
      <w:pPr>
        <w:pStyle w:val="Heading2"/>
        <w:rPr>
          <w:lang w:val="en-GB"/>
        </w:rPr>
      </w:pPr>
      <w:bookmarkStart w:id="3" w:name="_Toc22621886"/>
      <w:r>
        <w:rPr>
          <w:lang w:val="en-GB"/>
        </w:rPr>
        <w:t>What is an adverse event following immunisation?</w:t>
      </w:r>
      <w:bookmarkEnd w:id="3"/>
    </w:p>
    <w:p w14:paraId="0EA121FD" w14:textId="53E20DF7" w:rsidR="009B3FFB" w:rsidRDefault="00986499" w:rsidP="00883B27">
      <w:pPr>
        <w:rPr>
          <w:lang w:val="en-GB"/>
        </w:rPr>
      </w:pPr>
      <w:r>
        <w:rPr>
          <w:lang w:val="en-GB"/>
        </w:rPr>
        <w:t xml:space="preserve">An adverse event following immunisation </w:t>
      </w:r>
      <w:proofErr w:type="gramStart"/>
      <w:r>
        <w:rPr>
          <w:lang w:val="en-GB"/>
        </w:rPr>
        <w:t>is defined</w:t>
      </w:r>
      <w:proofErr w:type="gramEnd"/>
      <w:r>
        <w:rPr>
          <w:lang w:val="en-GB"/>
        </w:rPr>
        <w:t xml:space="preserve"> as any </w:t>
      </w:r>
      <w:r w:rsidR="001C7EB0">
        <w:rPr>
          <w:lang w:val="en-GB"/>
        </w:rPr>
        <w:t>unwanted or negative</w:t>
      </w:r>
      <w:r>
        <w:rPr>
          <w:lang w:val="en-GB"/>
        </w:rPr>
        <w:t xml:space="preserve"> medical occurrence </w:t>
      </w:r>
      <w:r w:rsidR="001C7EB0">
        <w:rPr>
          <w:lang w:val="en-GB"/>
        </w:rPr>
        <w:t>that happens after a person is immunised</w:t>
      </w:r>
      <w:r>
        <w:rPr>
          <w:lang w:val="en-GB"/>
        </w:rPr>
        <w:t>.  The adverse event may be caused by the vaccine or it may be a coincidence</w:t>
      </w:r>
      <w:r w:rsidR="00B57070">
        <w:rPr>
          <w:lang w:val="en-GB"/>
        </w:rPr>
        <w:t xml:space="preserve"> </w:t>
      </w:r>
      <w:sdt>
        <w:sdtPr>
          <w:rPr>
            <w:lang w:val="en-GB"/>
          </w:rPr>
          <w:id w:val="231591921"/>
          <w:citation/>
        </w:sdtPr>
        <w:sdtEndPr/>
        <w:sdtContent>
          <w:r w:rsidR="00883B27">
            <w:rPr>
              <w:lang w:val="en-GB"/>
            </w:rPr>
            <w:fldChar w:fldCharType="begin"/>
          </w:r>
          <w:r w:rsidR="00883B27">
            <w:rPr>
              <w:lang w:val="en-GB"/>
            </w:rPr>
            <w:instrText xml:space="preserve"> CITATION WHO16 \l 2057 </w:instrText>
          </w:r>
          <w:r w:rsidR="00883B27">
            <w:rPr>
              <w:lang w:val="en-GB"/>
            </w:rPr>
            <w:fldChar w:fldCharType="separate"/>
          </w:r>
          <w:r w:rsidR="00883B27">
            <w:rPr>
              <w:noProof/>
              <w:lang w:val="en-GB"/>
            </w:rPr>
            <w:t>(World Health Organization, 2014 (Revised March 2016))</w:t>
          </w:r>
          <w:r w:rsidR="00883B27">
            <w:rPr>
              <w:lang w:val="en-GB"/>
            </w:rPr>
            <w:fldChar w:fldCharType="end"/>
          </w:r>
        </w:sdtContent>
      </w:sdt>
      <w:r w:rsidR="00883B27">
        <w:rPr>
          <w:lang w:val="en-GB"/>
        </w:rPr>
        <w:t>.</w:t>
      </w:r>
    </w:p>
    <w:p w14:paraId="280DA732" w14:textId="50B75023" w:rsidR="0045436C" w:rsidRDefault="0045436C" w:rsidP="00883B27">
      <w:pPr>
        <w:rPr>
          <w:lang w:val="en-GB"/>
        </w:rPr>
      </w:pPr>
      <w:r>
        <w:rPr>
          <w:lang w:val="en-GB"/>
        </w:rPr>
        <w:t xml:space="preserve">Most adverse events following immunisation are relatively minor, such as mild fever or redness at the site of the </w:t>
      </w:r>
      <w:r w:rsidR="00B57070">
        <w:rPr>
          <w:lang w:val="en-GB"/>
        </w:rPr>
        <w:t>injection</w:t>
      </w:r>
      <w:r w:rsidR="00C41B53">
        <w:rPr>
          <w:lang w:val="en-GB"/>
        </w:rPr>
        <w:t>,</w:t>
      </w:r>
      <w:r w:rsidR="00B57070">
        <w:rPr>
          <w:lang w:val="en-GB"/>
        </w:rPr>
        <w:t xml:space="preserve"> and</w:t>
      </w:r>
      <w:r>
        <w:rPr>
          <w:lang w:val="en-GB"/>
        </w:rPr>
        <w:t xml:space="preserve"> resolve quickly.  Serious or severe events </w:t>
      </w:r>
      <w:r w:rsidR="00EB43BF">
        <w:rPr>
          <w:lang w:val="en-GB"/>
        </w:rPr>
        <w:t>are extremely rare</w:t>
      </w:r>
      <w:r>
        <w:rPr>
          <w:lang w:val="en-GB"/>
        </w:rPr>
        <w:t>.</w:t>
      </w:r>
    </w:p>
    <w:p w14:paraId="4E45D183" w14:textId="11B68E2C" w:rsidR="00F157CE" w:rsidRDefault="00883B27" w:rsidP="004B7198">
      <w:pPr>
        <w:pStyle w:val="Heading2"/>
        <w:rPr>
          <w:lang w:val="en-GB"/>
        </w:rPr>
      </w:pPr>
      <w:bookmarkStart w:id="4" w:name="_Toc22621887"/>
      <w:r>
        <w:rPr>
          <w:lang w:val="en-GB"/>
        </w:rPr>
        <w:t>What is a safety signal?</w:t>
      </w:r>
      <w:bookmarkEnd w:id="4"/>
    </w:p>
    <w:p w14:paraId="2378D8B2" w14:textId="23D9F8D2" w:rsidR="00883B27" w:rsidRDefault="00883B27" w:rsidP="00883B27">
      <w:pPr>
        <w:rPr>
          <w:shd w:val="clear" w:color="auto" w:fill="FFFFFF"/>
        </w:rPr>
      </w:pPr>
      <w:r>
        <w:rPr>
          <w:shd w:val="clear" w:color="auto" w:fill="FFFFFF"/>
        </w:rPr>
        <w:t>A vaccine safety signal is information that indicates there may be a link between a vaccine and an event that was previously unknown or incompletely documented</w:t>
      </w:r>
      <w:r w:rsidR="00C01B83">
        <w:rPr>
          <w:shd w:val="clear" w:color="auto" w:fill="FFFFFF"/>
        </w:rPr>
        <w:t xml:space="preserve"> </w:t>
      </w:r>
      <w:r>
        <w:rPr>
          <w:shd w:val="clear" w:color="auto" w:fill="FFFFFF"/>
        </w:rPr>
        <w:t>that could affect health</w:t>
      </w:r>
      <w:sdt>
        <w:sdtPr>
          <w:rPr>
            <w:shd w:val="clear" w:color="auto" w:fill="FFFFFF"/>
          </w:rPr>
          <w:id w:val="-1410989957"/>
          <w:citation/>
        </w:sdtPr>
        <w:sdtEndPr/>
        <w:sdtContent>
          <w:r>
            <w:rPr>
              <w:shd w:val="clear" w:color="auto" w:fill="FFFFFF"/>
            </w:rPr>
            <w:fldChar w:fldCharType="begin"/>
          </w:r>
          <w:r>
            <w:rPr>
              <w:shd w:val="clear" w:color="auto" w:fill="FFFFFF"/>
              <w:lang w:val="en-GB"/>
            </w:rPr>
            <w:instrText xml:space="preserve"> CITATION Wor19 \l 2057 </w:instrText>
          </w:r>
          <w:r>
            <w:rPr>
              <w:shd w:val="clear" w:color="auto" w:fill="FFFFFF"/>
            </w:rPr>
            <w:fldChar w:fldCharType="separate"/>
          </w:r>
          <w:r>
            <w:rPr>
              <w:noProof/>
              <w:shd w:val="clear" w:color="auto" w:fill="FFFFFF"/>
              <w:lang w:val="en-GB"/>
            </w:rPr>
            <w:t xml:space="preserve"> </w:t>
          </w:r>
          <w:r w:rsidRPr="00883B27">
            <w:rPr>
              <w:noProof/>
              <w:shd w:val="clear" w:color="auto" w:fill="FFFFFF"/>
              <w:lang w:val="en-GB"/>
            </w:rPr>
            <w:t>(World Health Organization, 2019)</w:t>
          </w:r>
          <w:r>
            <w:rPr>
              <w:shd w:val="clear" w:color="auto" w:fill="FFFFFF"/>
            </w:rPr>
            <w:fldChar w:fldCharType="end"/>
          </w:r>
        </w:sdtContent>
      </w:sdt>
      <w:r>
        <w:rPr>
          <w:shd w:val="clear" w:color="auto" w:fill="FFFFFF"/>
        </w:rPr>
        <w:t>.</w:t>
      </w:r>
    </w:p>
    <w:p w14:paraId="305A2F97" w14:textId="6281BA21" w:rsidR="00E61D40" w:rsidRDefault="00E61D40" w:rsidP="00E61D40">
      <w:pPr>
        <w:spacing w:after="0"/>
        <w:rPr>
          <w:shd w:val="clear" w:color="auto" w:fill="FFFFFF"/>
        </w:rPr>
      </w:pPr>
      <w:r>
        <w:rPr>
          <w:shd w:val="clear" w:color="auto" w:fill="FFFFFF"/>
        </w:rPr>
        <w:t xml:space="preserve">A vaccine safety signal may arise </w:t>
      </w:r>
      <w:proofErr w:type="gramStart"/>
      <w:r>
        <w:rPr>
          <w:shd w:val="clear" w:color="auto" w:fill="FFFFFF"/>
        </w:rPr>
        <w:t>from</w:t>
      </w:r>
      <w:proofErr w:type="gramEnd"/>
      <w:r>
        <w:rPr>
          <w:shd w:val="clear" w:color="auto" w:fill="FFFFFF"/>
        </w:rPr>
        <w:t>:</w:t>
      </w:r>
    </w:p>
    <w:p w14:paraId="6E6BC732" w14:textId="17691BD9" w:rsidR="00E61D40" w:rsidRDefault="001C7EB0" w:rsidP="00AA1E1F">
      <w:pPr>
        <w:pStyle w:val="ListParagraph"/>
        <w:numPr>
          <w:ilvl w:val="0"/>
          <w:numId w:val="5"/>
        </w:numPr>
        <w:ind w:left="426"/>
        <w:rPr>
          <w:shd w:val="clear" w:color="auto" w:fill="FFFFFF"/>
        </w:rPr>
      </w:pPr>
      <w:r>
        <w:rPr>
          <w:shd w:val="clear" w:color="auto" w:fill="FFFFFF"/>
        </w:rPr>
        <w:t>a</w:t>
      </w:r>
      <w:r w:rsidR="00E61D40">
        <w:rPr>
          <w:shd w:val="clear" w:color="auto" w:fill="FFFFFF"/>
        </w:rPr>
        <w:t xml:space="preserve"> previously unrecognised </w:t>
      </w:r>
      <w:r>
        <w:rPr>
          <w:shd w:val="clear" w:color="auto" w:fill="FFFFFF"/>
        </w:rPr>
        <w:t>adverse event</w:t>
      </w:r>
    </w:p>
    <w:p w14:paraId="68F65F6A" w14:textId="2E0AB006" w:rsidR="00E61D40" w:rsidRDefault="001C7EB0" w:rsidP="00AA1E1F">
      <w:pPr>
        <w:pStyle w:val="ListParagraph"/>
        <w:numPr>
          <w:ilvl w:val="0"/>
          <w:numId w:val="5"/>
        </w:numPr>
        <w:ind w:left="426"/>
        <w:rPr>
          <w:shd w:val="clear" w:color="auto" w:fill="FFFFFF"/>
        </w:rPr>
      </w:pPr>
      <w:r>
        <w:rPr>
          <w:shd w:val="clear" w:color="auto" w:fill="FFFFFF"/>
        </w:rPr>
        <w:t>a</w:t>
      </w:r>
      <w:r w:rsidR="00E61D40">
        <w:rPr>
          <w:shd w:val="clear" w:color="auto" w:fill="FFFFFF"/>
        </w:rPr>
        <w:t xml:space="preserve"> change in the frequency or severity of a known </w:t>
      </w:r>
      <w:r>
        <w:rPr>
          <w:shd w:val="clear" w:color="auto" w:fill="FFFFFF"/>
        </w:rPr>
        <w:t>adverse event</w:t>
      </w:r>
    </w:p>
    <w:p w14:paraId="5ED36EA8" w14:textId="5D5FCEF9" w:rsidR="00E61D40" w:rsidRPr="00E61D40" w:rsidRDefault="001C7EB0" w:rsidP="00AA1E1F">
      <w:pPr>
        <w:pStyle w:val="ListParagraph"/>
        <w:numPr>
          <w:ilvl w:val="0"/>
          <w:numId w:val="5"/>
        </w:numPr>
        <w:ind w:left="426" w:hanging="357"/>
        <w:rPr>
          <w:shd w:val="clear" w:color="auto" w:fill="FFFFFF"/>
        </w:rPr>
      </w:pPr>
      <w:proofErr w:type="gramStart"/>
      <w:r>
        <w:rPr>
          <w:shd w:val="clear" w:color="auto" w:fill="FFFFFF"/>
        </w:rPr>
        <w:t>i</w:t>
      </w:r>
      <w:r w:rsidR="00E61D40">
        <w:rPr>
          <w:shd w:val="clear" w:color="auto" w:fill="FFFFFF"/>
        </w:rPr>
        <w:t>dentification</w:t>
      </w:r>
      <w:proofErr w:type="gramEnd"/>
      <w:r w:rsidR="00E61D40">
        <w:rPr>
          <w:shd w:val="clear" w:color="auto" w:fill="FFFFFF"/>
        </w:rPr>
        <w:t xml:space="preserve"> of a new at-risk group</w:t>
      </w:r>
      <w:r>
        <w:rPr>
          <w:shd w:val="clear" w:color="auto" w:fill="FFFFFF"/>
        </w:rPr>
        <w:t xml:space="preserve"> for adverse events related to vaccine</w:t>
      </w:r>
      <w:r w:rsidR="00E61D40">
        <w:rPr>
          <w:shd w:val="clear" w:color="auto" w:fill="FFFFFF"/>
        </w:rPr>
        <w:t>.</w:t>
      </w:r>
    </w:p>
    <w:p w14:paraId="70B4852A" w14:textId="3C81701E" w:rsidR="007D1F0F" w:rsidRDefault="007D1F0F" w:rsidP="004B7198">
      <w:pPr>
        <w:pStyle w:val="Heading2"/>
        <w:rPr>
          <w:lang w:val="en-GB"/>
        </w:rPr>
      </w:pPr>
      <w:bookmarkStart w:id="5" w:name="_Toc22621888"/>
      <w:r>
        <w:rPr>
          <w:lang w:val="en-GB"/>
        </w:rPr>
        <w:t>Purpose of the Protocols</w:t>
      </w:r>
      <w:bookmarkEnd w:id="5"/>
    </w:p>
    <w:p w14:paraId="58659531" w14:textId="2F48815B" w:rsidR="007D1F0F" w:rsidRDefault="007D1F0F" w:rsidP="007D1F0F">
      <w:pPr>
        <w:rPr>
          <w:lang w:val="en-GB"/>
        </w:rPr>
      </w:pPr>
      <w:r w:rsidRPr="00883B27">
        <w:rPr>
          <w:lang w:val="en-GB"/>
        </w:rPr>
        <w:t xml:space="preserve">These Protocols set </w:t>
      </w:r>
      <w:proofErr w:type="gramStart"/>
      <w:r w:rsidRPr="00883B27">
        <w:rPr>
          <w:lang w:val="en-GB"/>
        </w:rPr>
        <w:t xml:space="preserve">out the process for ensuring timely, coordinated and appropriate responses to a vaccine safety signal by </w:t>
      </w:r>
      <w:r w:rsidR="002120A6">
        <w:rPr>
          <w:lang w:val="en-GB"/>
        </w:rPr>
        <w:t>C</w:t>
      </w:r>
      <w:r w:rsidRPr="00883B27">
        <w:rPr>
          <w:lang w:val="en-GB"/>
        </w:rPr>
        <w:t xml:space="preserve">ommonwealth, </w:t>
      </w:r>
      <w:r w:rsidR="002120A6">
        <w:rPr>
          <w:lang w:val="en-GB"/>
        </w:rPr>
        <w:t>s</w:t>
      </w:r>
      <w:r w:rsidRPr="00883B27">
        <w:rPr>
          <w:lang w:val="en-GB"/>
        </w:rPr>
        <w:t xml:space="preserve">tate and </w:t>
      </w:r>
      <w:r w:rsidR="002120A6">
        <w:rPr>
          <w:lang w:val="en-GB"/>
        </w:rPr>
        <w:t>t</w:t>
      </w:r>
      <w:r w:rsidRPr="00883B27">
        <w:rPr>
          <w:lang w:val="en-GB"/>
        </w:rPr>
        <w:t>erritory</w:t>
      </w:r>
      <w:proofErr w:type="gramEnd"/>
      <w:r w:rsidRPr="00883B27">
        <w:rPr>
          <w:lang w:val="en-GB"/>
        </w:rPr>
        <w:t xml:space="preserve"> </w:t>
      </w:r>
      <w:r w:rsidR="002120A6">
        <w:rPr>
          <w:lang w:val="en-GB"/>
        </w:rPr>
        <w:t>o</w:t>
      </w:r>
      <w:r w:rsidRPr="00883B27">
        <w:rPr>
          <w:lang w:val="en-GB"/>
        </w:rPr>
        <w:t>fficials responsible for immunisation safety.</w:t>
      </w:r>
      <w:r w:rsidR="005941F9">
        <w:rPr>
          <w:lang w:val="en-GB"/>
        </w:rPr>
        <w:t xml:space="preserve"> </w:t>
      </w:r>
    </w:p>
    <w:p w14:paraId="2061D230" w14:textId="77777777" w:rsidR="001C7EB0" w:rsidRDefault="001C7EB0" w:rsidP="001C7EB0">
      <w:pPr>
        <w:pStyle w:val="Heading2"/>
        <w:rPr>
          <w:lang w:val="en-GB"/>
        </w:rPr>
      </w:pPr>
      <w:bookmarkStart w:id="6" w:name="_Toc22621889"/>
      <w:r>
        <w:rPr>
          <w:lang w:val="en-GB"/>
        </w:rPr>
        <w:t>Scope</w:t>
      </w:r>
      <w:bookmarkEnd w:id="6"/>
    </w:p>
    <w:p w14:paraId="63C92D43" w14:textId="77777777" w:rsidR="001C7EB0" w:rsidRDefault="001C7EB0" w:rsidP="001C7EB0">
      <w:pPr>
        <w:spacing w:after="0" w:line="240" w:lineRule="auto"/>
        <w:rPr>
          <w:rFonts w:ascii="Times New Roman" w:hAnsi="Times New Roman" w:cs="Times New Roman"/>
          <w:sz w:val="24"/>
          <w:szCs w:val="24"/>
          <w:lang w:eastAsia="en-AU"/>
        </w:rPr>
      </w:pPr>
      <w:r>
        <w:rPr>
          <w:lang w:val="en-GB"/>
        </w:rPr>
        <w:t xml:space="preserve">The Protocols do not cover the detailed investigation and analysis that form an essential part of any response to vaccine safety signals; nor do they apply to the immediate management of an adverse event by clinicians such as doctors and nurses. They focus on the interaction between the Commonwealth, state and territory governments and guide communication and coordination of national program and regulatory responses to adverse events following immunisation.  </w:t>
      </w:r>
    </w:p>
    <w:p w14:paraId="46309DBF" w14:textId="048916C2" w:rsidR="007D2003" w:rsidRDefault="007D2003" w:rsidP="004B7198">
      <w:pPr>
        <w:pStyle w:val="Heading2"/>
        <w:rPr>
          <w:lang w:val="en-GB"/>
        </w:rPr>
      </w:pPr>
      <w:bookmarkStart w:id="7" w:name="_Toc22621890"/>
      <w:r>
        <w:rPr>
          <w:lang w:val="en-GB"/>
        </w:rPr>
        <w:t>Coordination</w:t>
      </w:r>
      <w:bookmarkEnd w:id="7"/>
    </w:p>
    <w:p w14:paraId="1A3ACE38" w14:textId="34E24574" w:rsidR="007D2003" w:rsidRPr="007D2003" w:rsidRDefault="007D2003" w:rsidP="007D2003">
      <w:pPr>
        <w:rPr>
          <w:lang w:val="en-GB"/>
        </w:rPr>
      </w:pPr>
      <w:r>
        <w:rPr>
          <w:lang w:val="en-GB"/>
        </w:rPr>
        <w:t xml:space="preserve">Activities under these Protocols </w:t>
      </w:r>
      <w:proofErr w:type="gramStart"/>
      <w:r>
        <w:rPr>
          <w:lang w:val="en-GB"/>
        </w:rPr>
        <w:t>will generally be communicated and coordinated through the Jurisdictional Immunisation Co</w:t>
      </w:r>
      <w:r w:rsidR="005C7137">
        <w:rPr>
          <w:lang w:val="en-GB"/>
        </w:rPr>
        <w:t>ordinators</w:t>
      </w:r>
      <w:r w:rsidR="00956CE1">
        <w:rPr>
          <w:lang w:val="en-GB"/>
        </w:rPr>
        <w:t xml:space="preserve"> (JIC)</w:t>
      </w:r>
      <w:proofErr w:type="gramEnd"/>
      <w:r>
        <w:rPr>
          <w:lang w:val="en-GB"/>
        </w:rPr>
        <w:t>.</w:t>
      </w:r>
      <w:r w:rsidR="00956CE1">
        <w:rPr>
          <w:lang w:val="en-GB"/>
        </w:rPr>
        <w:t xml:space="preserve"> Membership of the JIC includes senior officials from the </w:t>
      </w:r>
      <w:proofErr w:type="gramStart"/>
      <w:r w:rsidR="00956CE1">
        <w:rPr>
          <w:lang w:val="en-GB"/>
        </w:rPr>
        <w:t>Australian and state</w:t>
      </w:r>
      <w:proofErr w:type="gramEnd"/>
      <w:r w:rsidR="00956CE1">
        <w:rPr>
          <w:lang w:val="en-GB"/>
        </w:rPr>
        <w:t xml:space="preserve"> and territory government</w:t>
      </w:r>
      <w:r w:rsidR="001C7EB0">
        <w:rPr>
          <w:lang w:val="en-GB"/>
        </w:rPr>
        <w:t xml:space="preserve"> health</w:t>
      </w:r>
      <w:r w:rsidR="00956CE1">
        <w:rPr>
          <w:lang w:val="en-GB"/>
        </w:rPr>
        <w:t xml:space="preserve"> departments with responsibility for </w:t>
      </w:r>
      <w:r w:rsidR="00A32706">
        <w:rPr>
          <w:lang w:val="en-GB"/>
        </w:rPr>
        <w:lastRenderedPageBreak/>
        <w:t xml:space="preserve">immunisation. </w:t>
      </w:r>
      <w:r w:rsidR="00956CE1">
        <w:rPr>
          <w:lang w:val="en-GB"/>
        </w:rPr>
        <w:t xml:space="preserve">The </w:t>
      </w:r>
      <w:r w:rsidR="00B57070">
        <w:rPr>
          <w:lang w:val="en-GB"/>
        </w:rPr>
        <w:t>role</w:t>
      </w:r>
      <w:r w:rsidR="00956CE1">
        <w:rPr>
          <w:lang w:val="en-GB"/>
        </w:rPr>
        <w:t xml:space="preserve"> of the committee is to share information and coordinate activities relating to immunisation at a national level.</w:t>
      </w:r>
    </w:p>
    <w:p w14:paraId="26E4D9B5" w14:textId="7128D2EC" w:rsidR="00C03D84" w:rsidRDefault="00C03D84" w:rsidP="004B7198">
      <w:pPr>
        <w:pStyle w:val="Heading2"/>
        <w:rPr>
          <w:lang w:val="en-GB"/>
        </w:rPr>
      </w:pPr>
      <w:bookmarkStart w:id="8" w:name="_Toc22621891"/>
      <w:r>
        <w:rPr>
          <w:lang w:val="en-GB"/>
        </w:rPr>
        <w:t>Authority</w:t>
      </w:r>
      <w:bookmarkEnd w:id="8"/>
    </w:p>
    <w:p w14:paraId="49B71F2A" w14:textId="5BCB93B2" w:rsidR="00C03D84" w:rsidRDefault="00C03D84" w:rsidP="00C03D84">
      <w:pPr>
        <w:rPr>
          <w:lang w:val="en-GB"/>
        </w:rPr>
      </w:pPr>
      <w:r>
        <w:rPr>
          <w:lang w:val="en-GB"/>
        </w:rPr>
        <w:t xml:space="preserve">The Protocols were endorsed by </w:t>
      </w:r>
      <w:r w:rsidR="00813986">
        <w:rPr>
          <w:lang w:val="en-GB"/>
        </w:rPr>
        <w:t>Commonwealth,</w:t>
      </w:r>
      <w:r>
        <w:rPr>
          <w:lang w:val="en-GB"/>
        </w:rPr>
        <w:t xml:space="preserve"> </w:t>
      </w:r>
      <w:r w:rsidR="002120A6">
        <w:rPr>
          <w:lang w:val="en-GB"/>
        </w:rPr>
        <w:t>s</w:t>
      </w:r>
      <w:r>
        <w:rPr>
          <w:lang w:val="en-GB"/>
        </w:rPr>
        <w:t xml:space="preserve">tate and </w:t>
      </w:r>
      <w:r w:rsidR="002120A6">
        <w:rPr>
          <w:lang w:val="en-GB"/>
        </w:rPr>
        <w:t>t</w:t>
      </w:r>
      <w:r>
        <w:rPr>
          <w:lang w:val="en-GB"/>
        </w:rPr>
        <w:t xml:space="preserve">erritory </w:t>
      </w:r>
      <w:r w:rsidR="002120A6">
        <w:rPr>
          <w:lang w:val="en-GB"/>
        </w:rPr>
        <w:t>g</w:t>
      </w:r>
      <w:r>
        <w:rPr>
          <w:lang w:val="en-GB"/>
        </w:rPr>
        <w:t xml:space="preserve">overnment health departments through the </w:t>
      </w:r>
      <w:r w:rsidR="000D2E40">
        <w:rPr>
          <w:lang w:val="en-GB"/>
        </w:rPr>
        <w:t xml:space="preserve">Australian </w:t>
      </w:r>
      <w:r>
        <w:rPr>
          <w:lang w:val="en-GB"/>
        </w:rPr>
        <w:t xml:space="preserve">Health </w:t>
      </w:r>
      <w:r w:rsidR="002B31BD">
        <w:rPr>
          <w:lang w:val="en-GB"/>
        </w:rPr>
        <w:t>Protection</w:t>
      </w:r>
      <w:r>
        <w:rPr>
          <w:lang w:val="en-GB"/>
        </w:rPr>
        <w:t xml:space="preserve"> Principal Committee </w:t>
      </w:r>
      <w:r w:rsidR="000D2E40">
        <w:rPr>
          <w:lang w:val="en-GB"/>
        </w:rPr>
        <w:t xml:space="preserve">(AHPPC) </w:t>
      </w:r>
      <w:r>
        <w:rPr>
          <w:lang w:val="en-GB"/>
        </w:rPr>
        <w:t xml:space="preserve">on </w:t>
      </w:r>
      <w:r w:rsidR="00D4307F">
        <w:rPr>
          <w:lang w:val="en-GB"/>
        </w:rPr>
        <w:t>12 August 2020</w:t>
      </w:r>
      <w:r w:rsidRPr="00D4307F">
        <w:rPr>
          <w:lang w:val="en-GB"/>
        </w:rPr>
        <w:t>.</w:t>
      </w:r>
    </w:p>
    <w:p w14:paraId="78EF88CF" w14:textId="16AFFFDA" w:rsidR="00C03D84" w:rsidRDefault="00C03D84" w:rsidP="00C03D84">
      <w:pPr>
        <w:pStyle w:val="Heading1"/>
        <w:rPr>
          <w:lang w:val="en-GB"/>
        </w:rPr>
      </w:pPr>
      <w:bookmarkStart w:id="9" w:name="_Toc22621892"/>
      <w:r>
        <w:rPr>
          <w:lang w:val="en-GB"/>
        </w:rPr>
        <w:t>Section 2: Vaccine Safety Surveillance</w:t>
      </w:r>
      <w:bookmarkEnd w:id="9"/>
      <w:r w:rsidR="007727D5">
        <w:rPr>
          <w:lang w:val="en-GB"/>
        </w:rPr>
        <w:t xml:space="preserve"> </w:t>
      </w:r>
    </w:p>
    <w:p w14:paraId="5B83AC03" w14:textId="3AAB4B41" w:rsidR="00C03D84" w:rsidRDefault="0045436C" w:rsidP="004B7198">
      <w:pPr>
        <w:pStyle w:val="Heading2"/>
        <w:rPr>
          <w:lang w:val="en-GB"/>
        </w:rPr>
      </w:pPr>
      <w:bookmarkStart w:id="10" w:name="_Toc22621893"/>
      <w:r>
        <w:rPr>
          <w:lang w:val="en-GB"/>
        </w:rPr>
        <w:t>What is vaccine safety surveillance?</w:t>
      </w:r>
      <w:bookmarkEnd w:id="10"/>
    </w:p>
    <w:p w14:paraId="6B5BBDFB" w14:textId="23B826EF" w:rsidR="0045436C" w:rsidRDefault="00B57070" w:rsidP="0045436C">
      <w:pPr>
        <w:rPr>
          <w:lang w:val="en-GB"/>
        </w:rPr>
      </w:pPr>
      <w:proofErr w:type="gramStart"/>
      <w:r>
        <w:rPr>
          <w:lang w:val="en-GB"/>
        </w:rPr>
        <w:t>V</w:t>
      </w:r>
      <w:r w:rsidR="0045436C">
        <w:rPr>
          <w:lang w:val="en-GB"/>
        </w:rPr>
        <w:t>accine safety surveillance system</w:t>
      </w:r>
      <w:r>
        <w:rPr>
          <w:lang w:val="en-GB"/>
        </w:rPr>
        <w:t>s</w:t>
      </w:r>
      <w:proofErr w:type="gramEnd"/>
      <w:r>
        <w:rPr>
          <w:lang w:val="en-GB"/>
        </w:rPr>
        <w:t xml:space="preserve"> are</w:t>
      </w:r>
      <w:r w:rsidR="0045436C">
        <w:rPr>
          <w:lang w:val="en-GB"/>
        </w:rPr>
        <w:t xml:space="preserve"> designed to identify vaccine safety signals arising from adverse events following immunisation. </w:t>
      </w:r>
      <w:r>
        <w:rPr>
          <w:lang w:val="en-GB"/>
        </w:rPr>
        <w:t>Effective surveillance systems</w:t>
      </w:r>
      <w:r w:rsidR="0045436C">
        <w:rPr>
          <w:lang w:val="en-GB"/>
        </w:rPr>
        <w:t xml:space="preserve"> </w:t>
      </w:r>
      <w:r>
        <w:rPr>
          <w:lang w:val="en-GB"/>
        </w:rPr>
        <w:t>quickly identify significant safety signals</w:t>
      </w:r>
      <w:r w:rsidR="002120A6">
        <w:rPr>
          <w:lang w:val="en-GB"/>
        </w:rPr>
        <w:t>,</w:t>
      </w:r>
      <w:r>
        <w:rPr>
          <w:lang w:val="en-GB"/>
        </w:rPr>
        <w:t xml:space="preserve"> allowing</w:t>
      </w:r>
      <w:r w:rsidR="0045436C">
        <w:rPr>
          <w:lang w:val="en-GB"/>
        </w:rPr>
        <w:t xml:space="preserve"> prompt regulatory and program action to </w:t>
      </w:r>
      <w:proofErr w:type="gramStart"/>
      <w:r w:rsidR="0045436C">
        <w:rPr>
          <w:lang w:val="en-GB"/>
        </w:rPr>
        <w:t>be taken</w:t>
      </w:r>
      <w:proofErr w:type="gramEnd"/>
      <w:r w:rsidR="0045436C">
        <w:rPr>
          <w:lang w:val="en-GB"/>
        </w:rPr>
        <w:t xml:space="preserve"> to address the issue.</w:t>
      </w:r>
    </w:p>
    <w:p w14:paraId="244729A1" w14:textId="7582F078" w:rsidR="00134880" w:rsidRDefault="00134880" w:rsidP="004B7198">
      <w:pPr>
        <w:pStyle w:val="Heading2"/>
        <w:rPr>
          <w:lang w:val="en-GB"/>
        </w:rPr>
      </w:pPr>
      <w:bookmarkStart w:id="11" w:name="_Toc22621894"/>
      <w:r>
        <w:rPr>
          <w:lang w:val="en-GB"/>
        </w:rPr>
        <w:t>Australia’s vaccine safety surveillance system</w:t>
      </w:r>
      <w:bookmarkEnd w:id="11"/>
    </w:p>
    <w:p w14:paraId="75BC5AB6" w14:textId="3760096C" w:rsidR="0045436C" w:rsidRDefault="0045436C" w:rsidP="00AA1E1F">
      <w:pPr>
        <w:spacing w:after="0"/>
        <w:rPr>
          <w:lang w:val="en-GB"/>
        </w:rPr>
      </w:pPr>
      <w:r>
        <w:rPr>
          <w:lang w:val="en-GB"/>
        </w:rPr>
        <w:t>Australia</w:t>
      </w:r>
      <w:r w:rsidR="00AA1E1F">
        <w:rPr>
          <w:lang w:val="en-GB"/>
        </w:rPr>
        <w:t xml:space="preserve"> has a comprehensive</w:t>
      </w:r>
      <w:r>
        <w:rPr>
          <w:lang w:val="en-GB"/>
        </w:rPr>
        <w:t xml:space="preserve"> </w:t>
      </w:r>
      <w:proofErr w:type="gramStart"/>
      <w:r>
        <w:rPr>
          <w:lang w:val="en-GB"/>
        </w:rPr>
        <w:t xml:space="preserve">vaccine safety surveillance </w:t>
      </w:r>
      <w:r w:rsidR="00AA1E1F">
        <w:rPr>
          <w:lang w:val="en-GB"/>
        </w:rPr>
        <w:t>system</w:t>
      </w:r>
      <w:proofErr w:type="gramEnd"/>
      <w:r w:rsidR="00AA1E1F">
        <w:rPr>
          <w:lang w:val="en-GB"/>
        </w:rPr>
        <w:t xml:space="preserve"> in place to detect vaccine safety signals. It includes the following components:</w:t>
      </w:r>
    </w:p>
    <w:p w14:paraId="582AFACF" w14:textId="77777777" w:rsidR="006227DF" w:rsidRDefault="00134880" w:rsidP="006227DF">
      <w:pPr>
        <w:pStyle w:val="ListParagraph"/>
        <w:numPr>
          <w:ilvl w:val="0"/>
          <w:numId w:val="5"/>
        </w:numPr>
        <w:ind w:left="426"/>
        <w:rPr>
          <w:shd w:val="clear" w:color="auto" w:fill="FFFFFF"/>
        </w:rPr>
      </w:pPr>
      <w:r>
        <w:rPr>
          <w:shd w:val="clear" w:color="auto" w:fill="FFFFFF"/>
        </w:rPr>
        <w:t>The Therapeutic Goods Administration (TGA</w:t>
      </w:r>
      <w:r w:rsidR="00303C31">
        <w:rPr>
          <w:rStyle w:val="FootnoteReference"/>
          <w:shd w:val="clear" w:color="auto" w:fill="FFFFFF"/>
        </w:rPr>
        <w:footnoteReference w:id="1"/>
      </w:r>
      <w:r>
        <w:rPr>
          <w:shd w:val="clear" w:color="auto" w:fill="FFFFFF"/>
        </w:rPr>
        <w:t>)</w:t>
      </w:r>
      <w:r w:rsidR="002120A6">
        <w:rPr>
          <w:shd w:val="clear" w:color="auto" w:fill="FFFFFF"/>
        </w:rPr>
        <w:t>,</w:t>
      </w:r>
      <w:r>
        <w:rPr>
          <w:shd w:val="clear" w:color="auto" w:fill="FFFFFF"/>
        </w:rPr>
        <w:t xml:space="preserve"> </w:t>
      </w:r>
      <w:r w:rsidR="002120A6">
        <w:rPr>
          <w:shd w:val="clear" w:color="auto" w:fill="FFFFFF"/>
        </w:rPr>
        <w:t xml:space="preserve">which </w:t>
      </w:r>
      <w:r>
        <w:rPr>
          <w:shd w:val="clear" w:color="auto" w:fill="FFFFFF"/>
        </w:rPr>
        <w:t xml:space="preserve">is responsible for ensuring the safety of vaccines used in Australia. </w:t>
      </w:r>
      <w:r w:rsidR="006227DF">
        <w:rPr>
          <w:shd w:val="clear" w:color="auto" w:fill="FFFFFF"/>
        </w:rPr>
        <w:t xml:space="preserve"> </w:t>
      </w:r>
    </w:p>
    <w:p w14:paraId="3902D01D" w14:textId="690AA363" w:rsidR="00B57070" w:rsidRPr="006227DF" w:rsidRDefault="00134880" w:rsidP="006227DF">
      <w:pPr>
        <w:pStyle w:val="ListParagraph"/>
        <w:numPr>
          <w:ilvl w:val="0"/>
          <w:numId w:val="5"/>
        </w:numPr>
        <w:ind w:left="426"/>
        <w:rPr>
          <w:shd w:val="clear" w:color="auto" w:fill="FFFFFF"/>
        </w:rPr>
      </w:pPr>
      <w:r w:rsidRPr="006227DF">
        <w:rPr>
          <w:shd w:val="clear" w:color="auto" w:fill="FFFFFF"/>
        </w:rPr>
        <w:t>The TGA monitors the international literature and is a member o</w:t>
      </w:r>
      <w:r w:rsidR="00B57070" w:rsidRPr="006227DF">
        <w:rPr>
          <w:shd w:val="clear" w:color="auto" w:fill="FFFFFF"/>
        </w:rPr>
        <w:t>f</w:t>
      </w:r>
      <w:r w:rsidRPr="006227DF">
        <w:rPr>
          <w:shd w:val="clear" w:color="auto" w:fill="FFFFFF"/>
        </w:rPr>
        <w:t xml:space="preserve"> international collaborations </w:t>
      </w:r>
      <w:r w:rsidR="00B57070" w:rsidRPr="006227DF">
        <w:rPr>
          <w:shd w:val="clear" w:color="auto" w:fill="FFFFFF"/>
        </w:rPr>
        <w:t xml:space="preserve">relating to immunisation </w:t>
      </w:r>
      <w:r w:rsidRPr="006227DF">
        <w:rPr>
          <w:shd w:val="clear" w:color="auto" w:fill="FFFFFF"/>
        </w:rPr>
        <w:t>to ensure it is aware of any safety issues reported in other countries.</w:t>
      </w:r>
    </w:p>
    <w:p w14:paraId="42308E80" w14:textId="23D3DDDA" w:rsidR="00134880" w:rsidRDefault="00B57070" w:rsidP="00AA1E1F">
      <w:pPr>
        <w:pStyle w:val="ListParagraph"/>
        <w:numPr>
          <w:ilvl w:val="0"/>
          <w:numId w:val="5"/>
        </w:numPr>
        <w:ind w:left="426"/>
        <w:rPr>
          <w:shd w:val="clear" w:color="auto" w:fill="FFFFFF"/>
        </w:rPr>
      </w:pPr>
      <w:r>
        <w:rPr>
          <w:shd w:val="clear" w:color="auto" w:fill="FFFFFF"/>
        </w:rPr>
        <w:t>C</w:t>
      </w:r>
      <w:r w:rsidR="00134880">
        <w:rPr>
          <w:shd w:val="clear" w:color="auto" w:fill="FFFFFF"/>
        </w:rPr>
        <w:t xml:space="preserve">ompanies that </w:t>
      </w:r>
      <w:r>
        <w:rPr>
          <w:shd w:val="clear" w:color="auto" w:fill="FFFFFF"/>
        </w:rPr>
        <w:t>supply</w:t>
      </w:r>
      <w:r w:rsidR="00134880">
        <w:rPr>
          <w:shd w:val="clear" w:color="auto" w:fill="FFFFFF"/>
        </w:rPr>
        <w:t xml:space="preserve"> vaccines </w:t>
      </w:r>
      <w:r>
        <w:rPr>
          <w:shd w:val="clear" w:color="auto" w:fill="FFFFFF"/>
        </w:rPr>
        <w:t xml:space="preserve">in Australia </w:t>
      </w:r>
      <w:proofErr w:type="gramStart"/>
      <w:r w:rsidR="00134880">
        <w:rPr>
          <w:shd w:val="clear" w:color="auto" w:fill="FFFFFF"/>
        </w:rPr>
        <w:t>are required</w:t>
      </w:r>
      <w:proofErr w:type="gramEnd"/>
      <w:r w:rsidR="00134880">
        <w:rPr>
          <w:shd w:val="clear" w:color="auto" w:fill="FFFFFF"/>
        </w:rPr>
        <w:t xml:space="preserve"> by law to report </w:t>
      </w:r>
      <w:r w:rsidR="001C7EB0">
        <w:rPr>
          <w:shd w:val="clear" w:color="auto" w:fill="FFFFFF"/>
        </w:rPr>
        <w:t xml:space="preserve">serious adverse events and </w:t>
      </w:r>
      <w:r w:rsidR="00134880">
        <w:rPr>
          <w:shd w:val="clear" w:color="auto" w:fill="FFFFFF"/>
        </w:rPr>
        <w:t xml:space="preserve">any </w:t>
      </w:r>
      <w:r w:rsidR="001C7EB0">
        <w:rPr>
          <w:shd w:val="clear" w:color="auto" w:fill="FFFFFF"/>
        </w:rPr>
        <w:t xml:space="preserve">safety </w:t>
      </w:r>
      <w:r w:rsidR="00134880">
        <w:rPr>
          <w:shd w:val="clear" w:color="auto" w:fill="FFFFFF"/>
        </w:rPr>
        <w:t>issues they become aware of to the TGA.</w:t>
      </w:r>
    </w:p>
    <w:p w14:paraId="2BC14224" w14:textId="1840C782" w:rsidR="00134880" w:rsidRPr="006227DF" w:rsidRDefault="00134880" w:rsidP="006227DF">
      <w:pPr>
        <w:pStyle w:val="ListParagraph"/>
        <w:numPr>
          <w:ilvl w:val="0"/>
          <w:numId w:val="5"/>
        </w:numPr>
        <w:ind w:left="426"/>
        <w:rPr>
          <w:shd w:val="clear" w:color="auto" w:fill="FFFFFF"/>
        </w:rPr>
      </w:pPr>
      <w:r>
        <w:rPr>
          <w:shd w:val="clear" w:color="auto" w:fill="FFFFFF"/>
        </w:rPr>
        <w:t>Clinicians and individuals can report adverse events to the TGA</w:t>
      </w:r>
      <w:r w:rsidR="006227DF">
        <w:rPr>
          <w:shd w:val="clear" w:color="auto" w:fill="FFFFFF"/>
        </w:rPr>
        <w:t xml:space="preserve"> or their state or territory health department</w:t>
      </w:r>
      <w:r>
        <w:rPr>
          <w:shd w:val="clear" w:color="auto" w:fill="FFFFFF"/>
        </w:rPr>
        <w:t>.</w:t>
      </w:r>
      <w:r w:rsidR="00BD0B79">
        <w:rPr>
          <w:shd w:val="clear" w:color="auto" w:fill="FFFFFF"/>
        </w:rPr>
        <w:t xml:space="preserve"> </w:t>
      </w:r>
      <w:r w:rsidR="006227DF">
        <w:rPr>
          <w:shd w:val="clear" w:color="auto" w:fill="FFFFFF"/>
        </w:rPr>
        <w:t xml:space="preserve">Many clinics provide information to consumers on how to report an adverse event following immunisation. </w:t>
      </w:r>
    </w:p>
    <w:p w14:paraId="4619E899" w14:textId="18FCAFAC" w:rsidR="006227DF" w:rsidRPr="006227DF" w:rsidRDefault="00134880" w:rsidP="00134880">
      <w:pPr>
        <w:pStyle w:val="ListParagraph"/>
        <w:numPr>
          <w:ilvl w:val="0"/>
          <w:numId w:val="5"/>
        </w:numPr>
        <w:ind w:left="426"/>
        <w:rPr>
          <w:shd w:val="clear" w:color="auto" w:fill="FFFFFF"/>
        </w:rPr>
      </w:pPr>
      <w:r>
        <w:t>Most states and territories have legislation requiring clinicians to report adverse events following immunisation</w:t>
      </w:r>
      <w:r w:rsidR="00FA340A">
        <w:t xml:space="preserve"> to them</w:t>
      </w:r>
      <w:r>
        <w:t xml:space="preserve">. They </w:t>
      </w:r>
      <w:r w:rsidR="00FA340A">
        <w:t>share</w:t>
      </w:r>
      <w:r>
        <w:t xml:space="preserve"> this information </w:t>
      </w:r>
      <w:r w:rsidR="00FA340A">
        <w:t>with</w:t>
      </w:r>
      <w:r>
        <w:t xml:space="preserve"> the TGA. </w:t>
      </w:r>
    </w:p>
    <w:p w14:paraId="4C5DB5F6" w14:textId="3D12682B" w:rsidR="00134880" w:rsidRDefault="00134880" w:rsidP="00303C31">
      <w:pPr>
        <w:pStyle w:val="ListParagraph"/>
        <w:numPr>
          <w:ilvl w:val="0"/>
          <w:numId w:val="5"/>
        </w:numPr>
        <w:ind w:left="426"/>
        <w:rPr>
          <w:shd w:val="clear" w:color="auto" w:fill="FFFFFF"/>
        </w:rPr>
      </w:pPr>
      <w:r>
        <w:rPr>
          <w:shd w:val="clear" w:color="auto" w:fill="FFFFFF"/>
        </w:rPr>
        <w:t xml:space="preserve">The Australian Government has funded </w:t>
      </w:r>
      <w:proofErr w:type="spellStart"/>
      <w:r w:rsidR="002B31BD">
        <w:rPr>
          <w:shd w:val="clear" w:color="auto" w:fill="FFFFFF"/>
        </w:rPr>
        <w:t>AusVaxSafety</w:t>
      </w:r>
      <w:proofErr w:type="spellEnd"/>
      <w:r w:rsidR="002B31BD">
        <w:rPr>
          <w:shd w:val="clear" w:color="auto" w:fill="FFFFFF"/>
        </w:rPr>
        <w:t xml:space="preserve">, </w:t>
      </w:r>
      <w:r>
        <w:rPr>
          <w:shd w:val="clear" w:color="auto" w:fill="FFFFFF"/>
        </w:rPr>
        <w:t xml:space="preserve">a system that allows GPs and clinics </w:t>
      </w:r>
      <w:proofErr w:type="gramStart"/>
      <w:r>
        <w:rPr>
          <w:shd w:val="clear" w:color="auto" w:fill="FFFFFF"/>
        </w:rPr>
        <w:t xml:space="preserve">to </w:t>
      </w:r>
      <w:r w:rsidR="001C7EB0">
        <w:rPr>
          <w:shd w:val="clear" w:color="auto" w:fill="FFFFFF"/>
        </w:rPr>
        <w:t>proactively follow</w:t>
      </w:r>
      <w:proofErr w:type="gramEnd"/>
      <w:r w:rsidR="001C7EB0">
        <w:rPr>
          <w:shd w:val="clear" w:color="auto" w:fill="FFFFFF"/>
        </w:rPr>
        <w:t xml:space="preserve"> up with </w:t>
      </w:r>
      <w:r w:rsidR="00A404A6">
        <w:rPr>
          <w:shd w:val="clear" w:color="auto" w:fill="FFFFFF"/>
        </w:rPr>
        <w:t xml:space="preserve">people receiving vaccines, </w:t>
      </w:r>
      <w:r w:rsidR="00EA3B48">
        <w:rPr>
          <w:shd w:val="clear" w:color="auto" w:fill="FFFFFF"/>
        </w:rPr>
        <w:t xml:space="preserve">their </w:t>
      </w:r>
      <w:r w:rsidR="001C7EB0">
        <w:rPr>
          <w:shd w:val="clear" w:color="auto" w:fill="FFFFFF"/>
        </w:rPr>
        <w:t xml:space="preserve">parents </w:t>
      </w:r>
      <w:r w:rsidR="00EA3B48">
        <w:rPr>
          <w:shd w:val="clear" w:color="auto" w:fill="FFFFFF"/>
        </w:rPr>
        <w:t>or carers</w:t>
      </w:r>
      <w:r w:rsidR="004053CD">
        <w:rPr>
          <w:shd w:val="clear" w:color="auto" w:fill="FFFFFF"/>
        </w:rPr>
        <w:t>,</w:t>
      </w:r>
      <w:r w:rsidR="00EA3B48">
        <w:rPr>
          <w:shd w:val="clear" w:color="auto" w:fill="FFFFFF"/>
        </w:rPr>
        <w:t xml:space="preserve"> </w:t>
      </w:r>
      <w:r w:rsidR="001C7EB0">
        <w:rPr>
          <w:shd w:val="clear" w:color="auto" w:fill="FFFFFF"/>
        </w:rPr>
        <w:t xml:space="preserve">via </w:t>
      </w:r>
      <w:r w:rsidR="00E162AE">
        <w:rPr>
          <w:shd w:val="clear" w:color="auto" w:fill="FFFFFF"/>
        </w:rPr>
        <w:t xml:space="preserve">text </w:t>
      </w:r>
      <w:r w:rsidR="001C7EB0">
        <w:rPr>
          <w:shd w:val="clear" w:color="auto" w:fill="FFFFFF"/>
        </w:rPr>
        <w:t xml:space="preserve">message to ask whether </w:t>
      </w:r>
      <w:r w:rsidR="00E162AE">
        <w:rPr>
          <w:shd w:val="clear" w:color="auto" w:fill="FFFFFF"/>
        </w:rPr>
        <w:t>the</w:t>
      </w:r>
      <w:r w:rsidR="00EA3B48">
        <w:rPr>
          <w:shd w:val="clear" w:color="auto" w:fill="FFFFFF"/>
        </w:rPr>
        <w:t>y</w:t>
      </w:r>
      <w:r w:rsidR="00A404A6">
        <w:rPr>
          <w:shd w:val="clear" w:color="auto" w:fill="FFFFFF"/>
        </w:rPr>
        <w:t>,</w:t>
      </w:r>
      <w:r w:rsidR="001C7EB0">
        <w:rPr>
          <w:shd w:val="clear" w:color="auto" w:fill="FFFFFF"/>
        </w:rPr>
        <w:t xml:space="preserve"> </w:t>
      </w:r>
      <w:r w:rsidR="00EA3B48">
        <w:rPr>
          <w:shd w:val="clear" w:color="auto" w:fill="FFFFFF"/>
        </w:rPr>
        <w:t xml:space="preserve">or their </w:t>
      </w:r>
      <w:r w:rsidR="001C7EB0">
        <w:rPr>
          <w:shd w:val="clear" w:color="auto" w:fill="FFFFFF"/>
        </w:rPr>
        <w:t>child</w:t>
      </w:r>
      <w:r w:rsidR="00A404A6">
        <w:rPr>
          <w:shd w:val="clear" w:color="auto" w:fill="FFFFFF"/>
        </w:rPr>
        <w:t>,</w:t>
      </w:r>
      <w:r w:rsidR="00BD0B79">
        <w:rPr>
          <w:shd w:val="clear" w:color="auto" w:fill="FFFFFF"/>
        </w:rPr>
        <w:t xml:space="preserve"> experience</w:t>
      </w:r>
      <w:r w:rsidR="00B57070">
        <w:rPr>
          <w:shd w:val="clear" w:color="auto" w:fill="FFFFFF"/>
        </w:rPr>
        <w:t>d</w:t>
      </w:r>
      <w:r w:rsidR="00BD0B79">
        <w:rPr>
          <w:shd w:val="clear" w:color="auto" w:fill="FFFFFF"/>
        </w:rPr>
        <w:t xml:space="preserve"> a</w:t>
      </w:r>
      <w:r w:rsidR="00E162AE">
        <w:rPr>
          <w:shd w:val="clear" w:color="auto" w:fill="FFFFFF"/>
        </w:rPr>
        <w:t xml:space="preserve"> reaction </w:t>
      </w:r>
      <w:r w:rsidR="00BD0B79">
        <w:rPr>
          <w:shd w:val="clear" w:color="auto" w:fill="FFFFFF"/>
        </w:rPr>
        <w:t>following the vaccination</w:t>
      </w:r>
      <w:r w:rsidR="00E162AE">
        <w:rPr>
          <w:shd w:val="clear" w:color="auto" w:fill="FFFFFF"/>
        </w:rPr>
        <w:t xml:space="preserve">. </w:t>
      </w:r>
      <w:r w:rsidR="00E162AE" w:rsidRPr="00303C31">
        <w:rPr>
          <w:shd w:val="clear" w:color="auto" w:fill="FFFFFF"/>
        </w:rPr>
        <w:t xml:space="preserve">This system is increasing our knowledge about </w:t>
      </w:r>
      <w:r w:rsidR="00BD0B79" w:rsidRPr="00303C31">
        <w:rPr>
          <w:shd w:val="clear" w:color="auto" w:fill="FFFFFF"/>
        </w:rPr>
        <w:t xml:space="preserve">the </w:t>
      </w:r>
      <w:r w:rsidR="00E162AE" w:rsidRPr="00303C31">
        <w:rPr>
          <w:shd w:val="clear" w:color="auto" w:fill="FFFFFF"/>
        </w:rPr>
        <w:t>more common minor adverse events</w:t>
      </w:r>
      <w:r w:rsidR="000562D7">
        <w:rPr>
          <w:shd w:val="clear" w:color="auto" w:fill="FFFFFF"/>
        </w:rPr>
        <w:t xml:space="preserve"> and providing reassurance that vaccines are safe</w:t>
      </w:r>
      <w:r w:rsidR="00E162AE" w:rsidRPr="00303C31">
        <w:rPr>
          <w:shd w:val="clear" w:color="auto" w:fill="FFFFFF"/>
        </w:rPr>
        <w:t>.</w:t>
      </w:r>
    </w:p>
    <w:p w14:paraId="54ACAF0E" w14:textId="1DDD60E2" w:rsidR="00E162AE" w:rsidRPr="004B7198" w:rsidRDefault="00E162AE" w:rsidP="004B7198">
      <w:pPr>
        <w:pStyle w:val="Heading2"/>
        <w:rPr>
          <w:lang w:val="en-GB"/>
        </w:rPr>
      </w:pPr>
      <w:bookmarkStart w:id="12" w:name="_Toc22621895"/>
      <w:r w:rsidRPr="004B7198">
        <w:rPr>
          <w:lang w:val="en-GB"/>
        </w:rPr>
        <w:t>Identifying a safety signal</w:t>
      </w:r>
      <w:bookmarkEnd w:id="12"/>
    </w:p>
    <w:p w14:paraId="682F096F" w14:textId="68A559A6" w:rsidR="00BD0B79" w:rsidRDefault="00BD0B79" w:rsidP="00BD0B79">
      <w:pPr>
        <w:rPr>
          <w:shd w:val="clear" w:color="auto" w:fill="FFFFFF"/>
        </w:rPr>
      </w:pPr>
      <w:r>
        <w:rPr>
          <w:shd w:val="clear" w:color="auto" w:fill="FFFFFF"/>
        </w:rPr>
        <w:t xml:space="preserve">Identifying a safety signal can involve multiple steps. It may </w:t>
      </w:r>
      <w:r w:rsidR="006270A1">
        <w:rPr>
          <w:shd w:val="clear" w:color="auto" w:fill="FFFFFF"/>
        </w:rPr>
        <w:t>result from</w:t>
      </w:r>
      <w:r>
        <w:rPr>
          <w:shd w:val="clear" w:color="auto" w:fill="FFFFFF"/>
        </w:rPr>
        <w:t xml:space="preserve"> clinicians</w:t>
      </w:r>
      <w:r w:rsidR="006270A1">
        <w:rPr>
          <w:shd w:val="clear" w:color="auto" w:fill="FFFFFF"/>
        </w:rPr>
        <w:t xml:space="preserve"> or patients reporting</w:t>
      </w:r>
      <w:r>
        <w:rPr>
          <w:shd w:val="clear" w:color="auto" w:fill="FFFFFF"/>
        </w:rPr>
        <w:t xml:space="preserve"> that they are seeing </w:t>
      </w:r>
      <w:r w:rsidR="006270A1">
        <w:rPr>
          <w:shd w:val="clear" w:color="auto" w:fill="FFFFFF"/>
        </w:rPr>
        <w:t xml:space="preserve">or experiencing </w:t>
      </w:r>
      <w:r>
        <w:rPr>
          <w:shd w:val="clear" w:color="auto" w:fill="FFFFFF"/>
        </w:rPr>
        <w:t xml:space="preserve">something unusual, for </w:t>
      </w:r>
      <w:proofErr w:type="gramStart"/>
      <w:r>
        <w:rPr>
          <w:shd w:val="clear" w:color="auto" w:fill="FFFFFF"/>
        </w:rPr>
        <w:t>example</w:t>
      </w:r>
      <w:proofErr w:type="gramEnd"/>
      <w:r>
        <w:rPr>
          <w:shd w:val="clear" w:color="auto" w:fill="FFFFFF"/>
        </w:rPr>
        <w:t xml:space="preserve"> more children experiencing high fevers tha</w:t>
      </w:r>
      <w:r w:rsidR="00B57070">
        <w:rPr>
          <w:shd w:val="clear" w:color="auto" w:fill="FFFFFF"/>
        </w:rPr>
        <w:t>n</w:t>
      </w:r>
      <w:r>
        <w:rPr>
          <w:shd w:val="clear" w:color="auto" w:fill="FFFFFF"/>
        </w:rPr>
        <w:t xml:space="preserve"> usual</w:t>
      </w:r>
      <w:r w:rsidR="006270A1">
        <w:rPr>
          <w:shd w:val="clear" w:color="auto" w:fill="FFFFFF"/>
        </w:rPr>
        <w:t xml:space="preserve"> following a vaccination</w:t>
      </w:r>
      <w:r w:rsidR="00B57070">
        <w:rPr>
          <w:shd w:val="clear" w:color="auto" w:fill="FFFFFF"/>
        </w:rPr>
        <w:t>;</w:t>
      </w:r>
      <w:r>
        <w:rPr>
          <w:shd w:val="clear" w:color="auto" w:fill="FFFFFF"/>
        </w:rPr>
        <w:t xml:space="preserve"> it may be a serious one-off event</w:t>
      </w:r>
      <w:r w:rsidR="006270A1">
        <w:rPr>
          <w:shd w:val="clear" w:color="auto" w:fill="FFFFFF"/>
        </w:rPr>
        <w:t xml:space="preserve"> where there is a clear relationship</w:t>
      </w:r>
      <w:r w:rsidR="000037C6">
        <w:rPr>
          <w:shd w:val="clear" w:color="auto" w:fill="FFFFFF"/>
        </w:rPr>
        <w:t xml:space="preserve"> to vaccination</w:t>
      </w:r>
      <w:r w:rsidR="00B57070">
        <w:rPr>
          <w:shd w:val="clear" w:color="auto" w:fill="FFFFFF"/>
        </w:rPr>
        <w:t>;</w:t>
      </w:r>
      <w:r>
        <w:rPr>
          <w:shd w:val="clear" w:color="auto" w:fill="FFFFFF"/>
        </w:rPr>
        <w:t xml:space="preserve"> or it could be a pattern </w:t>
      </w:r>
      <w:r w:rsidR="006270A1">
        <w:rPr>
          <w:shd w:val="clear" w:color="auto" w:fill="FFFFFF"/>
        </w:rPr>
        <w:t xml:space="preserve">of adverse event reporting </w:t>
      </w:r>
      <w:r w:rsidR="004441E3">
        <w:rPr>
          <w:shd w:val="clear" w:color="auto" w:fill="FFFFFF"/>
        </w:rPr>
        <w:t>identified through statistical data analysis</w:t>
      </w:r>
      <w:r>
        <w:rPr>
          <w:shd w:val="clear" w:color="auto" w:fill="FFFFFF"/>
        </w:rPr>
        <w:t>.</w:t>
      </w:r>
    </w:p>
    <w:p w14:paraId="4657275F" w14:textId="281237DF" w:rsidR="006270A1" w:rsidRDefault="00BD0B79" w:rsidP="006270A1">
      <w:pPr>
        <w:rPr>
          <w:shd w:val="clear" w:color="auto" w:fill="FFFFFF"/>
        </w:rPr>
      </w:pPr>
      <w:r w:rsidRPr="00BD0B79">
        <w:rPr>
          <w:shd w:val="clear" w:color="auto" w:fill="FFFFFF"/>
        </w:rPr>
        <w:t>Most states and territories collate and examine the data they receive on adverse events</w:t>
      </w:r>
      <w:r>
        <w:rPr>
          <w:shd w:val="clear" w:color="auto" w:fill="FFFFFF"/>
        </w:rPr>
        <w:t xml:space="preserve"> and the</w:t>
      </w:r>
      <w:r w:rsidRPr="00BD0B79">
        <w:rPr>
          <w:shd w:val="clear" w:color="auto" w:fill="FFFFFF"/>
        </w:rPr>
        <w:t xml:space="preserve"> TGA collates the data nationally and </w:t>
      </w:r>
      <w:r w:rsidR="00956CE1">
        <w:rPr>
          <w:shd w:val="clear" w:color="auto" w:fill="FFFFFF"/>
        </w:rPr>
        <w:t xml:space="preserve">analyses it to </w:t>
      </w:r>
      <w:r w:rsidRPr="00BD0B79">
        <w:rPr>
          <w:shd w:val="clear" w:color="auto" w:fill="FFFFFF"/>
        </w:rPr>
        <w:t>identify events or patterns that could constitute a safety signal.</w:t>
      </w:r>
      <w:r w:rsidR="00A32706">
        <w:rPr>
          <w:shd w:val="clear" w:color="auto" w:fill="FFFFFF"/>
        </w:rPr>
        <w:t xml:space="preserve"> </w:t>
      </w:r>
      <w:r w:rsidR="006270A1">
        <w:rPr>
          <w:shd w:val="clear" w:color="auto" w:fill="FFFFFF"/>
        </w:rPr>
        <w:t xml:space="preserve">Once a signal </w:t>
      </w:r>
      <w:proofErr w:type="gramStart"/>
      <w:r w:rsidR="006270A1">
        <w:rPr>
          <w:shd w:val="clear" w:color="auto" w:fill="FFFFFF"/>
        </w:rPr>
        <w:t>is suspected</w:t>
      </w:r>
      <w:proofErr w:type="gramEnd"/>
      <w:r w:rsidR="006270A1">
        <w:rPr>
          <w:shd w:val="clear" w:color="auto" w:fill="FFFFFF"/>
        </w:rPr>
        <w:t>, information is shared wi</w:t>
      </w:r>
      <w:r w:rsidR="00A32706">
        <w:rPr>
          <w:shd w:val="clear" w:color="auto" w:fill="FFFFFF"/>
        </w:rPr>
        <w:t xml:space="preserve">th the states and territories. </w:t>
      </w:r>
      <w:r w:rsidR="006270A1">
        <w:rPr>
          <w:shd w:val="clear" w:color="auto" w:fill="FFFFFF"/>
        </w:rPr>
        <w:t>The TGA is responsible for determining whether the signal requires further action.</w:t>
      </w:r>
    </w:p>
    <w:p w14:paraId="32FC4B79" w14:textId="14114A4A" w:rsidR="00BD0B79" w:rsidRDefault="00BD0B79" w:rsidP="00BD0B79">
      <w:pPr>
        <w:rPr>
          <w:shd w:val="clear" w:color="auto" w:fill="FFFFFF"/>
        </w:rPr>
      </w:pPr>
      <w:r w:rsidRPr="00BD0B79">
        <w:rPr>
          <w:shd w:val="clear" w:color="auto" w:fill="FFFFFF"/>
        </w:rPr>
        <w:lastRenderedPageBreak/>
        <w:t>In the event of a serious adverse event, the TGA will work with the relevant state</w:t>
      </w:r>
      <w:r w:rsidR="004441E3">
        <w:rPr>
          <w:shd w:val="clear" w:color="auto" w:fill="FFFFFF"/>
        </w:rPr>
        <w:t xml:space="preserve"> or territory</w:t>
      </w:r>
      <w:r w:rsidRPr="00BD0B79">
        <w:rPr>
          <w:shd w:val="clear" w:color="auto" w:fill="FFFFFF"/>
        </w:rPr>
        <w:t xml:space="preserve"> </w:t>
      </w:r>
      <w:r w:rsidR="004441E3">
        <w:rPr>
          <w:shd w:val="clear" w:color="auto" w:fill="FFFFFF"/>
        </w:rPr>
        <w:t>officials</w:t>
      </w:r>
      <w:r w:rsidRPr="00BD0B79">
        <w:rPr>
          <w:shd w:val="clear" w:color="auto" w:fill="FFFFFF"/>
        </w:rPr>
        <w:t xml:space="preserve"> as well as the treating clinicians to </w:t>
      </w:r>
      <w:r w:rsidR="004441E3">
        <w:rPr>
          <w:shd w:val="clear" w:color="auto" w:fill="FFFFFF"/>
        </w:rPr>
        <w:t xml:space="preserve">collate the necessary information and </w:t>
      </w:r>
      <w:r w:rsidRPr="00BD0B79">
        <w:rPr>
          <w:shd w:val="clear" w:color="auto" w:fill="FFFFFF"/>
        </w:rPr>
        <w:t>determine whether the vaccine was the cause.</w:t>
      </w:r>
      <w:r w:rsidR="00303C31">
        <w:rPr>
          <w:shd w:val="clear" w:color="auto" w:fill="FFFFFF"/>
        </w:rPr>
        <w:t xml:space="preserve">  </w:t>
      </w:r>
    </w:p>
    <w:p w14:paraId="367B6AB8" w14:textId="77777777" w:rsidR="00FD32C2" w:rsidRDefault="005B726F" w:rsidP="00FD32C2">
      <w:pPr>
        <w:pStyle w:val="Heading1"/>
        <w:rPr>
          <w:lang w:val="en-GB"/>
        </w:rPr>
      </w:pPr>
      <w:bookmarkStart w:id="13" w:name="_Toc22621896"/>
      <w:r>
        <w:rPr>
          <w:lang w:val="en-GB"/>
        </w:rPr>
        <w:t>Section 3: Responding to a potential safety signal</w:t>
      </w:r>
      <w:bookmarkEnd w:id="13"/>
    </w:p>
    <w:p w14:paraId="3058C473" w14:textId="1354C7A3" w:rsidR="0028309B" w:rsidRDefault="0028309B" w:rsidP="00FD32C2">
      <w:pPr>
        <w:pStyle w:val="Heading2"/>
        <w:rPr>
          <w:lang w:val="en-GB"/>
        </w:rPr>
      </w:pPr>
      <w:bookmarkStart w:id="14" w:name="_Toc22621897"/>
      <w:r w:rsidRPr="00FD32C2">
        <w:rPr>
          <w:lang w:val="en-GB"/>
        </w:rPr>
        <w:t>A phased approach</w:t>
      </w:r>
      <w:r w:rsidR="004441E3" w:rsidRPr="00FD32C2">
        <w:rPr>
          <w:lang w:val="en-GB"/>
        </w:rPr>
        <w:t xml:space="preserve"> that</w:t>
      </w:r>
      <w:r w:rsidR="00D600ED" w:rsidRPr="00FD32C2">
        <w:rPr>
          <w:lang w:val="en-GB"/>
        </w:rPr>
        <w:t xml:space="preserve"> includ</w:t>
      </w:r>
      <w:r w:rsidR="004441E3" w:rsidRPr="00FD32C2">
        <w:rPr>
          <w:lang w:val="en-GB"/>
        </w:rPr>
        <w:t>es</w:t>
      </w:r>
      <w:r w:rsidR="00D600ED" w:rsidRPr="00FD32C2">
        <w:rPr>
          <w:lang w:val="en-GB"/>
        </w:rPr>
        <w:t xml:space="preserve"> ongoing risk</w:t>
      </w:r>
      <w:r w:rsidR="00D600ED">
        <w:rPr>
          <w:lang w:val="en-GB"/>
        </w:rPr>
        <w:t xml:space="preserve"> assessment</w:t>
      </w:r>
      <w:bookmarkEnd w:id="14"/>
    </w:p>
    <w:p w14:paraId="0BE32437" w14:textId="011EC932" w:rsidR="0028309B" w:rsidRDefault="0028309B" w:rsidP="0028309B">
      <w:pPr>
        <w:rPr>
          <w:lang w:val="en-GB"/>
        </w:rPr>
      </w:pPr>
      <w:r>
        <w:rPr>
          <w:lang w:val="en-GB"/>
        </w:rPr>
        <w:t>The</w:t>
      </w:r>
      <w:r w:rsidR="000037C6">
        <w:rPr>
          <w:lang w:val="en-GB"/>
        </w:rPr>
        <w:t>se</w:t>
      </w:r>
      <w:r>
        <w:rPr>
          <w:lang w:val="en-GB"/>
        </w:rPr>
        <w:t xml:space="preserve"> Protocols set out </w:t>
      </w:r>
      <w:r w:rsidR="006D15E8">
        <w:rPr>
          <w:lang w:val="en-GB"/>
        </w:rPr>
        <w:t xml:space="preserve">the </w:t>
      </w:r>
      <w:r w:rsidR="00A32706">
        <w:rPr>
          <w:lang w:val="en-GB"/>
        </w:rPr>
        <w:t>approach to identify and respond</w:t>
      </w:r>
      <w:r>
        <w:rPr>
          <w:lang w:val="en-GB"/>
        </w:rPr>
        <w:t xml:space="preserve"> to safety signals</w:t>
      </w:r>
      <w:r w:rsidR="00A32706">
        <w:rPr>
          <w:lang w:val="en-GB"/>
        </w:rPr>
        <w:t xml:space="preserve">. </w:t>
      </w:r>
      <w:r w:rsidR="006D15E8">
        <w:rPr>
          <w:lang w:val="en-GB"/>
        </w:rPr>
        <w:t>They provide a phased approach designed to be responsive to the many different types of signals and ways in which they can present.</w:t>
      </w:r>
    </w:p>
    <w:p w14:paraId="2ECB2361" w14:textId="6C7593BA" w:rsidR="006D15E8" w:rsidRDefault="006D15E8" w:rsidP="004441E3">
      <w:pPr>
        <w:spacing w:after="0"/>
        <w:rPr>
          <w:lang w:val="en-GB"/>
        </w:rPr>
      </w:pPr>
      <w:r>
        <w:rPr>
          <w:lang w:val="en-GB"/>
        </w:rPr>
        <w:t xml:space="preserve">The </w:t>
      </w:r>
      <w:r w:rsidR="002120A6">
        <w:rPr>
          <w:lang w:val="en-GB"/>
        </w:rPr>
        <w:t xml:space="preserve">Protocols include the following </w:t>
      </w:r>
      <w:r>
        <w:rPr>
          <w:lang w:val="en-GB"/>
        </w:rPr>
        <w:t>four phases:</w:t>
      </w:r>
    </w:p>
    <w:p w14:paraId="113CF2F7" w14:textId="0B862E16" w:rsidR="006D15E8" w:rsidRDefault="006D15E8" w:rsidP="006D15E8">
      <w:pPr>
        <w:pStyle w:val="ListParagraph"/>
        <w:numPr>
          <w:ilvl w:val="0"/>
          <w:numId w:val="11"/>
        </w:numPr>
        <w:rPr>
          <w:lang w:val="en-GB"/>
        </w:rPr>
      </w:pPr>
      <w:r>
        <w:rPr>
          <w:lang w:val="en-GB"/>
        </w:rPr>
        <w:t xml:space="preserve">Phase 1: </w:t>
      </w:r>
      <w:r w:rsidRPr="006D15E8">
        <w:rPr>
          <w:lang w:val="en-GB"/>
        </w:rPr>
        <w:t>Investigate</w:t>
      </w:r>
      <w:r>
        <w:rPr>
          <w:lang w:val="en-GB"/>
        </w:rPr>
        <w:t xml:space="preserve"> – this phase is initiated when a signal is suspected and covers the investigation processes required to determine whether there is a real signal that requires a response to manage the risks </w:t>
      </w:r>
      <w:r w:rsidR="004441E3">
        <w:rPr>
          <w:lang w:val="en-GB"/>
        </w:rPr>
        <w:t>it poses</w:t>
      </w:r>
    </w:p>
    <w:p w14:paraId="0CE40218" w14:textId="10D4D754" w:rsidR="006D15E8" w:rsidRDefault="006D15E8" w:rsidP="006D15E8">
      <w:pPr>
        <w:pStyle w:val="ListParagraph"/>
        <w:numPr>
          <w:ilvl w:val="0"/>
          <w:numId w:val="11"/>
        </w:numPr>
        <w:rPr>
          <w:lang w:val="en-GB"/>
        </w:rPr>
      </w:pPr>
      <w:r>
        <w:rPr>
          <w:lang w:val="en-GB"/>
        </w:rPr>
        <w:t xml:space="preserve">Phase 2: Plan – this phase sets out the processes that are used to plan the actions that will be taken in response to </w:t>
      </w:r>
      <w:r w:rsidR="006270A1">
        <w:rPr>
          <w:lang w:val="en-GB"/>
        </w:rPr>
        <w:t>an identified</w:t>
      </w:r>
      <w:r w:rsidR="00A32706">
        <w:rPr>
          <w:lang w:val="en-GB"/>
        </w:rPr>
        <w:t xml:space="preserve"> signal</w:t>
      </w:r>
    </w:p>
    <w:p w14:paraId="62F33B39" w14:textId="6859BDBE" w:rsidR="006D15E8" w:rsidRDefault="006D15E8" w:rsidP="006D15E8">
      <w:pPr>
        <w:pStyle w:val="ListParagraph"/>
        <w:numPr>
          <w:ilvl w:val="0"/>
          <w:numId w:val="11"/>
        </w:numPr>
        <w:rPr>
          <w:lang w:val="en-GB"/>
        </w:rPr>
      </w:pPr>
      <w:r>
        <w:rPr>
          <w:lang w:val="en-GB"/>
        </w:rPr>
        <w:t>Phase 3: Act – this phase covers the implementation of actions</w:t>
      </w:r>
      <w:r w:rsidR="00A32706">
        <w:rPr>
          <w:lang w:val="en-GB"/>
        </w:rPr>
        <w:t xml:space="preserve"> to manage the identified risks</w:t>
      </w:r>
    </w:p>
    <w:p w14:paraId="20ED9EE4" w14:textId="6E543D3C" w:rsidR="006D15E8" w:rsidRDefault="006D15E8" w:rsidP="006D15E8">
      <w:pPr>
        <w:pStyle w:val="ListParagraph"/>
        <w:numPr>
          <w:ilvl w:val="0"/>
          <w:numId w:val="11"/>
        </w:numPr>
        <w:rPr>
          <w:lang w:val="en-GB"/>
        </w:rPr>
      </w:pPr>
      <w:r>
        <w:rPr>
          <w:lang w:val="en-GB"/>
        </w:rPr>
        <w:t xml:space="preserve">Phase 4: Review – during this phase officials involved in the first three phases review the effectiveness of the </w:t>
      </w:r>
      <w:r w:rsidR="0088289D">
        <w:rPr>
          <w:lang w:val="en-GB"/>
        </w:rPr>
        <w:t>Protocols</w:t>
      </w:r>
      <w:r>
        <w:rPr>
          <w:lang w:val="en-GB"/>
        </w:rPr>
        <w:t xml:space="preserve">.  </w:t>
      </w:r>
    </w:p>
    <w:p w14:paraId="3287F901" w14:textId="34FE8B70" w:rsidR="00831AD2" w:rsidRDefault="00831AD2" w:rsidP="00831AD2">
      <w:pPr>
        <w:rPr>
          <w:lang w:val="en-GB"/>
        </w:rPr>
      </w:pPr>
      <w:r>
        <w:rPr>
          <w:lang w:val="en-GB"/>
        </w:rPr>
        <w:t xml:space="preserve">Throughout the </w:t>
      </w:r>
      <w:proofErr w:type="gramStart"/>
      <w:r>
        <w:rPr>
          <w:lang w:val="en-GB"/>
        </w:rPr>
        <w:t>process</w:t>
      </w:r>
      <w:proofErr w:type="gramEnd"/>
      <w:r>
        <w:rPr>
          <w:lang w:val="en-GB"/>
        </w:rPr>
        <w:t xml:space="preserve"> the Australian Government will undertake continuous risk assessment to inform the need for national action as well as the urgency of the action.</w:t>
      </w:r>
    </w:p>
    <w:p w14:paraId="19651E77" w14:textId="0C9091E5" w:rsidR="00DF0A41" w:rsidRDefault="00DF0A41" w:rsidP="00DF0A41">
      <w:pPr>
        <w:rPr>
          <w:lang w:val="en-GB"/>
        </w:rPr>
      </w:pPr>
      <w:r>
        <w:rPr>
          <w:lang w:val="en-GB"/>
        </w:rPr>
        <w:t>While the four phases describe distinct processes, they will often need</w:t>
      </w:r>
      <w:r w:rsidR="00A32706">
        <w:rPr>
          <w:lang w:val="en-GB"/>
        </w:rPr>
        <w:t xml:space="preserve"> to </w:t>
      </w:r>
      <w:proofErr w:type="gramStart"/>
      <w:r w:rsidR="00A32706">
        <w:rPr>
          <w:lang w:val="en-GB"/>
        </w:rPr>
        <w:t>be implemented</w:t>
      </w:r>
      <w:proofErr w:type="gramEnd"/>
      <w:r w:rsidR="00A32706">
        <w:rPr>
          <w:lang w:val="en-GB"/>
        </w:rPr>
        <w:t xml:space="preserve"> in parallel.</w:t>
      </w:r>
      <w:r>
        <w:rPr>
          <w:lang w:val="en-GB"/>
        </w:rPr>
        <w:t xml:space="preserve"> For example, if there is an urgent need to take a particular action, this may happen in parallel with continued investigation and planning.  </w:t>
      </w:r>
    </w:p>
    <w:p w14:paraId="01012C74" w14:textId="64DE5E54" w:rsidR="00DF0A41" w:rsidRDefault="00DF0A41" w:rsidP="00DF0A41">
      <w:pPr>
        <w:rPr>
          <w:lang w:val="en-GB"/>
        </w:rPr>
      </w:pPr>
      <w:r>
        <w:rPr>
          <w:lang w:val="en-GB"/>
        </w:rPr>
        <w:t>It is also possible to exit the Protocols at any stage if the investigation and ongoing risk assessment indicate that national coordination is no longer required.</w:t>
      </w:r>
    </w:p>
    <w:p w14:paraId="5C73482E" w14:textId="0C68362A" w:rsidR="00235E3F" w:rsidRPr="00235E3F" w:rsidRDefault="00235E3F" w:rsidP="00235E3F">
      <w:pPr>
        <w:spacing w:after="0"/>
        <w:rPr>
          <w:b/>
          <w:bCs/>
          <w:lang w:val="en-GB"/>
        </w:rPr>
      </w:pPr>
      <w:r w:rsidRPr="00235E3F">
        <w:rPr>
          <w:b/>
          <w:bCs/>
          <w:lang w:val="en-GB"/>
        </w:rPr>
        <w:t>Figure 1: The four phase</w:t>
      </w:r>
      <w:r w:rsidR="002E5D17">
        <w:rPr>
          <w:b/>
          <w:bCs/>
          <w:lang w:val="en-GB"/>
        </w:rPr>
        <w:t>s of responding to a potential safety signal</w:t>
      </w:r>
    </w:p>
    <w:p w14:paraId="5BD00231" w14:textId="5B6F97C1" w:rsidR="0028309B" w:rsidRPr="0028309B" w:rsidRDefault="0028309B" w:rsidP="0028309B">
      <w:pPr>
        <w:rPr>
          <w:lang w:val="en-GB"/>
        </w:rPr>
      </w:pPr>
      <w:r>
        <w:rPr>
          <w:noProof/>
          <w:lang w:eastAsia="en-AU"/>
        </w:rPr>
        <w:drawing>
          <wp:inline distT="0" distB="0" distL="0" distR="0" wp14:anchorId="631DB841" wp14:editId="37DEC3E0">
            <wp:extent cx="5600700" cy="742950"/>
            <wp:effectExtent l="19050" t="0" r="38100" b="0"/>
            <wp:docPr id="2" name="Diagram 2" descr="Investigate, Plan, Act, 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A332E8" w14:textId="4559D248" w:rsidR="00831AD2" w:rsidRDefault="00831AD2" w:rsidP="004B7198">
      <w:pPr>
        <w:pStyle w:val="Heading2"/>
        <w:rPr>
          <w:lang w:val="en-GB"/>
        </w:rPr>
      </w:pPr>
      <w:bookmarkStart w:id="15" w:name="_Toc22621898"/>
      <w:r>
        <w:rPr>
          <w:lang w:val="en-GB"/>
        </w:rPr>
        <w:t xml:space="preserve">When </w:t>
      </w:r>
      <w:proofErr w:type="gramStart"/>
      <w:r>
        <w:rPr>
          <w:lang w:val="en-GB"/>
        </w:rPr>
        <w:t>are the Protocols initiated</w:t>
      </w:r>
      <w:proofErr w:type="gramEnd"/>
      <w:r>
        <w:rPr>
          <w:lang w:val="en-GB"/>
        </w:rPr>
        <w:t>?</w:t>
      </w:r>
      <w:bookmarkEnd w:id="15"/>
    </w:p>
    <w:p w14:paraId="7AB0C900" w14:textId="30C68D2C" w:rsidR="00831AD2" w:rsidRDefault="00831AD2" w:rsidP="00831AD2">
      <w:pPr>
        <w:spacing w:after="0"/>
        <w:rPr>
          <w:lang w:val="en-GB"/>
        </w:rPr>
      </w:pPr>
      <w:r>
        <w:rPr>
          <w:lang w:val="en-GB"/>
        </w:rPr>
        <w:t xml:space="preserve">The Investigate phase </w:t>
      </w:r>
      <w:proofErr w:type="gramStart"/>
      <w:r>
        <w:rPr>
          <w:lang w:val="en-GB"/>
        </w:rPr>
        <w:t>may be initiated</w:t>
      </w:r>
      <w:proofErr w:type="gramEnd"/>
      <w:r>
        <w:rPr>
          <w:lang w:val="en-GB"/>
        </w:rPr>
        <w:t xml:space="preserve"> by the TGA in response to:</w:t>
      </w:r>
    </w:p>
    <w:p w14:paraId="6B1C043A" w14:textId="3D19E29C" w:rsidR="00831AD2" w:rsidRDefault="00831AD2" w:rsidP="00831AD2">
      <w:pPr>
        <w:pStyle w:val="ListParagraph"/>
        <w:numPr>
          <w:ilvl w:val="0"/>
          <w:numId w:val="11"/>
        </w:numPr>
        <w:rPr>
          <w:lang w:val="en-GB"/>
        </w:rPr>
      </w:pPr>
      <w:r>
        <w:rPr>
          <w:lang w:val="en-GB"/>
        </w:rPr>
        <w:t>adverse event r</w:t>
      </w:r>
      <w:r w:rsidR="00A32706">
        <w:rPr>
          <w:lang w:val="en-GB"/>
        </w:rPr>
        <w:t>eports made directly to the TGA</w:t>
      </w:r>
    </w:p>
    <w:p w14:paraId="2CDB0F65" w14:textId="01EF50D2" w:rsidR="00831AD2" w:rsidRDefault="00831AD2" w:rsidP="00831AD2">
      <w:pPr>
        <w:pStyle w:val="ListParagraph"/>
        <w:numPr>
          <w:ilvl w:val="0"/>
          <w:numId w:val="11"/>
        </w:numPr>
        <w:rPr>
          <w:lang w:val="en-GB"/>
        </w:rPr>
      </w:pPr>
      <w:r>
        <w:rPr>
          <w:lang w:val="en-GB"/>
        </w:rPr>
        <w:t xml:space="preserve">a suspected signal found </w:t>
      </w:r>
      <w:r w:rsidR="00A32706">
        <w:rPr>
          <w:lang w:val="en-GB"/>
        </w:rPr>
        <w:t>during routine data analysis</w:t>
      </w:r>
    </w:p>
    <w:p w14:paraId="6AEA65F0" w14:textId="77777777" w:rsidR="00831AD2" w:rsidRDefault="00831AD2" w:rsidP="00831AD2">
      <w:pPr>
        <w:pStyle w:val="ListParagraph"/>
        <w:numPr>
          <w:ilvl w:val="0"/>
          <w:numId w:val="11"/>
        </w:numPr>
        <w:rPr>
          <w:lang w:val="en-GB"/>
        </w:rPr>
      </w:pPr>
      <w:proofErr w:type="gramStart"/>
      <w:r>
        <w:rPr>
          <w:lang w:val="en-GB"/>
        </w:rPr>
        <w:t>a</w:t>
      </w:r>
      <w:proofErr w:type="gramEnd"/>
      <w:r>
        <w:rPr>
          <w:lang w:val="en-GB"/>
        </w:rPr>
        <w:t xml:space="preserve"> request from state or territory officials.</w:t>
      </w:r>
    </w:p>
    <w:p w14:paraId="22D2FCE0" w14:textId="58429054" w:rsidR="000037C6" w:rsidRPr="00831AD2" w:rsidRDefault="00831AD2" w:rsidP="00831AD2">
      <w:pPr>
        <w:rPr>
          <w:lang w:val="en-GB"/>
        </w:rPr>
      </w:pPr>
      <w:r w:rsidRPr="00831AD2">
        <w:rPr>
          <w:lang w:val="en-GB"/>
        </w:rPr>
        <w:t xml:space="preserve">Not all </w:t>
      </w:r>
      <w:r w:rsidR="00022293">
        <w:rPr>
          <w:lang w:val="en-GB"/>
        </w:rPr>
        <w:t xml:space="preserve">potential </w:t>
      </w:r>
      <w:r w:rsidRPr="00831AD2">
        <w:rPr>
          <w:lang w:val="en-GB"/>
        </w:rPr>
        <w:t>signals will trigger the use of these Protocols</w:t>
      </w:r>
      <w:r w:rsidR="00A32706">
        <w:rPr>
          <w:lang w:val="en-GB"/>
        </w:rPr>
        <w:t>.</w:t>
      </w:r>
      <w:r w:rsidR="00022293">
        <w:rPr>
          <w:lang w:val="en-GB"/>
        </w:rPr>
        <w:t xml:space="preserve"> Many potential signals </w:t>
      </w:r>
      <w:proofErr w:type="gramStart"/>
      <w:r w:rsidR="00022293">
        <w:rPr>
          <w:lang w:val="en-GB"/>
        </w:rPr>
        <w:t>can be investigated and resolved without the need for intensive national communication and coordination suc</w:t>
      </w:r>
      <w:r w:rsidR="00A32706">
        <w:rPr>
          <w:lang w:val="en-GB"/>
        </w:rPr>
        <w:t>h as set out in this document</w:t>
      </w:r>
      <w:proofErr w:type="gramEnd"/>
      <w:r w:rsidR="00A32706">
        <w:rPr>
          <w:lang w:val="en-GB"/>
        </w:rPr>
        <w:t xml:space="preserve">. </w:t>
      </w:r>
      <w:r w:rsidRPr="00831AD2">
        <w:rPr>
          <w:lang w:val="en-GB"/>
        </w:rPr>
        <w:t xml:space="preserve">The TGA’s decision to initiate the Protocols </w:t>
      </w:r>
      <w:proofErr w:type="gramStart"/>
      <w:r w:rsidRPr="00831AD2">
        <w:rPr>
          <w:lang w:val="en-GB"/>
        </w:rPr>
        <w:t>will be informed</w:t>
      </w:r>
      <w:proofErr w:type="gramEnd"/>
      <w:r w:rsidRPr="00831AD2">
        <w:rPr>
          <w:lang w:val="en-GB"/>
        </w:rPr>
        <w:t xml:space="preserve"> by the need for national-level investigation, and the level of risk presented by the potential signal.</w:t>
      </w:r>
      <w:r w:rsidR="00022293">
        <w:rPr>
          <w:lang w:val="en-GB"/>
        </w:rPr>
        <w:t xml:space="preserve">  </w:t>
      </w:r>
    </w:p>
    <w:p w14:paraId="0FE6715E" w14:textId="77777777" w:rsidR="000037C6" w:rsidRDefault="000037C6" w:rsidP="004B7198">
      <w:pPr>
        <w:pStyle w:val="Heading2"/>
        <w:rPr>
          <w:lang w:val="en-GB"/>
        </w:rPr>
      </w:pPr>
      <w:bookmarkStart w:id="16" w:name="_Toc22621899"/>
      <w:r>
        <w:rPr>
          <w:lang w:val="en-GB"/>
        </w:rPr>
        <w:br w:type="page"/>
      </w:r>
    </w:p>
    <w:p w14:paraId="6F39D934" w14:textId="2BA26416" w:rsidR="00204D73" w:rsidRDefault="00204D73" w:rsidP="004B7198">
      <w:pPr>
        <w:pStyle w:val="Heading2"/>
        <w:rPr>
          <w:lang w:val="en-GB"/>
        </w:rPr>
      </w:pPr>
      <w:r>
        <w:rPr>
          <w:lang w:val="en-GB"/>
        </w:rPr>
        <w:lastRenderedPageBreak/>
        <w:t>Phase 1: Investigate</w:t>
      </w:r>
      <w:bookmarkEnd w:id="16"/>
    </w:p>
    <w:p w14:paraId="7B64F12E" w14:textId="0A613799" w:rsidR="005756C0" w:rsidRDefault="005756C0" w:rsidP="0087413D">
      <w:pPr>
        <w:rPr>
          <w:lang w:val="en-GB"/>
        </w:rPr>
      </w:pPr>
      <w:r>
        <w:rPr>
          <w:lang w:val="en-GB"/>
        </w:rPr>
        <w:t xml:space="preserve">During the Investigate </w:t>
      </w:r>
      <w:proofErr w:type="gramStart"/>
      <w:r>
        <w:rPr>
          <w:lang w:val="en-GB"/>
        </w:rPr>
        <w:t>phase</w:t>
      </w:r>
      <w:proofErr w:type="gramEnd"/>
      <w:r>
        <w:rPr>
          <w:lang w:val="en-GB"/>
        </w:rPr>
        <w:t xml:space="preserve"> the TGA determine</w:t>
      </w:r>
      <w:r w:rsidR="00C91928">
        <w:rPr>
          <w:lang w:val="en-GB"/>
        </w:rPr>
        <w:t>s</w:t>
      </w:r>
      <w:r>
        <w:rPr>
          <w:lang w:val="en-GB"/>
        </w:rPr>
        <w:t xml:space="preserve"> whether the suspected safety signal is real and make</w:t>
      </w:r>
      <w:r w:rsidR="00C91928">
        <w:rPr>
          <w:lang w:val="en-GB"/>
        </w:rPr>
        <w:t>s</w:t>
      </w:r>
      <w:r>
        <w:rPr>
          <w:lang w:val="en-GB"/>
        </w:rPr>
        <w:t xml:space="preserve"> an initial </w:t>
      </w:r>
      <w:r w:rsidR="00A32706">
        <w:rPr>
          <w:lang w:val="en-GB"/>
        </w:rPr>
        <w:t xml:space="preserve">decision on how serious it is. </w:t>
      </w:r>
      <w:r>
        <w:rPr>
          <w:lang w:val="en-GB"/>
        </w:rPr>
        <w:t xml:space="preserve">The processes </w:t>
      </w:r>
      <w:r w:rsidR="000037C6">
        <w:rPr>
          <w:lang w:val="en-GB"/>
        </w:rPr>
        <w:t xml:space="preserve">facilitate </w:t>
      </w:r>
      <w:r>
        <w:rPr>
          <w:lang w:val="en-GB"/>
        </w:rPr>
        <w:t xml:space="preserve">nationally coordinated </w:t>
      </w:r>
      <w:r w:rsidR="00204D73">
        <w:rPr>
          <w:lang w:val="en-GB"/>
        </w:rPr>
        <w:t xml:space="preserve">communication </w:t>
      </w:r>
      <w:r>
        <w:rPr>
          <w:lang w:val="en-GB"/>
        </w:rPr>
        <w:t>to</w:t>
      </w:r>
      <w:r w:rsidR="00204D73">
        <w:rPr>
          <w:lang w:val="en-GB"/>
        </w:rPr>
        <w:t xml:space="preserve"> </w:t>
      </w:r>
      <w:r>
        <w:rPr>
          <w:lang w:val="en-GB"/>
        </w:rPr>
        <w:t xml:space="preserve">support </w:t>
      </w:r>
      <w:r w:rsidR="00204D73">
        <w:rPr>
          <w:lang w:val="en-GB"/>
        </w:rPr>
        <w:t>gather</w:t>
      </w:r>
      <w:r w:rsidR="00C91928">
        <w:rPr>
          <w:lang w:val="en-GB"/>
        </w:rPr>
        <w:t>ing</w:t>
      </w:r>
      <w:r w:rsidR="00204D73">
        <w:rPr>
          <w:lang w:val="en-GB"/>
        </w:rPr>
        <w:t xml:space="preserve"> </w:t>
      </w:r>
      <w:r>
        <w:rPr>
          <w:lang w:val="en-GB"/>
        </w:rPr>
        <w:t>all relevant information</w:t>
      </w:r>
      <w:r w:rsidR="0029435C">
        <w:rPr>
          <w:lang w:val="en-GB"/>
        </w:rPr>
        <w:t xml:space="preserve"> as quickly as possible.</w:t>
      </w:r>
    </w:p>
    <w:p w14:paraId="13A16EC3" w14:textId="3707D0B7" w:rsidR="0087413D" w:rsidRDefault="001E2080" w:rsidP="0087413D">
      <w:pPr>
        <w:rPr>
          <w:lang w:val="en-GB"/>
        </w:rPr>
      </w:pPr>
      <w:r>
        <w:rPr>
          <w:lang w:val="en-GB"/>
        </w:rPr>
        <w:t>T</w:t>
      </w:r>
      <w:r w:rsidR="00831AD2">
        <w:rPr>
          <w:lang w:val="en-GB"/>
        </w:rPr>
        <w:t>he</w:t>
      </w:r>
      <w:r w:rsidR="00F30BA2">
        <w:rPr>
          <w:lang w:val="en-GB"/>
        </w:rPr>
        <w:t xml:space="preserve"> TGA </w:t>
      </w:r>
      <w:r w:rsidR="00C91928">
        <w:rPr>
          <w:lang w:val="en-GB"/>
        </w:rPr>
        <w:t>contacts the</w:t>
      </w:r>
      <w:r w:rsidR="00F30BA2">
        <w:rPr>
          <w:lang w:val="en-GB"/>
        </w:rPr>
        <w:t xml:space="preserve"> </w:t>
      </w:r>
      <w:r w:rsidR="0087413D">
        <w:rPr>
          <w:lang w:val="en-GB"/>
        </w:rPr>
        <w:t>Jurisdictional Immunisation Co</w:t>
      </w:r>
      <w:r w:rsidR="00E525AA">
        <w:rPr>
          <w:lang w:val="en-GB"/>
        </w:rPr>
        <w:t>ordinators</w:t>
      </w:r>
      <w:r w:rsidR="0087413D">
        <w:rPr>
          <w:lang w:val="en-GB"/>
        </w:rPr>
        <w:t xml:space="preserve"> (JIC)</w:t>
      </w:r>
      <w:r>
        <w:rPr>
          <w:lang w:val="en-GB"/>
        </w:rPr>
        <w:t xml:space="preserve"> to initiate this phase</w:t>
      </w:r>
      <w:r w:rsidR="00A32706">
        <w:rPr>
          <w:lang w:val="en-GB"/>
        </w:rPr>
        <w:t>.</w:t>
      </w:r>
      <w:r w:rsidR="00F30BA2">
        <w:rPr>
          <w:lang w:val="en-GB"/>
        </w:rPr>
        <w:t xml:space="preserve"> </w:t>
      </w:r>
      <w:r w:rsidR="002B31BD">
        <w:rPr>
          <w:lang w:val="en-GB"/>
        </w:rPr>
        <w:t xml:space="preserve">States and territories respond by </w:t>
      </w:r>
      <w:r w:rsidR="0087413D">
        <w:rPr>
          <w:lang w:val="en-GB"/>
        </w:rPr>
        <w:t>investigat</w:t>
      </w:r>
      <w:r w:rsidR="002B31BD">
        <w:rPr>
          <w:lang w:val="en-GB"/>
        </w:rPr>
        <w:t>ing</w:t>
      </w:r>
      <w:r w:rsidR="0087413D">
        <w:rPr>
          <w:lang w:val="en-GB"/>
        </w:rPr>
        <w:t xml:space="preserve"> whether they have any relevant information (</w:t>
      </w:r>
      <w:r w:rsidR="002B31BD">
        <w:rPr>
          <w:lang w:val="en-GB"/>
        </w:rPr>
        <w:t xml:space="preserve">including </w:t>
      </w:r>
      <w:r w:rsidR="0087413D">
        <w:rPr>
          <w:lang w:val="en-GB"/>
        </w:rPr>
        <w:t xml:space="preserve">early anecdotal information from </w:t>
      </w:r>
      <w:r w:rsidR="00F30BA2">
        <w:rPr>
          <w:lang w:val="en-GB"/>
        </w:rPr>
        <w:t xml:space="preserve">clinics / </w:t>
      </w:r>
      <w:r w:rsidR="0087413D">
        <w:rPr>
          <w:lang w:val="en-GB"/>
        </w:rPr>
        <w:t>clinicians) and send this to the TG</w:t>
      </w:r>
      <w:r w:rsidR="0029435C">
        <w:rPr>
          <w:lang w:val="en-GB"/>
        </w:rPr>
        <w:t>A, copied to all other members.</w:t>
      </w:r>
    </w:p>
    <w:p w14:paraId="721FCAAD" w14:textId="7939C060" w:rsidR="00C91928" w:rsidRDefault="00C91928" w:rsidP="00C91928">
      <w:pPr>
        <w:rPr>
          <w:lang w:val="en-GB"/>
        </w:rPr>
      </w:pPr>
      <w:r>
        <w:rPr>
          <w:lang w:val="en-GB"/>
        </w:rPr>
        <w:t>The TGA work</w:t>
      </w:r>
      <w:r w:rsidR="001E2080">
        <w:rPr>
          <w:lang w:val="en-GB"/>
        </w:rPr>
        <w:t>s</w:t>
      </w:r>
      <w:r>
        <w:rPr>
          <w:lang w:val="en-GB"/>
        </w:rPr>
        <w:t xml:space="preserve"> with state or territory officials and clinicians to collect relevant clinical infor</w:t>
      </w:r>
      <w:r w:rsidR="00A32706">
        <w:rPr>
          <w:lang w:val="en-GB"/>
        </w:rPr>
        <w:t>mation about the adverse event.</w:t>
      </w:r>
      <w:r>
        <w:rPr>
          <w:lang w:val="en-GB"/>
        </w:rPr>
        <w:t xml:space="preserve"> If required, the TGA can convene a </w:t>
      </w:r>
      <w:r w:rsidR="00A32706">
        <w:rPr>
          <w:lang w:val="en-GB"/>
        </w:rPr>
        <w:t>causality assessment committee.</w:t>
      </w:r>
      <w:r>
        <w:rPr>
          <w:lang w:val="en-GB"/>
        </w:rPr>
        <w:t xml:space="preserve"> This committee consists of people with the necessary expertise (such as clinicians and epidemiologists) to determine whether the adverse event was likely to be caused by the vaccine and whether it meets the </w:t>
      </w:r>
      <w:r w:rsidR="00DF5597">
        <w:rPr>
          <w:lang w:val="en-GB"/>
        </w:rPr>
        <w:t>required criteria for causality</w:t>
      </w:r>
      <w:r>
        <w:rPr>
          <w:lang w:val="en-GB"/>
        </w:rPr>
        <w:t>.</w:t>
      </w:r>
    </w:p>
    <w:p w14:paraId="0CC12C6F" w14:textId="77777777" w:rsidR="00D95B7A" w:rsidRDefault="00C01B83" w:rsidP="00437362">
      <w:pPr>
        <w:rPr>
          <w:lang w:val="en-GB"/>
        </w:rPr>
      </w:pPr>
      <w:r>
        <w:rPr>
          <w:lang w:val="en-GB"/>
        </w:rPr>
        <w:t xml:space="preserve">The TGA is responsible for bringing together all the information, including </w:t>
      </w:r>
      <w:r w:rsidR="00437362">
        <w:rPr>
          <w:lang w:val="en-GB"/>
        </w:rPr>
        <w:t xml:space="preserve">both international and Australian data on adverse events, </w:t>
      </w:r>
      <w:r w:rsidR="00855EE1">
        <w:rPr>
          <w:lang w:val="en-GB"/>
        </w:rPr>
        <w:t xml:space="preserve">relevant clinical findings, and the findings of the causality assessment committee </w:t>
      </w:r>
      <w:r w:rsidR="00437362">
        <w:rPr>
          <w:lang w:val="en-GB"/>
        </w:rPr>
        <w:t>to inform a decision on whether a safety signal exists</w:t>
      </w:r>
      <w:r w:rsidR="00D95B7A">
        <w:rPr>
          <w:lang w:val="en-GB"/>
        </w:rPr>
        <w:t xml:space="preserve">.  </w:t>
      </w:r>
    </w:p>
    <w:p w14:paraId="2616F073" w14:textId="759E109E" w:rsidR="00A0342E" w:rsidRPr="00A0342E" w:rsidRDefault="00A0342E" w:rsidP="00437362">
      <w:pPr>
        <w:rPr>
          <w:b/>
          <w:bCs/>
          <w:lang w:val="en-GB"/>
        </w:rPr>
      </w:pPr>
      <w:r>
        <w:rPr>
          <w:b/>
          <w:bCs/>
          <w:lang w:val="en-GB"/>
        </w:rPr>
        <w:t>Figure 2: Summary of actions during the Investigate 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Potential signal identified.&#10;• JIC notified within one working day of potential signal being identified.&#10;• All JIC members investigate whether they have access to relevant information and send this to the TGA, copied to other JIC members (ideally within three working days).&#10;• The TGA works with state / territory officials to collect relevant clinical data.&#10;• If required, the TGA convenes a Causality Assessment Committee.&#10;• The TGA brings together all relevant information to inform a decision on whether the signal is real.&#10;"/>
      </w:tblPr>
      <w:tblGrid>
        <w:gridCol w:w="2547"/>
        <w:gridCol w:w="6469"/>
      </w:tblGrid>
      <w:tr w:rsidR="00A0342E" w14:paraId="40A5B7D9" w14:textId="77777777" w:rsidTr="00FC3F5A">
        <w:trPr>
          <w:trHeight w:val="3092"/>
        </w:trPr>
        <w:tc>
          <w:tcPr>
            <w:tcW w:w="2547" w:type="dxa"/>
            <w:shd w:val="clear" w:color="auto" w:fill="auto"/>
          </w:tcPr>
          <w:p w14:paraId="26C17B77" w14:textId="28B415A2" w:rsidR="00A0342E" w:rsidRDefault="00A0342E" w:rsidP="00437362">
            <w:pPr>
              <w:rPr>
                <w:lang w:val="en-GB"/>
              </w:rPr>
            </w:pPr>
            <w:r>
              <w:rPr>
                <w:noProof/>
                <w:lang w:eastAsia="en-AU"/>
              </w:rPr>
              <w:drawing>
                <wp:inline distT="0" distB="0" distL="0" distR="0" wp14:anchorId="1FAEBA5A" wp14:editId="2F7AD85A">
                  <wp:extent cx="1333500" cy="1571625"/>
                  <wp:effectExtent l="19050" t="0" r="38100" b="0"/>
                  <wp:docPr id="4" name="Diagram 4" descr="Investigate ic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7D9663" w14:textId="2A6CB0A5" w:rsidR="00A0342E" w:rsidRDefault="00A0342E" w:rsidP="00437362">
            <w:pPr>
              <w:rPr>
                <w:lang w:val="en-GB"/>
              </w:rPr>
            </w:pPr>
          </w:p>
        </w:tc>
        <w:tc>
          <w:tcPr>
            <w:tcW w:w="6469" w:type="dxa"/>
            <w:shd w:val="clear" w:color="auto" w:fill="F9D3A1" w:themeFill="accent1" w:themeFillTint="66"/>
          </w:tcPr>
          <w:p w14:paraId="06BB431E" w14:textId="4940878D" w:rsidR="00A0342E" w:rsidRPr="00A0342E" w:rsidRDefault="00A0342E" w:rsidP="00A0342E">
            <w:pPr>
              <w:pStyle w:val="ListParagraph"/>
              <w:numPr>
                <w:ilvl w:val="0"/>
                <w:numId w:val="14"/>
              </w:numPr>
              <w:ind w:left="484"/>
            </w:pPr>
            <w:r>
              <w:t>P</w:t>
            </w:r>
            <w:r w:rsidRPr="00A0342E">
              <w:t>otential signal identified</w:t>
            </w:r>
            <w:r w:rsidR="00FC3F5A">
              <w:t>.</w:t>
            </w:r>
          </w:p>
          <w:p w14:paraId="590A9968" w14:textId="0697951E" w:rsidR="00A0342E" w:rsidRPr="00A0342E" w:rsidRDefault="00A0342E" w:rsidP="00A0342E">
            <w:pPr>
              <w:pStyle w:val="ListParagraph"/>
              <w:numPr>
                <w:ilvl w:val="0"/>
                <w:numId w:val="14"/>
              </w:numPr>
              <w:ind w:left="484"/>
            </w:pPr>
            <w:r w:rsidRPr="00A0342E">
              <w:t xml:space="preserve">JIC notified within one working day of </w:t>
            </w:r>
            <w:r w:rsidR="004441E3">
              <w:t xml:space="preserve">potential </w:t>
            </w:r>
            <w:r w:rsidRPr="00A0342E">
              <w:t xml:space="preserve">signal </w:t>
            </w:r>
            <w:proofErr w:type="gramStart"/>
            <w:r w:rsidRPr="00A0342E">
              <w:t>being identified</w:t>
            </w:r>
            <w:proofErr w:type="gramEnd"/>
            <w:r w:rsidR="00FC3F5A">
              <w:t>.</w:t>
            </w:r>
          </w:p>
          <w:p w14:paraId="06AC1DE0" w14:textId="61B3A8D8" w:rsidR="00A0342E" w:rsidRPr="00A0342E" w:rsidRDefault="00A0342E" w:rsidP="00A0342E">
            <w:pPr>
              <w:pStyle w:val="ListParagraph"/>
              <w:numPr>
                <w:ilvl w:val="0"/>
                <w:numId w:val="14"/>
              </w:numPr>
              <w:ind w:left="484"/>
            </w:pPr>
            <w:r w:rsidRPr="00A0342E">
              <w:t>All JIC members investigate whether they have access to relevant information and send this to the TGA, copied to other JIC members (ideally within three working days)</w:t>
            </w:r>
            <w:r w:rsidR="00FC3F5A">
              <w:t>.</w:t>
            </w:r>
          </w:p>
          <w:p w14:paraId="5DCAD976" w14:textId="07F7CDBE" w:rsidR="00A0342E" w:rsidRDefault="00C91928" w:rsidP="00A0342E">
            <w:pPr>
              <w:pStyle w:val="ListParagraph"/>
              <w:numPr>
                <w:ilvl w:val="0"/>
                <w:numId w:val="14"/>
              </w:numPr>
              <w:ind w:left="484"/>
            </w:pPr>
            <w:r>
              <w:t xml:space="preserve">The </w:t>
            </w:r>
            <w:r w:rsidR="00A0342E" w:rsidRPr="00A0342E">
              <w:t xml:space="preserve">TGA </w:t>
            </w:r>
            <w:r w:rsidR="00A0342E">
              <w:t xml:space="preserve">works with state / territory officials to </w:t>
            </w:r>
            <w:r w:rsidR="00A0342E" w:rsidRPr="00A0342E">
              <w:t>collect relevant clinical data</w:t>
            </w:r>
            <w:r w:rsidR="00FC3F5A">
              <w:t>.</w:t>
            </w:r>
          </w:p>
          <w:p w14:paraId="1402CDDB" w14:textId="1E40B0FA" w:rsidR="00A0342E" w:rsidRPr="00A0342E" w:rsidRDefault="00C91928" w:rsidP="00A0342E">
            <w:pPr>
              <w:pStyle w:val="ListParagraph"/>
              <w:numPr>
                <w:ilvl w:val="0"/>
                <w:numId w:val="14"/>
              </w:numPr>
              <w:ind w:left="484"/>
            </w:pPr>
            <w:r>
              <w:t xml:space="preserve">If required, the </w:t>
            </w:r>
            <w:r w:rsidR="00A0342E">
              <w:t>TGA</w:t>
            </w:r>
            <w:r w:rsidR="00A0342E" w:rsidRPr="00A0342E">
              <w:t xml:space="preserve"> convene</w:t>
            </w:r>
            <w:r w:rsidR="001E2080">
              <w:t>s</w:t>
            </w:r>
            <w:r>
              <w:t xml:space="preserve"> a</w:t>
            </w:r>
            <w:r w:rsidR="00A0342E" w:rsidRPr="00A0342E">
              <w:t xml:space="preserve"> Causality Assessment Committee</w:t>
            </w:r>
            <w:r w:rsidR="00FC3F5A">
              <w:t>.</w:t>
            </w:r>
          </w:p>
          <w:p w14:paraId="55FF5D28" w14:textId="3473EE67" w:rsidR="00A0342E" w:rsidRPr="00FC3F5A" w:rsidRDefault="00C91928" w:rsidP="00437362">
            <w:pPr>
              <w:pStyle w:val="ListParagraph"/>
              <w:numPr>
                <w:ilvl w:val="0"/>
                <w:numId w:val="14"/>
              </w:numPr>
              <w:ind w:left="484"/>
            </w:pPr>
            <w:r>
              <w:t xml:space="preserve">The </w:t>
            </w:r>
            <w:r w:rsidR="00A0342E" w:rsidRPr="00A0342E">
              <w:t>TGA brings together all relevant information to inform a decision</w:t>
            </w:r>
            <w:r w:rsidR="00A0342E">
              <w:t xml:space="preserve"> on whether the signal is real</w:t>
            </w:r>
            <w:r w:rsidR="00A0342E" w:rsidRPr="00A0342E">
              <w:t>.</w:t>
            </w:r>
          </w:p>
        </w:tc>
      </w:tr>
    </w:tbl>
    <w:p w14:paraId="443EE35C" w14:textId="3BA521C1" w:rsidR="00AC4B14" w:rsidRDefault="00AC4B14" w:rsidP="00437362">
      <w:pPr>
        <w:rPr>
          <w:lang w:val="en-GB"/>
        </w:rPr>
      </w:pPr>
    </w:p>
    <w:p w14:paraId="2EF85017" w14:textId="15B508B4" w:rsidR="00C01B83" w:rsidRDefault="00A0342E" w:rsidP="004B7198">
      <w:pPr>
        <w:pStyle w:val="Heading2"/>
        <w:rPr>
          <w:lang w:val="en-GB"/>
        </w:rPr>
      </w:pPr>
      <w:bookmarkStart w:id="17" w:name="_Toc22621900"/>
      <w:r>
        <w:rPr>
          <w:lang w:val="en-GB"/>
        </w:rPr>
        <w:t>Phase 2: Plan</w:t>
      </w:r>
      <w:bookmarkEnd w:id="17"/>
    </w:p>
    <w:p w14:paraId="0F77DAA9" w14:textId="014788D6" w:rsidR="004342BE" w:rsidRDefault="004342BE" w:rsidP="00FC3F5A">
      <w:pPr>
        <w:rPr>
          <w:lang w:val="en-GB"/>
        </w:rPr>
      </w:pPr>
      <w:r>
        <w:rPr>
          <w:lang w:val="en-GB"/>
        </w:rPr>
        <w:t>During the Plan phase t</w:t>
      </w:r>
      <w:r w:rsidR="00FC3F5A">
        <w:rPr>
          <w:lang w:val="en-GB"/>
        </w:rPr>
        <w:t xml:space="preserve">he Australian Government Department of Health </w:t>
      </w:r>
      <w:r w:rsidR="000562D7">
        <w:rPr>
          <w:lang w:val="en-GB"/>
        </w:rPr>
        <w:t>(the Department)</w:t>
      </w:r>
      <w:r w:rsidR="00702F73">
        <w:rPr>
          <w:lang w:val="en-GB"/>
        </w:rPr>
        <w:t>, in consultation with the JIC, considers</w:t>
      </w:r>
      <w:r w:rsidR="00FC3F5A">
        <w:rPr>
          <w:lang w:val="en-GB"/>
        </w:rPr>
        <w:t xml:space="preserve"> how to manage the safety </w:t>
      </w:r>
      <w:r>
        <w:rPr>
          <w:lang w:val="en-GB"/>
        </w:rPr>
        <w:t>issues that ha</w:t>
      </w:r>
      <w:r w:rsidR="004441E3">
        <w:rPr>
          <w:lang w:val="en-GB"/>
        </w:rPr>
        <w:t>ve</w:t>
      </w:r>
      <w:r>
        <w:rPr>
          <w:lang w:val="en-GB"/>
        </w:rPr>
        <w:t xml:space="preserve"> been identified</w:t>
      </w:r>
      <w:r w:rsidR="00FC3F5A">
        <w:rPr>
          <w:lang w:val="en-GB"/>
        </w:rPr>
        <w:t xml:space="preserve">.  The Department may </w:t>
      </w:r>
      <w:r w:rsidR="00D95B7A">
        <w:rPr>
          <w:lang w:val="en-GB"/>
        </w:rPr>
        <w:t xml:space="preserve">also </w:t>
      </w:r>
      <w:r w:rsidR="009D126C">
        <w:rPr>
          <w:lang w:val="en-GB"/>
        </w:rPr>
        <w:t xml:space="preserve">identify a need for further investigation and/or </w:t>
      </w:r>
      <w:r w:rsidR="00FC3F5A">
        <w:rPr>
          <w:lang w:val="en-GB"/>
        </w:rPr>
        <w:t>seek advice from relevant experts to ensure the plan</w:t>
      </w:r>
      <w:r w:rsidR="009D126C">
        <w:rPr>
          <w:lang w:val="en-GB"/>
        </w:rPr>
        <w:t>ned actions</w:t>
      </w:r>
      <w:r w:rsidR="00FC3F5A">
        <w:rPr>
          <w:lang w:val="en-GB"/>
        </w:rPr>
        <w:t xml:space="preserve"> will be effective.</w:t>
      </w:r>
      <w:r w:rsidR="009D126C">
        <w:rPr>
          <w:lang w:val="en-GB"/>
        </w:rPr>
        <w:t xml:space="preserve">  </w:t>
      </w:r>
    </w:p>
    <w:p w14:paraId="6BBD9F23" w14:textId="41EC93C9" w:rsidR="0087413D" w:rsidRDefault="00FC3F5A" w:rsidP="00210B81">
      <w:pPr>
        <w:spacing w:after="0"/>
        <w:rPr>
          <w:lang w:val="en-GB"/>
        </w:rPr>
      </w:pPr>
      <w:r>
        <w:rPr>
          <w:lang w:val="en-GB"/>
        </w:rPr>
        <w:t>Actions in the plan</w:t>
      </w:r>
      <w:r w:rsidR="00210B81">
        <w:rPr>
          <w:lang w:val="en-GB"/>
        </w:rPr>
        <w:t xml:space="preserve"> will generally fall into two categories:</w:t>
      </w:r>
    </w:p>
    <w:p w14:paraId="2BFB5D77" w14:textId="6640836B" w:rsidR="00210B81" w:rsidRDefault="00210B81" w:rsidP="00210B81">
      <w:pPr>
        <w:pStyle w:val="ListParagraph"/>
        <w:numPr>
          <w:ilvl w:val="0"/>
          <w:numId w:val="11"/>
        </w:numPr>
        <w:rPr>
          <w:lang w:val="en-GB"/>
        </w:rPr>
      </w:pPr>
      <w:r>
        <w:rPr>
          <w:lang w:val="en-GB"/>
        </w:rPr>
        <w:t>Regulatory responses</w:t>
      </w:r>
      <w:r w:rsidR="00D342A1">
        <w:rPr>
          <w:lang w:val="en-GB"/>
        </w:rPr>
        <w:t xml:space="preserve"> </w:t>
      </w:r>
      <w:r w:rsidR="000562D7">
        <w:rPr>
          <w:lang w:val="en-GB"/>
        </w:rPr>
        <w:t>–</w:t>
      </w:r>
      <w:r w:rsidR="00D342A1">
        <w:rPr>
          <w:lang w:val="en-GB"/>
        </w:rPr>
        <w:t xml:space="preserve"> these</w:t>
      </w:r>
      <w:r>
        <w:rPr>
          <w:lang w:val="en-GB"/>
        </w:rPr>
        <w:t xml:space="preserve"> </w:t>
      </w:r>
      <w:r w:rsidR="00702F73">
        <w:rPr>
          <w:lang w:val="en-GB"/>
        </w:rPr>
        <w:t xml:space="preserve">will usually be implemented by the </w:t>
      </w:r>
      <w:r>
        <w:rPr>
          <w:lang w:val="en-GB"/>
        </w:rPr>
        <w:t>TGA as it is responsible for</w:t>
      </w:r>
      <w:r w:rsidR="00A32706">
        <w:rPr>
          <w:lang w:val="en-GB"/>
        </w:rPr>
        <w:t xml:space="preserve"> regulation of vaccines. </w:t>
      </w:r>
      <w:r>
        <w:rPr>
          <w:lang w:val="en-GB"/>
        </w:rPr>
        <w:t>Regulatory responses could include recalling a specific batch of a vaccine or cancelling approval of a particular type of vaccine</w:t>
      </w:r>
    </w:p>
    <w:p w14:paraId="0EF4CD33" w14:textId="04BDE926" w:rsidR="00D342A1" w:rsidRDefault="00D342A1" w:rsidP="00210B81">
      <w:pPr>
        <w:pStyle w:val="ListParagraph"/>
        <w:numPr>
          <w:ilvl w:val="0"/>
          <w:numId w:val="11"/>
        </w:numPr>
        <w:rPr>
          <w:lang w:val="en-GB"/>
        </w:rPr>
      </w:pPr>
      <w:r>
        <w:rPr>
          <w:lang w:val="en-GB"/>
        </w:rPr>
        <w:t xml:space="preserve">Program responses – these may include communication activities to ensure the community and clinicians have any necessary information, or clinical education and training initiatives to address a problem relating to vaccine storage or administration. </w:t>
      </w:r>
    </w:p>
    <w:p w14:paraId="6C54E4BD" w14:textId="77777777" w:rsidR="001D21DE" w:rsidRDefault="00A84C6B" w:rsidP="00777FB2">
      <w:pPr>
        <w:rPr>
          <w:b/>
          <w:bCs/>
          <w:lang w:val="en-GB"/>
        </w:rPr>
      </w:pPr>
      <w:r>
        <w:rPr>
          <w:lang w:val="en-GB"/>
        </w:rPr>
        <w:t>The</w:t>
      </w:r>
      <w:r w:rsidR="00D342A1">
        <w:rPr>
          <w:lang w:val="en-GB"/>
        </w:rPr>
        <w:t xml:space="preserve"> </w:t>
      </w:r>
      <w:r w:rsidR="00777FB2">
        <w:rPr>
          <w:lang w:val="en-GB"/>
        </w:rPr>
        <w:t xml:space="preserve">Department will </w:t>
      </w:r>
      <w:r>
        <w:rPr>
          <w:lang w:val="en-GB"/>
        </w:rPr>
        <w:t xml:space="preserve">consult closely with </w:t>
      </w:r>
      <w:r w:rsidR="00777FB2">
        <w:rPr>
          <w:lang w:val="en-GB"/>
        </w:rPr>
        <w:t xml:space="preserve">the JIC </w:t>
      </w:r>
      <w:r>
        <w:rPr>
          <w:lang w:val="en-GB"/>
        </w:rPr>
        <w:t>during the planning phase to</w:t>
      </w:r>
      <w:r w:rsidR="00777FB2">
        <w:rPr>
          <w:lang w:val="en-GB"/>
        </w:rPr>
        <w:t xml:space="preserve"> agree a coordinated approach to communication and implementation</w:t>
      </w:r>
      <w:r>
        <w:rPr>
          <w:lang w:val="en-GB"/>
        </w:rPr>
        <w:t xml:space="preserve"> at national, state and territory, and local levels</w:t>
      </w:r>
      <w:r w:rsidR="00777FB2">
        <w:rPr>
          <w:lang w:val="en-GB"/>
        </w:rPr>
        <w:t>.</w:t>
      </w:r>
      <w:r w:rsidR="00702F73">
        <w:rPr>
          <w:lang w:val="en-GB"/>
        </w:rPr>
        <w:t xml:space="preserve">  </w:t>
      </w:r>
      <w:r w:rsidR="00C91928">
        <w:rPr>
          <w:lang w:val="en-GB"/>
        </w:rPr>
        <w:lastRenderedPageBreak/>
        <w:t xml:space="preserve">The exception to this is if the need to act is urgent – in this </w:t>
      </w:r>
      <w:proofErr w:type="gramStart"/>
      <w:r w:rsidR="00C91928">
        <w:rPr>
          <w:lang w:val="en-GB"/>
        </w:rPr>
        <w:t>case</w:t>
      </w:r>
      <w:proofErr w:type="gramEnd"/>
      <w:r w:rsidR="00C91928">
        <w:rPr>
          <w:lang w:val="en-GB"/>
        </w:rPr>
        <w:t xml:space="preserve"> the JIC would be advised as soon as possible.</w:t>
      </w:r>
    </w:p>
    <w:p w14:paraId="0318CA99" w14:textId="61FD28DA" w:rsidR="00777FB2" w:rsidRPr="00A0342E" w:rsidRDefault="00777FB2" w:rsidP="00777FB2">
      <w:pPr>
        <w:rPr>
          <w:b/>
          <w:bCs/>
          <w:lang w:val="en-GB"/>
        </w:rPr>
      </w:pPr>
      <w:r>
        <w:rPr>
          <w:b/>
          <w:bCs/>
          <w:lang w:val="en-GB"/>
        </w:rPr>
        <w:t xml:space="preserve">Figure </w:t>
      </w:r>
      <w:r w:rsidR="009D126C">
        <w:rPr>
          <w:b/>
          <w:bCs/>
          <w:lang w:val="en-GB"/>
        </w:rPr>
        <w:t>3</w:t>
      </w:r>
      <w:r>
        <w:rPr>
          <w:b/>
          <w:bCs/>
          <w:lang w:val="en-GB"/>
        </w:rPr>
        <w:t xml:space="preserve">: Summary of actions during the </w:t>
      </w:r>
      <w:r w:rsidR="002F1CB0">
        <w:rPr>
          <w:b/>
          <w:bCs/>
          <w:lang w:val="en-GB"/>
        </w:rPr>
        <w:t xml:space="preserve">Plan </w:t>
      </w:r>
      <w:r>
        <w:rPr>
          <w:b/>
          <w:bCs/>
          <w:lang w:val="en-GB"/>
        </w:rPr>
        <w:t>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TGA identifies that a safety signal exists and notifies the JIC.&#10;• The Australian Government Department of Health assesses the information gathered during the Investigate phase and develops a plan for managing the identified safety issue in consultation with the JIC.&#10;• Except in extremely urgent cases, the Department will provide advice to the JIC prior to taking any action or issuing public communication.&#10;"/>
      </w:tblPr>
      <w:tblGrid>
        <w:gridCol w:w="2547"/>
        <w:gridCol w:w="6469"/>
      </w:tblGrid>
      <w:tr w:rsidR="00777FB2" w14:paraId="0EDDF935" w14:textId="77777777" w:rsidTr="00C41B53">
        <w:trPr>
          <w:trHeight w:val="2127"/>
        </w:trPr>
        <w:tc>
          <w:tcPr>
            <w:tcW w:w="2547" w:type="dxa"/>
            <w:shd w:val="clear" w:color="auto" w:fill="auto"/>
          </w:tcPr>
          <w:p w14:paraId="6920F319" w14:textId="77777777" w:rsidR="00777FB2" w:rsidRDefault="00777FB2" w:rsidP="0078767A">
            <w:pPr>
              <w:rPr>
                <w:lang w:val="en-GB"/>
              </w:rPr>
            </w:pPr>
            <w:r>
              <w:rPr>
                <w:noProof/>
                <w:lang w:eastAsia="en-AU"/>
              </w:rPr>
              <w:drawing>
                <wp:inline distT="0" distB="0" distL="0" distR="0" wp14:anchorId="74AE2E7B" wp14:editId="66FCA06C">
                  <wp:extent cx="1333500" cy="1190625"/>
                  <wp:effectExtent l="19050" t="0" r="38100" b="0"/>
                  <wp:docPr id="5" name="Diagram 5" descr="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1AE3AC" w14:textId="77777777" w:rsidR="00777FB2" w:rsidRDefault="00777FB2" w:rsidP="0078767A">
            <w:pPr>
              <w:rPr>
                <w:lang w:val="en-GB"/>
              </w:rPr>
            </w:pPr>
          </w:p>
        </w:tc>
        <w:tc>
          <w:tcPr>
            <w:tcW w:w="6469" w:type="dxa"/>
            <w:shd w:val="clear" w:color="auto" w:fill="F9D3A1" w:themeFill="accent1" w:themeFillTint="66"/>
          </w:tcPr>
          <w:p w14:paraId="63D528C3" w14:textId="26A0D22B" w:rsidR="00777FB2" w:rsidRDefault="00777FB2" w:rsidP="00777FB2">
            <w:pPr>
              <w:pStyle w:val="ListParagraph"/>
              <w:numPr>
                <w:ilvl w:val="0"/>
                <w:numId w:val="14"/>
              </w:numPr>
              <w:ind w:left="484"/>
              <w:rPr>
                <w:lang w:val="en-GB"/>
              </w:rPr>
            </w:pPr>
            <w:r>
              <w:rPr>
                <w:lang w:val="en-GB"/>
              </w:rPr>
              <w:t>TGA identifies that a safety signal exists</w:t>
            </w:r>
            <w:r w:rsidR="00FC3F5A">
              <w:rPr>
                <w:lang w:val="en-GB"/>
              </w:rPr>
              <w:t xml:space="preserve"> and notifies the JIC.</w:t>
            </w:r>
          </w:p>
          <w:p w14:paraId="69FA7AA9" w14:textId="094307F6" w:rsidR="00777FB2" w:rsidRDefault="00FC3F5A" w:rsidP="00777FB2">
            <w:pPr>
              <w:pStyle w:val="ListParagraph"/>
              <w:numPr>
                <w:ilvl w:val="0"/>
                <w:numId w:val="14"/>
              </w:numPr>
              <w:ind w:left="484"/>
              <w:rPr>
                <w:lang w:val="en-GB"/>
              </w:rPr>
            </w:pPr>
            <w:r>
              <w:rPr>
                <w:lang w:val="en-GB"/>
              </w:rPr>
              <w:t xml:space="preserve">The Australian Government Department of </w:t>
            </w:r>
            <w:r w:rsidR="004441E3">
              <w:rPr>
                <w:lang w:val="en-GB"/>
              </w:rPr>
              <w:t>Health</w:t>
            </w:r>
            <w:r>
              <w:rPr>
                <w:lang w:val="en-GB"/>
              </w:rPr>
              <w:t xml:space="preserve"> assesses the information gathered during the Investigate phase and develops a plan for managing the</w:t>
            </w:r>
            <w:r w:rsidR="004441E3">
              <w:rPr>
                <w:lang w:val="en-GB"/>
              </w:rPr>
              <w:t xml:space="preserve"> identified</w:t>
            </w:r>
            <w:r>
              <w:rPr>
                <w:lang w:val="en-GB"/>
              </w:rPr>
              <w:t xml:space="preserve"> safety issue</w:t>
            </w:r>
            <w:r w:rsidR="00A84C6B">
              <w:rPr>
                <w:lang w:val="en-GB"/>
              </w:rPr>
              <w:t xml:space="preserve"> in consultation with the JIC</w:t>
            </w:r>
            <w:r>
              <w:rPr>
                <w:lang w:val="en-GB"/>
              </w:rPr>
              <w:t>.</w:t>
            </w:r>
          </w:p>
          <w:p w14:paraId="1C309557" w14:textId="187C6565" w:rsidR="00FC3F5A" w:rsidRPr="00A84C6B" w:rsidRDefault="00C91928" w:rsidP="00A84C6B">
            <w:pPr>
              <w:pStyle w:val="ListParagraph"/>
              <w:numPr>
                <w:ilvl w:val="0"/>
                <w:numId w:val="14"/>
              </w:numPr>
              <w:ind w:left="484"/>
              <w:rPr>
                <w:lang w:val="en-GB"/>
              </w:rPr>
            </w:pPr>
            <w:r>
              <w:rPr>
                <w:lang w:val="en-GB"/>
              </w:rPr>
              <w:t>Except in extremely urgent cases, the Department will provide advice to the JIC prior to taking any action or issuing public communication.</w:t>
            </w:r>
          </w:p>
        </w:tc>
      </w:tr>
    </w:tbl>
    <w:p w14:paraId="0F4BD1ED" w14:textId="77777777" w:rsidR="0028309B" w:rsidRPr="0028309B" w:rsidRDefault="0028309B" w:rsidP="0028309B">
      <w:pPr>
        <w:rPr>
          <w:lang w:val="en-GB"/>
        </w:rPr>
      </w:pPr>
    </w:p>
    <w:p w14:paraId="61273C60" w14:textId="77777777" w:rsidR="0078767A" w:rsidRDefault="001D5272" w:rsidP="004B7198">
      <w:pPr>
        <w:pStyle w:val="Heading2"/>
        <w:rPr>
          <w:lang w:val="en-GB"/>
        </w:rPr>
      </w:pPr>
      <w:bookmarkStart w:id="18" w:name="_Toc22621901"/>
      <w:r>
        <w:rPr>
          <w:lang w:val="en-GB"/>
        </w:rPr>
        <w:t>Phase 3: Act</w:t>
      </w:r>
      <w:bookmarkEnd w:id="18"/>
    </w:p>
    <w:p w14:paraId="1516803F" w14:textId="2479B92E" w:rsidR="009D126C" w:rsidRDefault="00D77585" w:rsidP="0078767A">
      <w:pPr>
        <w:rPr>
          <w:lang w:val="en-GB"/>
        </w:rPr>
      </w:pPr>
      <w:r>
        <w:rPr>
          <w:lang w:val="en-GB"/>
        </w:rPr>
        <w:t xml:space="preserve">During the </w:t>
      </w:r>
      <w:r w:rsidR="004342BE">
        <w:rPr>
          <w:lang w:val="en-GB"/>
        </w:rPr>
        <w:t xml:space="preserve">Act </w:t>
      </w:r>
      <w:proofErr w:type="gramStart"/>
      <w:r w:rsidR="004342BE">
        <w:rPr>
          <w:lang w:val="en-GB"/>
        </w:rPr>
        <w:t>phase</w:t>
      </w:r>
      <w:proofErr w:type="gramEnd"/>
      <w:r w:rsidR="004342BE">
        <w:rPr>
          <w:lang w:val="en-GB"/>
        </w:rPr>
        <w:t xml:space="preserve"> </w:t>
      </w:r>
      <w:r>
        <w:rPr>
          <w:lang w:val="en-GB"/>
        </w:rPr>
        <w:t xml:space="preserve">the plan </w:t>
      </w:r>
      <w:r w:rsidR="004342BE">
        <w:rPr>
          <w:lang w:val="en-GB"/>
        </w:rPr>
        <w:t>developed in Phase 2</w:t>
      </w:r>
      <w:r>
        <w:rPr>
          <w:lang w:val="en-GB"/>
        </w:rPr>
        <w:t xml:space="preserve"> </w:t>
      </w:r>
      <w:r w:rsidR="00FD32C2">
        <w:rPr>
          <w:lang w:val="en-GB"/>
        </w:rPr>
        <w:t>is</w:t>
      </w:r>
      <w:r>
        <w:rPr>
          <w:lang w:val="en-GB"/>
        </w:rPr>
        <w:t xml:space="preserve"> implemented</w:t>
      </w:r>
      <w:r w:rsidR="004342BE">
        <w:rPr>
          <w:lang w:val="en-GB"/>
        </w:rPr>
        <w:t>.</w:t>
      </w:r>
      <w:r w:rsidR="0088289D">
        <w:rPr>
          <w:lang w:val="en-GB"/>
        </w:rPr>
        <w:t xml:space="preserve"> </w:t>
      </w:r>
      <w:r w:rsidR="009D126C">
        <w:rPr>
          <w:lang w:val="en-GB"/>
        </w:rPr>
        <w:t xml:space="preserve">Any regulatory actions </w:t>
      </w:r>
      <w:proofErr w:type="gramStart"/>
      <w:r w:rsidR="009D126C">
        <w:rPr>
          <w:lang w:val="en-GB"/>
        </w:rPr>
        <w:t>will be taken</w:t>
      </w:r>
      <w:proofErr w:type="gramEnd"/>
      <w:r w:rsidR="009D126C">
        <w:rPr>
          <w:lang w:val="en-GB"/>
        </w:rPr>
        <w:t xml:space="preserve"> and there may be communication with</w:t>
      </w:r>
      <w:r w:rsidR="0088289D">
        <w:rPr>
          <w:lang w:val="en-GB"/>
        </w:rPr>
        <w:t xml:space="preserve"> clinicians and the community. </w:t>
      </w:r>
      <w:r w:rsidR="009D126C">
        <w:rPr>
          <w:lang w:val="en-GB"/>
        </w:rPr>
        <w:t>Some actions may be longer term</w:t>
      </w:r>
      <w:r w:rsidR="001D21DE">
        <w:rPr>
          <w:lang w:val="en-GB"/>
        </w:rPr>
        <w:t>,</w:t>
      </w:r>
      <w:r w:rsidR="009D126C">
        <w:rPr>
          <w:lang w:val="en-GB"/>
        </w:rPr>
        <w:t xml:space="preserve"> such as changing training programs or revising policies and procedures.</w:t>
      </w:r>
      <w:r w:rsidR="00702F73">
        <w:rPr>
          <w:lang w:val="en-GB"/>
        </w:rPr>
        <w:t xml:space="preserve"> </w:t>
      </w:r>
      <w:bookmarkStart w:id="19" w:name="_Hlk22471796"/>
      <w:r w:rsidR="00702F73">
        <w:rPr>
          <w:lang w:val="en-GB"/>
        </w:rPr>
        <w:t xml:space="preserve">Particularly in the short-term, the situation </w:t>
      </w:r>
      <w:proofErr w:type="gramStart"/>
      <w:r w:rsidR="00702F73">
        <w:rPr>
          <w:lang w:val="en-GB"/>
        </w:rPr>
        <w:t>will be monitored</w:t>
      </w:r>
      <w:proofErr w:type="gramEnd"/>
      <w:r w:rsidR="00702F73">
        <w:rPr>
          <w:lang w:val="en-GB"/>
        </w:rPr>
        <w:t xml:space="preserve"> closely to assess the need for any further actions.</w:t>
      </w:r>
      <w:bookmarkEnd w:id="19"/>
    </w:p>
    <w:p w14:paraId="212CC900" w14:textId="32054004" w:rsidR="004342BE" w:rsidRPr="00A0342E" w:rsidRDefault="004342BE" w:rsidP="004342BE">
      <w:pPr>
        <w:rPr>
          <w:b/>
          <w:bCs/>
          <w:lang w:val="en-GB"/>
        </w:rPr>
      </w:pPr>
      <w:r>
        <w:rPr>
          <w:b/>
          <w:bCs/>
          <w:lang w:val="en-GB"/>
        </w:rPr>
        <w:t xml:space="preserve">Figure </w:t>
      </w:r>
      <w:r w:rsidR="009D126C">
        <w:rPr>
          <w:b/>
          <w:bCs/>
          <w:lang w:val="en-GB"/>
        </w:rPr>
        <w:t>4</w:t>
      </w:r>
      <w:r>
        <w:rPr>
          <w:b/>
          <w:bCs/>
          <w:lang w:val="en-GB"/>
        </w:rPr>
        <w:t xml:space="preserve">: Summary of actions during the </w:t>
      </w:r>
      <w:r w:rsidR="009D126C">
        <w:rPr>
          <w:b/>
          <w:bCs/>
          <w:lang w:val="en-GB"/>
        </w:rPr>
        <w:t>Act</w:t>
      </w:r>
      <w:r>
        <w:rPr>
          <w:b/>
          <w:bCs/>
          <w:lang w:val="en-GB"/>
        </w:rPr>
        <w:t xml:space="preserve"> 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Regulatory action.&#10;• Communication. &#10;• Monitor the response, assess the need for any follow-up action, and implement follow-up action if required.&#10;"/>
      </w:tblPr>
      <w:tblGrid>
        <w:gridCol w:w="2547"/>
        <w:gridCol w:w="6469"/>
      </w:tblGrid>
      <w:tr w:rsidR="004342BE" w14:paraId="7B86893F" w14:textId="77777777" w:rsidTr="009D126C">
        <w:trPr>
          <w:trHeight w:val="1199"/>
        </w:trPr>
        <w:tc>
          <w:tcPr>
            <w:tcW w:w="2547" w:type="dxa"/>
            <w:shd w:val="clear" w:color="auto" w:fill="auto"/>
          </w:tcPr>
          <w:p w14:paraId="4E27B720" w14:textId="77777777" w:rsidR="004342BE" w:rsidRDefault="004342BE" w:rsidP="00941044">
            <w:pPr>
              <w:rPr>
                <w:lang w:val="en-GB"/>
              </w:rPr>
            </w:pPr>
            <w:r>
              <w:rPr>
                <w:noProof/>
                <w:lang w:eastAsia="en-AU"/>
              </w:rPr>
              <w:drawing>
                <wp:inline distT="0" distB="0" distL="0" distR="0" wp14:anchorId="734C36B0" wp14:editId="730A0063">
                  <wp:extent cx="1333500" cy="762000"/>
                  <wp:effectExtent l="19050" t="0" r="38100" b="0"/>
                  <wp:docPr id="7" name="Diagram 7" descr="Ac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4A93451" w14:textId="77777777" w:rsidR="004342BE" w:rsidRDefault="004342BE" w:rsidP="00941044">
            <w:pPr>
              <w:rPr>
                <w:lang w:val="en-GB"/>
              </w:rPr>
            </w:pPr>
          </w:p>
        </w:tc>
        <w:tc>
          <w:tcPr>
            <w:tcW w:w="6469" w:type="dxa"/>
            <w:shd w:val="clear" w:color="auto" w:fill="F9D3A1" w:themeFill="accent1" w:themeFillTint="66"/>
            <w:vAlign w:val="center"/>
          </w:tcPr>
          <w:p w14:paraId="58499C63" w14:textId="7B83B134" w:rsidR="004342BE" w:rsidRDefault="009D126C" w:rsidP="009D126C">
            <w:pPr>
              <w:pStyle w:val="ListParagraph"/>
              <w:numPr>
                <w:ilvl w:val="0"/>
                <w:numId w:val="14"/>
              </w:numPr>
              <w:ind w:left="484"/>
              <w:rPr>
                <w:lang w:val="en-GB"/>
              </w:rPr>
            </w:pPr>
            <w:r>
              <w:rPr>
                <w:lang w:val="en-GB"/>
              </w:rPr>
              <w:t>Regulatory action.</w:t>
            </w:r>
          </w:p>
          <w:p w14:paraId="58827395" w14:textId="3442CB9A" w:rsidR="009D126C" w:rsidRDefault="009D126C" w:rsidP="009D126C">
            <w:pPr>
              <w:pStyle w:val="ListParagraph"/>
              <w:numPr>
                <w:ilvl w:val="0"/>
                <w:numId w:val="14"/>
              </w:numPr>
              <w:ind w:left="484"/>
              <w:rPr>
                <w:lang w:val="en-GB"/>
              </w:rPr>
            </w:pPr>
            <w:r>
              <w:rPr>
                <w:lang w:val="en-GB"/>
              </w:rPr>
              <w:t xml:space="preserve">Communication. </w:t>
            </w:r>
          </w:p>
          <w:p w14:paraId="2956A1B6" w14:textId="3E8D1716" w:rsidR="009D126C" w:rsidRDefault="009D126C" w:rsidP="009D126C">
            <w:pPr>
              <w:pStyle w:val="ListParagraph"/>
              <w:numPr>
                <w:ilvl w:val="0"/>
                <w:numId w:val="14"/>
              </w:numPr>
              <w:ind w:left="484"/>
              <w:rPr>
                <w:lang w:val="en-GB"/>
              </w:rPr>
            </w:pPr>
            <w:r>
              <w:rPr>
                <w:lang w:val="en-GB"/>
              </w:rPr>
              <w:t>Monitor the response</w:t>
            </w:r>
            <w:r w:rsidR="00FD32C2">
              <w:rPr>
                <w:lang w:val="en-GB"/>
              </w:rPr>
              <w:t>,</w:t>
            </w:r>
            <w:r>
              <w:rPr>
                <w:lang w:val="en-GB"/>
              </w:rPr>
              <w:t xml:space="preserve"> assess the need for any follow-up action, and implement</w:t>
            </w:r>
            <w:r w:rsidR="00FD32C2">
              <w:rPr>
                <w:lang w:val="en-GB"/>
              </w:rPr>
              <w:t xml:space="preserve"> follow-up action if required</w:t>
            </w:r>
            <w:r>
              <w:rPr>
                <w:lang w:val="en-GB"/>
              </w:rPr>
              <w:t>.</w:t>
            </w:r>
          </w:p>
        </w:tc>
      </w:tr>
    </w:tbl>
    <w:p w14:paraId="4C58865B" w14:textId="77777777" w:rsidR="004342BE" w:rsidRDefault="004342BE" w:rsidP="0078767A">
      <w:pPr>
        <w:rPr>
          <w:lang w:val="en-GB"/>
        </w:rPr>
      </w:pPr>
    </w:p>
    <w:p w14:paraId="6D0BF667" w14:textId="52D9D94B" w:rsidR="009D126C" w:rsidRDefault="009D126C" w:rsidP="004B7198">
      <w:pPr>
        <w:pStyle w:val="Heading2"/>
        <w:rPr>
          <w:lang w:val="en-GB"/>
        </w:rPr>
      </w:pPr>
      <w:bookmarkStart w:id="20" w:name="_Toc22621902"/>
      <w:r>
        <w:rPr>
          <w:lang w:val="en-GB"/>
        </w:rPr>
        <w:t>Phase 4: Review</w:t>
      </w:r>
      <w:bookmarkEnd w:id="20"/>
    </w:p>
    <w:p w14:paraId="307A11AF" w14:textId="1144F654" w:rsidR="009F3367" w:rsidRDefault="009D126C" w:rsidP="0078767A">
      <w:pPr>
        <w:rPr>
          <w:lang w:val="en-GB"/>
        </w:rPr>
      </w:pPr>
      <w:r>
        <w:rPr>
          <w:lang w:val="en-GB"/>
        </w:rPr>
        <w:t xml:space="preserve">The Review phase involves a simple review process to assess whether the Protocols were effective in guiding </w:t>
      </w:r>
      <w:r w:rsidR="001D21DE">
        <w:rPr>
          <w:lang w:val="en-GB"/>
        </w:rPr>
        <w:t xml:space="preserve">national communication and coordination </w:t>
      </w:r>
      <w:r>
        <w:rPr>
          <w:lang w:val="en-GB"/>
        </w:rPr>
        <w:t>and to consider whether the</w:t>
      </w:r>
      <w:r w:rsidR="001D21DE">
        <w:rPr>
          <w:lang w:val="en-GB"/>
        </w:rPr>
        <w:t xml:space="preserve"> </w:t>
      </w:r>
      <w:r w:rsidR="0088289D">
        <w:rPr>
          <w:lang w:val="en-GB"/>
        </w:rPr>
        <w:t xml:space="preserve">process </w:t>
      </w:r>
      <w:proofErr w:type="gramStart"/>
      <w:r w:rsidR="0088289D">
        <w:rPr>
          <w:lang w:val="en-GB"/>
        </w:rPr>
        <w:t>could be improved</w:t>
      </w:r>
      <w:proofErr w:type="gramEnd"/>
      <w:r w:rsidR="0088289D">
        <w:rPr>
          <w:lang w:val="en-GB"/>
        </w:rPr>
        <w:t xml:space="preserve">. </w:t>
      </w:r>
      <w:bookmarkStart w:id="21" w:name="_GoBack"/>
      <w:bookmarkEnd w:id="21"/>
      <w:r w:rsidR="009F3367">
        <w:rPr>
          <w:lang w:val="en-GB"/>
        </w:rPr>
        <w:t xml:space="preserve">The JIC </w:t>
      </w:r>
      <w:r w:rsidR="00C41B53">
        <w:rPr>
          <w:lang w:val="en-GB"/>
        </w:rPr>
        <w:t xml:space="preserve">will undertake the review </w:t>
      </w:r>
      <w:r w:rsidR="00702F73">
        <w:rPr>
          <w:lang w:val="en-GB"/>
        </w:rPr>
        <w:t>after</w:t>
      </w:r>
      <w:r w:rsidR="00C41B53">
        <w:rPr>
          <w:lang w:val="en-GB"/>
        </w:rPr>
        <w:t xml:space="preserve"> </w:t>
      </w:r>
      <w:r w:rsidR="009F3367">
        <w:rPr>
          <w:lang w:val="en-GB"/>
        </w:rPr>
        <w:t xml:space="preserve">Phases 1 and 2 and the immediate actions in Phase 3 </w:t>
      </w:r>
      <w:proofErr w:type="gramStart"/>
      <w:r w:rsidR="009F3367">
        <w:rPr>
          <w:lang w:val="en-GB"/>
        </w:rPr>
        <w:t>have been completed</w:t>
      </w:r>
      <w:proofErr w:type="gramEnd"/>
      <w:r w:rsidR="009F3367">
        <w:rPr>
          <w:lang w:val="en-GB"/>
        </w:rPr>
        <w:t xml:space="preserve">. </w:t>
      </w:r>
    </w:p>
    <w:p w14:paraId="60EB3FCD" w14:textId="11388C7F" w:rsidR="003C340D" w:rsidRDefault="003C340D" w:rsidP="005941F9">
      <w:pPr>
        <w:rPr>
          <w:lang w:val="en-GB"/>
        </w:rPr>
      </w:pPr>
      <w:r w:rsidRPr="003C340D">
        <w:rPr>
          <w:lang w:val="en-GB"/>
        </w:rPr>
        <w:t xml:space="preserve">The JIC </w:t>
      </w:r>
      <w:r>
        <w:rPr>
          <w:lang w:val="en-GB"/>
        </w:rPr>
        <w:t>as a whole will agree on any changes required</w:t>
      </w:r>
      <w:r w:rsidR="0088289D">
        <w:rPr>
          <w:lang w:val="en-GB"/>
        </w:rPr>
        <w:t xml:space="preserve"> to the Protocols. </w:t>
      </w:r>
      <w:r w:rsidR="00C91928">
        <w:rPr>
          <w:lang w:val="en-GB"/>
        </w:rPr>
        <w:t>T</w:t>
      </w:r>
      <w:r w:rsidR="00C41B53">
        <w:rPr>
          <w:lang w:val="en-GB"/>
        </w:rPr>
        <w:t>he</w:t>
      </w:r>
      <w:r>
        <w:rPr>
          <w:lang w:val="en-GB"/>
        </w:rPr>
        <w:t xml:space="preserve"> revised Protocols </w:t>
      </w:r>
      <w:proofErr w:type="gramStart"/>
      <w:r>
        <w:rPr>
          <w:lang w:val="en-GB"/>
        </w:rPr>
        <w:t>will be provided</w:t>
      </w:r>
      <w:proofErr w:type="gramEnd"/>
      <w:r>
        <w:rPr>
          <w:lang w:val="en-GB"/>
        </w:rPr>
        <w:t xml:space="preserve"> to the </w:t>
      </w:r>
      <w:r w:rsidR="00DF5597">
        <w:rPr>
          <w:lang w:val="en-GB"/>
        </w:rPr>
        <w:t>A</w:t>
      </w:r>
      <w:r w:rsidR="00C41B53">
        <w:rPr>
          <w:lang w:val="en-GB"/>
        </w:rPr>
        <w:t xml:space="preserve">HPPC </w:t>
      </w:r>
      <w:r>
        <w:rPr>
          <w:lang w:val="en-GB"/>
        </w:rPr>
        <w:t>for endorsement.</w:t>
      </w:r>
    </w:p>
    <w:p w14:paraId="16B4D49B" w14:textId="6313114E" w:rsidR="004342BE" w:rsidRPr="00A0342E" w:rsidRDefault="004342BE" w:rsidP="004342BE">
      <w:pPr>
        <w:rPr>
          <w:b/>
          <w:bCs/>
          <w:lang w:val="en-GB"/>
        </w:rPr>
      </w:pPr>
      <w:r>
        <w:rPr>
          <w:b/>
          <w:bCs/>
          <w:lang w:val="en-GB"/>
        </w:rPr>
        <w:t xml:space="preserve">Figure </w:t>
      </w:r>
      <w:r w:rsidR="003C340D">
        <w:rPr>
          <w:b/>
          <w:bCs/>
          <w:lang w:val="en-GB"/>
        </w:rPr>
        <w:t>5</w:t>
      </w:r>
      <w:r>
        <w:rPr>
          <w:b/>
          <w:bCs/>
          <w:lang w:val="en-GB"/>
        </w:rPr>
        <w:t xml:space="preserve">: Summary of actions during the </w:t>
      </w:r>
      <w:r w:rsidR="003C340D">
        <w:rPr>
          <w:b/>
          <w:bCs/>
          <w:lang w:val="en-GB"/>
        </w:rPr>
        <w:t>Review 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The Department puts the review process on the JIC agenda.&#10;• Any revisions agreed by the JIC are provided to the AHPPC for endorsement.&#10;"/>
      </w:tblPr>
      <w:tblGrid>
        <w:gridCol w:w="2547"/>
        <w:gridCol w:w="6469"/>
      </w:tblGrid>
      <w:tr w:rsidR="004342BE" w14:paraId="064ACBF8" w14:textId="77777777" w:rsidTr="003C340D">
        <w:tc>
          <w:tcPr>
            <w:tcW w:w="2547" w:type="dxa"/>
            <w:shd w:val="clear" w:color="auto" w:fill="auto"/>
          </w:tcPr>
          <w:p w14:paraId="324CFCF3" w14:textId="77777777" w:rsidR="004342BE" w:rsidRDefault="004342BE" w:rsidP="00941044">
            <w:pPr>
              <w:rPr>
                <w:lang w:val="en-GB"/>
              </w:rPr>
            </w:pPr>
            <w:r>
              <w:rPr>
                <w:noProof/>
                <w:lang w:eastAsia="en-AU"/>
              </w:rPr>
              <w:drawing>
                <wp:inline distT="0" distB="0" distL="0" distR="0" wp14:anchorId="7E7F8F61" wp14:editId="055E4C97">
                  <wp:extent cx="1333500" cy="876300"/>
                  <wp:effectExtent l="19050" t="0" r="38100" b="0"/>
                  <wp:docPr id="8" name="Diagram 8" descr="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E90CA6C" w14:textId="77777777" w:rsidR="004342BE" w:rsidRDefault="004342BE" w:rsidP="00941044">
            <w:pPr>
              <w:rPr>
                <w:lang w:val="en-GB"/>
              </w:rPr>
            </w:pPr>
          </w:p>
        </w:tc>
        <w:tc>
          <w:tcPr>
            <w:tcW w:w="6469" w:type="dxa"/>
            <w:shd w:val="clear" w:color="auto" w:fill="F9D3A1" w:themeFill="accent1" w:themeFillTint="66"/>
            <w:vAlign w:val="center"/>
          </w:tcPr>
          <w:p w14:paraId="2E25A0A8" w14:textId="1F619D23" w:rsidR="004342BE" w:rsidRDefault="003C340D" w:rsidP="003C340D">
            <w:pPr>
              <w:pStyle w:val="ListParagraph"/>
              <w:numPr>
                <w:ilvl w:val="0"/>
                <w:numId w:val="14"/>
              </w:numPr>
              <w:ind w:left="484"/>
              <w:rPr>
                <w:lang w:val="en-GB"/>
              </w:rPr>
            </w:pPr>
            <w:r>
              <w:rPr>
                <w:lang w:val="en-GB"/>
              </w:rPr>
              <w:t>The Department puts the review process on the JIC</w:t>
            </w:r>
            <w:r w:rsidR="004342BE">
              <w:rPr>
                <w:lang w:val="en-GB"/>
              </w:rPr>
              <w:t xml:space="preserve"> </w:t>
            </w:r>
            <w:r>
              <w:rPr>
                <w:lang w:val="en-GB"/>
              </w:rPr>
              <w:t>agenda.</w:t>
            </w:r>
          </w:p>
          <w:p w14:paraId="734A5925" w14:textId="7226FBC3" w:rsidR="003C340D" w:rsidRDefault="003C340D" w:rsidP="00DF5597">
            <w:pPr>
              <w:pStyle w:val="ListParagraph"/>
              <w:numPr>
                <w:ilvl w:val="0"/>
                <w:numId w:val="14"/>
              </w:numPr>
              <w:ind w:left="484"/>
              <w:rPr>
                <w:lang w:val="en-GB"/>
              </w:rPr>
            </w:pPr>
            <w:r>
              <w:rPr>
                <w:lang w:val="en-GB"/>
              </w:rPr>
              <w:t xml:space="preserve">Any revisions agreed by the JIC </w:t>
            </w:r>
            <w:proofErr w:type="gramStart"/>
            <w:r>
              <w:rPr>
                <w:lang w:val="en-GB"/>
              </w:rPr>
              <w:t>are provided</w:t>
            </w:r>
            <w:proofErr w:type="gramEnd"/>
            <w:r>
              <w:rPr>
                <w:lang w:val="en-GB"/>
              </w:rPr>
              <w:t xml:space="preserve"> to the </w:t>
            </w:r>
            <w:r w:rsidR="00DF5597">
              <w:rPr>
                <w:lang w:val="en-GB"/>
              </w:rPr>
              <w:t xml:space="preserve">AHPPC </w:t>
            </w:r>
            <w:r>
              <w:rPr>
                <w:lang w:val="en-GB"/>
              </w:rPr>
              <w:t>for endorsement.</w:t>
            </w:r>
          </w:p>
        </w:tc>
      </w:tr>
    </w:tbl>
    <w:p w14:paraId="424255BD" w14:textId="20602EDF" w:rsidR="00C01B83" w:rsidRPr="00F157CE" w:rsidRDefault="00C01B83" w:rsidP="00FD32C2">
      <w:pPr>
        <w:pStyle w:val="Heading2"/>
        <w:rPr>
          <w:lang w:val="en-GB"/>
        </w:rPr>
      </w:pPr>
    </w:p>
    <w:sectPr w:rsidR="00C01B83" w:rsidRPr="00F157CE" w:rsidSect="00466F66">
      <w:headerReference w:type="default" r:id="rId33"/>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2022" w14:textId="77777777" w:rsidR="002F6285" w:rsidRDefault="002F6285" w:rsidP="00986499">
      <w:pPr>
        <w:spacing w:after="0" w:line="240" w:lineRule="auto"/>
      </w:pPr>
      <w:r>
        <w:separator/>
      </w:r>
    </w:p>
  </w:endnote>
  <w:endnote w:type="continuationSeparator" w:id="0">
    <w:p w14:paraId="548F53BC" w14:textId="77777777" w:rsidR="002F6285" w:rsidRDefault="002F6285" w:rsidP="0098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49965"/>
      <w:docPartObj>
        <w:docPartGallery w:val="Page Numbers (Bottom of Page)"/>
        <w:docPartUnique/>
      </w:docPartObj>
    </w:sdtPr>
    <w:sdtEndPr>
      <w:rPr>
        <w:color w:val="7F7F7F" w:themeColor="background1" w:themeShade="7F"/>
        <w:spacing w:val="60"/>
      </w:rPr>
    </w:sdtEndPr>
    <w:sdtContent>
      <w:p w14:paraId="5220A842" w14:textId="064BD197" w:rsidR="0078767A" w:rsidRDefault="007876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2949">
          <w:rPr>
            <w:noProof/>
          </w:rPr>
          <w:t>6</w:t>
        </w:r>
        <w:r>
          <w:rPr>
            <w:noProof/>
          </w:rPr>
          <w:fldChar w:fldCharType="end"/>
        </w:r>
        <w:r>
          <w:t xml:space="preserve"> | </w:t>
        </w:r>
        <w:r>
          <w:rPr>
            <w:color w:val="7F7F7F" w:themeColor="background1" w:themeShade="7F"/>
            <w:spacing w:val="60"/>
          </w:rPr>
          <w:t>Page</w:t>
        </w:r>
      </w:p>
    </w:sdtContent>
  </w:sdt>
  <w:p w14:paraId="3C3FE091" w14:textId="77777777" w:rsidR="0078767A" w:rsidRDefault="0078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652B" w14:textId="77777777" w:rsidR="002F6285" w:rsidRDefault="002F6285" w:rsidP="00986499">
      <w:pPr>
        <w:spacing w:after="0" w:line="240" w:lineRule="auto"/>
      </w:pPr>
      <w:r>
        <w:separator/>
      </w:r>
    </w:p>
  </w:footnote>
  <w:footnote w:type="continuationSeparator" w:id="0">
    <w:p w14:paraId="292C0867" w14:textId="77777777" w:rsidR="002F6285" w:rsidRDefault="002F6285" w:rsidP="00986499">
      <w:pPr>
        <w:spacing w:after="0" w:line="240" w:lineRule="auto"/>
      </w:pPr>
      <w:r>
        <w:continuationSeparator/>
      </w:r>
    </w:p>
  </w:footnote>
  <w:footnote w:id="1">
    <w:p w14:paraId="39645D2B" w14:textId="29B0B43A" w:rsidR="0078767A" w:rsidRPr="00303C31" w:rsidRDefault="0078767A">
      <w:pPr>
        <w:pStyle w:val="FootnoteText"/>
        <w:rPr>
          <w:lang w:val="en-GB"/>
        </w:rPr>
      </w:pPr>
      <w:r>
        <w:rPr>
          <w:rStyle w:val="FootnoteReference"/>
        </w:rPr>
        <w:footnoteRef/>
      </w:r>
      <w:r>
        <w:t xml:space="preserve"> </w:t>
      </w:r>
      <w:r>
        <w:rPr>
          <w:lang w:val="en-GB"/>
        </w:rPr>
        <w:t>The TGA is part of the Australian Government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5D37" w14:textId="77777777" w:rsidR="00466F66" w:rsidRPr="00E61D40" w:rsidRDefault="00466F66" w:rsidP="00466F66">
    <w:pPr>
      <w:jc w:val="center"/>
      <w:rPr>
        <w:lang w:val="en-GB"/>
      </w:rPr>
    </w:pPr>
    <w:r>
      <w:rPr>
        <w:lang w:val="en-GB"/>
      </w:rPr>
      <w:t>Protocols for National Action to Respond to Adverse Events Following Immunisation</w:t>
    </w:r>
  </w:p>
  <w:p w14:paraId="6F9C97F3" w14:textId="77777777" w:rsidR="00466F66" w:rsidRDefault="0046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AEE"/>
    <w:multiLevelType w:val="hybridMultilevel"/>
    <w:tmpl w:val="92FE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07FBF"/>
    <w:multiLevelType w:val="hybridMultilevel"/>
    <w:tmpl w:val="2146E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63318"/>
    <w:multiLevelType w:val="hybridMultilevel"/>
    <w:tmpl w:val="CF3254C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2310E"/>
    <w:multiLevelType w:val="hybridMultilevel"/>
    <w:tmpl w:val="1E34F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3F4C25"/>
    <w:multiLevelType w:val="hybridMultilevel"/>
    <w:tmpl w:val="FEBC28EA"/>
    <w:lvl w:ilvl="0" w:tplc="E6F2812A">
      <w:start w:val="1"/>
      <w:numFmt w:val="bullet"/>
      <w:lvlText w:val="•"/>
      <w:lvlJc w:val="left"/>
      <w:pPr>
        <w:tabs>
          <w:tab w:val="num" w:pos="720"/>
        </w:tabs>
        <w:ind w:left="720" w:hanging="360"/>
      </w:pPr>
      <w:rPr>
        <w:rFonts w:ascii="Times New Roman" w:hAnsi="Times New Roman" w:hint="default"/>
      </w:rPr>
    </w:lvl>
    <w:lvl w:ilvl="1" w:tplc="A18CE502" w:tentative="1">
      <w:start w:val="1"/>
      <w:numFmt w:val="bullet"/>
      <w:lvlText w:val="•"/>
      <w:lvlJc w:val="left"/>
      <w:pPr>
        <w:tabs>
          <w:tab w:val="num" w:pos="1440"/>
        </w:tabs>
        <w:ind w:left="1440" w:hanging="360"/>
      </w:pPr>
      <w:rPr>
        <w:rFonts w:ascii="Times New Roman" w:hAnsi="Times New Roman" w:hint="default"/>
      </w:rPr>
    </w:lvl>
    <w:lvl w:ilvl="2" w:tplc="18B2A2E0" w:tentative="1">
      <w:start w:val="1"/>
      <w:numFmt w:val="bullet"/>
      <w:lvlText w:val="•"/>
      <w:lvlJc w:val="left"/>
      <w:pPr>
        <w:tabs>
          <w:tab w:val="num" w:pos="2160"/>
        </w:tabs>
        <w:ind w:left="2160" w:hanging="360"/>
      </w:pPr>
      <w:rPr>
        <w:rFonts w:ascii="Times New Roman" w:hAnsi="Times New Roman" w:hint="default"/>
      </w:rPr>
    </w:lvl>
    <w:lvl w:ilvl="3" w:tplc="097065A0" w:tentative="1">
      <w:start w:val="1"/>
      <w:numFmt w:val="bullet"/>
      <w:lvlText w:val="•"/>
      <w:lvlJc w:val="left"/>
      <w:pPr>
        <w:tabs>
          <w:tab w:val="num" w:pos="2880"/>
        </w:tabs>
        <w:ind w:left="2880" w:hanging="360"/>
      </w:pPr>
      <w:rPr>
        <w:rFonts w:ascii="Times New Roman" w:hAnsi="Times New Roman" w:hint="default"/>
      </w:rPr>
    </w:lvl>
    <w:lvl w:ilvl="4" w:tplc="0074A1CE" w:tentative="1">
      <w:start w:val="1"/>
      <w:numFmt w:val="bullet"/>
      <w:lvlText w:val="•"/>
      <w:lvlJc w:val="left"/>
      <w:pPr>
        <w:tabs>
          <w:tab w:val="num" w:pos="3600"/>
        </w:tabs>
        <w:ind w:left="3600" w:hanging="360"/>
      </w:pPr>
      <w:rPr>
        <w:rFonts w:ascii="Times New Roman" w:hAnsi="Times New Roman" w:hint="default"/>
      </w:rPr>
    </w:lvl>
    <w:lvl w:ilvl="5" w:tplc="C92053AE" w:tentative="1">
      <w:start w:val="1"/>
      <w:numFmt w:val="bullet"/>
      <w:lvlText w:val="•"/>
      <w:lvlJc w:val="left"/>
      <w:pPr>
        <w:tabs>
          <w:tab w:val="num" w:pos="4320"/>
        </w:tabs>
        <w:ind w:left="4320" w:hanging="360"/>
      </w:pPr>
      <w:rPr>
        <w:rFonts w:ascii="Times New Roman" w:hAnsi="Times New Roman" w:hint="default"/>
      </w:rPr>
    </w:lvl>
    <w:lvl w:ilvl="6" w:tplc="8D9E6186" w:tentative="1">
      <w:start w:val="1"/>
      <w:numFmt w:val="bullet"/>
      <w:lvlText w:val="•"/>
      <w:lvlJc w:val="left"/>
      <w:pPr>
        <w:tabs>
          <w:tab w:val="num" w:pos="5040"/>
        </w:tabs>
        <w:ind w:left="5040" w:hanging="360"/>
      </w:pPr>
      <w:rPr>
        <w:rFonts w:ascii="Times New Roman" w:hAnsi="Times New Roman" w:hint="default"/>
      </w:rPr>
    </w:lvl>
    <w:lvl w:ilvl="7" w:tplc="AC584B4C" w:tentative="1">
      <w:start w:val="1"/>
      <w:numFmt w:val="bullet"/>
      <w:lvlText w:val="•"/>
      <w:lvlJc w:val="left"/>
      <w:pPr>
        <w:tabs>
          <w:tab w:val="num" w:pos="5760"/>
        </w:tabs>
        <w:ind w:left="5760" w:hanging="360"/>
      </w:pPr>
      <w:rPr>
        <w:rFonts w:ascii="Times New Roman" w:hAnsi="Times New Roman" w:hint="default"/>
      </w:rPr>
    </w:lvl>
    <w:lvl w:ilvl="8" w:tplc="228E25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6B7FF9"/>
    <w:multiLevelType w:val="hybridMultilevel"/>
    <w:tmpl w:val="1E34F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C906BF"/>
    <w:multiLevelType w:val="hybridMultilevel"/>
    <w:tmpl w:val="1E34F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C53735"/>
    <w:multiLevelType w:val="hybridMultilevel"/>
    <w:tmpl w:val="4B569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07082F"/>
    <w:multiLevelType w:val="hybridMultilevel"/>
    <w:tmpl w:val="45B4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05964"/>
    <w:multiLevelType w:val="hybridMultilevel"/>
    <w:tmpl w:val="349236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F1C7EB9"/>
    <w:multiLevelType w:val="hybridMultilevel"/>
    <w:tmpl w:val="84AEA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F48238D"/>
    <w:multiLevelType w:val="hybridMultilevel"/>
    <w:tmpl w:val="214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34A9F"/>
    <w:multiLevelType w:val="hybridMultilevel"/>
    <w:tmpl w:val="D3BE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4C773F"/>
    <w:multiLevelType w:val="hybridMultilevel"/>
    <w:tmpl w:val="F182B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7"/>
  </w:num>
  <w:num w:numId="6">
    <w:abstractNumId w:val="3"/>
  </w:num>
  <w:num w:numId="7">
    <w:abstractNumId w:val="0"/>
  </w:num>
  <w:num w:numId="8">
    <w:abstractNumId w:val="5"/>
  </w:num>
  <w:num w:numId="9">
    <w:abstractNumId w:val="1"/>
  </w:num>
  <w:num w:numId="10">
    <w:abstractNumId w:val="11"/>
  </w:num>
  <w:num w:numId="11">
    <w:abstractNumId w:val="13"/>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CE"/>
    <w:rsid w:val="000037C6"/>
    <w:rsid w:val="00022293"/>
    <w:rsid w:val="000562D7"/>
    <w:rsid w:val="00056AF9"/>
    <w:rsid w:val="000618CE"/>
    <w:rsid w:val="000D2E40"/>
    <w:rsid w:val="00134880"/>
    <w:rsid w:val="001C7EB0"/>
    <w:rsid w:val="001D2190"/>
    <w:rsid w:val="001D21DE"/>
    <w:rsid w:val="001D5272"/>
    <w:rsid w:val="001E2080"/>
    <w:rsid w:val="001E3375"/>
    <w:rsid w:val="001F59BD"/>
    <w:rsid w:val="00204D73"/>
    <w:rsid w:val="00210B81"/>
    <w:rsid w:val="002120A6"/>
    <w:rsid w:val="00235E3F"/>
    <w:rsid w:val="00271D20"/>
    <w:rsid w:val="0028309B"/>
    <w:rsid w:val="0029435C"/>
    <w:rsid w:val="002B31BD"/>
    <w:rsid w:val="002C2E59"/>
    <w:rsid w:val="002E1D11"/>
    <w:rsid w:val="002E5D17"/>
    <w:rsid w:val="002F1CB0"/>
    <w:rsid w:val="002F6285"/>
    <w:rsid w:val="00303C31"/>
    <w:rsid w:val="003C15FA"/>
    <w:rsid w:val="003C340D"/>
    <w:rsid w:val="004053CD"/>
    <w:rsid w:val="00426FD5"/>
    <w:rsid w:val="004342BE"/>
    <w:rsid w:val="00437362"/>
    <w:rsid w:val="004441E3"/>
    <w:rsid w:val="0045436C"/>
    <w:rsid w:val="00466F66"/>
    <w:rsid w:val="0047214D"/>
    <w:rsid w:val="004A6594"/>
    <w:rsid w:val="004B127E"/>
    <w:rsid w:val="004B3383"/>
    <w:rsid w:val="004B644E"/>
    <w:rsid w:val="004B7198"/>
    <w:rsid w:val="00507A1B"/>
    <w:rsid w:val="00572949"/>
    <w:rsid w:val="005756C0"/>
    <w:rsid w:val="005941F9"/>
    <w:rsid w:val="005A17CB"/>
    <w:rsid w:val="005B726F"/>
    <w:rsid w:val="005C7137"/>
    <w:rsid w:val="006227DF"/>
    <w:rsid w:val="006270A1"/>
    <w:rsid w:val="00696DD7"/>
    <w:rsid w:val="006D15E8"/>
    <w:rsid w:val="00702F73"/>
    <w:rsid w:val="007727D5"/>
    <w:rsid w:val="00777FB2"/>
    <w:rsid w:val="0078767A"/>
    <w:rsid w:val="007A6D8A"/>
    <w:rsid w:val="007D175E"/>
    <w:rsid w:val="007D1F0F"/>
    <w:rsid w:val="007D2003"/>
    <w:rsid w:val="007F70A7"/>
    <w:rsid w:val="00813986"/>
    <w:rsid w:val="00831AD2"/>
    <w:rsid w:val="0083348C"/>
    <w:rsid w:val="00855EE1"/>
    <w:rsid w:val="0087413D"/>
    <w:rsid w:val="00881F18"/>
    <w:rsid w:val="0088289D"/>
    <w:rsid w:val="00883B27"/>
    <w:rsid w:val="008E531E"/>
    <w:rsid w:val="00956CE1"/>
    <w:rsid w:val="00986499"/>
    <w:rsid w:val="009A714D"/>
    <w:rsid w:val="009B3FFB"/>
    <w:rsid w:val="009D126C"/>
    <w:rsid w:val="009F2379"/>
    <w:rsid w:val="009F3367"/>
    <w:rsid w:val="009F39FB"/>
    <w:rsid w:val="00A0342E"/>
    <w:rsid w:val="00A32706"/>
    <w:rsid w:val="00A404A6"/>
    <w:rsid w:val="00A84C6B"/>
    <w:rsid w:val="00A97D57"/>
    <w:rsid w:val="00AA1E1F"/>
    <w:rsid w:val="00AC4B14"/>
    <w:rsid w:val="00B25D69"/>
    <w:rsid w:val="00B323B7"/>
    <w:rsid w:val="00B57070"/>
    <w:rsid w:val="00BB77E9"/>
    <w:rsid w:val="00BD0B79"/>
    <w:rsid w:val="00C01B83"/>
    <w:rsid w:val="00C03D84"/>
    <w:rsid w:val="00C064A3"/>
    <w:rsid w:val="00C21BFD"/>
    <w:rsid w:val="00C41B53"/>
    <w:rsid w:val="00C57D1B"/>
    <w:rsid w:val="00C91928"/>
    <w:rsid w:val="00CA0C89"/>
    <w:rsid w:val="00CC0BBC"/>
    <w:rsid w:val="00D342A1"/>
    <w:rsid w:val="00D4307F"/>
    <w:rsid w:val="00D600ED"/>
    <w:rsid w:val="00D77585"/>
    <w:rsid w:val="00D95B7A"/>
    <w:rsid w:val="00DF0A41"/>
    <w:rsid w:val="00DF5597"/>
    <w:rsid w:val="00DF7E07"/>
    <w:rsid w:val="00E162AE"/>
    <w:rsid w:val="00E525AA"/>
    <w:rsid w:val="00E564EB"/>
    <w:rsid w:val="00E61D40"/>
    <w:rsid w:val="00EA3B48"/>
    <w:rsid w:val="00EA62F9"/>
    <w:rsid w:val="00EB43BF"/>
    <w:rsid w:val="00EC3671"/>
    <w:rsid w:val="00EE0FF2"/>
    <w:rsid w:val="00F157CE"/>
    <w:rsid w:val="00F30BA2"/>
    <w:rsid w:val="00F60827"/>
    <w:rsid w:val="00F75E1D"/>
    <w:rsid w:val="00F8610F"/>
    <w:rsid w:val="00FA340A"/>
    <w:rsid w:val="00FC3F5A"/>
    <w:rsid w:val="00FD32C2"/>
    <w:rsid w:val="00FE1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7BD763"/>
  <w15:chartTrackingRefBased/>
  <w15:docId w15:val="{4516775D-BC16-4F28-86F1-A1CD091C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27"/>
    <w:rPr>
      <w:rFonts w:ascii="Calibri" w:hAnsi="Calibri"/>
      <w:sz w:val="22"/>
    </w:rPr>
  </w:style>
  <w:style w:type="paragraph" w:styleId="Heading1">
    <w:name w:val="heading 1"/>
    <w:basedOn w:val="Normal"/>
    <w:next w:val="Normal"/>
    <w:link w:val="Heading1Char"/>
    <w:uiPriority w:val="9"/>
    <w:qFormat/>
    <w:rsid w:val="00883B27"/>
    <w:pPr>
      <w:keepNext/>
      <w:keepLines/>
      <w:pBdr>
        <w:bottom w:val="single" w:sz="4" w:space="1" w:color="F09415" w:themeColor="accent1"/>
      </w:pBdr>
      <w:spacing w:before="400" w:after="40" w:line="240" w:lineRule="auto"/>
      <w:outlineLvl w:val="0"/>
    </w:pPr>
    <w:rPr>
      <w:rFonts w:asciiTheme="majorHAnsi" w:eastAsiaTheme="majorEastAsia" w:hAnsiTheme="majorHAnsi" w:cstheme="majorBidi"/>
      <w:color w:val="B76E0B" w:themeColor="accent1" w:themeShade="BF"/>
      <w:sz w:val="36"/>
      <w:szCs w:val="36"/>
    </w:rPr>
  </w:style>
  <w:style w:type="paragraph" w:styleId="Heading2">
    <w:name w:val="heading 2"/>
    <w:basedOn w:val="Normal"/>
    <w:next w:val="Normal"/>
    <w:link w:val="Heading2Char"/>
    <w:uiPriority w:val="9"/>
    <w:unhideWhenUsed/>
    <w:qFormat/>
    <w:rsid w:val="00883B27"/>
    <w:pPr>
      <w:keepNext/>
      <w:keepLines/>
      <w:spacing w:before="160" w:after="0" w:line="240" w:lineRule="auto"/>
      <w:outlineLvl w:val="1"/>
    </w:pPr>
    <w:rPr>
      <w:rFonts w:asciiTheme="majorHAnsi" w:eastAsiaTheme="majorEastAsia" w:hAnsiTheme="majorHAnsi" w:cstheme="majorBidi"/>
      <w:color w:val="B76E0B" w:themeColor="accent1" w:themeShade="BF"/>
      <w:sz w:val="28"/>
      <w:szCs w:val="28"/>
    </w:rPr>
  </w:style>
  <w:style w:type="paragraph" w:styleId="Heading3">
    <w:name w:val="heading 3"/>
    <w:basedOn w:val="Normal"/>
    <w:next w:val="Normal"/>
    <w:link w:val="Heading3Char"/>
    <w:uiPriority w:val="9"/>
    <w:unhideWhenUsed/>
    <w:qFormat/>
    <w:rsid w:val="00883B2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883B2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83B27"/>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883B2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83B2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83B2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83B2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3B27"/>
    <w:rPr>
      <w:rFonts w:asciiTheme="majorHAnsi" w:eastAsiaTheme="majorEastAsia" w:hAnsiTheme="majorHAnsi" w:cstheme="majorBidi"/>
      <w:color w:val="404040" w:themeColor="text1" w:themeTint="BF"/>
      <w:sz w:val="26"/>
      <w:szCs w:val="26"/>
    </w:rPr>
  </w:style>
  <w:style w:type="paragraph" w:styleId="ListParagraph">
    <w:name w:val="List Paragraph"/>
    <w:basedOn w:val="Normal"/>
    <w:uiPriority w:val="34"/>
    <w:qFormat/>
    <w:rsid w:val="00F157CE"/>
    <w:pPr>
      <w:ind w:left="720"/>
      <w:contextualSpacing/>
    </w:pPr>
  </w:style>
  <w:style w:type="character" w:styleId="CommentReference">
    <w:name w:val="annotation reference"/>
    <w:basedOn w:val="DefaultParagraphFont"/>
    <w:uiPriority w:val="99"/>
    <w:semiHidden/>
    <w:unhideWhenUsed/>
    <w:rsid w:val="009B3FFB"/>
    <w:rPr>
      <w:sz w:val="16"/>
      <w:szCs w:val="16"/>
    </w:rPr>
  </w:style>
  <w:style w:type="paragraph" w:styleId="CommentText">
    <w:name w:val="annotation text"/>
    <w:basedOn w:val="Normal"/>
    <w:link w:val="CommentTextChar"/>
    <w:uiPriority w:val="99"/>
    <w:semiHidden/>
    <w:unhideWhenUsed/>
    <w:rsid w:val="009B3FFB"/>
    <w:pPr>
      <w:spacing w:line="240" w:lineRule="auto"/>
    </w:pPr>
    <w:rPr>
      <w:sz w:val="20"/>
      <w:szCs w:val="20"/>
    </w:rPr>
  </w:style>
  <w:style w:type="character" w:customStyle="1" w:styleId="CommentTextChar">
    <w:name w:val="Comment Text Char"/>
    <w:basedOn w:val="DefaultParagraphFont"/>
    <w:link w:val="CommentText"/>
    <w:uiPriority w:val="99"/>
    <w:semiHidden/>
    <w:rsid w:val="009B3FFB"/>
    <w:rPr>
      <w:sz w:val="20"/>
      <w:szCs w:val="20"/>
    </w:rPr>
  </w:style>
  <w:style w:type="paragraph" w:styleId="CommentSubject">
    <w:name w:val="annotation subject"/>
    <w:basedOn w:val="CommentText"/>
    <w:next w:val="CommentText"/>
    <w:link w:val="CommentSubjectChar"/>
    <w:uiPriority w:val="99"/>
    <w:semiHidden/>
    <w:unhideWhenUsed/>
    <w:rsid w:val="009B3FFB"/>
    <w:rPr>
      <w:b/>
      <w:bCs/>
    </w:rPr>
  </w:style>
  <w:style w:type="character" w:customStyle="1" w:styleId="CommentSubjectChar">
    <w:name w:val="Comment Subject Char"/>
    <w:basedOn w:val="CommentTextChar"/>
    <w:link w:val="CommentSubject"/>
    <w:uiPriority w:val="99"/>
    <w:semiHidden/>
    <w:rsid w:val="009B3FFB"/>
    <w:rPr>
      <w:b/>
      <w:bCs/>
      <w:sz w:val="20"/>
      <w:szCs w:val="20"/>
    </w:rPr>
  </w:style>
  <w:style w:type="paragraph" w:styleId="BalloonText">
    <w:name w:val="Balloon Text"/>
    <w:basedOn w:val="Normal"/>
    <w:link w:val="BalloonTextChar"/>
    <w:uiPriority w:val="99"/>
    <w:semiHidden/>
    <w:unhideWhenUsed/>
    <w:rsid w:val="009B3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FB"/>
    <w:rPr>
      <w:rFonts w:ascii="Segoe UI" w:hAnsi="Segoe UI" w:cs="Segoe UI"/>
      <w:sz w:val="18"/>
      <w:szCs w:val="18"/>
    </w:rPr>
  </w:style>
  <w:style w:type="paragraph" w:styleId="FootnoteText">
    <w:name w:val="footnote text"/>
    <w:basedOn w:val="Normal"/>
    <w:link w:val="FootnoteTextChar"/>
    <w:uiPriority w:val="99"/>
    <w:semiHidden/>
    <w:unhideWhenUsed/>
    <w:rsid w:val="0098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499"/>
    <w:rPr>
      <w:sz w:val="20"/>
      <w:szCs w:val="20"/>
    </w:rPr>
  </w:style>
  <w:style w:type="character" w:styleId="FootnoteReference">
    <w:name w:val="footnote reference"/>
    <w:basedOn w:val="DefaultParagraphFont"/>
    <w:uiPriority w:val="99"/>
    <w:semiHidden/>
    <w:unhideWhenUsed/>
    <w:rsid w:val="00986499"/>
    <w:rPr>
      <w:vertAlign w:val="superscript"/>
    </w:rPr>
  </w:style>
  <w:style w:type="character" w:customStyle="1" w:styleId="Heading1Char">
    <w:name w:val="Heading 1 Char"/>
    <w:basedOn w:val="DefaultParagraphFont"/>
    <w:link w:val="Heading1"/>
    <w:uiPriority w:val="9"/>
    <w:rsid w:val="00883B27"/>
    <w:rPr>
      <w:rFonts w:asciiTheme="majorHAnsi" w:eastAsiaTheme="majorEastAsia" w:hAnsiTheme="majorHAnsi" w:cstheme="majorBidi"/>
      <w:color w:val="B76E0B" w:themeColor="accent1" w:themeShade="BF"/>
      <w:sz w:val="36"/>
      <w:szCs w:val="36"/>
    </w:rPr>
  </w:style>
  <w:style w:type="character" w:customStyle="1" w:styleId="Heading2Char">
    <w:name w:val="Heading 2 Char"/>
    <w:basedOn w:val="DefaultParagraphFont"/>
    <w:link w:val="Heading2"/>
    <w:uiPriority w:val="9"/>
    <w:rsid w:val="00883B27"/>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rsid w:val="00883B2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83B2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83B2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83B2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83B2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83B2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83B2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83B27"/>
    <w:pPr>
      <w:spacing w:after="0" w:line="240" w:lineRule="auto"/>
      <w:contextualSpacing/>
    </w:pPr>
    <w:rPr>
      <w:rFonts w:asciiTheme="majorHAnsi" w:eastAsiaTheme="majorEastAsia" w:hAnsiTheme="majorHAnsi" w:cstheme="majorBidi"/>
      <w:color w:val="B76E0B" w:themeColor="accent1" w:themeShade="BF"/>
      <w:spacing w:val="-7"/>
      <w:sz w:val="80"/>
      <w:szCs w:val="80"/>
    </w:rPr>
  </w:style>
  <w:style w:type="character" w:customStyle="1" w:styleId="TitleChar">
    <w:name w:val="Title Char"/>
    <w:basedOn w:val="DefaultParagraphFont"/>
    <w:link w:val="Title"/>
    <w:uiPriority w:val="10"/>
    <w:rsid w:val="00883B27"/>
    <w:rPr>
      <w:rFonts w:asciiTheme="majorHAnsi" w:eastAsiaTheme="majorEastAsia" w:hAnsiTheme="majorHAnsi" w:cstheme="majorBidi"/>
      <w:color w:val="B76E0B" w:themeColor="accent1" w:themeShade="BF"/>
      <w:spacing w:val="-7"/>
      <w:sz w:val="80"/>
      <w:szCs w:val="80"/>
    </w:rPr>
  </w:style>
  <w:style w:type="paragraph" w:styleId="Subtitle">
    <w:name w:val="Subtitle"/>
    <w:basedOn w:val="Normal"/>
    <w:next w:val="Normal"/>
    <w:link w:val="SubtitleChar"/>
    <w:uiPriority w:val="11"/>
    <w:qFormat/>
    <w:rsid w:val="00883B2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83B2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83B27"/>
    <w:rPr>
      <w:b/>
      <w:bCs/>
    </w:rPr>
  </w:style>
  <w:style w:type="character" w:styleId="Emphasis">
    <w:name w:val="Emphasis"/>
    <w:basedOn w:val="DefaultParagraphFont"/>
    <w:uiPriority w:val="20"/>
    <w:qFormat/>
    <w:rsid w:val="00883B27"/>
    <w:rPr>
      <w:i/>
      <w:iCs/>
    </w:rPr>
  </w:style>
  <w:style w:type="paragraph" w:styleId="NoSpacing">
    <w:name w:val="No Spacing"/>
    <w:uiPriority w:val="1"/>
    <w:qFormat/>
    <w:rsid w:val="00883B27"/>
    <w:pPr>
      <w:spacing w:after="0" w:line="240" w:lineRule="auto"/>
    </w:pPr>
  </w:style>
  <w:style w:type="paragraph" w:styleId="Quote">
    <w:name w:val="Quote"/>
    <w:basedOn w:val="Normal"/>
    <w:next w:val="Normal"/>
    <w:link w:val="QuoteChar"/>
    <w:uiPriority w:val="29"/>
    <w:qFormat/>
    <w:rsid w:val="00883B2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83B27"/>
    <w:rPr>
      <w:i/>
      <w:iCs/>
    </w:rPr>
  </w:style>
  <w:style w:type="paragraph" w:styleId="IntenseQuote">
    <w:name w:val="Intense Quote"/>
    <w:basedOn w:val="Normal"/>
    <w:next w:val="Normal"/>
    <w:link w:val="IntenseQuoteChar"/>
    <w:uiPriority w:val="30"/>
    <w:qFormat/>
    <w:rsid w:val="00883B27"/>
    <w:pPr>
      <w:spacing w:before="100" w:beforeAutospacing="1" w:after="240"/>
      <w:ind w:left="864" w:right="864"/>
      <w:jc w:val="center"/>
    </w:pPr>
    <w:rPr>
      <w:rFonts w:asciiTheme="majorHAnsi" w:eastAsiaTheme="majorEastAsia" w:hAnsiTheme="majorHAnsi" w:cstheme="majorBidi"/>
      <w:color w:val="F09415" w:themeColor="accent1"/>
      <w:sz w:val="28"/>
      <w:szCs w:val="28"/>
    </w:rPr>
  </w:style>
  <w:style w:type="character" w:customStyle="1" w:styleId="IntenseQuoteChar">
    <w:name w:val="Intense Quote Char"/>
    <w:basedOn w:val="DefaultParagraphFont"/>
    <w:link w:val="IntenseQuote"/>
    <w:uiPriority w:val="30"/>
    <w:rsid w:val="00883B27"/>
    <w:rPr>
      <w:rFonts w:asciiTheme="majorHAnsi" w:eastAsiaTheme="majorEastAsia" w:hAnsiTheme="majorHAnsi" w:cstheme="majorBidi"/>
      <w:color w:val="F09415" w:themeColor="accent1"/>
      <w:sz w:val="28"/>
      <w:szCs w:val="28"/>
    </w:rPr>
  </w:style>
  <w:style w:type="character" w:styleId="SubtleEmphasis">
    <w:name w:val="Subtle Emphasis"/>
    <w:basedOn w:val="DefaultParagraphFont"/>
    <w:uiPriority w:val="19"/>
    <w:qFormat/>
    <w:rsid w:val="00883B27"/>
    <w:rPr>
      <w:i/>
      <w:iCs/>
      <w:color w:val="595959" w:themeColor="text1" w:themeTint="A6"/>
    </w:rPr>
  </w:style>
  <w:style w:type="character" w:styleId="IntenseEmphasis">
    <w:name w:val="Intense Emphasis"/>
    <w:basedOn w:val="DefaultParagraphFont"/>
    <w:uiPriority w:val="21"/>
    <w:qFormat/>
    <w:rsid w:val="00883B27"/>
    <w:rPr>
      <w:b/>
      <w:bCs/>
      <w:i/>
      <w:iCs/>
    </w:rPr>
  </w:style>
  <w:style w:type="character" w:styleId="SubtleReference">
    <w:name w:val="Subtle Reference"/>
    <w:basedOn w:val="DefaultParagraphFont"/>
    <w:uiPriority w:val="31"/>
    <w:qFormat/>
    <w:rsid w:val="00883B27"/>
    <w:rPr>
      <w:smallCaps/>
      <w:color w:val="404040" w:themeColor="text1" w:themeTint="BF"/>
    </w:rPr>
  </w:style>
  <w:style w:type="character" w:styleId="IntenseReference">
    <w:name w:val="Intense Reference"/>
    <w:basedOn w:val="DefaultParagraphFont"/>
    <w:uiPriority w:val="32"/>
    <w:qFormat/>
    <w:rsid w:val="00883B27"/>
    <w:rPr>
      <w:b/>
      <w:bCs/>
      <w:smallCaps/>
      <w:u w:val="single"/>
    </w:rPr>
  </w:style>
  <w:style w:type="character" w:styleId="BookTitle">
    <w:name w:val="Book Title"/>
    <w:basedOn w:val="DefaultParagraphFont"/>
    <w:uiPriority w:val="33"/>
    <w:qFormat/>
    <w:rsid w:val="00883B27"/>
    <w:rPr>
      <w:b/>
      <w:bCs/>
      <w:smallCaps/>
    </w:rPr>
  </w:style>
  <w:style w:type="paragraph" w:styleId="TOCHeading">
    <w:name w:val="TOC Heading"/>
    <w:basedOn w:val="Heading1"/>
    <w:next w:val="Normal"/>
    <w:uiPriority w:val="39"/>
    <w:unhideWhenUsed/>
    <w:qFormat/>
    <w:rsid w:val="00883B27"/>
    <w:pPr>
      <w:outlineLvl w:val="9"/>
    </w:pPr>
  </w:style>
  <w:style w:type="paragraph" w:styleId="Header">
    <w:name w:val="header"/>
    <w:basedOn w:val="Normal"/>
    <w:link w:val="HeaderChar"/>
    <w:uiPriority w:val="99"/>
    <w:unhideWhenUsed/>
    <w:rsid w:val="007D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F0F"/>
    <w:rPr>
      <w:rFonts w:ascii="Calibri" w:hAnsi="Calibri"/>
      <w:sz w:val="22"/>
    </w:rPr>
  </w:style>
  <w:style w:type="paragraph" w:styleId="Footer">
    <w:name w:val="footer"/>
    <w:basedOn w:val="Normal"/>
    <w:link w:val="FooterChar"/>
    <w:uiPriority w:val="99"/>
    <w:unhideWhenUsed/>
    <w:rsid w:val="007D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F0F"/>
    <w:rPr>
      <w:rFonts w:ascii="Calibri" w:hAnsi="Calibri"/>
      <w:sz w:val="22"/>
    </w:rPr>
  </w:style>
  <w:style w:type="character" w:styleId="Hyperlink">
    <w:name w:val="Hyperlink"/>
    <w:basedOn w:val="DefaultParagraphFont"/>
    <w:uiPriority w:val="99"/>
    <w:unhideWhenUsed/>
    <w:rsid w:val="00134880"/>
    <w:rPr>
      <w:color w:val="0000FF"/>
      <w:u w:val="single"/>
    </w:rPr>
  </w:style>
  <w:style w:type="table" w:styleId="TableGrid">
    <w:name w:val="Table Grid"/>
    <w:basedOn w:val="TableNormal"/>
    <w:uiPriority w:val="39"/>
    <w:rsid w:val="00A0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B7198"/>
    <w:pPr>
      <w:spacing w:after="100" w:line="259" w:lineRule="auto"/>
      <w:ind w:left="220"/>
    </w:pPr>
    <w:rPr>
      <w:rFonts w:asciiTheme="minorHAnsi" w:hAnsiTheme="minorHAnsi" w:cs="Times New Roman"/>
      <w:szCs w:val="22"/>
      <w:lang w:val="en-US"/>
    </w:rPr>
  </w:style>
  <w:style w:type="paragraph" w:styleId="TOC1">
    <w:name w:val="toc 1"/>
    <w:basedOn w:val="Normal"/>
    <w:next w:val="Normal"/>
    <w:autoRedefine/>
    <w:uiPriority w:val="39"/>
    <w:unhideWhenUsed/>
    <w:rsid w:val="004B7198"/>
    <w:pPr>
      <w:spacing w:after="100" w:line="259" w:lineRule="auto"/>
    </w:pPr>
    <w:rPr>
      <w:rFonts w:asciiTheme="minorHAnsi" w:hAnsiTheme="minorHAnsi" w:cs="Times New Roman"/>
      <w:szCs w:val="22"/>
      <w:lang w:val="en-US"/>
    </w:rPr>
  </w:style>
  <w:style w:type="paragraph" w:styleId="TOC3">
    <w:name w:val="toc 3"/>
    <w:basedOn w:val="Normal"/>
    <w:next w:val="Normal"/>
    <w:autoRedefine/>
    <w:uiPriority w:val="39"/>
    <w:unhideWhenUsed/>
    <w:rsid w:val="004B7198"/>
    <w:pPr>
      <w:spacing w:after="100" w:line="259" w:lineRule="auto"/>
      <w:ind w:left="440"/>
    </w:pPr>
    <w:rPr>
      <w:rFonts w:asciiTheme="minorHAnsi" w:hAnsiTheme="minorHAnsi" w:cs="Times New Roman"/>
      <w:szCs w:val="22"/>
      <w:lang w:val="en-US"/>
    </w:rPr>
  </w:style>
  <w:style w:type="paragraph" w:customStyle="1" w:styleId="gmail-msolistparagraph">
    <w:name w:val="gmail-msolistparagraph"/>
    <w:basedOn w:val="Normal"/>
    <w:rsid w:val="007D17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757">
      <w:bodyDiv w:val="1"/>
      <w:marLeft w:val="0"/>
      <w:marRight w:val="0"/>
      <w:marTop w:val="0"/>
      <w:marBottom w:val="0"/>
      <w:divBdr>
        <w:top w:val="none" w:sz="0" w:space="0" w:color="auto"/>
        <w:left w:val="none" w:sz="0" w:space="0" w:color="auto"/>
        <w:bottom w:val="none" w:sz="0" w:space="0" w:color="auto"/>
        <w:right w:val="none" w:sz="0" w:space="0" w:color="auto"/>
      </w:divBdr>
    </w:div>
    <w:div w:id="153616678">
      <w:bodyDiv w:val="1"/>
      <w:marLeft w:val="0"/>
      <w:marRight w:val="0"/>
      <w:marTop w:val="0"/>
      <w:marBottom w:val="0"/>
      <w:divBdr>
        <w:top w:val="none" w:sz="0" w:space="0" w:color="auto"/>
        <w:left w:val="none" w:sz="0" w:space="0" w:color="auto"/>
        <w:bottom w:val="none" w:sz="0" w:space="0" w:color="auto"/>
        <w:right w:val="none" w:sz="0" w:space="0" w:color="auto"/>
      </w:divBdr>
    </w:div>
    <w:div w:id="258023083">
      <w:bodyDiv w:val="1"/>
      <w:marLeft w:val="0"/>
      <w:marRight w:val="0"/>
      <w:marTop w:val="0"/>
      <w:marBottom w:val="0"/>
      <w:divBdr>
        <w:top w:val="none" w:sz="0" w:space="0" w:color="auto"/>
        <w:left w:val="none" w:sz="0" w:space="0" w:color="auto"/>
        <w:bottom w:val="none" w:sz="0" w:space="0" w:color="auto"/>
        <w:right w:val="none" w:sz="0" w:space="0" w:color="auto"/>
      </w:divBdr>
    </w:div>
    <w:div w:id="305479065">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sChild>
        <w:div w:id="1505124866">
          <w:marLeft w:val="547"/>
          <w:marRight w:val="0"/>
          <w:marTop w:val="0"/>
          <w:marBottom w:val="0"/>
          <w:divBdr>
            <w:top w:val="none" w:sz="0" w:space="0" w:color="auto"/>
            <w:left w:val="none" w:sz="0" w:space="0" w:color="auto"/>
            <w:bottom w:val="none" w:sz="0" w:space="0" w:color="auto"/>
            <w:right w:val="none" w:sz="0" w:space="0" w:color="auto"/>
          </w:divBdr>
        </w:div>
        <w:div w:id="466123506">
          <w:marLeft w:val="547"/>
          <w:marRight w:val="0"/>
          <w:marTop w:val="0"/>
          <w:marBottom w:val="0"/>
          <w:divBdr>
            <w:top w:val="none" w:sz="0" w:space="0" w:color="auto"/>
            <w:left w:val="none" w:sz="0" w:space="0" w:color="auto"/>
            <w:bottom w:val="none" w:sz="0" w:space="0" w:color="auto"/>
            <w:right w:val="none" w:sz="0" w:space="0" w:color="auto"/>
          </w:divBdr>
        </w:div>
        <w:div w:id="528225402">
          <w:marLeft w:val="547"/>
          <w:marRight w:val="0"/>
          <w:marTop w:val="0"/>
          <w:marBottom w:val="0"/>
          <w:divBdr>
            <w:top w:val="none" w:sz="0" w:space="0" w:color="auto"/>
            <w:left w:val="none" w:sz="0" w:space="0" w:color="auto"/>
            <w:bottom w:val="none" w:sz="0" w:space="0" w:color="auto"/>
            <w:right w:val="none" w:sz="0" w:space="0" w:color="auto"/>
          </w:divBdr>
        </w:div>
        <w:div w:id="1601181374">
          <w:marLeft w:val="547"/>
          <w:marRight w:val="0"/>
          <w:marTop w:val="0"/>
          <w:marBottom w:val="0"/>
          <w:divBdr>
            <w:top w:val="none" w:sz="0" w:space="0" w:color="auto"/>
            <w:left w:val="none" w:sz="0" w:space="0" w:color="auto"/>
            <w:bottom w:val="none" w:sz="0" w:space="0" w:color="auto"/>
            <w:right w:val="none" w:sz="0" w:space="0" w:color="auto"/>
          </w:divBdr>
        </w:div>
        <w:div w:id="1262109781">
          <w:marLeft w:val="547"/>
          <w:marRight w:val="0"/>
          <w:marTop w:val="0"/>
          <w:marBottom w:val="0"/>
          <w:divBdr>
            <w:top w:val="none" w:sz="0" w:space="0" w:color="auto"/>
            <w:left w:val="none" w:sz="0" w:space="0" w:color="auto"/>
            <w:bottom w:val="none" w:sz="0" w:space="0" w:color="auto"/>
            <w:right w:val="none" w:sz="0" w:space="0" w:color="auto"/>
          </w:divBdr>
        </w:div>
      </w:divsChild>
    </w:div>
    <w:div w:id="388923303">
      <w:bodyDiv w:val="1"/>
      <w:marLeft w:val="0"/>
      <w:marRight w:val="0"/>
      <w:marTop w:val="0"/>
      <w:marBottom w:val="0"/>
      <w:divBdr>
        <w:top w:val="none" w:sz="0" w:space="0" w:color="auto"/>
        <w:left w:val="none" w:sz="0" w:space="0" w:color="auto"/>
        <w:bottom w:val="none" w:sz="0" w:space="0" w:color="auto"/>
        <w:right w:val="none" w:sz="0" w:space="0" w:color="auto"/>
      </w:divBdr>
    </w:div>
    <w:div w:id="453332773">
      <w:bodyDiv w:val="1"/>
      <w:marLeft w:val="0"/>
      <w:marRight w:val="0"/>
      <w:marTop w:val="0"/>
      <w:marBottom w:val="0"/>
      <w:divBdr>
        <w:top w:val="none" w:sz="0" w:space="0" w:color="auto"/>
        <w:left w:val="none" w:sz="0" w:space="0" w:color="auto"/>
        <w:bottom w:val="none" w:sz="0" w:space="0" w:color="auto"/>
        <w:right w:val="none" w:sz="0" w:space="0" w:color="auto"/>
      </w:divBdr>
    </w:div>
    <w:div w:id="481119444">
      <w:bodyDiv w:val="1"/>
      <w:marLeft w:val="0"/>
      <w:marRight w:val="0"/>
      <w:marTop w:val="0"/>
      <w:marBottom w:val="0"/>
      <w:divBdr>
        <w:top w:val="none" w:sz="0" w:space="0" w:color="auto"/>
        <w:left w:val="none" w:sz="0" w:space="0" w:color="auto"/>
        <w:bottom w:val="none" w:sz="0" w:space="0" w:color="auto"/>
        <w:right w:val="none" w:sz="0" w:space="0" w:color="auto"/>
      </w:divBdr>
    </w:div>
    <w:div w:id="573051824">
      <w:bodyDiv w:val="1"/>
      <w:marLeft w:val="0"/>
      <w:marRight w:val="0"/>
      <w:marTop w:val="0"/>
      <w:marBottom w:val="0"/>
      <w:divBdr>
        <w:top w:val="none" w:sz="0" w:space="0" w:color="auto"/>
        <w:left w:val="none" w:sz="0" w:space="0" w:color="auto"/>
        <w:bottom w:val="none" w:sz="0" w:space="0" w:color="auto"/>
        <w:right w:val="none" w:sz="0" w:space="0" w:color="auto"/>
      </w:divBdr>
      <w:divsChild>
        <w:div w:id="1728604785">
          <w:marLeft w:val="547"/>
          <w:marRight w:val="0"/>
          <w:marTop w:val="0"/>
          <w:marBottom w:val="0"/>
          <w:divBdr>
            <w:top w:val="none" w:sz="0" w:space="0" w:color="auto"/>
            <w:left w:val="none" w:sz="0" w:space="0" w:color="auto"/>
            <w:bottom w:val="none" w:sz="0" w:space="0" w:color="auto"/>
            <w:right w:val="none" w:sz="0" w:space="0" w:color="auto"/>
          </w:divBdr>
        </w:div>
      </w:divsChild>
    </w:div>
    <w:div w:id="625506139">
      <w:bodyDiv w:val="1"/>
      <w:marLeft w:val="0"/>
      <w:marRight w:val="0"/>
      <w:marTop w:val="0"/>
      <w:marBottom w:val="0"/>
      <w:divBdr>
        <w:top w:val="none" w:sz="0" w:space="0" w:color="auto"/>
        <w:left w:val="none" w:sz="0" w:space="0" w:color="auto"/>
        <w:bottom w:val="none" w:sz="0" w:space="0" w:color="auto"/>
        <w:right w:val="none" w:sz="0" w:space="0" w:color="auto"/>
      </w:divBdr>
    </w:div>
    <w:div w:id="636029155">
      <w:bodyDiv w:val="1"/>
      <w:marLeft w:val="0"/>
      <w:marRight w:val="0"/>
      <w:marTop w:val="0"/>
      <w:marBottom w:val="0"/>
      <w:divBdr>
        <w:top w:val="none" w:sz="0" w:space="0" w:color="auto"/>
        <w:left w:val="none" w:sz="0" w:space="0" w:color="auto"/>
        <w:bottom w:val="none" w:sz="0" w:space="0" w:color="auto"/>
        <w:right w:val="none" w:sz="0" w:space="0" w:color="auto"/>
      </w:divBdr>
    </w:div>
    <w:div w:id="720397802">
      <w:bodyDiv w:val="1"/>
      <w:marLeft w:val="0"/>
      <w:marRight w:val="0"/>
      <w:marTop w:val="0"/>
      <w:marBottom w:val="0"/>
      <w:divBdr>
        <w:top w:val="none" w:sz="0" w:space="0" w:color="auto"/>
        <w:left w:val="none" w:sz="0" w:space="0" w:color="auto"/>
        <w:bottom w:val="none" w:sz="0" w:space="0" w:color="auto"/>
        <w:right w:val="none" w:sz="0" w:space="0" w:color="auto"/>
      </w:divBdr>
    </w:div>
    <w:div w:id="739671461">
      <w:bodyDiv w:val="1"/>
      <w:marLeft w:val="0"/>
      <w:marRight w:val="0"/>
      <w:marTop w:val="0"/>
      <w:marBottom w:val="0"/>
      <w:divBdr>
        <w:top w:val="none" w:sz="0" w:space="0" w:color="auto"/>
        <w:left w:val="none" w:sz="0" w:space="0" w:color="auto"/>
        <w:bottom w:val="none" w:sz="0" w:space="0" w:color="auto"/>
        <w:right w:val="none" w:sz="0" w:space="0" w:color="auto"/>
      </w:divBdr>
    </w:div>
    <w:div w:id="867639311">
      <w:bodyDiv w:val="1"/>
      <w:marLeft w:val="0"/>
      <w:marRight w:val="0"/>
      <w:marTop w:val="0"/>
      <w:marBottom w:val="0"/>
      <w:divBdr>
        <w:top w:val="none" w:sz="0" w:space="0" w:color="auto"/>
        <w:left w:val="none" w:sz="0" w:space="0" w:color="auto"/>
        <w:bottom w:val="none" w:sz="0" w:space="0" w:color="auto"/>
        <w:right w:val="none" w:sz="0" w:space="0" w:color="auto"/>
      </w:divBdr>
    </w:div>
    <w:div w:id="904484630">
      <w:bodyDiv w:val="1"/>
      <w:marLeft w:val="0"/>
      <w:marRight w:val="0"/>
      <w:marTop w:val="0"/>
      <w:marBottom w:val="0"/>
      <w:divBdr>
        <w:top w:val="none" w:sz="0" w:space="0" w:color="auto"/>
        <w:left w:val="none" w:sz="0" w:space="0" w:color="auto"/>
        <w:bottom w:val="none" w:sz="0" w:space="0" w:color="auto"/>
        <w:right w:val="none" w:sz="0" w:space="0" w:color="auto"/>
      </w:divBdr>
      <w:divsChild>
        <w:div w:id="733159167">
          <w:marLeft w:val="547"/>
          <w:marRight w:val="0"/>
          <w:marTop w:val="0"/>
          <w:marBottom w:val="0"/>
          <w:divBdr>
            <w:top w:val="none" w:sz="0" w:space="0" w:color="auto"/>
            <w:left w:val="none" w:sz="0" w:space="0" w:color="auto"/>
            <w:bottom w:val="none" w:sz="0" w:space="0" w:color="auto"/>
            <w:right w:val="none" w:sz="0" w:space="0" w:color="auto"/>
          </w:divBdr>
        </w:div>
      </w:divsChild>
    </w:div>
    <w:div w:id="931594879">
      <w:bodyDiv w:val="1"/>
      <w:marLeft w:val="0"/>
      <w:marRight w:val="0"/>
      <w:marTop w:val="0"/>
      <w:marBottom w:val="0"/>
      <w:divBdr>
        <w:top w:val="none" w:sz="0" w:space="0" w:color="auto"/>
        <w:left w:val="none" w:sz="0" w:space="0" w:color="auto"/>
        <w:bottom w:val="none" w:sz="0" w:space="0" w:color="auto"/>
        <w:right w:val="none" w:sz="0" w:space="0" w:color="auto"/>
      </w:divBdr>
    </w:div>
    <w:div w:id="975182617">
      <w:bodyDiv w:val="1"/>
      <w:marLeft w:val="0"/>
      <w:marRight w:val="0"/>
      <w:marTop w:val="0"/>
      <w:marBottom w:val="0"/>
      <w:divBdr>
        <w:top w:val="none" w:sz="0" w:space="0" w:color="auto"/>
        <w:left w:val="none" w:sz="0" w:space="0" w:color="auto"/>
        <w:bottom w:val="none" w:sz="0" w:space="0" w:color="auto"/>
        <w:right w:val="none" w:sz="0" w:space="0" w:color="auto"/>
      </w:divBdr>
    </w:div>
    <w:div w:id="1101291439">
      <w:bodyDiv w:val="1"/>
      <w:marLeft w:val="0"/>
      <w:marRight w:val="0"/>
      <w:marTop w:val="0"/>
      <w:marBottom w:val="0"/>
      <w:divBdr>
        <w:top w:val="none" w:sz="0" w:space="0" w:color="auto"/>
        <w:left w:val="none" w:sz="0" w:space="0" w:color="auto"/>
        <w:bottom w:val="none" w:sz="0" w:space="0" w:color="auto"/>
        <w:right w:val="none" w:sz="0" w:space="0" w:color="auto"/>
      </w:divBdr>
    </w:div>
    <w:div w:id="1153452562">
      <w:bodyDiv w:val="1"/>
      <w:marLeft w:val="0"/>
      <w:marRight w:val="0"/>
      <w:marTop w:val="0"/>
      <w:marBottom w:val="0"/>
      <w:divBdr>
        <w:top w:val="none" w:sz="0" w:space="0" w:color="auto"/>
        <w:left w:val="none" w:sz="0" w:space="0" w:color="auto"/>
        <w:bottom w:val="none" w:sz="0" w:space="0" w:color="auto"/>
        <w:right w:val="none" w:sz="0" w:space="0" w:color="auto"/>
      </w:divBdr>
      <w:divsChild>
        <w:div w:id="743186196">
          <w:marLeft w:val="547"/>
          <w:marRight w:val="0"/>
          <w:marTop w:val="0"/>
          <w:marBottom w:val="0"/>
          <w:divBdr>
            <w:top w:val="none" w:sz="0" w:space="0" w:color="auto"/>
            <w:left w:val="none" w:sz="0" w:space="0" w:color="auto"/>
            <w:bottom w:val="none" w:sz="0" w:space="0" w:color="auto"/>
            <w:right w:val="none" w:sz="0" w:space="0" w:color="auto"/>
          </w:divBdr>
        </w:div>
      </w:divsChild>
    </w:div>
    <w:div w:id="1372723429">
      <w:bodyDiv w:val="1"/>
      <w:marLeft w:val="0"/>
      <w:marRight w:val="0"/>
      <w:marTop w:val="0"/>
      <w:marBottom w:val="0"/>
      <w:divBdr>
        <w:top w:val="none" w:sz="0" w:space="0" w:color="auto"/>
        <w:left w:val="none" w:sz="0" w:space="0" w:color="auto"/>
        <w:bottom w:val="none" w:sz="0" w:space="0" w:color="auto"/>
        <w:right w:val="none" w:sz="0" w:space="0" w:color="auto"/>
      </w:divBdr>
    </w:div>
    <w:div w:id="1609314183">
      <w:bodyDiv w:val="1"/>
      <w:marLeft w:val="0"/>
      <w:marRight w:val="0"/>
      <w:marTop w:val="0"/>
      <w:marBottom w:val="0"/>
      <w:divBdr>
        <w:top w:val="none" w:sz="0" w:space="0" w:color="auto"/>
        <w:left w:val="none" w:sz="0" w:space="0" w:color="auto"/>
        <w:bottom w:val="none" w:sz="0" w:space="0" w:color="auto"/>
        <w:right w:val="none" w:sz="0" w:space="0" w:color="auto"/>
      </w:divBdr>
    </w:div>
    <w:div w:id="1665276993">
      <w:bodyDiv w:val="1"/>
      <w:marLeft w:val="0"/>
      <w:marRight w:val="0"/>
      <w:marTop w:val="0"/>
      <w:marBottom w:val="0"/>
      <w:divBdr>
        <w:top w:val="none" w:sz="0" w:space="0" w:color="auto"/>
        <w:left w:val="none" w:sz="0" w:space="0" w:color="auto"/>
        <w:bottom w:val="none" w:sz="0" w:space="0" w:color="auto"/>
        <w:right w:val="none" w:sz="0" w:space="0" w:color="auto"/>
      </w:divBdr>
    </w:div>
    <w:div w:id="1717044386">
      <w:bodyDiv w:val="1"/>
      <w:marLeft w:val="0"/>
      <w:marRight w:val="0"/>
      <w:marTop w:val="0"/>
      <w:marBottom w:val="0"/>
      <w:divBdr>
        <w:top w:val="none" w:sz="0" w:space="0" w:color="auto"/>
        <w:left w:val="none" w:sz="0" w:space="0" w:color="auto"/>
        <w:bottom w:val="none" w:sz="0" w:space="0" w:color="auto"/>
        <w:right w:val="none" w:sz="0" w:space="0" w:color="auto"/>
      </w:divBdr>
    </w:div>
    <w:div w:id="1784958278">
      <w:bodyDiv w:val="1"/>
      <w:marLeft w:val="0"/>
      <w:marRight w:val="0"/>
      <w:marTop w:val="0"/>
      <w:marBottom w:val="0"/>
      <w:divBdr>
        <w:top w:val="none" w:sz="0" w:space="0" w:color="auto"/>
        <w:left w:val="none" w:sz="0" w:space="0" w:color="auto"/>
        <w:bottom w:val="none" w:sz="0" w:space="0" w:color="auto"/>
        <w:right w:val="none" w:sz="0" w:space="0" w:color="auto"/>
      </w:divBdr>
    </w:div>
    <w:div w:id="1802847237">
      <w:bodyDiv w:val="1"/>
      <w:marLeft w:val="0"/>
      <w:marRight w:val="0"/>
      <w:marTop w:val="0"/>
      <w:marBottom w:val="0"/>
      <w:divBdr>
        <w:top w:val="none" w:sz="0" w:space="0" w:color="auto"/>
        <w:left w:val="none" w:sz="0" w:space="0" w:color="auto"/>
        <w:bottom w:val="none" w:sz="0" w:space="0" w:color="auto"/>
        <w:right w:val="none" w:sz="0" w:space="0" w:color="auto"/>
      </w:divBdr>
    </w:div>
    <w:div w:id="1892888851">
      <w:bodyDiv w:val="1"/>
      <w:marLeft w:val="0"/>
      <w:marRight w:val="0"/>
      <w:marTop w:val="0"/>
      <w:marBottom w:val="0"/>
      <w:divBdr>
        <w:top w:val="none" w:sz="0" w:space="0" w:color="auto"/>
        <w:left w:val="none" w:sz="0" w:space="0" w:color="auto"/>
        <w:bottom w:val="none" w:sz="0" w:space="0" w:color="auto"/>
        <w:right w:val="none" w:sz="0" w:space="0" w:color="auto"/>
      </w:divBdr>
    </w:div>
    <w:div w:id="1896620963">
      <w:bodyDiv w:val="1"/>
      <w:marLeft w:val="0"/>
      <w:marRight w:val="0"/>
      <w:marTop w:val="0"/>
      <w:marBottom w:val="0"/>
      <w:divBdr>
        <w:top w:val="none" w:sz="0" w:space="0" w:color="auto"/>
        <w:left w:val="none" w:sz="0" w:space="0" w:color="auto"/>
        <w:bottom w:val="none" w:sz="0" w:space="0" w:color="auto"/>
        <w:right w:val="none" w:sz="0" w:space="0" w:color="auto"/>
      </w:divBdr>
    </w:div>
    <w:div w:id="2143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297466-A555-4012-94EB-71F0D0DD32E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8712D498-99FD-4CCF-864C-E9406D487103}">
      <dgm:prSet phldrT="[Text]"/>
      <dgm:spPr>
        <a:solidFill>
          <a:srgbClr val="FA5D06"/>
        </a:solidFill>
      </dgm:spPr>
      <dgm:t>
        <a:bodyPr/>
        <a:lstStyle/>
        <a:p>
          <a:r>
            <a:rPr lang="en-AU"/>
            <a:t>Investigate</a:t>
          </a:r>
        </a:p>
      </dgm:t>
    </dgm:pt>
    <dgm:pt modelId="{BF528866-DD44-451F-817C-9AB18F4AED4A}" type="parTrans" cxnId="{ADCE567C-F2E1-4008-814B-13C6708F4408}">
      <dgm:prSet/>
      <dgm:spPr/>
      <dgm:t>
        <a:bodyPr/>
        <a:lstStyle/>
        <a:p>
          <a:endParaRPr lang="en-AU"/>
        </a:p>
      </dgm:t>
    </dgm:pt>
    <dgm:pt modelId="{7D0A9009-5C71-4082-8730-4CA5368AD7DA}" type="sibTrans" cxnId="{ADCE567C-F2E1-4008-814B-13C6708F4408}">
      <dgm:prSet/>
      <dgm:spPr/>
      <dgm:t>
        <a:bodyPr/>
        <a:lstStyle/>
        <a:p>
          <a:endParaRPr lang="en-AU"/>
        </a:p>
      </dgm:t>
    </dgm:pt>
    <dgm:pt modelId="{77B88131-CAFE-4224-BD97-F150F7D7F78B}">
      <dgm:prSet phldrT="[Text]"/>
      <dgm:spPr>
        <a:solidFill>
          <a:schemeClr val="accent4">
            <a:lumMod val="75000"/>
          </a:schemeClr>
        </a:solidFill>
      </dgm:spPr>
      <dgm:t>
        <a:bodyPr/>
        <a:lstStyle/>
        <a:p>
          <a:r>
            <a:rPr lang="en-AU"/>
            <a:t>Plan</a:t>
          </a:r>
        </a:p>
      </dgm:t>
    </dgm:pt>
    <dgm:pt modelId="{8F5ADEC1-2B11-43B2-9876-C76979EC3027}" type="parTrans" cxnId="{F80318C2-02F9-4B26-AE4D-AA4C627EE6C4}">
      <dgm:prSet/>
      <dgm:spPr/>
      <dgm:t>
        <a:bodyPr/>
        <a:lstStyle/>
        <a:p>
          <a:endParaRPr lang="en-AU"/>
        </a:p>
      </dgm:t>
    </dgm:pt>
    <dgm:pt modelId="{D58F9C7E-AB82-42A7-95B4-CE9D3DFA172F}" type="sibTrans" cxnId="{F80318C2-02F9-4B26-AE4D-AA4C627EE6C4}">
      <dgm:prSet/>
      <dgm:spPr/>
      <dgm:t>
        <a:bodyPr/>
        <a:lstStyle/>
        <a:p>
          <a:endParaRPr lang="en-AU"/>
        </a:p>
      </dgm:t>
    </dgm:pt>
    <dgm:pt modelId="{EF8ED05E-4932-4C8E-81EF-B368A6AE7081}">
      <dgm:prSet phldrT="[Text]"/>
      <dgm:spPr>
        <a:solidFill>
          <a:schemeClr val="accent2">
            <a:lumMod val="75000"/>
          </a:schemeClr>
        </a:solidFill>
      </dgm:spPr>
      <dgm:t>
        <a:bodyPr/>
        <a:lstStyle/>
        <a:p>
          <a:r>
            <a:rPr lang="en-AU"/>
            <a:t>Act</a:t>
          </a:r>
        </a:p>
      </dgm:t>
      <dgm:extLst>
        <a:ext uri="{E40237B7-FDA0-4F09-8148-C483321AD2D9}">
          <dgm14:cNvPr xmlns:dgm14="http://schemas.microsoft.com/office/drawing/2010/diagram" id="0" name="" descr="Investigate, plan, act, review"/>
        </a:ext>
      </dgm:extLst>
    </dgm:pt>
    <dgm:pt modelId="{B3430CA2-7144-4C3F-8B38-62F6925835D6}" type="parTrans" cxnId="{524DEF06-E593-4CA1-B73C-D224520F847A}">
      <dgm:prSet/>
      <dgm:spPr/>
      <dgm:t>
        <a:bodyPr/>
        <a:lstStyle/>
        <a:p>
          <a:endParaRPr lang="en-AU"/>
        </a:p>
      </dgm:t>
    </dgm:pt>
    <dgm:pt modelId="{65325450-1CE2-46C4-A20F-A9B49906110A}" type="sibTrans" cxnId="{524DEF06-E593-4CA1-B73C-D224520F847A}">
      <dgm:prSet/>
      <dgm:spPr/>
      <dgm:t>
        <a:bodyPr/>
        <a:lstStyle/>
        <a:p>
          <a:endParaRPr lang="en-AU"/>
        </a:p>
      </dgm:t>
    </dgm:pt>
    <dgm:pt modelId="{44BBB0B5-7318-48C2-89EB-E974F5DE113D}">
      <dgm:prSet phldrT="[Text]"/>
      <dgm:spPr>
        <a:solidFill>
          <a:schemeClr val="accent1">
            <a:lumMod val="60000"/>
            <a:lumOff val="40000"/>
          </a:schemeClr>
        </a:solidFill>
      </dgm:spPr>
      <dgm:t>
        <a:bodyPr/>
        <a:lstStyle/>
        <a:p>
          <a:r>
            <a:rPr lang="en-AU"/>
            <a:t>Review</a:t>
          </a:r>
        </a:p>
      </dgm:t>
    </dgm:pt>
    <dgm:pt modelId="{70863DD1-28DC-456F-BFE9-BDDAF96931F4}" type="parTrans" cxnId="{15356E29-DE71-4555-AB0B-528CA0A80B46}">
      <dgm:prSet/>
      <dgm:spPr/>
      <dgm:t>
        <a:bodyPr/>
        <a:lstStyle/>
        <a:p>
          <a:endParaRPr lang="en-AU"/>
        </a:p>
      </dgm:t>
    </dgm:pt>
    <dgm:pt modelId="{72AE9596-BB72-47A2-B256-2146F7EEE42F}" type="sibTrans" cxnId="{15356E29-DE71-4555-AB0B-528CA0A80B46}">
      <dgm:prSet/>
      <dgm:spPr/>
      <dgm:t>
        <a:bodyPr/>
        <a:lstStyle/>
        <a:p>
          <a:endParaRPr lang="en-AU"/>
        </a:p>
      </dgm:t>
    </dgm:pt>
    <dgm:pt modelId="{07B705D2-6936-469E-9625-5561BCAA2BD4}" type="pres">
      <dgm:prSet presAssocID="{89297466-A555-4012-94EB-71F0D0DD32E5}" presName="Name0" presStyleCnt="0">
        <dgm:presLayoutVars>
          <dgm:dir/>
          <dgm:animLvl val="lvl"/>
          <dgm:resizeHandles val="exact"/>
        </dgm:presLayoutVars>
      </dgm:prSet>
      <dgm:spPr/>
      <dgm:t>
        <a:bodyPr/>
        <a:lstStyle/>
        <a:p>
          <a:endParaRPr lang="en-US"/>
        </a:p>
      </dgm:t>
    </dgm:pt>
    <dgm:pt modelId="{0233902B-A3A4-4D89-8A08-76E9E1B19DAA}" type="pres">
      <dgm:prSet presAssocID="{8712D498-99FD-4CCF-864C-E9406D487103}" presName="parTxOnly" presStyleLbl="node1" presStyleIdx="0" presStyleCnt="4">
        <dgm:presLayoutVars>
          <dgm:chMax val="0"/>
          <dgm:chPref val="0"/>
          <dgm:bulletEnabled val="1"/>
        </dgm:presLayoutVars>
      </dgm:prSet>
      <dgm:spPr/>
      <dgm:t>
        <a:bodyPr/>
        <a:lstStyle/>
        <a:p>
          <a:endParaRPr lang="en-US"/>
        </a:p>
      </dgm:t>
    </dgm:pt>
    <dgm:pt modelId="{686AF431-50B4-4798-89FC-0BBF9EADAA67}" type="pres">
      <dgm:prSet presAssocID="{7D0A9009-5C71-4082-8730-4CA5368AD7DA}" presName="parTxOnlySpace" presStyleCnt="0"/>
      <dgm:spPr/>
    </dgm:pt>
    <dgm:pt modelId="{84AE78C7-F44E-4876-B4E8-5487AA69608B}" type="pres">
      <dgm:prSet presAssocID="{77B88131-CAFE-4224-BD97-F150F7D7F78B}" presName="parTxOnly" presStyleLbl="node1" presStyleIdx="1" presStyleCnt="4">
        <dgm:presLayoutVars>
          <dgm:chMax val="0"/>
          <dgm:chPref val="0"/>
          <dgm:bulletEnabled val="1"/>
        </dgm:presLayoutVars>
      </dgm:prSet>
      <dgm:spPr/>
      <dgm:t>
        <a:bodyPr/>
        <a:lstStyle/>
        <a:p>
          <a:endParaRPr lang="en-US"/>
        </a:p>
      </dgm:t>
    </dgm:pt>
    <dgm:pt modelId="{4E64C7A3-BB39-434A-90BD-3FAABBF09540}" type="pres">
      <dgm:prSet presAssocID="{D58F9C7E-AB82-42A7-95B4-CE9D3DFA172F}" presName="parTxOnlySpace" presStyleCnt="0"/>
      <dgm:spPr/>
    </dgm:pt>
    <dgm:pt modelId="{93690116-9F11-45D4-9380-52DA7E189118}" type="pres">
      <dgm:prSet presAssocID="{EF8ED05E-4932-4C8E-81EF-B368A6AE7081}" presName="parTxOnly" presStyleLbl="node1" presStyleIdx="2" presStyleCnt="4">
        <dgm:presLayoutVars>
          <dgm:chMax val="0"/>
          <dgm:chPref val="0"/>
          <dgm:bulletEnabled val="1"/>
        </dgm:presLayoutVars>
      </dgm:prSet>
      <dgm:spPr/>
      <dgm:t>
        <a:bodyPr/>
        <a:lstStyle/>
        <a:p>
          <a:endParaRPr lang="en-US"/>
        </a:p>
      </dgm:t>
    </dgm:pt>
    <dgm:pt modelId="{4E2C5F3F-EF73-4787-BFF6-4CA29D6A3C3D}" type="pres">
      <dgm:prSet presAssocID="{65325450-1CE2-46C4-A20F-A9B49906110A}" presName="parTxOnlySpace" presStyleCnt="0"/>
      <dgm:spPr/>
    </dgm:pt>
    <dgm:pt modelId="{94183103-B8C0-4C47-A5DC-D89AC8D27D56}" type="pres">
      <dgm:prSet presAssocID="{44BBB0B5-7318-48C2-89EB-E974F5DE113D}" presName="parTxOnly" presStyleLbl="node1" presStyleIdx="3" presStyleCnt="4">
        <dgm:presLayoutVars>
          <dgm:chMax val="0"/>
          <dgm:chPref val="0"/>
          <dgm:bulletEnabled val="1"/>
        </dgm:presLayoutVars>
      </dgm:prSet>
      <dgm:spPr/>
      <dgm:t>
        <a:bodyPr/>
        <a:lstStyle/>
        <a:p>
          <a:endParaRPr lang="en-US"/>
        </a:p>
      </dgm:t>
    </dgm:pt>
  </dgm:ptLst>
  <dgm:cxnLst>
    <dgm:cxn modelId="{F80318C2-02F9-4B26-AE4D-AA4C627EE6C4}" srcId="{89297466-A555-4012-94EB-71F0D0DD32E5}" destId="{77B88131-CAFE-4224-BD97-F150F7D7F78B}" srcOrd="1" destOrd="0" parTransId="{8F5ADEC1-2B11-43B2-9876-C76979EC3027}" sibTransId="{D58F9C7E-AB82-42A7-95B4-CE9D3DFA172F}"/>
    <dgm:cxn modelId="{ADCE567C-F2E1-4008-814B-13C6708F4408}" srcId="{89297466-A555-4012-94EB-71F0D0DD32E5}" destId="{8712D498-99FD-4CCF-864C-E9406D487103}" srcOrd="0" destOrd="0" parTransId="{BF528866-DD44-451F-817C-9AB18F4AED4A}" sibTransId="{7D0A9009-5C71-4082-8730-4CA5368AD7DA}"/>
    <dgm:cxn modelId="{4CD6D9E7-3BDE-42CE-8B45-272DF581B8AC}" type="presOf" srcId="{77B88131-CAFE-4224-BD97-F150F7D7F78B}" destId="{84AE78C7-F44E-4876-B4E8-5487AA69608B}" srcOrd="0" destOrd="0" presId="urn:microsoft.com/office/officeart/2005/8/layout/chevron1"/>
    <dgm:cxn modelId="{5C344C99-96BF-4641-B528-4FF7372B22FC}" type="presOf" srcId="{89297466-A555-4012-94EB-71F0D0DD32E5}" destId="{07B705D2-6936-469E-9625-5561BCAA2BD4}" srcOrd="0" destOrd="0" presId="urn:microsoft.com/office/officeart/2005/8/layout/chevron1"/>
    <dgm:cxn modelId="{7A2E46C5-644A-4331-98F6-18F978D071BA}" type="presOf" srcId="{8712D498-99FD-4CCF-864C-E9406D487103}" destId="{0233902B-A3A4-4D89-8A08-76E9E1B19DAA}" srcOrd="0" destOrd="0" presId="urn:microsoft.com/office/officeart/2005/8/layout/chevron1"/>
    <dgm:cxn modelId="{E20A61E2-8BE2-4461-823E-68056C31C4A5}" type="presOf" srcId="{44BBB0B5-7318-48C2-89EB-E974F5DE113D}" destId="{94183103-B8C0-4C47-A5DC-D89AC8D27D56}" srcOrd="0" destOrd="0" presId="urn:microsoft.com/office/officeart/2005/8/layout/chevron1"/>
    <dgm:cxn modelId="{15356E29-DE71-4555-AB0B-528CA0A80B46}" srcId="{89297466-A555-4012-94EB-71F0D0DD32E5}" destId="{44BBB0B5-7318-48C2-89EB-E974F5DE113D}" srcOrd="3" destOrd="0" parTransId="{70863DD1-28DC-456F-BFE9-BDDAF96931F4}" sibTransId="{72AE9596-BB72-47A2-B256-2146F7EEE42F}"/>
    <dgm:cxn modelId="{D673BB41-7A7B-45B9-A56F-58F6059729F4}" type="presOf" srcId="{EF8ED05E-4932-4C8E-81EF-B368A6AE7081}" destId="{93690116-9F11-45D4-9380-52DA7E189118}" srcOrd="0" destOrd="0" presId="urn:microsoft.com/office/officeart/2005/8/layout/chevron1"/>
    <dgm:cxn modelId="{524DEF06-E593-4CA1-B73C-D224520F847A}" srcId="{89297466-A555-4012-94EB-71F0D0DD32E5}" destId="{EF8ED05E-4932-4C8E-81EF-B368A6AE7081}" srcOrd="2" destOrd="0" parTransId="{B3430CA2-7144-4C3F-8B38-62F6925835D6}" sibTransId="{65325450-1CE2-46C4-A20F-A9B49906110A}"/>
    <dgm:cxn modelId="{37DEE24C-C965-466C-A63E-5FE5651BBBF3}" type="presParOf" srcId="{07B705D2-6936-469E-9625-5561BCAA2BD4}" destId="{0233902B-A3A4-4D89-8A08-76E9E1B19DAA}" srcOrd="0" destOrd="0" presId="urn:microsoft.com/office/officeart/2005/8/layout/chevron1"/>
    <dgm:cxn modelId="{C837FD2C-F475-4013-BF02-3C0F2D453A8D}" type="presParOf" srcId="{07B705D2-6936-469E-9625-5561BCAA2BD4}" destId="{686AF431-50B4-4798-89FC-0BBF9EADAA67}" srcOrd="1" destOrd="0" presId="urn:microsoft.com/office/officeart/2005/8/layout/chevron1"/>
    <dgm:cxn modelId="{BF41D19B-7686-431A-A724-2077E09E4F09}" type="presParOf" srcId="{07B705D2-6936-469E-9625-5561BCAA2BD4}" destId="{84AE78C7-F44E-4876-B4E8-5487AA69608B}" srcOrd="2" destOrd="0" presId="urn:microsoft.com/office/officeart/2005/8/layout/chevron1"/>
    <dgm:cxn modelId="{80D632DB-87B1-41BF-96C2-BE258077C456}" type="presParOf" srcId="{07B705D2-6936-469E-9625-5561BCAA2BD4}" destId="{4E64C7A3-BB39-434A-90BD-3FAABBF09540}" srcOrd="3" destOrd="0" presId="urn:microsoft.com/office/officeart/2005/8/layout/chevron1"/>
    <dgm:cxn modelId="{73A37420-FD8D-4D12-B137-3DCAAFD3011E}" type="presParOf" srcId="{07B705D2-6936-469E-9625-5561BCAA2BD4}" destId="{93690116-9F11-45D4-9380-52DA7E189118}" srcOrd="4" destOrd="0" presId="urn:microsoft.com/office/officeart/2005/8/layout/chevron1"/>
    <dgm:cxn modelId="{68FC6169-F874-4384-871C-2A4F66A58E59}" type="presParOf" srcId="{07B705D2-6936-469E-9625-5561BCAA2BD4}" destId="{4E2C5F3F-EF73-4787-BFF6-4CA29D6A3C3D}" srcOrd="5" destOrd="0" presId="urn:microsoft.com/office/officeart/2005/8/layout/chevron1"/>
    <dgm:cxn modelId="{DA0430BE-4E02-44DD-9E70-7644EFAC84C1}" type="presParOf" srcId="{07B705D2-6936-469E-9625-5561BCAA2BD4}" destId="{94183103-B8C0-4C47-A5DC-D89AC8D27D56}"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297466-A555-4012-94EB-71F0D0DD32E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8712D498-99FD-4CCF-864C-E9406D487103}">
      <dgm:prSet phldrT="[Text]"/>
      <dgm:spPr>
        <a:solidFill>
          <a:srgbClr val="FA5D06"/>
        </a:solidFill>
      </dgm:spPr>
      <dgm:t>
        <a:bodyPr/>
        <a:lstStyle/>
        <a:p>
          <a:r>
            <a:rPr lang="en-AU"/>
            <a:t>Investigate</a:t>
          </a:r>
        </a:p>
      </dgm:t>
    </dgm:pt>
    <dgm:pt modelId="{7D0A9009-5C71-4082-8730-4CA5368AD7DA}" type="sibTrans" cxnId="{ADCE567C-F2E1-4008-814B-13C6708F4408}">
      <dgm:prSet/>
      <dgm:spPr/>
      <dgm:t>
        <a:bodyPr/>
        <a:lstStyle/>
        <a:p>
          <a:endParaRPr lang="en-AU"/>
        </a:p>
      </dgm:t>
    </dgm:pt>
    <dgm:pt modelId="{BF528866-DD44-451F-817C-9AB18F4AED4A}" type="parTrans" cxnId="{ADCE567C-F2E1-4008-814B-13C6708F4408}">
      <dgm:prSet/>
      <dgm:spPr/>
      <dgm:t>
        <a:bodyPr/>
        <a:lstStyle/>
        <a:p>
          <a:endParaRPr lang="en-AU"/>
        </a:p>
      </dgm:t>
    </dgm:pt>
    <dgm:pt modelId="{07B705D2-6936-469E-9625-5561BCAA2BD4}" type="pres">
      <dgm:prSet presAssocID="{89297466-A555-4012-94EB-71F0D0DD32E5}" presName="Name0" presStyleCnt="0">
        <dgm:presLayoutVars>
          <dgm:dir/>
          <dgm:animLvl val="lvl"/>
          <dgm:resizeHandles val="exact"/>
        </dgm:presLayoutVars>
      </dgm:prSet>
      <dgm:spPr/>
      <dgm:t>
        <a:bodyPr/>
        <a:lstStyle/>
        <a:p>
          <a:endParaRPr lang="en-US"/>
        </a:p>
      </dgm:t>
    </dgm:pt>
    <dgm:pt modelId="{0233902B-A3A4-4D89-8A08-76E9E1B19DAA}" type="pres">
      <dgm:prSet presAssocID="{8712D498-99FD-4CCF-864C-E9406D487103}" presName="parTxOnly" presStyleLbl="node1" presStyleIdx="0" presStyleCnt="1">
        <dgm:presLayoutVars>
          <dgm:chMax val="0"/>
          <dgm:chPref val="0"/>
          <dgm:bulletEnabled val="1"/>
        </dgm:presLayoutVars>
      </dgm:prSet>
      <dgm:spPr/>
      <dgm:t>
        <a:bodyPr/>
        <a:lstStyle/>
        <a:p>
          <a:endParaRPr lang="en-US"/>
        </a:p>
      </dgm:t>
    </dgm:pt>
  </dgm:ptLst>
  <dgm:cxnLst>
    <dgm:cxn modelId="{5C344C99-96BF-4641-B528-4FF7372B22FC}" type="presOf" srcId="{89297466-A555-4012-94EB-71F0D0DD32E5}" destId="{07B705D2-6936-469E-9625-5561BCAA2BD4}" srcOrd="0" destOrd="0" presId="urn:microsoft.com/office/officeart/2005/8/layout/chevron1"/>
    <dgm:cxn modelId="{ADCE567C-F2E1-4008-814B-13C6708F4408}" srcId="{89297466-A555-4012-94EB-71F0D0DD32E5}" destId="{8712D498-99FD-4CCF-864C-E9406D487103}" srcOrd="0" destOrd="0" parTransId="{BF528866-DD44-451F-817C-9AB18F4AED4A}" sibTransId="{7D0A9009-5C71-4082-8730-4CA5368AD7DA}"/>
    <dgm:cxn modelId="{7A2E46C5-644A-4331-98F6-18F978D071BA}" type="presOf" srcId="{8712D498-99FD-4CCF-864C-E9406D487103}" destId="{0233902B-A3A4-4D89-8A08-76E9E1B19DAA}" srcOrd="0" destOrd="0" presId="urn:microsoft.com/office/officeart/2005/8/layout/chevron1"/>
    <dgm:cxn modelId="{37DEE24C-C965-466C-A63E-5FE5651BBBF3}" type="presParOf" srcId="{07B705D2-6936-469E-9625-5561BCAA2BD4}" destId="{0233902B-A3A4-4D89-8A08-76E9E1B19DAA}" srcOrd="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297466-A555-4012-94EB-71F0D0DD32E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8712D498-99FD-4CCF-864C-E9406D487103}">
      <dgm:prSet phldrT="[Text]" custT="1"/>
      <dgm:spPr>
        <a:solidFill>
          <a:schemeClr val="accent4">
            <a:lumMod val="75000"/>
          </a:schemeClr>
        </a:solidFill>
      </dgm:spPr>
      <dgm:t>
        <a:bodyPr/>
        <a:lstStyle/>
        <a:p>
          <a:r>
            <a:rPr lang="en-AU" sz="1200"/>
            <a:t>Plan</a:t>
          </a:r>
        </a:p>
      </dgm:t>
      <dgm:extLst>
        <a:ext uri="{E40237B7-FDA0-4F09-8148-C483321AD2D9}">
          <dgm14:cNvPr xmlns:dgm14="http://schemas.microsoft.com/office/drawing/2010/diagram" id="0" name="" descr="Plan"/>
        </a:ext>
      </dgm:extLst>
    </dgm:pt>
    <dgm:pt modelId="{7D0A9009-5C71-4082-8730-4CA5368AD7DA}" type="sibTrans" cxnId="{ADCE567C-F2E1-4008-814B-13C6708F4408}">
      <dgm:prSet/>
      <dgm:spPr/>
      <dgm:t>
        <a:bodyPr/>
        <a:lstStyle/>
        <a:p>
          <a:endParaRPr lang="en-AU"/>
        </a:p>
      </dgm:t>
    </dgm:pt>
    <dgm:pt modelId="{BF528866-DD44-451F-817C-9AB18F4AED4A}" type="parTrans" cxnId="{ADCE567C-F2E1-4008-814B-13C6708F4408}">
      <dgm:prSet/>
      <dgm:spPr/>
      <dgm:t>
        <a:bodyPr/>
        <a:lstStyle/>
        <a:p>
          <a:endParaRPr lang="en-AU"/>
        </a:p>
      </dgm:t>
    </dgm:pt>
    <dgm:pt modelId="{07B705D2-6936-469E-9625-5561BCAA2BD4}" type="pres">
      <dgm:prSet presAssocID="{89297466-A555-4012-94EB-71F0D0DD32E5}" presName="Name0" presStyleCnt="0">
        <dgm:presLayoutVars>
          <dgm:dir/>
          <dgm:animLvl val="lvl"/>
          <dgm:resizeHandles val="exact"/>
        </dgm:presLayoutVars>
      </dgm:prSet>
      <dgm:spPr/>
      <dgm:t>
        <a:bodyPr/>
        <a:lstStyle/>
        <a:p>
          <a:endParaRPr lang="en-US"/>
        </a:p>
      </dgm:t>
    </dgm:pt>
    <dgm:pt modelId="{0233902B-A3A4-4D89-8A08-76E9E1B19DAA}" type="pres">
      <dgm:prSet presAssocID="{8712D498-99FD-4CCF-864C-E9406D487103}" presName="parTxOnly" presStyleLbl="node1" presStyleIdx="0" presStyleCnt="1">
        <dgm:presLayoutVars>
          <dgm:chMax val="0"/>
          <dgm:chPref val="0"/>
          <dgm:bulletEnabled val="1"/>
        </dgm:presLayoutVars>
      </dgm:prSet>
      <dgm:spPr/>
      <dgm:t>
        <a:bodyPr/>
        <a:lstStyle/>
        <a:p>
          <a:endParaRPr lang="en-US"/>
        </a:p>
      </dgm:t>
    </dgm:pt>
  </dgm:ptLst>
  <dgm:cxnLst>
    <dgm:cxn modelId="{5C344C99-96BF-4641-B528-4FF7372B22FC}" type="presOf" srcId="{89297466-A555-4012-94EB-71F0D0DD32E5}" destId="{07B705D2-6936-469E-9625-5561BCAA2BD4}" srcOrd="0" destOrd="0" presId="urn:microsoft.com/office/officeart/2005/8/layout/chevron1"/>
    <dgm:cxn modelId="{ADCE567C-F2E1-4008-814B-13C6708F4408}" srcId="{89297466-A555-4012-94EB-71F0D0DD32E5}" destId="{8712D498-99FD-4CCF-864C-E9406D487103}" srcOrd="0" destOrd="0" parTransId="{BF528866-DD44-451F-817C-9AB18F4AED4A}" sibTransId="{7D0A9009-5C71-4082-8730-4CA5368AD7DA}"/>
    <dgm:cxn modelId="{7A2E46C5-644A-4331-98F6-18F978D071BA}" type="presOf" srcId="{8712D498-99FD-4CCF-864C-E9406D487103}" destId="{0233902B-A3A4-4D89-8A08-76E9E1B19DAA}" srcOrd="0" destOrd="0" presId="urn:microsoft.com/office/officeart/2005/8/layout/chevron1"/>
    <dgm:cxn modelId="{37DEE24C-C965-466C-A63E-5FE5651BBBF3}" type="presParOf" srcId="{07B705D2-6936-469E-9625-5561BCAA2BD4}" destId="{0233902B-A3A4-4D89-8A08-76E9E1B19DAA}" srcOrd="0"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9297466-A555-4012-94EB-71F0D0DD32E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8712D498-99FD-4CCF-864C-E9406D487103}">
      <dgm:prSet phldrT="[Text]" custT="1"/>
      <dgm:spPr>
        <a:solidFill>
          <a:schemeClr val="accent2">
            <a:lumMod val="75000"/>
          </a:schemeClr>
        </a:solidFill>
      </dgm:spPr>
      <dgm:t>
        <a:bodyPr/>
        <a:lstStyle/>
        <a:p>
          <a:r>
            <a:rPr lang="en-AU" sz="1200"/>
            <a:t>Act</a:t>
          </a:r>
        </a:p>
      </dgm:t>
    </dgm:pt>
    <dgm:pt modelId="{7D0A9009-5C71-4082-8730-4CA5368AD7DA}" type="sibTrans" cxnId="{ADCE567C-F2E1-4008-814B-13C6708F4408}">
      <dgm:prSet/>
      <dgm:spPr/>
      <dgm:t>
        <a:bodyPr/>
        <a:lstStyle/>
        <a:p>
          <a:endParaRPr lang="en-AU"/>
        </a:p>
      </dgm:t>
    </dgm:pt>
    <dgm:pt modelId="{BF528866-DD44-451F-817C-9AB18F4AED4A}" type="parTrans" cxnId="{ADCE567C-F2E1-4008-814B-13C6708F4408}">
      <dgm:prSet/>
      <dgm:spPr/>
      <dgm:t>
        <a:bodyPr/>
        <a:lstStyle/>
        <a:p>
          <a:endParaRPr lang="en-AU"/>
        </a:p>
      </dgm:t>
    </dgm:pt>
    <dgm:pt modelId="{07B705D2-6936-469E-9625-5561BCAA2BD4}" type="pres">
      <dgm:prSet presAssocID="{89297466-A555-4012-94EB-71F0D0DD32E5}" presName="Name0" presStyleCnt="0">
        <dgm:presLayoutVars>
          <dgm:dir/>
          <dgm:animLvl val="lvl"/>
          <dgm:resizeHandles val="exact"/>
        </dgm:presLayoutVars>
      </dgm:prSet>
      <dgm:spPr/>
      <dgm:t>
        <a:bodyPr/>
        <a:lstStyle/>
        <a:p>
          <a:endParaRPr lang="en-US"/>
        </a:p>
      </dgm:t>
    </dgm:pt>
    <dgm:pt modelId="{0233902B-A3A4-4D89-8A08-76E9E1B19DAA}" type="pres">
      <dgm:prSet presAssocID="{8712D498-99FD-4CCF-864C-E9406D487103}" presName="parTxOnly" presStyleLbl="node1" presStyleIdx="0" presStyleCnt="1">
        <dgm:presLayoutVars>
          <dgm:chMax val="0"/>
          <dgm:chPref val="0"/>
          <dgm:bulletEnabled val="1"/>
        </dgm:presLayoutVars>
      </dgm:prSet>
      <dgm:spPr/>
      <dgm:t>
        <a:bodyPr/>
        <a:lstStyle/>
        <a:p>
          <a:endParaRPr lang="en-US"/>
        </a:p>
      </dgm:t>
    </dgm:pt>
  </dgm:ptLst>
  <dgm:cxnLst>
    <dgm:cxn modelId="{5C344C99-96BF-4641-B528-4FF7372B22FC}" type="presOf" srcId="{89297466-A555-4012-94EB-71F0D0DD32E5}" destId="{07B705D2-6936-469E-9625-5561BCAA2BD4}" srcOrd="0" destOrd="0" presId="urn:microsoft.com/office/officeart/2005/8/layout/chevron1"/>
    <dgm:cxn modelId="{ADCE567C-F2E1-4008-814B-13C6708F4408}" srcId="{89297466-A555-4012-94EB-71F0D0DD32E5}" destId="{8712D498-99FD-4CCF-864C-E9406D487103}" srcOrd="0" destOrd="0" parTransId="{BF528866-DD44-451F-817C-9AB18F4AED4A}" sibTransId="{7D0A9009-5C71-4082-8730-4CA5368AD7DA}"/>
    <dgm:cxn modelId="{7A2E46C5-644A-4331-98F6-18F978D071BA}" type="presOf" srcId="{8712D498-99FD-4CCF-864C-E9406D487103}" destId="{0233902B-A3A4-4D89-8A08-76E9E1B19DAA}" srcOrd="0" destOrd="0" presId="urn:microsoft.com/office/officeart/2005/8/layout/chevron1"/>
    <dgm:cxn modelId="{37DEE24C-C965-466C-A63E-5FE5651BBBF3}" type="presParOf" srcId="{07B705D2-6936-469E-9625-5561BCAA2BD4}" destId="{0233902B-A3A4-4D89-8A08-76E9E1B19DAA}" srcOrd="0"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9297466-A555-4012-94EB-71F0D0DD32E5}"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8712D498-99FD-4CCF-864C-E9406D487103}">
      <dgm:prSet phldrT="[Text]" custT="1"/>
      <dgm:spPr>
        <a:solidFill>
          <a:schemeClr val="accent1">
            <a:lumMod val="60000"/>
            <a:lumOff val="40000"/>
          </a:schemeClr>
        </a:solidFill>
      </dgm:spPr>
      <dgm:t>
        <a:bodyPr/>
        <a:lstStyle/>
        <a:p>
          <a:r>
            <a:rPr lang="en-AU" sz="1200"/>
            <a:t>Review</a:t>
          </a:r>
        </a:p>
      </dgm:t>
    </dgm:pt>
    <dgm:pt modelId="{7D0A9009-5C71-4082-8730-4CA5368AD7DA}" type="sibTrans" cxnId="{ADCE567C-F2E1-4008-814B-13C6708F4408}">
      <dgm:prSet/>
      <dgm:spPr/>
      <dgm:t>
        <a:bodyPr/>
        <a:lstStyle/>
        <a:p>
          <a:endParaRPr lang="en-AU"/>
        </a:p>
      </dgm:t>
    </dgm:pt>
    <dgm:pt modelId="{BF528866-DD44-451F-817C-9AB18F4AED4A}" type="parTrans" cxnId="{ADCE567C-F2E1-4008-814B-13C6708F4408}">
      <dgm:prSet/>
      <dgm:spPr/>
      <dgm:t>
        <a:bodyPr/>
        <a:lstStyle/>
        <a:p>
          <a:endParaRPr lang="en-AU"/>
        </a:p>
      </dgm:t>
    </dgm:pt>
    <dgm:pt modelId="{07B705D2-6936-469E-9625-5561BCAA2BD4}" type="pres">
      <dgm:prSet presAssocID="{89297466-A555-4012-94EB-71F0D0DD32E5}" presName="Name0" presStyleCnt="0">
        <dgm:presLayoutVars>
          <dgm:dir/>
          <dgm:animLvl val="lvl"/>
          <dgm:resizeHandles val="exact"/>
        </dgm:presLayoutVars>
      </dgm:prSet>
      <dgm:spPr/>
      <dgm:t>
        <a:bodyPr/>
        <a:lstStyle/>
        <a:p>
          <a:endParaRPr lang="en-US"/>
        </a:p>
      </dgm:t>
    </dgm:pt>
    <dgm:pt modelId="{0233902B-A3A4-4D89-8A08-76E9E1B19DAA}" type="pres">
      <dgm:prSet presAssocID="{8712D498-99FD-4CCF-864C-E9406D487103}" presName="parTxOnly" presStyleLbl="node1" presStyleIdx="0" presStyleCnt="1">
        <dgm:presLayoutVars>
          <dgm:chMax val="0"/>
          <dgm:chPref val="0"/>
          <dgm:bulletEnabled val="1"/>
        </dgm:presLayoutVars>
      </dgm:prSet>
      <dgm:spPr/>
      <dgm:t>
        <a:bodyPr/>
        <a:lstStyle/>
        <a:p>
          <a:endParaRPr lang="en-US"/>
        </a:p>
      </dgm:t>
    </dgm:pt>
  </dgm:ptLst>
  <dgm:cxnLst>
    <dgm:cxn modelId="{5C344C99-96BF-4641-B528-4FF7372B22FC}" type="presOf" srcId="{89297466-A555-4012-94EB-71F0D0DD32E5}" destId="{07B705D2-6936-469E-9625-5561BCAA2BD4}" srcOrd="0" destOrd="0" presId="urn:microsoft.com/office/officeart/2005/8/layout/chevron1"/>
    <dgm:cxn modelId="{ADCE567C-F2E1-4008-814B-13C6708F4408}" srcId="{89297466-A555-4012-94EB-71F0D0DD32E5}" destId="{8712D498-99FD-4CCF-864C-E9406D487103}" srcOrd="0" destOrd="0" parTransId="{BF528866-DD44-451F-817C-9AB18F4AED4A}" sibTransId="{7D0A9009-5C71-4082-8730-4CA5368AD7DA}"/>
    <dgm:cxn modelId="{7A2E46C5-644A-4331-98F6-18F978D071BA}" type="presOf" srcId="{8712D498-99FD-4CCF-864C-E9406D487103}" destId="{0233902B-A3A4-4D89-8A08-76E9E1B19DAA}" srcOrd="0" destOrd="0" presId="urn:microsoft.com/office/officeart/2005/8/layout/chevron1"/>
    <dgm:cxn modelId="{37DEE24C-C965-466C-A63E-5FE5651BBBF3}" type="presParOf" srcId="{07B705D2-6936-469E-9625-5561BCAA2BD4}" destId="{0233902B-A3A4-4D89-8A08-76E9E1B19DAA}" srcOrd="0"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3902B-A3A4-4D89-8A08-76E9E1B19DAA}">
      <dsp:nvSpPr>
        <dsp:cNvPr id="0" name=""/>
        <dsp:cNvSpPr/>
      </dsp:nvSpPr>
      <dsp:spPr>
        <a:xfrm>
          <a:off x="2597" y="69015"/>
          <a:ext cx="1512298" cy="604919"/>
        </a:xfrm>
        <a:prstGeom prst="chevron">
          <a:avLst/>
        </a:prstGeom>
        <a:solidFill>
          <a:srgbClr val="FA5D06"/>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AU" sz="1300" kern="1200"/>
            <a:t>Investigate</a:t>
          </a:r>
        </a:p>
      </dsp:txBody>
      <dsp:txXfrm>
        <a:off x="305057" y="69015"/>
        <a:ext cx="907379" cy="604919"/>
      </dsp:txXfrm>
    </dsp:sp>
    <dsp:sp modelId="{84AE78C7-F44E-4876-B4E8-5487AA69608B}">
      <dsp:nvSpPr>
        <dsp:cNvPr id="0" name=""/>
        <dsp:cNvSpPr/>
      </dsp:nvSpPr>
      <dsp:spPr>
        <a:xfrm>
          <a:off x="1363666" y="69015"/>
          <a:ext cx="1512298" cy="604919"/>
        </a:xfrm>
        <a:prstGeom prst="chevron">
          <a:avLst/>
        </a:prstGeom>
        <a:solidFill>
          <a:schemeClr val="accent4">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AU" sz="1300" kern="1200"/>
            <a:t>Plan</a:t>
          </a:r>
        </a:p>
      </dsp:txBody>
      <dsp:txXfrm>
        <a:off x="1666126" y="69015"/>
        <a:ext cx="907379" cy="604919"/>
      </dsp:txXfrm>
    </dsp:sp>
    <dsp:sp modelId="{93690116-9F11-45D4-9380-52DA7E189118}">
      <dsp:nvSpPr>
        <dsp:cNvPr id="0" name=""/>
        <dsp:cNvSpPr/>
      </dsp:nvSpPr>
      <dsp:spPr>
        <a:xfrm>
          <a:off x="2724735" y="69015"/>
          <a:ext cx="1512298" cy="604919"/>
        </a:xfrm>
        <a:prstGeom prst="chevron">
          <a:avLst/>
        </a:prstGeom>
        <a:solidFill>
          <a:schemeClr val="accent2">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AU" sz="1300" kern="1200"/>
            <a:t>Act</a:t>
          </a:r>
        </a:p>
      </dsp:txBody>
      <dsp:txXfrm>
        <a:off x="3027195" y="69015"/>
        <a:ext cx="907379" cy="604919"/>
      </dsp:txXfrm>
    </dsp:sp>
    <dsp:sp modelId="{94183103-B8C0-4C47-A5DC-D89AC8D27D56}">
      <dsp:nvSpPr>
        <dsp:cNvPr id="0" name=""/>
        <dsp:cNvSpPr/>
      </dsp:nvSpPr>
      <dsp:spPr>
        <a:xfrm>
          <a:off x="4085803" y="69015"/>
          <a:ext cx="1512298" cy="604919"/>
        </a:xfrm>
        <a:prstGeom prst="chevron">
          <a:avLst/>
        </a:prstGeom>
        <a:solidFill>
          <a:schemeClr val="accent1">
            <a:lumMod val="60000"/>
            <a:lumOff val="4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AU" sz="1300" kern="1200"/>
            <a:t>Review</a:t>
          </a:r>
        </a:p>
      </dsp:txBody>
      <dsp:txXfrm>
        <a:off x="4388263" y="69015"/>
        <a:ext cx="907379" cy="604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3902B-A3A4-4D89-8A08-76E9E1B19DAA}">
      <dsp:nvSpPr>
        <dsp:cNvPr id="0" name=""/>
        <dsp:cNvSpPr/>
      </dsp:nvSpPr>
      <dsp:spPr>
        <a:xfrm>
          <a:off x="0" y="519112"/>
          <a:ext cx="1333500" cy="533400"/>
        </a:xfrm>
        <a:prstGeom prst="chevron">
          <a:avLst/>
        </a:prstGeom>
        <a:solidFill>
          <a:srgbClr val="FA5D06"/>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Investigate</a:t>
          </a:r>
        </a:p>
      </dsp:txBody>
      <dsp:txXfrm>
        <a:off x="266700" y="519112"/>
        <a:ext cx="800100" cy="533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3902B-A3A4-4D89-8A08-76E9E1B19DAA}">
      <dsp:nvSpPr>
        <dsp:cNvPr id="0" name=""/>
        <dsp:cNvSpPr/>
      </dsp:nvSpPr>
      <dsp:spPr>
        <a:xfrm>
          <a:off x="0" y="328612"/>
          <a:ext cx="1333500" cy="533400"/>
        </a:xfrm>
        <a:prstGeom prst="chevron">
          <a:avLst/>
        </a:prstGeom>
        <a:solidFill>
          <a:schemeClr val="accent4">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t>Plan</a:t>
          </a:r>
        </a:p>
      </dsp:txBody>
      <dsp:txXfrm>
        <a:off x="266700" y="328612"/>
        <a:ext cx="800100" cy="5334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3902B-A3A4-4D89-8A08-76E9E1B19DAA}">
      <dsp:nvSpPr>
        <dsp:cNvPr id="0" name=""/>
        <dsp:cNvSpPr/>
      </dsp:nvSpPr>
      <dsp:spPr>
        <a:xfrm>
          <a:off x="0" y="114300"/>
          <a:ext cx="1333500" cy="533400"/>
        </a:xfrm>
        <a:prstGeom prst="chevron">
          <a:avLst/>
        </a:prstGeom>
        <a:solidFill>
          <a:schemeClr val="accent2">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t>Act</a:t>
          </a:r>
        </a:p>
      </dsp:txBody>
      <dsp:txXfrm>
        <a:off x="266700" y="114300"/>
        <a:ext cx="800100" cy="5334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3902B-A3A4-4D89-8A08-76E9E1B19DAA}">
      <dsp:nvSpPr>
        <dsp:cNvPr id="0" name=""/>
        <dsp:cNvSpPr/>
      </dsp:nvSpPr>
      <dsp:spPr>
        <a:xfrm>
          <a:off x="0" y="171449"/>
          <a:ext cx="1333500" cy="533400"/>
        </a:xfrm>
        <a:prstGeom prst="chevron">
          <a:avLst/>
        </a:prstGeom>
        <a:solidFill>
          <a:schemeClr val="accent1">
            <a:lumMod val="60000"/>
            <a:lumOff val="4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t>Review</a:t>
          </a:r>
        </a:p>
      </dsp:txBody>
      <dsp:txXfrm>
        <a:off x="266700" y="171449"/>
        <a:ext cx="800100" cy="5334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WHO16</b:Tag>
    <b:SourceType>Report</b:SourceType>
    <b:Guid>{BE2708DA-C255-423C-B5B8-6D098CC0D2AB}</b:Guid>
    <b:Author>
      <b:Author>
        <b:Corporate>World Health Organization</b:Corporate>
      </b:Author>
    </b:Author>
    <b:Title>Global Manual on Surveillance of Adverse Events Following Immunization</b:Title>
    <b:Year>2014 (Revised March 2016)</b:Year>
    <b:Publisher>World Health Organization</b:Publisher>
    <b:RefOrder>2</b:RefOrder>
  </b:Source>
  <b:Source>
    <b:Tag>Wor19</b:Tag>
    <b:SourceType>InternetSite</b:SourceType>
    <b:Guid>{CDE92C16-6558-4719-8719-CB15F25AF6E6}</b:Guid>
    <b:Author>
      <b:Author>
        <b:Corporate>World Health Organization</b:Corporate>
      </b:Author>
    </b:Author>
    <b:Year>2019</b:Year>
    <b:InternetSiteTitle>Global Vaccine Safety</b:InternetSiteTitle>
    <b:Month>August</b:Month>
    <b:URL>https://www.who.int/vaccine_safety/initiative/investigation/en/</b:URL>
    <b:RefOrder>3</b:RefOrder>
  </b:Source>
  <b:Source>
    <b:Tag>Aus</b:Tag>
    <b:SourceType>InternetSite</b:SourceType>
    <b:Guid>{EE46C018-8C51-41E1-9C7C-8C39FED97F94}</b:Guid>
    <b:Author>
      <b:Author>
        <b:Corporate>Australian Government Department of Health</b:Corporate>
      </b:Author>
    </b:Author>
    <b:Title>National Immunisation Strategy for Australia, 2019-24</b:Title>
    <b:URL>https://www.health.gov.au/sites/default/files/national-immunisation-strategy-for-australia-2019-2024_0.pdf</b:URL>
    <b:Year>2018</b:Year>
    <b:RefOrder>1</b:RefOrder>
  </b:Source>
</b:Sources>
</file>

<file path=customXml/itemProps1.xml><?xml version="1.0" encoding="utf-8"?>
<ds:datastoreItem xmlns:ds="http://schemas.openxmlformats.org/officeDocument/2006/customXml" ds:itemID="{C017E8D9-FCDD-4287-8F2B-88DF7403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Killen</dc:creator>
  <cp:keywords/>
  <dc:description/>
  <cp:lastModifiedBy>Martin, Mel</cp:lastModifiedBy>
  <cp:revision>5</cp:revision>
  <cp:lastPrinted>2020-08-19T08:14:00Z</cp:lastPrinted>
  <dcterms:created xsi:type="dcterms:W3CDTF">2020-08-19T07:23:00Z</dcterms:created>
  <dcterms:modified xsi:type="dcterms:W3CDTF">2020-08-26T01:26:00Z</dcterms:modified>
</cp:coreProperties>
</file>