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3E50A" w14:textId="77777777" w:rsidR="00332722" w:rsidRPr="000D25CD" w:rsidRDefault="00EB319E" w:rsidP="00EB319E">
      <w:pPr>
        <w:rPr>
          <w:b/>
          <w:lang w:val="en-AU"/>
        </w:rPr>
      </w:pPr>
      <w:r w:rsidRPr="00D749F3">
        <w:rPr>
          <w:noProof/>
          <w:lang w:val="en-AU" w:eastAsia="en-AU"/>
        </w:rPr>
        <w:drawing>
          <wp:anchor distT="0" distB="0" distL="114300" distR="114300" simplePos="0" relativeHeight="251661312" behindDoc="0" locked="0" layoutInCell="1" allowOverlap="1" wp14:anchorId="093D071B" wp14:editId="054645CB">
            <wp:simplePos x="0" y="0"/>
            <wp:positionH relativeFrom="column">
              <wp:posOffset>0</wp:posOffset>
            </wp:positionH>
            <wp:positionV relativeFrom="paragraph">
              <wp:posOffset>508</wp:posOffset>
            </wp:positionV>
            <wp:extent cx="2789625" cy="1137309"/>
            <wp:effectExtent l="0" t="0" r="0" b="5715"/>
            <wp:wrapSquare wrapText="bothSides"/>
            <wp:docPr id="4" name="Picture 4" descr="cid:372790E2-3BC6-4060-AD6B-9922A7C4FC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ED078F-7725-4DD9-81CB-4F7667AA2AA4" descr="cid:372790E2-3BC6-4060-AD6B-9922A7C4FC96"/>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789625" cy="1137309"/>
                    </a:xfrm>
                    <a:prstGeom prst="rect">
                      <a:avLst/>
                    </a:prstGeom>
                    <a:noFill/>
                    <a:ln>
                      <a:noFill/>
                    </a:ln>
                  </pic:spPr>
                </pic:pic>
              </a:graphicData>
            </a:graphic>
          </wp:anchor>
        </w:drawing>
      </w:r>
    </w:p>
    <w:p w14:paraId="48E6653B" w14:textId="77777777" w:rsidR="00332722" w:rsidRPr="000D25CD" w:rsidRDefault="00332722" w:rsidP="00332722">
      <w:pPr>
        <w:rPr>
          <w:lang w:val="en-AU"/>
        </w:rPr>
      </w:pPr>
    </w:p>
    <w:p w14:paraId="49C675E7" w14:textId="77777777" w:rsidR="00332722" w:rsidRPr="000D25CD" w:rsidRDefault="00332722" w:rsidP="00EB319E">
      <w:pPr>
        <w:rPr>
          <w:b/>
          <w:lang w:val="en-AU"/>
        </w:rPr>
      </w:pPr>
    </w:p>
    <w:p w14:paraId="5DA60737" w14:textId="77777777" w:rsidR="00AF6EB1" w:rsidRPr="000D25CD" w:rsidRDefault="00332722" w:rsidP="00AF6EB1">
      <w:pPr>
        <w:tabs>
          <w:tab w:val="left" w:pos="4135"/>
        </w:tabs>
        <w:rPr>
          <w:b/>
          <w:lang w:val="en-AU"/>
        </w:rPr>
      </w:pPr>
      <w:r w:rsidRPr="000D25CD">
        <w:rPr>
          <w:b/>
          <w:lang w:val="en-AU"/>
        </w:rPr>
        <w:tab/>
      </w:r>
    </w:p>
    <w:p w14:paraId="456FC330" w14:textId="2A6414CF" w:rsidR="001A4C44" w:rsidRPr="000D25CD" w:rsidRDefault="002B176B" w:rsidP="00AF6EB1">
      <w:pPr>
        <w:tabs>
          <w:tab w:val="left" w:pos="4135"/>
        </w:tabs>
        <w:rPr>
          <w:rFonts w:eastAsiaTheme="majorEastAsia" w:cstheme="minorHAnsi"/>
          <w:sz w:val="22"/>
          <w:szCs w:val="32"/>
          <w:lang w:val="en-AU"/>
        </w:rPr>
      </w:pPr>
      <w:bookmarkStart w:id="0" w:name="_GoBack"/>
      <w:bookmarkEnd w:id="0"/>
      <w:r w:rsidRPr="000D25CD">
        <w:rPr>
          <w:b/>
          <w:lang w:val="en-AU"/>
        </w:rPr>
        <w:br w:type="textWrapping" w:clear="all"/>
      </w:r>
      <w:r w:rsidR="0042586F">
        <w:rPr>
          <w:rFonts w:eastAsiaTheme="majorEastAsia" w:cstheme="minorHAnsi"/>
          <w:sz w:val="22"/>
          <w:szCs w:val="32"/>
          <w:lang w:val="en-AU"/>
        </w:rPr>
        <w:t>6 August</w:t>
      </w:r>
      <w:r w:rsidR="001A4C44" w:rsidRPr="000D25CD">
        <w:rPr>
          <w:rFonts w:eastAsiaTheme="majorEastAsia" w:cstheme="minorHAnsi"/>
          <w:sz w:val="22"/>
          <w:szCs w:val="32"/>
          <w:lang w:val="en-AU"/>
        </w:rPr>
        <w:t xml:space="preserve"> 2020</w:t>
      </w:r>
    </w:p>
    <w:p w14:paraId="6B9FEC17" w14:textId="77777777" w:rsidR="001A4C44" w:rsidRPr="000D25CD" w:rsidRDefault="001A4C44" w:rsidP="00AF6EB1">
      <w:pPr>
        <w:tabs>
          <w:tab w:val="left" w:pos="4135"/>
        </w:tabs>
        <w:rPr>
          <w:rFonts w:eastAsiaTheme="majorEastAsia" w:cstheme="minorHAnsi"/>
          <w:sz w:val="22"/>
          <w:szCs w:val="32"/>
          <w:lang w:val="en-AU"/>
        </w:rPr>
      </w:pPr>
    </w:p>
    <w:p w14:paraId="71311E85" w14:textId="77777777" w:rsidR="00AF6EB1" w:rsidRPr="000D25CD" w:rsidRDefault="00CD5159" w:rsidP="00AF6EB1">
      <w:pPr>
        <w:tabs>
          <w:tab w:val="left" w:pos="4135"/>
        </w:tabs>
        <w:rPr>
          <w:lang w:val="en-AU"/>
        </w:rPr>
      </w:pPr>
      <w:r w:rsidRPr="000D25CD">
        <w:rPr>
          <w:rFonts w:eastAsiaTheme="majorEastAsia" w:cstheme="minorHAnsi"/>
          <w:b/>
          <w:sz w:val="22"/>
          <w:szCs w:val="32"/>
          <w:lang w:val="en-AU"/>
        </w:rPr>
        <w:t>Public Health Laboratory</w:t>
      </w:r>
      <w:r w:rsidR="007B266B" w:rsidRPr="000D25CD">
        <w:rPr>
          <w:rFonts w:eastAsiaTheme="majorEastAsia" w:cstheme="minorHAnsi"/>
          <w:b/>
          <w:sz w:val="22"/>
          <w:szCs w:val="32"/>
          <w:lang w:val="en-AU"/>
        </w:rPr>
        <w:t xml:space="preserve"> Network</w:t>
      </w:r>
      <w:r w:rsidRPr="000D25CD">
        <w:rPr>
          <w:rFonts w:eastAsiaTheme="majorEastAsia" w:cstheme="minorHAnsi"/>
          <w:b/>
          <w:sz w:val="22"/>
          <w:szCs w:val="32"/>
          <w:lang w:val="en-AU"/>
        </w:rPr>
        <w:t xml:space="preserve"> Statement on </w:t>
      </w:r>
      <w:r w:rsidR="003D15C8" w:rsidRPr="000D25CD">
        <w:rPr>
          <w:rFonts w:eastAsiaTheme="majorEastAsia" w:cstheme="minorHAnsi"/>
          <w:b/>
          <w:sz w:val="22"/>
          <w:szCs w:val="32"/>
          <w:lang w:val="en-AU"/>
        </w:rPr>
        <w:t>Asymptomatic Testing for SARS-CoV-2</w:t>
      </w:r>
    </w:p>
    <w:p w14:paraId="2C75575E" w14:textId="77777777" w:rsidR="005274A5" w:rsidRDefault="005274A5" w:rsidP="003D15C8">
      <w:pPr>
        <w:rPr>
          <w:sz w:val="22"/>
          <w:szCs w:val="22"/>
          <w:lang w:val="en-AU"/>
        </w:rPr>
      </w:pPr>
    </w:p>
    <w:p w14:paraId="3BB58B93" w14:textId="7CFA6158" w:rsidR="0000028D" w:rsidRPr="005274A5" w:rsidRDefault="00CE72C6" w:rsidP="003D15C8">
      <w:pPr>
        <w:rPr>
          <w:sz w:val="22"/>
          <w:szCs w:val="22"/>
          <w:lang w:val="en-AU"/>
        </w:rPr>
      </w:pPr>
      <w:r w:rsidRPr="005A233A">
        <w:rPr>
          <w:sz w:val="22"/>
          <w:lang w:val="en-AU"/>
        </w:rPr>
        <w:t>Diagnostic testing for SARS-CoV-2</w:t>
      </w:r>
      <w:r w:rsidR="0000028D">
        <w:rPr>
          <w:sz w:val="22"/>
          <w:lang w:val="en-AU"/>
        </w:rPr>
        <w:t xml:space="preserve"> (the virus that causes COVID-19)</w:t>
      </w:r>
      <w:r w:rsidRPr="005A233A">
        <w:rPr>
          <w:sz w:val="22"/>
          <w:lang w:val="en-AU"/>
        </w:rPr>
        <w:t xml:space="preserve"> is </w:t>
      </w:r>
      <w:r w:rsidR="009B0D4F" w:rsidRPr="005A233A">
        <w:rPr>
          <w:sz w:val="22"/>
          <w:lang w:val="en-AU"/>
        </w:rPr>
        <w:t>vital to</w:t>
      </w:r>
      <w:r w:rsidRPr="005A233A">
        <w:rPr>
          <w:sz w:val="22"/>
          <w:lang w:val="en-AU"/>
        </w:rPr>
        <w:t xml:space="preserve"> containing the COVID-19 pandemic in Australia. </w:t>
      </w:r>
      <w:r w:rsidR="0000028D">
        <w:rPr>
          <w:sz w:val="22"/>
          <w:lang w:val="en-AU"/>
        </w:rPr>
        <w:t xml:space="preserve">PHLN note there is a risk that testing capacity </w:t>
      </w:r>
      <w:r w:rsidR="004A6C4B">
        <w:rPr>
          <w:sz w:val="22"/>
          <w:lang w:val="en-AU"/>
        </w:rPr>
        <w:t xml:space="preserve">in both private and public laboratories will </w:t>
      </w:r>
      <w:r w:rsidR="0000028D">
        <w:rPr>
          <w:sz w:val="22"/>
          <w:lang w:val="en-AU"/>
        </w:rPr>
        <w:t xml:space="preserve">be overwhelmed if several large concurrent outbreaks occurred. Sustained high levels of testing that are not well targeted to high risk populations, especially in the absence of outbreaks, further enhances this risk. </w:t>
      </w:r>
    </w:p>
    <w:p w14:paraId="3EB84CFC" w14:textId="77777777" w:rsidR="00AA0D9E" w:rsidRPr="005A233A" w:rsidRDefault="00AA0D9E" w:rsidP="003D15C8">
      <w:pPr>
        <w:rPr>
          <w:sz w:val="22"/>
          <w:szCs w:val="22"/>
          <w:lang w:val="en-AU"/>
        </w:rPr>
      </w:pPr>
    </w:p>
    <w:p w14:paraId="3F6E3D6F" w14:textId="77777777" w:rsidR="00EF7DB3" w:rsidRPr="005A233A" w:rsidRDefault="00AA0D9E" w:rsidP="003D15C8">
      <w:pPr>
        <w:rPr>
          <w:sz w:val="22"/>
          <w:szCs w:val="22"/>
          <w:lang w:val="en-AU"/>
        </w:rPr>
      </w:pPr>
      <w:r w:rsidRPr="005A233A">
        <w:rPr>
          <w:sz w:val="22"/>
          <w:szCs w:val="22"/>
          <w:lang w:val="en-AU"/>
        </w:rPr>
        <w:t>To ensure Australia’s laboratories can continue meet</w:t>
      </w:r>
      <w:r w:rsidR="00922B6F">
        <w:rPr>
          <w:sz w:val="22"/>
          <w:szCs w:val="22"/>
          <w:lang w:val="en-AU"/>
        </w:rPr>
        <w:t>ing</w:t>
      </w:r>
      <w:r w:rsidRPr="005A233A">
        <w:rPr>
          <w:sz w:val="22"/>
          <w:szCs w:val="22"/>
          <w:lang w:val="en-AU"/>
        </w:rPr>
        <w:t xml:space="preserve"> </w:t>
      </w:r>
      <w:r w:rsidR="0000028D">
        <w:rPr>
          <w:sz w:val="22"/>
          <w:szCs w:val="22"/>
          <w:lang w:val="en-AU"/>
        </w:rPr>
        <w:t xml:space="preserve">testing </w:t>
      </w:r>
      <w:r w:rsidRPr="005A233A">
        <w:rPr>
          <w:sz w:val="22"/>
          <w:szCs w:val="22"/>
          <w:lang w:val="en-AU"/>
        </w:rPr>
        <w:t xml:space="preserve">demands, PHLN </w:t>
      </w:r>
      <w:r w:rsidR="0000028D">
        <w:rPr>
          <w:sz w:val="22"/>
          <w:szCs w:val="22"/>
          <w:lang w:val="en-AU"/>
        </w:rPr>
        <w:t xml:space="preserve">encourage decision makers to consider </w:t>
      </w:r>
      <w:r w:rsidRPr="005A233A">
        <w:rPr>
          <w:sz w:val="22"/>
          <w:szCs w:val="22"/>
          <w:lang w:val="en-AU"/>
        </w:rPr>
        <w:t>Australia’s finite laboratory capacity</w:t>
      </w:r>
      <w:r w:rsidR="0000028D">
        <w:rPr>
          <w:sz w:val="22"/>
          <w:szCs w:val="22"/>
          <w:lang w:val="en-AU"/>
        </w:rPr>
        <w:t xml:space="preserve"> when deci</w:t>
      </w:r>
      <w:r w:rsidR="00F53B0E">
        <w:rPr>
          <w:sz w:val="22"/>
          <w:szCs w:val="22"/>
          <w:lang w:val="en-AU"/>
        </w:rPr>
        <w:t>ding on</w:t>
      </w:r>
      <w:r w:rsidR="00922B6F">
        <w:rPr>
          <w:sz w:val="22"/>
          <w:szCs w:val="22"/>
          <w:lang w:val="en-AU"/>
        </w:rPr>
        <w:t xml:space="preserve"> </w:t>
      </w:r>
      <w:r w:rsidR="0000028D">
        <w:rPr>
          <w:sz w:val="22"/>
          <w:szCs w:val="22"/>
          <w:lang w:val="en-AU"/>
        </w:rPr>
        <w:t xml:space="preserve">testing strategies. Australia must ensure testing strategies are </w:t>
      </w:r>
      <w:r w:rsidR="003D15C8" w:rsidRPr="005A233A">
        <w:rPr>
          <w:sz w:val="22"/>
          <w:szCs w:val="22"/>
          <w:lang w:val="en-AU"/>
        </w:rPr>
        <w:t xml:space="preserve">targeted to strike the right balance between maintaining epidemic control and protecting the sustainability of laboratory capacity. </w:t>
      </w:r>
    </w:p>
    <w:p w14:paraId="033795A8" w14:textId="77777777" w:rsidR="00EF7DB3" w:rsidRPr="005A233A" w:rsidRDefault="00EF7DB3" w:rsidP="003D15C8">
      <w:pPr>
        <w:rPr>
          <w:sz w:val="22"/>
          <w:szCs w:val="22"/>
          <w:lang w:val="en-AU"/>
        </w:rPr>
      </w:pPr>
    </w:p>
    <w:p w14:paraId="067508B4" w14:textId="77777777" w:rsidR="0000028D" w:rsidRDefault="00EF7DB3" w:rsidP="003D15C8">
      <w:pPr>
        <w:rPr>
          <w:sz w:val="22"/>
          <w:szCs w:val="22"/>
          <w:lang w:val="en-AU"/>
        </w:rPr>
      </w:pPr>
      <w:r w:rsidRPr="005A233A">
        <w:rPr>
          <w:sz w:val="22"/>
          <w:szCs w:val="22"/>
          <w:lang w:val="en-AU"/>
        </w:rPr>
        <w:t>PHLN note</w:t>
      </w:r>
      <w:r w:rsidR="00CE72C6" w:rsidRPr="005A233A">
        <w:rPr>
          <w:sz w:val="22"/>
          <w:szCs w:val="22"/>
          <w:lang w:val="en-AU"/>
        </w:rPr>
        <w:t>s</w:t>
      </w:r>
      <w:r w:rsidRPr="005A233A">
        <w:rPr>
          <w:sz w:val="22"/>
          <w:szCs w:val="22"/>
          <w:lang w:val="en-AU"/>
        </w:rPr>
        <w:t xml:space="preserve"> </w:t>
      </w:r>
      <w:r w:rsidR="00CE72C6" w:rsidRPr="005A233A">
        <w:rPr>
          <w:sz w:val="22"/>
          <w:szCs w:val="22"/>
          <w:lang w:val="en-AU"/>
        </w:rPr>
        <w:t>unfocussed</w:t>
      </w:r>
      <w:r w:rsidR="003D15C8" w:rsidRPr="005A233A">
        <w:rPr>
          <w:sz w:val="22"/>
          <w:szCs w:val="22"/>
          <w:lang w:val="en-AU"/>
        </w:rPr>
        <w:t xml:space="preserve"> testing in asymptomatic populations has </w:t>
      </w:r>
      <w:r w:rsidR="00A2318C" w:rsidRPr="005A233A">
        <w:rPr>
          <w:sz w:val="22"/>
          <w:szCs w:val="22"/>
          <w:lang w:val="en-AU"/>
        </w:rPr>
        <w:t>several unintended consequences</w:t>
      </w:r>
      <w:r w:rsidR="00F53B0E">
        <w:rPr>
          <w:sz w:val="22"/>
          <w:szCs w:val="22"/>
          <w:lang w:val="en-AU"/>
        </w:rPr>
        <w:t>. PHLN</w:t>
      </w:r>
      <w:r w:rsidR="00A2318C" w:rsidRPr="005A233A">
        <w:rPr>
          <w:sz w:val="22"/>
          <w:szCs w:val="22"/>
          <w:lang w:val="en-AU"/>
        </w:rPr>
        <w:t xml:space="preserve"> encourage</w:t>
      </w:r>
      <w:r w:rsidR="00CE72C6" w:rsidRPr="005A233A">
        <w:rPr>
          <w:sz w:val="22"/>
          <w:szCs w:val="22"/>
          <w:lang w:val="en-AU"/>
        </w:rPr>
        <w:t>s</w:t>
      </w:r>
      <w:r w:rsidR="0000028D">
        <w:rPr>
          <w:sz w:val="22"/>
          <w:szCs w:val="22"/>
          <w:lang w:val="en-AU"/>
        </w:rPr>
        <w:t xml:space="preserve"> decision make</w:t>
      </w:r>
      <w:r w:rsidR="00F53B0E">
        <w:rPr>
          <w:sz w:val="22"/>
          <w:szCs w:val="22"/>
          <w:lang w:val="en-AU"/>
        </w:rPr>
        <w:t>r</w:t>
      </w:r>
      <w:r w:rsidR="0000028D">
        <w:rPr>
          <w:sz w:val="22"/>
          <w:szCs w:val="22"/>
          <w:lang w:val="en-AU"/>
        </w:rPr>
        <w:t>s to consider the following issues when determining testing strategies:</w:t>
      </w:r>
    </w:p>
    <w:p w14:paraId="52DB9D7C" w14:textId="77777777" w:rsidR="00EF7DB3" w:rsidRPr="005A233A" w:rsidRDefault="0000028D" w:rsidP="003D15C8">
      <w:pPr>
        <w:rPr>
          <w:sz w:val="22"/>
          <w:szCs w:val="22"/>
          <w:lang w:val="en-AU"/>
        </w:rPr>
      </w:pPr>
      <w:r w:rsidRPr="005A233A">
        <w:rPr>
          <w:sz w:val="22"/>
          <w:szCs w:val="22"/>
          <w:lang w:val="en-AU"/>
        </w:rPr>
        <w:t xml:space="preserve"> </w:t>
      </w:r>
    </w:p>
    <w:p w14:paraId="4E358271" w14:textId="77777777" w:rsidR="00AA0D9E" w:rsidRPr="005A233A" w:rsidRDefault="00AA0D9E" w:rsidP="00AA0D9E">
      <w:pPr>
        <w:rPr>
          <w:i/>
          <w:sz w:val="22"/>
          <w:szCs w:val="22"/>
          <w:lang w:val="en-AU"/>
        </w:rPr>
      </w:pPr>
      <w:r w:rsidRPr="005A233A">
        <w:rPr>
          <w:i/>
          <w:sz w:val="22"/>
          <w:szCs w:val="22"/>
          <w:lang w:val="en-AU"/>
        </w:rPr>
        <w:t>Maximum Daily Throughput Capacity</w:t>
      </w:r>
    </w:p>
    <w:p w14:paraId="75DA02E3" w14:textId="77777777" w:rsidR="00AA0D9E" w:rsidRPr="005A233A" w:rsidRDefault="00AA0D9E" w:rsidP="00AA0D9E">
      <w:pPr>
        <w:pStyle w:val="ListParagraph"/>
        <w:numPr>
          <w:ilvl w:val="0"/>
          <w:numId w:val="20"/>
        </w:numPr>
        <w:rPr>
          <w:i/>
          <w:sz w:val="22"/>
          <w:szCs w:val="22"/>
          <w:lang w:val="en-AU"/>
        </w:rPr>
      </w:pPr>
      <w:r w:rsidRPr="005A233A">
        <w:rPr>
          <w:sz w:val="22"/>
          <w:szCs w:val="22"/>
          <w:lang w:val="en-AU"/>
        </w:rPr>
        <w:t>Australia currently has the capability and capacity to meet the current testing demands</w:t>
      </w:r>
      <w:r w:rsidR="00023FB1">
        <w:rPr>
          <w:sz w:val="22"/>
          <w:szCs w:val="22"/>
          <w:lang w:val="en-AU"/>
        </w:rPr>
        <w:t>. H</w:t>
      </w:r>
      <w:r w:rsidRPr="005A233A">
        <w:rPr>
          <w:sz w:val="22"/>
          <w:szCs w:val="22"/>
          <w:lang w:val="en-AU"/>
        </w:rPr>
        <w:t>owever</w:t>
      </w:r>
      <w:r w:rsidR="00CE72C6" w:rsidRPr="005A233A">
        <w:rPr>
          <w:sz w:val="22"/>
          <w:szCs w:val="22"/>
          <w:lang w:val="en-AU"/>
        </w:rPr>
        <w:t>,</w:t>
      </w:r>
      <w:r w:rsidRPr="005A233A">
        <w:rPr>
          <w:sz w:val="22"/>
          <w:szCs w:val="22"/>
          <w:lang w:val="en-AU"/>
        </w:rPr>
        <w:t xml:space="preserve"> several laboratories are operating at </w:t>
      </w:r>
      <w:r w:rsidR="00A65765">
        <w:rPr>
          <w:sz w:val="22"/>
          <w:szCs w:val="22"/>
          <w:lang w:val="en-AU"/>
        </w:rPr>
        <w:t xml:space="preserve">and above </w:t>
      </w:r>
      <w:r w:rsidRPr="005A233A">
        <w:rPr>
          <w:sz w:val="22"/>
          <w:szCs w:val="22"/>
          <w:lang w:val="en-AU"/>
        </w:rPr>
        <w:t xml:space="preserve">capacity and have requested both intra- and inter-jurisdictional assistance in order to meet </w:t>
      </w:r>
      <w:r w:rsidR="00EF7DB3" w:rsidRPr="005A233A">
        <w:rPr>
          <w:sz w:val="22"/>
          <w:szCs w:val="22"/>
          <w:lang w:val="en-AU"/>
        </w:rPr>
        <w:t xml:space="preserve">current </w:t>
      </w:r>
      <w:r w:rsidRPr="005A233A">
        <w:rPr>
          <w:sz w:val="22"/>
          <w:szCs w:val="22"/>
          <w:lang w:val="en-AU"/>
        </w:rPr>
        <w:t>testing demands.</w:t>
      </w:r>
    </w:p>
    <w:p w14:paraId="47ADB680" w14:textId="77777777" w:rsidR="00AA0D9E" w:rsidRPr="005A233A" w:rsidRDefault="00EF7DB3" w:rsidP="00D6101D">
      <w:pPr>
        <w:pStyle w:val="ListParagraph"/>
        <w:numPr>
          <w:ilvl w:val="0"/>
          <w:numId w:val="20"/>
        </w:numPr>
        <w:rPr>
          <w:i/>
          <w:sz w:val="22"/>
          <w:szCs w:val="22"/>
          <w:lang w:val="en-AU"/>
        </w:rPr>
      </w:pPr>
      <w:r w:rsidRPr="005A233A">
        <w:rPr>
          <w:sz w:val="22"/>
          <w:szCs w:val="22"/>
          <w:lang w:val="en-AU"/>
        </w:rPr>
        <w:t>Laboratories’ m</w:t>
      </w:r>
      <w:r w:rsidR="00AA0D9E" w:rsidRPr="005A233A">
        <w:rPr>
          <w:sz w:val="22"/>
          <w:szCs w:val="22"/>
          <w:lang w:val="en-AU"/>
        </w:rPr>
        <w:t>aximum daily throughput cannot increase without procuring new platforms, training new skilled medical laboratory scientists</w:t>
      </w:r>
      <w:r w:rsidR="00CE72C6" w:rsidRPr="005A233A">
        <w:rPr>
          <w:sz w:val="22"/>
          <w:szCs w:val="22"/>
          <w:lang w:val="en-AU"/>
        </w:rPr>
        <w:t>,</w:t>
      </w:r>
      <w:r w:rsidR="00AA0D9E" w:rsidRPr="005A233A">
        <w:rPr>
          <w:sz w:val="22"/>
          <w:szCs w:val="22"/>
          <w:lang w:val="en-AU"/>
        </w:rPr>
        <w:t xml:space="preserve"> and identifying additional laboratory space.</w:t>
      </w:r>
      <w:r w:rsidR="00AA0D9E" w:rsidRPr="005A233A">
        <w:rPr>
          <w:i/>
          <w:sz w:val="22"/>
          <w:szCs w:val="22"/>
          <w:lang w:val="en-AU"/>
        </w:rPr>
        <w:t xml:space="preserve"> </w:t>
      </w:r>
      <w:r w:rsidR="00AA0D9E" w:rsidRPr="005A233A">
        <w:rPr>
          <w:sz w:val="22"/>
          <w:szCs w:val="22"/>
          <w:lang w:val="en-AU"/>
        </w:rPr>
        <w:t xml:space="preserve">Operating </w:t>
      </w:r>
      <w:r w:rsidR="00D6101D" w:rsidRPr="00D6101D">
        <w:rPr>
          <w:sz w:val="22"/>
          <w:szCs w:val="22"/>
          <w:lang w:val="en-AU"/>
        </w:rPr>
        <w:t>reverse transcriptase polymerase chain reaction (RT-PCR</w:t>
      </w:r>
      <w:r w:rsidR="00D6101D">
        <w:rPr>
          <w:sz w:val="22"/>
          <w:szCs w:val="22"/>
          <w:lang w:val="en-AU"/>
        </w:rPr>
        <w:t>)</w:t>
      </w:r>
      <w:r w:rsidR="00D6101D" w:rsidRPr="00D6101D">
        <w:rPr>
          <w:sz w:val="22"/>
          <w:szCs w:val="22"/>
          <w:lang w:val="en-AU"/>
        </w:rPr>
        <w:t xml:space="preserve"> </w:t>
      </w:r>
      <w:r w:rsidR="00AA0D9E" w:rsidRPr="005A233A">
        <w:rPr>
          <w:sz w:val="22"/>
          <w:szCs w:val="22"/>
          <w:lang w:val="en-AU"/>
        </w:rPr>
        <w:t>testing platforms require specially trained scientists, for which there is a finite workforce.</w:t>
      </w:r>
    </w:p>
    <w:p w14:paraId="6E3F2609" w14:textId="77777777" w:rsidR="00AA0D9E" w:rsidRPr="005A233A" w:rsidRDefault="00AA0D9E" w:rsidP="003D15C8">
      <w:pPr>
        <w:rPr>
          <w:i/>
          <w:sz w:val="22"/>
          <w:szCs w:val="22"/>
          <w:lang w:val="en-AU"/>
        </w:rPr>
      </w:pPr>
    </w:p>
    <w:p w14:paraId="07A329CC" w14:textId="77777777" w:rsidR="003D15C8" w:rsidRPr="005A233A" w:rsidRDefault="003D15C8" w:rsidP="003D15C8">
      <w:pPr>
        <w:rPr>
          <w:i/>
          <w:sz w:val="22"/>
          <w:szCs w:val="22"/>
          <w:lang w:val="en-AU"/>
        </w:rPr>
      </w:pPr>
      <w:r w:rsidRPr="005A233A">
        <w:rPr>
          <w:i/>
          <w:sz w:val="22"/>
          <w:szCs w:val="22"/>
          <w:lang w:val="en-AU"/>
        </w:rPr>
        <w:t>Workforce</w:t>
      </w:r>
    </w:p>
    <w:p w14:paraId="19873AC6" w14:textId="77777777" w:rsidR="00B6509C" w:rsidRPr="005A233A" w:rsidRDefault="00B6509C" w:rsidP="00AA0D9E">
      <w:pPr>
        <w:pStyle w:val="ListParagraph"/>
        <w:numPr>
          <w:ilvl w:val="0"/>
          <w:numId w:val="19"/>
        </w:numPr>
        <w:rPr>
          <w:sz w:val="22"/>
          <w:szCs w:val="22"/>
          <w:lang w:val="en-AU"/>
        </w:rPr>
      </w:pPr>
      <w:r w:rsidRPr="005A233A">
        <w:rPr>
          <w:sz w:val="22"/>
          <w:szCs w:val="22"/>
          <w:lang w:val="en-AU"/>
        </w:rPr>
        <w:t xml:space="preserve">The </w:t>
      </w:r>
      <w:r w:rsidR="003D15C8" w:rsidRPr="005A233A">
        <w:rPr>
          <w:sz w:val="22"/>
          <w:szCs w:val="22"/>
          <w:lang w:val="en-AU"/>
        </w:rPr>
        <w:t xml:space="preserve">technically skilled </w:t>
      </w:r>
      <w:r w:rsidRPr="005A233A">
        <w:rPr>
          <w:sz w:val="22"/>
          <w:szCs w:val="22"/>
          <w:lang w:val="en-AU"/>
        </w:rPr>
        <w:t xml:space="preserve">laboratory </w:t>
      </w:r>
      <w:r w:rsidR="003D15C8" w:rsidRPr="005A233A">
        <w:rPr>
          <w:sz w:val="22"/>
          <w:szCs w:val="22"/>
          <w:lang w:val="en-AU"/>
        </w:rPr>
        <w:t>workforce</w:t>
      </w:r>
      <w:r w:rsidRPr="005A233A">
        <w:rPr>
          <w:sz w:val="22"/>
          <w:szCs w:val="22"/>
          <w:lang w:val="en-AU"/>
        </w:rPr>
        <w:t xml:space="preserve"> </w:t>
      </w:r>
      <w:r w:rsidR="00EF7DB3" w:rsidRPr="005A233A">
        <w:rPr>
          <w:sz w:val="22"/>
          <w:szCs w:val="22"/>
          <w:lang w:val="en-AU"/>
        </w:rPr>
        <w:t>is</w:t>
      </w:r>
      <w:r w:rsidR="00AA0D9E" w:rsidRPr="005A233A">
        <w:rPr>
          <w:sz w:val="22"/>
          <w:szCs w:val="22"/>
          <w:lang w:val="en-AU"/>
        </w:rPr>
        <w:t xml:space="preserve"> currently</w:t>
      </w:r>
      <w:r w:rsidRPr="005A233A">
        <w:rPr>
          <w:sz w:val="22"/>
          <w:szCs w:val="22"/>
          <w:lang w:val="en-AU"/>
        </w:rPr>
        <w:t xml:space="preserve"> </w:t>
      </w:r>
      <w:r w:rsidR="00EF7DB3" w:rsidRPr="005A233A">
        <w:rPr>
          <w:sz w:val="22"/>
          <w:szCs w:val="22"/>
          <w:lang w:val="en-AU"/>
        </w:rPr>
        <w:t xml:space="preserve">under </w:t>
      </w:r>
      <w:r w:rsidRPr="005A233A">
        <w:rPr>
          <w:sz w:val="22"/>
          <w:szCs w:val="22"/>
          <w:lang w:val="en-AU"/>
        </w:rPr>
        <w:t>significant pressure</w:t>
      </w:r>
      <w:r w:rsidR="00023FB1">
        <w:rPr>
          <w:sz w:val="22"/>
          <w:szCs w:val="22"/>
          <w:lang w:val="en-AU"/>
        </w:rPr>
        <w:t xml:space="preserve">. Laboratory workers </w:t>
      </w:r>
      <w:r w:rsidR="00A2318C" w:rsidRPr="005A233A">
        <w:rPr>
          <w:sz w:val="22"/>
          <w:szCs w:val="22"/>
          <w:lang w:val="en-AU"/>
        </w:rPr>
        <w:t xml:space="preserve">are </w:t>
      </w:r>
      <w:r w:rsidR="00EF7DB3" w:rsidRPr="005A233A">
        <w:rPr>
          <w:sz w:val="22"/>
          <w:szCs w:val="22"/>
          <w:lang w:val="en-AU"/>
        </w:rPr>
        <w:t xml:space="preserve">experiencing </w:t>
      </w:r>
      <w:r w:rsidR="003D15C8" w:rsidRPr="005A233A">
        <w:rPr>
          <w:sz w:val="22"/>
          <w:szCs w:val="22"/>
          <w:lang w:val="en-AU"/>
        </w:rPr>
        <w:t xml:space="preserve">fatigue due to the length of time </w:t>
      </w:r>
      <w:r w:rsidR="00CE72C6" w:rsidRPr="005A233A">
        <w:rPr>
          <w:sz w:val="22"/>
          <w:szCs w:val="22"/>
          <w:lang w:val="en-AU"/>
        </w:rPr>
        <w:t>in heightened</w:t>
      </w:r>
      <w:r w:rsidR="003D15C8" w:rsidRPr="005A233A">
        <w:rPr>
          <w:sz w:val="22"/>
          <w:szCs w:val="22"/>
          <w:lang w:val="en-AU"/>
        </w:rPr>
        <w:t xml:space="preserve"> pandemic </w:t>
      </w:r>
      <w:r w:rsidR="00023FB1">
        <w:rPr>
          <w:sz w:val="22"/>
          <w:szCs w:val="22"/>
          <w:lang w:val="en-AU"/>
        </w:rPr>
        <w:t>response</w:t>
      </w:r>
      <w:r w:rsidR="00394578">
        <w:rPr>
          <w:sz w:val="22"/>
          <w:szCs w:val="22"/>
          <w:lang w:val="en-AU"/>
        </w:rPr>
        <w:t>. The</w:t>
      </w:r>
      <w:r w:rsidR="00F261D9">
        <w:rPr>
          <w:sz w:val="22"/>
          <w:szCs w:val="22"/>
          <w:lang w:val="en-AU"/>
        </w:rPr>
        <w:t>se workers</w:t>
      </w:r>
      <w:r w:rsidR="00394578">
        <w:rPr>
          <w:sz w:val="22"/>
          <w:szCs w:val="22"/>
          <w:lang w:val="en-AU"/>
        </w:rPr>
        <w:t xml:space="preserve"> are</w:t>
      </w:r>
      <w:r w:rsidR="00023FB1">
        <w:rPr>
          <w:sz w:val="22"/>
          <w:szCs w:val="22"/>
          <w:lang w:val="en-AU"/>
        </w:rPr>
        <w:t xml:space="preserve"> requir</w:t>
      </w:r>
      <w:r w:rsidR="00394578">
        <w:rPr>
          <w:sz w:val="22"/>
          <w:szCs w:val="22"/>
          <w:lang w:val="en-AU"/>
        </w:rPr>
        <w:t>ed</w:t>
      </w:r>
      <w:r w:rsidR="00023FB1">
        <w:rPr>
          <w:sz w:val="22"/>
          <w:szCs w:val="22"/>
          <w:lang w:val="en-AU"/>
        </w:rPr>
        <w:t xml:space="preserve"> to maintain</w:t>
      </w:r>
      <w:r w:rsidR="00023FB1" w:rsidRPr="005A233A">
        <w:rPr>
          <w:sz w:val="22"/>
          <w:szCs w:val="22"/>
          <w:lang w:val="en-AU"/>
        </w:rPr>
        <w:t xml:space="preserve"> </w:t>
      </w:r>
      <w:r w:rsidR="003D15C8" w:rsidRPr="005A233A">
        <w:rPr>
          <w:sz w:val="22"/>
          <w:szCs w:val="22"/>
          <w:lang w:val="en-AU"/>
        </w:rPr>
        <w:t>additiona</w:t>
      </w:r>
      <w:r w:rsidR="00023FB1">
        <w:rPr>
          <w:sz w:val="22"/>
          <w:szCs w:val="22"/>
          <w:lang w:val="en-AU"/>
        </w:rPr>
        <w:t>l infection control measures and work split shifts</w:t>
      </w:r>
      <w:r w:rsidR="003D15C8" w:rsidRPr="005A233A">
        <w:rPr>
          <w:sz w:val="22"/>
          <w:szCs w:val="22"/>
          <w:lang w:val="en-AU"/>
        </w:rPr>
        <w:t xml:space="preserve"> </w:t>
      </w:r>
      <w:r w:rsidR="00394578">
        <w:rPr>
          <w:sz w:val="22"/>
          <w:szCs w:val="22"/>
          <w:lang w:val="en-AU"/>
        </w:rPr>
        <w:t xml:space="preserve">to </w:t>
      </w:r>
      <w:r w:rsidR="003D15C8" w:rsidRPr="005A233A">
        <w:rPr>
          <w:sz w:val="22"/>
          <w:szCs w:val="22"/>
          <w:lang w:val="en-AU"/>
        </w:rPr>
        <w:t>ensure protection and sustainability of the system.</w:t>
      </w:r>
    </w:p>
    <w:p w14:paraId="73E6723A" w14:textId="72BDF518" w:rsidR="00AA0D9E" w:rsidRPr="005A233A" w:rsidRDefault="00023FB1" w:rsidP="00AA0D9E">
      <w:pPr>
        <w:pStyle w:val="ListParagraph"/>
        <w:numPr>
          <w:ilvl w:val="0"/>
          <w:numId w:val="19"/>
        </w:numPr>
        <w:rPr>
          <w:sz w:val="22"/>
          <w:szCs w:val="22"/>
          <w:lang w:val="en-AU"/>
        </w:rPr>
      </w:pPr>
      <w:r>
        <w:rPr>
          <w:sz w:val="22"/>
          <w:szCs w:val="22"/>
          <w:lang w:val="en-AU"/>
        </w:rPr>
        <w:t>S</w:t>
      </w:r>
      <w:r w:rsidR="00AA0D9E" w:rsidRPr="005A233A">
        <w:rPr>
          <w:sz w:val="22"/>
          <w:szCs w:val="22"/>
          <w:lang w:val="en-AU"/>
        </w:rPr>
        <w:t xml:space="preserve">everal laboratories across Australia are currently operating </w:t>
      </w:r>
      <w:r w:rsidR="00FD1625" w:rsidRPr="005A233A">
        <w:rPr>
          <w:sz w:val="22"/>
          <w:szCs w:val="22"/>
          <w:lang w:val="en-AU"/>
        </w:rPr>
        <w:t>24 hours</w:t>
      </w:r>
      <w:r w:rsidR="00A37BA8">
        <w:rPr>
          <w:sz w:val="22"/>
          <w:szCs w:val="22"/>
          <w:lang w:val="en-AU"/>
        </w:rPr>
        <w:t xml:space="preserve"> a day</w:t>
      </w:r>
      <w:r w:rsidR="00FD1625" w:rsidRPr="005A233A">
        <w:rPr>
          <w:sz w:val="22"/>
          <w:szCs w:val="22"/>
          <w:lang w:val="en-AU"/>
        </w:rPr>
        <w:t>, seven days per week</w:t>
      </w:r>
      <w:r w:rsidR="00394578">
        <w:rPr>
          <w:sz w:val="22"/>
          <w:szCs w:val="22"/>
          <w:lang w:val="en-AU"/>
        </w:rPr>
        <w:t xml:space="preserve">. This </w:t>
      </w:r>
      <w:r w:rsidR="00AA0D9E" w:rsidRPr="005A233A">
        <w:rPr>
          <w:sz w:val="22"/>
          <w:szCs w:val="22"/>
          <w:lang w:val="en-AU"/>
        </w:rPr>
        <w:t>requir</w:t>
      </w:r>
      <w:r w:rsidR="00394578">
        <w:rPr>
          <w:sz w:val="22"/>
          <w:szCs w:val="22"/>
          <w:lang w:val="en-AU"/>
        </w:rPr>
        <w:t>es</w:t>
      </w:r>
      <w:r w:rsidR="00AA0D9E" w:rsidRPr="005A233A">
        <w:rPr>
          <w:sz w:val="22"/>
          <w:szCs w:val="22"/>
          <w:lang w:val="en-AU"/>
        </w:rPr>
        <w:t xml:space="preserve"> staff to work 12</w:t>
      </w:r>
      <w:r w:rsidR="00A37BA8">
        <w:rPr>
          <w:sz w:val="22"/>
          <w:szCs w:val="22"/>
          <w:lang w:val="en-AU"/>
        </w:rPr>
        <w:t>–</w:t>
      </w:r>
      <w:r w:rsidR="00AA0D9E" w:rsidRPr="005A233A">
        <w:rPr>
          <w:sz w:val="22"/>
          <w:szCs w:val="22"/>
          <w:lang w:val="en-AU"/>
        </w:rPr>
        <w:t>14 hour shifts</w:t>
      </w:r>
      <w:r w:rsidR="00CE72C6" w:rsidRPr="005A233A">
        <w:rPr>
          <w:sz w:val="22"/>
          <w:szCs w:val="22"/>
          <w:lang w:val="en-AU"/>
        </w:rPr>
        <w:t xml:space="preserve"> at a time</w:t>
      </w:r>
      <w:r w:rsidR="00AA0D9E" w:rsidRPr="005A233A">
        <w:rPr>
          <w:sz w:val="22"/>
          <w:szCs w:val="22"/>
          <w:lang w:val="en-AU"/>
        </w:rPr>
        <w:t xml:space="preserve">. </w:t>
      </w:r>
    </w:p>
    <w:p w14:paraId="6AB91307" w14:textId="77777777" w:rsidR="001A4C44" w:rsidRPr="005A233A" w:rsidRDefault="001A4C44" w:rsidP="00B6509C">
      <w:pPr>
        <w:rPr>
          <w:sz w:val="22"/>
          <w:szCs w:val="22"/>
          <w:lang w:val="en-AU"/>
        </w:rPr>
      </w:pPr>
    </w:p>
    <w:p w14:paraId="591BEC67" w14:textId="77777777" w:rsidR="003D15C8" w:rsidRPr="005A233A" w:rsidRDefault="003D15C8" w:rsidP="003D15C8">
      <w:pPr>
        <w:rPr>
          <w:i/>
          <w:sz w:val="22"/>
          <w:szCs w:val="22"/>
          <w:lang w:val="en-AU"/>
        </w:rPr>
      </w:pPr>
      <w:r w:rsidRPr="005A233A">
        <w:rPr>
          <w:i/>
          <w:sz w:val="22"/>
          <w:szCs w:val="22"/>
          <w:lang w:val="en-AU"/>
        </w:rPr>
        <w:t>Testing Supply Chains</w:t>
      </w:r>
    </w:p>
    <w:p w14:paraId="1F4904BC" w14:textId="77777777" w:rsidR="000C1242" w:rsidRDefault="001A4C44" w:rsidP="000C1242">
      <w:pPr>
        <w:pStyle w:val="ListParagraph"/>
        <w:numPr>
          <w:ilvl w:val="0"/>
          <w:numId w:val="19"/>
        </w:numPr>
        <w:rPr>
          <w:sz w:val="22"/>
          <w:szCs w:val="22"/>
          <w:lang w:val="en-AU"/>
        </w:rPr>
      </w:pPr>
      <w:r w:rsidRPr="005A233A">
        <w:rPr>
          <w:sz w:val="22"/>
          <w:szCs w:val="22"/>
          <w:lang w:val="en-AU"/>
        </w:rPr>
        <w:t xml:space="preserve">As at </w:t>
      </w:r>
      <w:r w:rsidR="003E4BF2" w:rsidRPr="005A233A">
        <w:rPr>
          <w:sz w:val="22"/>
          <w:szCs w:val="22"/>
          <w:lang w:val="en-AU"/>
        </w:rPr>
        <w:t>the time of publishing this statement</w:t>
      </w:r>
      <w:r w:rsidR="003D15C8" w:rsidRPr="005A233A">
        <w:rPr>
          <w:sz w:val="22"/>
          <w:szCs w:val="22"/>
          <w:lang w:val="en-AU"/>
        </w:rPr>
        <w:t>, neither the public or private pathology sector have reported any critical commer</w:t>
      </w:r>
      <w:r w:rsidR="00A2318C" w:rsidRPr="005A233A">
        <w:rPr>
          <w:sz w:val="22"/>
          <w:szCs w:val="22"/>
          <w:lang w:val="en-AU"/>
        </w:rPr>
        <w:t>cial testing supply constraints</w:t>
      </w:r>
      <w:r w:rsidR="00A37BA8">
        <w:rPr>
          <w:sz w:val="22"/>
          <w:szCs w:val="22"/>
          <w:lang w:val="en-AU"/>
        </w:rPr>
        <w:t xml:space="preserve"> resulting in failure to deliver results</w:t>
      </w:r>
      <w:r w:rsidR="00023FB1">
        <w:rPr>
          <w:sz w:val="22"/>
          <w:szCs w:val="22"/>
          <w:lang w:val="en-AU"/>
        </w:rPr>
        <w:t>. However, several laboratories have recently raised</w:t>
      </w:r>
      <w:r w:rsidR="00A65765">
        <w:rPr>
          <w:sz w:val="22"/>
          <w:szCs w:val="22"/>
          <w:lang w:val="en-AU"/>
        </w:rPr>
        <w:t xml:space="preserve"> </w:t>
      </w:r>
      <w:r w:rsidR="00023FB1">
        <w:rPr>
          <w:sz w:val="22"/>
          <w:szCs w:val="22"/>
          <w:lang w:val="en-AU"/>
        </w:rPr>
        <w:t>concerns regarding</w:t>
      </w:r>
      <w:r w:rsidR="00A65765">
        <w:rPr>
          <w:sz w:val="22"/>
          <w:szCs w:val="22"/>
          <w:lang w:val="en-AU"/>
        </w:rPr>
        <w:t xml:space="preserve"> </w:t>
      </w:r>
      <w:r w:rsidR="00023FB1">
        <w:rPr>
          <w:sz w:val="22"/>
          <w:szCs w:val="22"/>
          <w:lang w:val="en-AU"/>
        </w:rPr>
        <w:t xml:space="preserve">several </w:t>
      </w:r>
      <w:r w:rsidR="00A65765">
        <w:rPr>
          <w:sz w:val="22"/>
          <w:szCs w:val="22"/>
          <w:lang w:val="en-AU"/>
        </w:rPr>
        <w:t>supplier</w:t>
      </w:r>
      <w:r w:rsidR="00023FB1">
        <w:rPr>
          <w:sz w:val="22"/>
          <w:szCs w:val="22"/>
          <w:lang w:val="en-AU"/>
        </w:rPr>
        <w:t>s’</w:t>
      </w:r>
      <w:r w:rsidR="00A65765">
        <w:rPr>
          <w:sz w:val="22"/>
          <w:szCs w:val="22"/>
          <w:lang w:val="en-AU"/>
        </w:rPr>
        <w:t xml:space="preserve"> capacity to maintain supply</w:t>
      </w:r>
      <w:r w:rsidR="00023FB1">
        <w:rPr>
          <w:sz w:val="22"/>
          <w:szCs w:val="22"/>
          <w:lang w:val="en-AU"/>
        </w:rPr>
        <w:t>.</w:t>
      </w:r>
      <w:r w:rsidR="00A2318C" w:rsidRPr="005A233A">
        <w:rPr>
          <w:sz w:val="22"/>
          <w:szCs w:val="22"/>
          <w:lang w:val="en-AU"/>
        </w:rPr>
        <w:t xml:space="preserve"> </w:t>
      </w:r>
    </w:p>
    <w:p w14:paraId="4F47678E" w14:textId="20BC6A34" w:rsidR="00B6509C" w:rsidRPr="000C1242" w:rsidRDefault="00023FB1" w:rsidP="000C1242">
      <w:pPr>
        <w:pStyle w:val="ListParagraph"/>
        <w:numPr>
          <w:ilvl w:val="0"/>
          <w:numId w:val="19"/>
        </w:numPr>
        <w:rPr>
          <w:sz w:val="22"/>
          <w:szCs w:val="22"/>
          <w:lang w:val="en-AU"/>
        </w:rPr>
      </w:pPr>
      <w:r w:rsidRPr="000C1242">
        <w:rPr>
          <w:sz w:val="22"/>
          <w:szCs w:val="22"/>
          <w:lang w:val="en-AU"/>
        </w:rPr>
        <w:t xml:space="preserve">Laboratories continue to monitor this situation as deliveries </w:t>
      </w:r>
      <w:r w:rsidR="005F2292" w:rsidRPr="000C1242">
        <w:rPr>
          <w:sz w:val="22"/>
          <w:szCs w:val="22"/>
          <w:lang w:val="en-AU"/>
        </w:rPr>
        <w:t>largely occur weekly</w:t>
      </w:r>
      <w:r w:rsidR="00394578" w:rsidRPr="000C1242">
        <w:rPr>
          <w:sz w:val="22"/>
          <w:szCs w:val="22"/>
          <w:lang w:val="en-AU"/>
        </w:rPr>
        <w:t>.</w:t>
      </w:r>
      <w:r w:rsidR="005F2292" w:rsidRPr="000C1242">
        <w:rPr>
          <w:sz w:val="22"/>
          <w:szCs w:val="22"/>
          <w:lang w:val="en-AU"/>
        </w:rPr>
        <w:t xml:space="preserve"> </w:t>
      </w:r>
      <w:r w:rsidR="000C1242">
        <w:rPr>
          <w:sz w:val="22"/>
          <w:szCs w:val="22"/>
          <w:lang w:val="en-AU"/>
        </w:rPr>
        <w:t>Th</w:t>
      </w:r>
      <w:r w:rsidR="00394578" w:rsidRPr="000C1242">
        <w:rPr>
          <w:sz w:val="22"/>
          <w:szCs w:val="22"/>
          <w:lang w:val="en-AU"/>
        </w:rPr>
        <w:t xml:space="preserve">is </w:t>
      </w:r>
      <w:r w:rsidR="005F2292" w:rsidRPr="000C1242">
        <w:rPr>
          <w:sz w:val="22"/>
          <w:szCs w:val="22"/>
          <w:lang w:val="en-AU"/>
        </w:rPr>
        <w:t>mean</w:t>
      </w:r>
      <w:r w:rsidR="00394578" w:rsidRPr="000C1242">
        <w:rPr>
          <w:sz w:val="22"/>
          <w:szCs w:val="22"/>
          <w:lang w:val="en-AU"/>
        </w:rPr>
        <w:t>s</w:t>
      </w:r>
      <w:r w:rsidR="005F2292" w:rsidRPr="000C1242">
        <w:rPr>
          <w:sz w:val="22"/>
          <w:szCs w:val="22"/>
          <w:lang w:val="en-AU"/>
        </w:rPr>
        <w:t xml:space="preserve"> </w:t>
      </w:r>
      <w:r w:rsidRPr="000C1242">
        <w:rPr>
          <w:sz w:val="22"/>
          <w:szCs w:val="22"/>
          <w:lang w:val="en-AU"/>
        </w:rPr>
        <w:t>any changes in supply will rapidly impact laboratory capacity.</w:t>
      </w:r>
      <w:r w:rsidR="003D15C8" w:rsidRPr="000C1242">
        <w:rPr>
          <w:sz w:val="22"/>
          <w:szCs w:val="22"/>
          <w:lang w:val="en-AU"/>
        </w:rPr>
        <w:t xml:space="preserve"> </w:t>
      </w:r>
      <w:r w:rsidR="005F2292" w:rsidRPr="000C1242">
        <w:rPr>
          <w:sz w:val="22"/>
          <w:szCs w:val="22"/>
          <w:lang w:val="en-AU"/>
        </w:rPr>
        <w:t xml:space="preserve">Further, </w:t>
      </w:r>
      <w:r w:rsidR="00EF7DB3" w:rsidRPr="000C1242">
        <w:rPr>
          <w:sz w:val="22"/>
          <w:szCs w:val="22"/>
          <w:lang w:val="en-AU"/>
        </w:rPr>
        <w:t>there are limited stocks for the majority of test kits</w:t>
      </w:r>
      <w:r w:rsidR="005F2292" w:rsidRPr="000C1242">
        <w:rPr>
          <w:sz w:val="22"/>
          <w:szCs w:val="22"/>
          <w:lang w:val="en-AU"/>
        </w:rPr>
        <w:t xml:space="preserve"> and reagents</w:t>
      </w:r>
      <w:r w:rsidR="00EF7DB3" w:rsidRPr="000C1242">
        <w:rPr>
          <w:sz w:val="22"/>
          <w:szCs w:val="22"/>
          <w:lang w:val="en-AU"/>
        </w:rPr>
        <w:t xml:space="preserve"> </w:t>
      </w:r>
      <w:r w:rsidR="005F2292" w:rsidRPr="000C1242">
        <w:rPr>
          <w:sz w:val="22"/>
          <w:szCs w:val="22"/>
          <w:lang w:val="en-AU"/>
        </w:rPr>
        <w:t>available</w:t>
      </w:r>
      <w:r w:rsidR="00394578" w:rsidRPr="000C1242">
        <w:rPr>
          <w:sz w:val="22"/>
          <w:szCs w:val="22"/>
          <w:lang w:val="en-AU"/>
        </w:rPr>
        <w:t>. This is</w:t>
      </w:r>
      <w:r w:rsidR="005F2292" w:rsidRPr="000C1242">
        <w:rPr>
          <w:sz w:val="22"/>
          <w:szCs w:val="22"/>
          <w:lang w:val="en-AU"/>
        </w:rPr>
        <w:t xml:space="preserve"> </w:t>
      </w:r>
      <w:r w:rsidR="00CE72C6" w:rsidRPr="000C1242">
        <w:rPr>
          <w:sz w:val="22"/>
          <w:szCs w:val="22"/>
          <w:lang w:val="en-AU"/>
        </w:rPr>
        <w:t xml:space="preserve">due to </w:t>
      </w:r>
      <w:r w:rsidR="003E4BF2" w:rsidRPr="000C1242">
        <w:rPr>
          <w:sz w:val="22"/>
          <w:szCs w:val="22"/>
          <w:lang w:val="en-AU"/>
        </w:rPr>
        <w:t>considerable</w:t>
      </w:r>
      <w:r w:rsidR="00CE72C6" w:rsidRPr="000C1242">
        <w:rPr>
          <w:sz w:val="22"/>
          <w:szCs w:val="22"/>
          <w:lang w:val="en-AU"/>
        </w:rPr>
        <w:t xml:space="preserve"> ongoing international demand for SARS-CoV-2 testing</w:t>
      </w:r>
      <w:r w:rsidR="005F2292" w:rsidRPr="000C1242">
        <w:rPr>
          <w:sz w:val="22"/>
          <w:szCs w:val="22"/>
          <w:lang w:val="en-AU"/>
        </w:rPr>
        <w:t>.</w:t>
      </w:r>
    </w:p>
    <w:p w14:paraId="015C8277" w14:textId="77777777" w:rsidR="00B6509C" w:rsidRPr="005A233A" w:rsidRDefault="00B6509C" w:rsidP="00B6509C">
      <w:pPr>
        <w:rPr>
          <w:i/>
          <w:sz w:val="22"/>
          <w:szCs w:val="22"/>
          <w:lang w:val="en-AU"/>
        </w:rPr>
      </w:pPr>
    </w:p>
    <w:p w14:paraId="5505B478" w14:textId="77777777" w:rsidR="00FD1625" w:rsidRPr="005A233A" w:rsidRDefault="00FD1625" w:rsidP="00B6509C">
      <w:pPr>
        <w:rPr>
          <w:i/>
          <w:sz w:val="22"/>
          <w:szCs w:val="22"/>
          <w:lang w:val="en-AU"/>
        </w:rPr>
      </w:pPr>
    </w:p>
    <w:p w14:paraId="56E943FF" w14:textId="77777777" w:rsidR="00B6509C" w:rsidRPr="005A233A" w:rsidRDefault="00AA0D9E" w:rsidP="00B6509C">
      <w:pPr>
        <w:rPr>
          <w:i/>
          <w:sz w:val="22"/>
          <w:szCs w:val="22"/>
          <w:lang w:val="en-AU"/>
        </w:rPr>
      </w:pPr>
      <w:r w:rsidRPr="005A233A">
        <w:rPr>
          <w:i/>
          <w:sz w:val="22"/>
          <w:szCs w:val="22"/>
          <w:lang w:val="en-AU"/>
        </w:rPr>
        <w:t>Accuracy of tests</w:t>
      </w:r>
    </w:p>
    <w:p w14:paraId="4DE2823A" w14:textId="77777777" w:rsidR="00072EEE" w:rsidRPr="005A233A" w:rsidRDefault="00072EEE" w:rsidP="00BD322D">
      <w:pPr>
        <w:pStyle w:val="ListParagraph"/>
        <w:numPr>
          <w:ilvl w:val="0"/>
          <w:numId w:val="21"/>
        </w:numPr>
        <w:rPr>
          <w:sz w:val="22"/>
          <w:szCs w:val="22"/>
          <w:lang w:val="en-AU"/>
        </w:rPr>
      </w:pPr>
      <w:r w:rsidRPr="005A233A">
        <w:rPr>
          <w:sz w:val="22"/>
          <w:szCs w:val="22"/>
          <w:lang w:val="en-AU"/>
        </w:rPr>
        <w:lastRenderedPageBreak/>
        <w:t>SARS-CoV-2 RT-PCR tests are high-fidelity tests designed for maximal sensitivity and minimal off-target reactivity</w:t>
      </w:r>
      <w:r w:rsidR="003E4BF2" w:rsidRPr="005A233A">
        <w:rPr>
          <w:sz w:val="22"/>
          <w:szCs w:val="22"/>
          <w:lang w:val="en-AU"/>
        </w:rPr>
        <w:t>.</w:t>
      </w:r>
      <w:r w:rsidR="00BD322D" w:rsidRPr="005A233A">
        <w:rPr>
          <w:sz w:val="22"/>
          <w:szCs w:val="22"/>
          <w:lang w:val="en-AU"/>
        </w:rPr>
        <w:t xml:space="preserve"> </w:t>
      </w:r>
      <w:r w:rsidR="003E4BF2" w:rsidRPr="005A233A">
        <w:rPr>
          <w:sz w:val="22"/>
          <w:szCs w:val="22"/>
          <w:lang w:val="en-AU"/>
        </w:rPr>
        <w:t xml:space="preserve">RT-PCR tests </w:t>
      </w:r>
      <w:r w:rsidR="00BD322D" w:rsidRPr="005A233A">
        <w:rPr>
          <w:sz w:val="22"/>
          <w:szCs w:val="22"/>
          <w:lang w:val="en-AU"/>
        </w:rPr>
        <w:t>are the gold standard for diagnostic SARS-CoV-2 testing in Australia</w:t>
      </w:r>
      <w:r w:rsidR="000D32DA">
        <w:rPr>
          <w:sz w:val="22"/>
          <w:szCs w:val="22"/>
          <w:lang w:val="en-AU"/>
        </w:rPr>
        <w:t>.</w:t>
      </w:r>
      <w:r w:rsidR="003E4BF2" w:rsidRPr="005A233A">
        <w:rPr>
          <w:sz w:val="22"/>
          <w:szCs w:val="22"/>
          <w:lang w:val="en-AU"/>
        </w:rPr>
        <w:t xml:space="preserve"> </w:t>
      </w:r>
      <w:r w:rsidR="000D32DA">
        <w:rPr>
          <w:sz w:val="22"/>
          <w:szCs w:val="22"/>
          <w:lang w:val="en-AU"/>
        </w:rPr>
        <w:t>A</w:t>
      </w:r>
      <w:r w:rsidR="00BD322D" w:rsidRPr="005A233A">
        <w:rPr>
          <w:sz w:val="22"/>
          <w:szCs w:val="22"/>
          <w:lang w:val="en-AU"/>
        </w:rPr>
        <w:t>vailable evidence for the reliability of RT-PCR tests mainly comes from symptomatic patients</w:t>
      </w:r>
      <w:r w:rsidR="003E4BF2" w:rsidRPr="005A233A">
        <w:rPr>
          <w:sz w:val="22"/>
          <w:szCs w:val="22"/>
          <w:lang w:val="en-AU"/>
        </w:rPr>
        <w:t>.</w:t>
      </w:r>
      <w:r w:rsidR="00BD322D" w:rsidRPr="005A233A">
        <w:rPr>
          <w:sz w:val="22"/>
          <w:szCs w:val="22"/>
          <w:lang w:val="en-AU"/>
        </w:rPr>
        <w:t xml:space="preserve"> </w:t>
      </w:r>
      <w:r w:rsidR="003E4BF2" w:rsidRPr="005A233A">
        <w:rPr>
          <w:sz w:val="22"/>
          <w:szCs w:val="22"/>
          <w:lang w:val="en-AU"/>
        </w:rPr>
        <w:t>The test’s</w:t>
      </w:r>
      <w:r w:rsidR="00BD322D" w:rsidRPr="005A233A">
        <w:rPr>
          <w:sz w:val="22"/>
          <w:szCs w:val="22"/>
          <w:lang w:val="en-AU"/>
        </w:rPr>
        <w:t xml:space="preserve"> clinical role in detecting asymptomatic carriers is </w:t>
      </w:r>
      <w:r w:rsidR="003E4BF2" w:rsidRPr="005A233A">
        <w:rPr>
          <w:sz w:val="22"/>
          <w:szCs w:val="22"/>
          <w:lang w:val="en-AU"/>
        </w:rPr>
        <w:t xml:space="preserve">still </w:t>
      </w:r>
      <w:r w:rsidR="00BD322D" w:rsidRPr="005A233A">
        <w:rPr>
          <w:sz w:val="22"/>
          <w:szCs w:val="22"/>
          <w:lang w:val="en-AU"/>
        </w:rPr>
        <w:t>unclear</w:t>
      </w:r>
      <w:r w:rsidR="003E4BF2" w:rsidRPr="005A233A">
        <w:rPr>
          <w:sz w:val="22"/>
          <w:szCs w:val="22"/>
          <w:lang w:val="en-AU"/>
        </w:rPr>
        <w:t xml:space="preserve"> </w:t>
      </w:r>
      <w:r w:rsidR="000D25CD" w:rsidRPr="005A233A">
        <w:rPr>
          <w:sz w:val="22"/>
          <w:szCs w:val="22"/>
          <w:lang w:val="en-AU"/>
        </w:rPr>
        <w:t xml:space="preserve">given these </w:t>
      </w:r>
      <w:r w:rsidR="00D749F3">
        <w:rPr>
          <w:sz w:val="22"/>
          <w:szCs w:val="22"/>
          <w:lang w:val="en-AU"/>
        </w:rPr>
        <w:t>in vitro diagnostic device</w:t>
      </w:r>
      <w:r w:rsidR="000D25CD" w:rsidRPr="005A233A">
        <w:rPr>
          <w:sz w:val="22"/>
          <w:szCs w:val="22"/>
          <w:lang w:val="en-AU"/>
        </w:rPr>
        <w:t>s were not designed for screening</w:t>
      </w:r>
      <w:r w:rsidR="00BD322D" w:rsidRPr="005A233A">
        <w:rPr>
          <w:sz w:val="22"/>
          <w:szCs w:val="22"/>
          <w:lang w:val="en-AU"/>
        </w:rPr>
        <w:t>.</w:t>
      </w:r>
    </w:p>
    <w:p w14:paraId="05AAB6D4" w14:textId="77777777" w:rsidR="003E4BF2" w:rsidRPr="005A233A" w:rsidRDefault="005F2292" w:rsidP="003E4BF2">
      <w:pPr>
        <w:pStyle w:val="ListParagraph"/>
        <w:numPr>
          <w:ilvl w:val="0"/>
          <w:numId w:val="21"/>
        </w:numPr>
        <w:rPr>
          <w:sz w:val="22"/>
          <w:szCs w:val="22"/>
          <w:lang w:val="en-AU"/>
        </w:rPr>
      </w:pPr>
      <w:r>
        <w:rPr>
          <w:sz w:val="22"/>
          <w:szCs w:val="22"/>
          <w:lang w:val="en-AU"/>
        </w:rPr>
        <w:t>As</w:t>
      </w:r>
      <w:r w:rsidR="009B0D4F" w:rsidRPr="005A233A">
        <w:rPr>
          <w:sz w:val="22"/>
          <w:szCs w:val="22"/>
          <w:lang w:val="en-AU"/>
        </w:rPr>
        <w:t xml:space="preserve"> community prevalence of COVID-19 falls and the rate </w:t>
      </w:r>
      <w:r w:rsidR="00181588">
        <w:rPr>
          <w:sz w:val="22"/>
          <w:szCs w:val="22"/>
          <w:lang w:val="en-AU"/>
        </w:rPr>
        <w:t xml:space="preserve">of </w:t>
      </w:r>
      <w:r w:rsidR="009B0D4F" w:rsidRPr="005A233A">
        <w:rPr>
          <w:sz w:val="22"/>
          <w:szCs w:val="22"/>
          <w:lang w:val="en-AU"/>
        </w:rPr>
        <w:t>asymptomatic testing increases, the proportion of false positive results may</w:t>
      </w:r>
      <w:r>
        <w:rPr>
          <w:sz w:val="22"/>
          <w:szCs w:val="22"/>
          <w:lang w:val="en-AU"/>
        </w:rPr>
        <w:t xml:space="preserve"> </w:t>
      </w:r>
      <w:r w:rsidR="009B0D4F" w:rsidRPr="005A233A">
        <w:rPr>
          <w:sz w:val="22"/>
          <w:szCs w:val="22"/>
          <w:lang w:val="en-AU"/>
        </w:rPr>
        <w:t xml:space="preserve">increase. </w:t>
      </w:r>
      <w:r w:rsidR="003E4BF2" w:rsidRPr="005A233A">
        <w:rPr>
          <w:sz w:val="22"/>
          <w:szCs w:val="22"/>
          <w:lang w:val="en-AU"/>
        </w:rPr>
        <w:t>However, it is important to note that PHLN emphasises the likelihood of false positive and false negative results occurring is still low</w:t>
      </w:r>
      <w:r w:rsidR="009B0D4F" w:rsidRPr="005A233A">
        <w:rPr>
          <w:sz w:val="22"/>
          <w:szCs w:val="22"/>
          <w:lang w:val="en-AU"/>
        </w:rPr>
        <w:t>.</w:t>
      </w:r>
    </w:p>
    <w:p w14:paraId="013488A2" w14:textId="77777777" w:rsidR="003E4BF2" w:rsidRPr="005A233A" w:rsidRDefault="003E4BF2" w:rsidP="003E4BF2">
      <w:pPr>
        <w:rPr>
          <w:sz w:val="22"/>
          <w:szCs w:val="22"/>
          <w:lang w:val="en-AU"/>
        </w:rPr>
      </w:pPr>
    </w:p>
    <w:p w14:paraId="576A695F" w14:textId="77777777" w:rsidR="003E4BF2" w:rsidRPr="005A233A" w:rsidRDefault="003E4BF2" w:rsidP="003E4BF2">
      <w:pPr>
        <w:rPr>
          <w:sz w:val="22"/>
          <w:szCs w:val="22"/>
          <w:u w:val="single"/>
          <w:lang w:val="en-AU"/>
        </w:rPr>
      </w:pPr>
      <w:r w:rsidRPr="005A233A">
        <w:rPr>
          <w:sz w:val="22"/>
          <w:szCs w:val="22"/>
          <w:u w:val="single"/>
          <w:lang w:val="en-AU"/>
        </w:rPr>
        <w:t>Recommendations</w:t>
      </w:r>
    </w:p>
    <w:p w14:paraId="28593609" w14:textId="1FB3401B" w:rsidR="003E4BF2" w:rsidRPr="005A233A" w:rsidRDefault="003E4BF2" w:rsidP="003E4BF2">
      <w:pPr>
        <w:rPr>
          <w:sz w:val="22"/>
          <w:szCs w:val="22"/>
          <w:lang w:val="en-AU"/>
        </w:rPr>
      </w:pPr>
      <w:r w:rsidRPr="005A233A">
        <w:rPr>
          <w:sz w:val="22"/>
          <w:szCs w:val="22"/>
          <w:lang w:val="en-AU"/>
        </w:rPr>
        <w:t>PHLN</w:t>
      </w:r>
      <w:r w:rsidR="005274A5">
        <w:rPr>
          <w:sz w:val="22"/>
          <w:szCs w:val="22"/>
          <w:lang w:val="en-AU"/>
        </w:rPr>
        <w:t xml:space="preserve"> notes that </w:t>
      </w:r>
      <w:r w:rsidRPr="005A233A">
        <w:rPr>
          <w:sz w:val="22"/>
          <w:szCs w:val="22"/>
          <w:lang w:val="en-AU"/>
        </w:rPr>
        <w:t>large-scale population-wide</w:t>
      </w:r>
      <w:r w:rsidR="00D6101D">
        <w:rPr>
          <w:sz w:val="22"/>
          <w:szCs w:val="22"/>
          <w:lang w:val="en-AU"/>
        </w:rPr>
        <w:t xml:space="preserve"> </w:t>
      </w:r>
      <w:r w:rsidRPr="005A233A">
        <w:rPr>
          <w:sz w:val="22"/>
          <w:szCs w:val="22"/>
          <w:lang w:val="en-AU"/>
        </w:rPr>
        <w:t>testing of asymptomatic individuals cou</w:t>
      </w:r>
      <w:r w:rsidR="005F2292">
        <w:rPr>
          <w:sz w:val="22"/>
          <w:szCs w:val="22"/>
          <w:lang w:val="en-AU"/>
        </w:rPr>
        <w:t>ld be counter</w:t>
      </w:r>
      <w:r w:rsidRPr="005A233A">
        <w:rPr>
          <w:sz w:val="22"/>
          <w:szCs w:val="22"/>
          <w:lang w:val="en-AU"/>
        </w:rPr>
        <w:t xml:space="preserve">productive to Australia’s response to the COVID-19 pandemic. Unintended consequences of asymptomatic testing includes wastage of testing consumables, </w:t>
      </w:r>
      <w:r w:rsidR="00165B9B">
        <w:rPr>
          <w:sz w:val="22"/>
          <w:szCs w:val="22"/>
          <w:lang w:val="en-AU"/>
        </w:rPr>
        <w:t xml:space="preserve">impacts on staff welfare </w:t>
      </w:r>
      <w:r w:rsidRPr="005A233A">
        <w:rPr>
          <w:sz w:val="22"/>
          <w:szCs w:val="22"/>
          <w:lang w:val="en-AU"/>
        </w:rPr>
        <w:t>and longer testing turn-around times</w:t>
      </w:r>
      <w:r w:rsidR="000D32DA">
        <w:rPr>
          <w:sz w:val="22"/>
          <w:szCs w:val="22"/>
          <w:lang w:val="en-AU"/>
        </w:rPr>
        <w:t>.</w:t>
      </w:r>
      <w:r w:rsidRPr="005A233A">
        <w:rPr>
          <w:sz w:val="22"/>
          <w:szCs w:val="22"/>
          <w:lang w:val="en-AU"/>
        </w:rPr>
        <w:t xml:space="preserve"> </w:t>
      </w:r>
      <w:r w:rsidR="000D32DA">
        <w:rPr>
          <w:sz w:val="22"/>
          <w:szCs w:val="22"/>
          <w:lang w:val="en-AU"/>
        </w:rPr>
        <w:t xml:space="preserve">All of </w:t>
      </w:r>
      <w:r w:rsidRPr="005A233A">
        <w:rPr>
          <w:sz w:val="22"/>
          <w:szCs w:val="22"/>
          <w:lang w:val="en-AU"/>
        </w:rPr>
        <w:t>which delay public health intervention.</w:t>
      </w:r>
    </w:p>
    <w:p w14:paraId="017AB204" w14:textId="77777777" w:rsidR="003E4BF2" w:rsidRPr="005A233A" w:rsidRDefault="003E4BF2" w:rsidP="003E4BF2">
      <w:pPr>
        <w:rPr>
          <w:sz w:val="22"/>
          <w:szCs w:val="22"/>
          <w:lang w:val="en-AU"/>
        </w:rPr>
      </w:pPr>
    </w:p>
    <w:p w14:paraId="5B0C0683" w14:textId="77777777" w:rsidR="003E4BF2" w:rsidRPr="005A233A" w:rsidRDefault="003E4BF2" w:rsidP="003E4BF2">
      <w:pPr>
        <w:rPr>
          <w:sz w:val="22"/>
          <w:szCs w:val="22"/>
          <w:lang w:val="en-AU"/>
        </w:rPr>
      </w:pPr>
      <w:r w:rsidRPr="005A233A">
        <w:rPr>
          <w:sz w:val="22"/>
          <w:szCs w:val="22"/>
          <w:lang w:val="en-AU"/>
        </w:rPr>
        <w:t>To ensure Australia’s testing capacity is not overwhelmed, PHLN recommends governments carefully consider laboratory and clinical capacity when designing testing strategies</w:t>
      </w:r>
      <w:r w:rsidR="000D32DA">
        <w:rPr>
          <w:sz w:val="22"/>
          <w:szCs w:val="22"/>
          <w:lang w:val="en-AU"/>
        </w:rPr>
        <w:t>.</w:t>
      </w:r>
      <w:r w:rsidRPr="005A233A">
        <w:rPr>
          <w:sz w:val="22"/>
          <w:szCs w:val="22"/>
          <w:lang w:val="en-AU"/>
        </w:rPr>
        <w:t xml:space="preserve"> </w:t>
      </w:r>
      <w:r w:rsidR="000D32DA">
        <w:rPr>
          <w:sz w:val="22"/>
          <w:szCs w:val="22"/>
          <w:lang w:val="en-AU"/>
        </w:rPr>
        <w:t xml:space="preserve">They should </w:t>
      </w:r>
      <w:r w:rsidRPr="005A233A">
        <w:rPr>
          <w:sz w:val="22"/>
          <w:szCs w:val="22"/>
          <w:lang w:val="en-AU"/>
        </w:rPr>
        <w:t>ensure testing aligns with the advice outlined in the Australian National Disease Surveillance Plan for COVID-19. PHLN encourages decision makers to consult with and inform public health authorities and laboratory directors well in advance of commencing test</w:t>
      </w:r>
      <w:r w:rsidR="005F2292">
        <w:rPr>
          <w:sz w:val="22"/>
          <w:szCs w:val="22"/>
          <w:lang w:val="en-AU"/>
        </w:rPr>
        <w:t>ing surge arrangements. Ado</w:t>
      </w:r>
      <w:r w:rsidR="00B9075A">
        <w:rPr>
          <w:sz w:val="22"/>
          <w:szCs w:val="22"/>
          <w:lang w:val="en-AU"/>
        </w:rPr>
        <w:t>pting these recommendations will</w:t>
      </w:r>
      <w:r w:rsidRPr="005A233A">
        <w:rPr>
          <w:sz w:val="22"/>
          <w:szCs w:val="22"/>
          <w:lang w:val="en-AU"/>
        </w:rPr>
        <w:t xml:space="preserve"> mitigate against potential testing capacity pressures and resource shortages.</w:t>
      </w:r>
    </w:p>
    <w:p w14:paraId="7762BF3B" w14:textId="77777777" w:rsidR="003E4BF2" w:rsidRPr="005A233A" w:rsidRDefault="003E4BF2" w:rsidP="003E4BF2">
      <w:pPr>
        <w:rPr>
          <w:sz w:val="22"/>
          <w:szCs w:val="22"/>
          <w:lang w:val="en-AU"/>
        </w:rPr>
      </w:pPr>
    </w:p>
    <w:p w14:paraId="224F3877" w14:textId="77777777" w:rsidR="003E4BF2" w:rsidRPr="005A233A" w:rsidRDefault="003E4BF2" w:rsidP="003E4BF2">
      <w:pPr>
        <w:rPr>
          <w:sz w:val="22"/>
          <w:szCs w:val="22"/>
          <w:lang w:val="en-AU"/>
        </w:rPr>
      </w:pPr>
      <w:r w:rsidRPr="005A233A">
        <w:rPr>
          <w:sz w:val="22"/>
          <w:szCs w:val="22"/>
          <w:lang w:val="en-AU"/>
        </w:rPr>
        <w:t xml:space="preserve">PHLN is of the strong view that testing </w:t>
      </w:r>
      <w:r w:rsidR="00F261D9">
        <w:rPr>
          <w:sz w:val="22"/>
          <w:szCs w:val="22"/>
          <w:lang w:val="en-AU"/>
        </w:rPr>
        <w:t>is</w:t>
      </w:r>
      <w:r w:rsidRPr="005A233A">
        <w:rPr>
          <w:sz w:val="22"/>
          <w:szCs w:val="22"/>
          <w:lang w:val="en-AU"/>
        </w:rPr>
        <w:t xml:space="preserve"> targeted toward population cohorts where the maximum value </w:t>
      </w:r>
      <w:r w:rsidR="00F261D9">
        <w:rPr>
          <w:sz w:val="22"/>
          <w:szCs w:val="22"/>
          <w:lang w:val="en-AU"/>
        </w:rPr>
        <w:t>is</w:t>
      </w:r>
      <w:r w:rsidRPr="005A233A">
        <w:rPr>
          <w:sz w:val="22"/>
          <w:szCs w:val="22"/>
          <w:lang w:val="en-AU"/>
        </w:rPr>
        <w:t xml:space="preserve"> derived</w:t>
      </w:r>
      <w:r w:rsidR="00B9075A">
        <w:rPr>
          <w:sz w:val="22"/>
          <w:szCs w:val="22"/>
          <w:lang w:val="en-AU"/>
        </w:rPr>
        <w:t>, and emphatically discourage</w:t>
      </w:r>
      <w:r w:rsidRPr="005A233A">
        <w:rPr>
          <w:sz w:val="22"/>
          <w:szCs w:val="22"/>
          <w:lang w:val="en-AU"/>
        </w:rPr>
        <w:t xml:space="preserve"> non-clinically indicated asymptomatic testing</w:t>
      </w:r>
      <w:r w:rsidR="00B9075A">
        <w:rPr>
          <w:sz w:val="22"/>
          <w:szCs w:val="22"/>
          <w:lang w:val="en-AU"/>
        </w:rPr>
        <w:t xml:space="preserve">. </w:t>
      </w:r>
      <w:r w:rsidRPr="005A233A">
        <w:rPr>
          <w:sz w:val="22"/>
          <w:szCs w:val="22"/>
          <w:lang w:val="en-AU"/>
        </w:rPr>
        <w:t xml:space="preserve">PHLN further advises that States and Territories with low COVID-19 prevalence should build up supplies of testing reagents and provide laboratory staff with </w:t>
      </w:r>
      <w:r w:rsidR="00B9075A">
        <w:rPr>
          <w:sz w:val="22"/>
          <w:szCs w:val="22"/>
          <w:lang w:val="en-AU"/>
        </w:rPr>
        <w:t>leave</w:t>
      </w:r>
      <w:r w:rsidR="000D32DA">
        <w:rPr>
          <w:sz w:val="22"/>
          <w:szCs w:val="22"/>
          <w:lang w:val="en-AU"/>
        </w:rPr>
        <w:t>.</w:t>
      </w:r>
      <w:r w:rsidRPr="005A233A">
        <w:rPr>
          <w:sz w:val="22"/>
          <w:szCs w:val="22"/>
          <w:lang w:val="en-AU"/>
        </w:rPr>
        <w:t xml:space="preserve"> </w:t>
      </w:r>
      <w:r w:rsidR="000D32DA">
        <w:rPr>
          <w:sz w:val="22"/>
          <w:szCs w:val="22"/>
          <w:lang w:val="en-AU"/>
        </w:rPr>
        <w:t>R</w:t>
      </w:r>
      <w:r w:rsidRPr="005A233A">
        <w:rPr>
          <w:sz w:val="22"/>
          <w:szCs w:val="22"/>
          <w:lang w:val="en-AU"/>
        </w:rPr>
        <w:t>ather than consuming both staffing and testing resources in an environment</w:t>
      </w:r>
      <w:r w:rsidR="00B9075A">
        <w:rPr>
          <w:sz w:val="22"/>
          <w:szCs w:val="22"/>
          <w:lang w:val="en-AU"/>
        </w:rPr>
        <w:t xml:space="preserve"> with low levels of COVID-19 infection.</w:t>
      </w:r>
    </w:p>
    <w:p w14:paraId="5435F4C9" w14:textId="77777777" w:rsidR="003E4BF2" w:rsidRPr="005A233A" w:rsidRDefault="003E4BF2" w:rsidP="003E4BF2">
      <w:pPr>
        <w:rPr>
          <w:sz w:val="22"/>
          <w:szCs w:val="22"/>
          <w:lang w:val="en-AU"/>
        </w:rPr>
      </w:pPr>
    </w:p>
    <w:p w14:paraId="34FCAEC4" w14:textId="77777777" w:rsidR="003E4BF2" w:rsidRPr="005A233A" w:rsidRDefault="00B9075A" w:rsidP="003E4BF2">
      <w:pPr>
        <w:rPr>
          <w:sz w:val="22"/>
          <w:szCs w:val="22"/>
          <w:lang w:val="en-AU"/>
        </w:rPr>
      </w:pPr>
      <w:r>
        <w:rPr>
          <w:sz w:val="22"/>
          <w:szCs w:val="22"/>
          <w:lang w:val="en-AU"/>
        </w:rPr>
        <w:t xml:space="preserve">PHLN raises concerns that Victoria’s introduction of mandatory </w:t>
      </w:r>
      <w:r w:rsidR="003E4BF2" w:rsidRPr="005A233A">
        <w:rPr>
          <w:sz w:val="22"/>
          <w:szCs w:val="22"/>
          <w:lang w:val="en-AU"/>
        </w:rPr>
        <w:t>of pre-operative testing for elective surgery patients will significant</w:t>
      </w:r>
      <w:r>
        <w:rPr>
          <w:sz w:val="22"/>
          <w:szCs w:val="22"/>
          <w:lang w:val="en-AU"/>
        </w:rPr>
        <w:t>ly</w:t>
      </w:r>
      <w:r w:rsidR="003E4BF2" w:rsidRPr="005A233A">
        <w:rPr>
          <w:sz w:val="22"/>
          <w:szCs w:val="22"/>
          <w:lang w:val="en-AU"/>
        </w:rPr>
        <w:t xml:space="preserve"> impact on both laboratory capacity and patient flow through the hospital system. PHLN recommends a strong </w:t>
      </w:r>
      <w:r>
        <w:rPr>
          <w:sz w:val="22"/>
          <w:szCs w:val="22"/>
          <w:lang w:val="en-AU"/>
        </w:rPr>
        <w:t>N</w:t>
      </w:r>
      <w:r w:rsidR="003E4BF2" w:rsidRPr="005A233A">
        <w:rPr>
          <w:sz w:val="22"/>
          <w:szCs w:val="22"/>
          <w:lang w:val="en-AU"/>
        </w:rPr>
        <w:t xml:space="preserve">ational stance against this testing strategy and similar asymptomatic screening for SARS-CoV-2. </w:t>
      </w:r>
    </w:p>
    <w:sectPr w:rsidR="003E4BF2" w:rsidRPr="005A233A" w:rsidSect="005274A5">
      <w:footerReference w:type="default" r:id="rId13"/>
      <w:pgSz w:w="11900" w:h="16840"/>
      <w:pgMar w:top="993" w:right="985" w:bottom="1440" w:left="851" w:header="708" w:footer="8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47989B" w16cid:durableId="22C59463"/>
  <w16cid:commentId w16cid:paraId="09A5E7DD" w16cid:durableId="22C597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4E543" w14:textId="77777777" w:rsidR="00832C0C" w:rsidRDefault="00832C0C" w:rsidP="0044727B">
      <w:r>
        <w:separator/>
      </w:r>
    </w:p>
  </w:endnote>
  <w:endnote w:type="continuationSeparator" w:id="0">
    <w:p w14:paraId="2AFAB5B4" w14:textId="77777777" w:rsidR="00832C0C" w:rsidRDefault="00832C0C" w:rsidP="0044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36694"/>
      <w:docPartObj>
        <w:docPartGallery w:val="Page Numbers (Bottom of Page)"/>
        <w:docPartUnique/>
      </w:docPartObj>
    </w:sdtPr>
    <w:sdtEndPr>
      <w:rPr>
        <w:noProof/>
      </w:rPr>
    </w:sdtEndPr>
    <w:sdtContent>
      <w:p w14:paraId="40FFA823" w14:textId="3FCA1AC6" w:rsidR="00A2318C" w:rsidRDefault="00A2318C">
        <w:pPr>
          <w:pStyle w:val="Footer"/>
          <w:jc w:val="right"/>
        </w:pPr>
        <w:r>
          <w:fldChar w:fldCharType="begin"/>
        </w:r>
        <w:r>
          <w:instrText xml:space="preserve"> PAGE   \* MERGEFORMAT </w:instrText>
        </w:r>
        <w:r>
          <w:fldChar w:fldCharType="separate"/>
        </w:r>
        <w:r w:rsidR="00B20089">
          <w:rPr>
            <w:noProof/>
          </w:rPr>
          <w:t>2</w:t>
        </w:r>
        <w:r>
          <w:rPr>
            <w:noProof/>
          </w:rPr>
          <w:fldChar w:fldCharType="end"/>
        </w:r>
      </w:p>
    </w:sdtContent>
  </w:sdt>
  <w:p w14:paraId="2AE20B20" w14:textId="77777777" w:rsidR="00A2318C" w:rsidRDefault="00A23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AB906" w14:textId="77777777" w:rsidR="00832C0C" w:rsidRDefault="00832C0C" w:rsidP="0044727B">
      <w:r>
        <w:separator/>
      </w:r>
    </w:p>
  </w:footnote>
  <w:footnote w:type="continuationSeparator" w:id="0">
    <w:p w14:paraId="3A67E063" w14:textId="77777777" w:rsidR="00832C0C" w:rsidRDefault="00832C0C" w:rsidP="00447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6403"/>
    <w:multiLevelType w:val="hybridMultilevel"/>
    <w:tmpl w:val="CD6E7250"/>
    <w:lvl w:ilvl="0" w:tplc="C2F0177E">
      <w:start w:val="1"/>
      <w:numFmt w:val="bullet"/>
      <w:lvlText w:val=""/>
      <w:lvlJc w:val="left"/>
      <w:pPr>
        <w:ind w:left="170" w:hanging="17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855C06"/>
    <w:multiLevelType w:val="hybridMultilevel"/>
    <w:tmpl w:val="233E6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FA7912"/>
    <w:multiLevelType w:val="hybridMultilevel"/>
    <w:tmpl w:val="4BB85142"/>
    <w:lvl w:ilvl="0" w:tplc="FA9CE77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B93A9C"/>
    <w:multiLevelType w:val="hybridMultilevel"/>
    <w:tmpl w:val="56187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7D222C"/>
    <w:multiLevelType w:val="hybridMultilevel"/>
    <w:tmpl w:val="2208E9C2"/>
    <w:lvl w:ilvl="0" w:tplc="C2F0177E">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E495C"/>
    <w:multiLevelType w:val="hybridMultilevel"/>
    <w:tmpl w:val="0AA24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571FB1"/>
    <w:multiLevelType w:val="hybridMultilevel"/>
    <w:tmpl w:val="F626C982"/>
    <w:lvl w:ilvl="0" w:tplc="C2F0177E">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35047"/>
    <w:multiLevelType w:val="hybridMultilevel"/>
    <w:tmpl w:val="33243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B219B0"/>
    <w:multiLevelType w:val="hybridMultilevel"/>
    <w:tmpl w:val="6876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861932"/>
    <w:multiLevelType w:val="hybridMultilevel"/>
    <w:tmpl w:val="7C647F28"/>
    <w:lvl w:ilvl="0" w:tplc="C2F0177E">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FF7C7E"/>
    <w:multiLevelType w:val="hybridMultilevel"/>
    <w:tmpl w:val="397EE3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4F2B9A"/>
    <w:multiLevelType w:val="hybridMultilevel"/>
    <w:tmpl w:val="86C0D566"/>
    <w:lvl w:ilvl="0" w:tplc="C2F0177E">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9644B9"/>
    <w:multiLevelType w:val="hybridMultilevel"/>
    <w:tmpl w:val="58FEA1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876588"/>
    <w:multiLevelType w:val="hybridMultilevel"/>
    <w:tmpl w:val="9E5E15CE"/>
    <w:lvl w:ilvl="0" w:tplc="C2F0177E">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37C1D"/>
    <w:multiLevelType w:val="hybridMultilevel"/>
    <w:tmpl w:val="F6CA5A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7D7C28"/>
    <w:multiLevelType w:val="hybridMultilevel"/>
    <w:tmpl w:val="B7BA010C"/>
    <w:lvl w:ilvl="0" w:tplc="C2F0177E">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747E3D"/>
    <w:multiLevelType w:val="hybridMultilevel"/>
    <w:tmpl w:val="5CDE1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CC74B4"/>
    <w:multiLevelType w:val="hybridMultilevel"/>
    <w:tmpl w:val="3006BD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D574D9"/>
    <w:multiLevelType w:val="hybridMultilevel"/>
    <w:tmpl w:val="6DCA6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400A6F"/>
    <w:multiLevelType w:val="hybridMultilevel"/>
    <w:tmpl w:val="D03C4692"/>
    <w:lvl w:ilvl="0" w:tplc="C2F0177E">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1294"/>
    <w:multiLevelType w:val="hybridMultilevel"/>
    <w:tmpl w:val="1C1EF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5"/>
  </w:num>
  <w:num w:numId="4">
    <w:abstractNumId w:val="4"/>
  </w:num>
  <w:num w:numId="5">
    <w:abstractNumId w:val="6"/>
  </w:num>
  <w:num w:numId="6">
    <w:abstractNumId w:val="19"/>
  </w:num>
  <w:num w:numId="7">
    <w:abstractNumId w:val="9"/>
  </w:num>
  <w:num w:numId="8">
    <w:abstractNumId w:val="18"/>
  </w:num>
  <w:num w:numId="9">
    <w:abstractNumId w:val="11"/>
  </w:num>
  <w:num w:numId="10">
    <w:abstractNumId w:val="13"/>
  </w:num>
  <w:num w:numId="11">
    <w:abstractNumId w:val="2"/>
  </w:num>
  <w:num w:numId="12">
    <w:abstractNumId w:val="14"/>
  </w:num>
  <w:num w:numId="13">
    <w:abstractNumId w:val="1"/>
  </w:num>
  <w:num w:numId="14">
    <w:abstractNumId w:val="5"/>
  </w:num>
  <w:num w:numId="15">
    <w:abstractNumId w:val="20"/>
  </w:num>
  <w:num w:numId="16">
    <w:abstractNumId w:val="12"/>
  </w:num>
  <w:num w:numId="17">
    <w:abstractNumId w:val="10"/>
  </w:num>
  <w:num w:numId="18">
    <w:abstractNumId w:val="17"/>
  </w:num>
  <w:num w:numId="19">
    <w:abstractNumId w:val="7"/>
  </w:num>
  <w:num w:numId="20">
    <w:abstractNumId w:val="1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F57"/>
    <w:rsid w:val="0000028D"/>
    <w:rsid w:val="0000110E"/>
    <w:rsid w:val="00015B08"/>
    <w:rsid w:val="00023FB1"/>
    <w:rsid w:val="00041D5C"/>
    <w:rsid w:val="00050806"/>
    <w:rsid w:val="00072EEE"/>
    <w:rsid w:val="00076DD6"/>
    <w:rsid w:val="000A4767"/>
    <w:rsid w:val="000A53E0"/>
    <w:rsid w:val="000C1242"/>
    <w:rsid w:val="000D25CD"/>
    <w:rsid w:val="000D32DA"/>
    <w:rsid w:val="000F453F"/>
    <w:rsid w:val="00125F57"/>
    <w:rsid w:val="0012666C"/>
    <w:rsid w:val="0013339D"/>
    <w:rsid w:val="0014045C"/>
    <w:rsid w:val="00152E90"/>
    <w:rsid w:val="00165B9B"/>
    <w:rsid w:val="001735B2"/>
    <w:rsid w:val="00175F11"/>
    <w:rsid w:val="00181588"/>
    <w:rsid w:val="001A4C44"/>
    <w:rsid w:val="001B6227"/>
    <w:rsid w:val="0020595B"/>
    <w:rsid w:val="002144BF"/>
    <w:rsid w:val="002145CB"/>
    <w:rsid w:val="0022098F"/>
    <w:rsid w:val="00236815"/>
    <w:rsid w:val="002477E9"/>
    <w:rsid w:val="00247F23"/>
    <w:rsid w:val="002973A0"/>
    <w:rsid w:val="002A7951"/>
    <w:rsid w:val="002B176B"/>
    <w:rsid w:val="002B4138"/>
    <w:rsid w:val="002C0368"/>
    <w:rsid w:val="002C1309"/>
    <w:rsid w:val="002C3B89"/>
    <w:rsid w:val="002D0D1B"/>
    <w:rsid w:val="002D585B"/>
    <w:rsid w:val="002D78F8"/>
    <w:rsid w:val="002E5A31"/>
    <w:rsid w:val="002F6F30"/>
    <w:rsid w:val="00314468"/>
    <w:rsid w:val="00321339"/>
    <w:rsid w:val="00332722"/>
    <w:rsid w:val="00332812"/>
    <w:rsid w:val="00337013"/>
    <w:rsid w:val="00373502"/>
    <w:rsid w:val="00390367"/>
    <w:rsid w:val="00394578"/>
    <w:rsid w:val="003A55F7"/>
    <w:rsid w:val="003B6E39"/>
    <w:rsid w:val="003D15C8"/>
    <w:rsid w:val="003E4BF2"/>
    <w:rsid w:val="003F6EBC"/>
    <w:rsid w:val="0042586F"/>
    <w:rsid w:val="004355EF"/>
    <w:rsid w:val="00435CCE"/>
    <w:rsid w:val="0044727B"/>
    <w:rsid w:val="00454938"/>
    <w:rsid w:val="00465937"/>
    <w:rsid w:val="00474C1F"/>
    <w:rsid w:val="004A6862"/>
    <w:rsid w:val="004A6C4B"/>
    <w:rsid w:val="004D4FF6"/>
    <w:rsid w:val="004E36E4"/>
    <w:rsid w:val="005201FE"/>
    <w:rsid w:val="005274A5"/>
    <w:rsid w:val="005447E7"/>
    <w:rsid w:val="005476CF"/>
    <w:rsid w:val="00553739"/>
    <w:rsid w:val="0057629B"/>
    <w:rsid w:val="00585061"/>
    <w:rsid w:val="005A233A"/>
    <w:rsid w:val="005F2292"/>
    <w:rsid w:val="0061668C"/>
    <w:rsid w:val="006202E6"/>
    <w:rsid w:val="0064762D"/>
    <w:rsid w:val="006877FE"/>
    <w:rsid w:val="006B09F4"/>
    <w:rsid w:val="006C12EA"/>
    <w:rsid w:val="006D179B"/>
    <w:rsid w:val="006F128F"/>
    <w:rsid w:val="006F7E52"/>
    <w:rsid w:val="0070653A"/>
    <w:rsid w:val="00744A4C"/>
    <w:rsid w:val="00765E73"/>
    <w:rsid w:val="007A385A"/>
    <w:rsid w:val="007A4560"/>
    <w:rsid w:val="007B266B"/>
    <w:rsid w:val="007D25A2"/>
    <w:rsid w:val="007D7792"/>
    <w:rsid w:val="00807CC5"/>
    <w:rsid w:val="00813635"/>
    <w:rsid w:val="00820140"/>
    <w:rsid w:val="00832C0C"/>
    <w:rsid w:val="00857069"/>
    <w:rsid w:val="00861287"/>
    <w:rsid w:val="00875566"/>
    <w:rsid w:val="008813DE"/>
    <w:rsid w:val="00887787"/>
    <w:rsid w:val="008A45CC"/>
    <w:rsid w:val="008B5087"/>
    <w:rsid w:val="0092007D"/>
    <w:rsid w:val="00922B6F"/>
    <w:rsid w:val="0095247D"/>
    <w:rsid w:val="009539CA"/>
    <w:rsid w:val="009A3895"/>
    <w:rsid w:val="009A5D47"/>
    <w:rsid w:val="009B0D4F"/>
    <w:rsid w:val="009C62EC"/>
    <w:rsid w:val="009E48B4"/>
    <w:rsid w:val="009F2133"/>
    <w:rsid w:val="00A0753B"/>
    <w:rsid w:val="00A2318C"/>
    <w:rsid w:val="00A25A7A"/>
    <w:rsid w:val="00A25E7E"/>
    <w:rsid w:val="00A30904"/>
    <w:rsid w:val="00A32ACA"/>
    <w:rsid w:val="00A35F09"/>
    <w:rsid w:val="00A37BA8"/>
    <w:rsid w:val="00A65765"/>
    <w:rsid w:val="00A91EE5"/>
    <w:rsid w:val="00AA0D9E"/>
    <w:rsid w:val="00AA3E58"/>
    <w:rsid w:val="00AE2233"/>
    <w:rsid w:val="00AE7703"/>
    <w:rsid w:val="00AF680A"/>
    <w:rsid w:val="00AF6EB1"/>
    <w:rsid w:val="00B020EF"/>
    <w:rsid w:val="00B03601"/>
    <w:rsid w:val="00B20089"/>
    <w:rsid w:val="00B31DB4"/>
    <w:rsid w:val="00B34E10"/>
    <w:rsid w:val="00B35FC8"/>
    <w:rsid w:val="00B53FD6"/>
    <w:rsid w:val="00B6509C"/>
    <w:rsid w:val="00B71D6A"/>
    <w:rsid w:val="00B80249"/>
    <w:rsid w:val="00B9075A"/>
    <w:rsid w:val="00BA0C2B"/>
    <w:rsid w:val="00BA7AFE"/>
    <w:rsid w:val="00BB2795"/>
    <w:rsid w:val="00BB4446"/>
    <w:rsid w:val="00BD322D"/>
    <w:rsid w:val="00BE3D81"/>
    <w:rsid w:val="00BE74F4"/>
    <w:rsid w:val="00BF1666"/>
    <w:rsid w:val="00C329B0"/>
    <w:rsid w:val="00C82399"/>
    <w:rsid w:val="00C82DF0"/>
    <w:rsid w:val="00C9334E"/>
    <w:rsid w:val="00CA3525"/>
    <w:rsid w:val="00CD5159"/>
    <w:rsid w:val="00CD6856"/>
    <w:rsid w:val="00CE202F"/>
    <w:rsid w:val="00CE72C6"/>
    <w:rsid w:val="00CF5C98"/>
    <w:rsid w:val="00D11020"/>
    <w:rsid w:val="00D136DF"/>
    <w:rsid w:val="00D173AB"/>
    <w:rsid w:val="00D6101D"/>
    <w:rsid w:val="00D706F1"/>
    <w:rsid w:val="00D749F3"/>
    <w:rsid w:val="00D778EC"/>
    <w:rsid w:val="00DA7BA5"/>
    <w:rsid w:val="00DB0104"/>
    <w:rsid w:val="00DC7A5E"/>
    <w:rsid w:val="00E15C7D"/>
    <w:rsid w:val="00E16B9B"/>
    <w:rsid w:val="00E24AC6"/>
    <w:rsid w:val="00E7367A"/>
    <w:rsid w:val="00E866D9"/>
    <w:rsid w:val="00E96800"/>
    <w:rsid w:val="00EA1492"/>
    <w:rsid w:val="00EB319E"/>
    <w:rsid w:val="00EC3F50"/>
    <w:rsid w:val="00EF7DB3"/>
    <w:rsid w:val="00F11CEC"/>
    <w:rsid w:val="00F261D9"/>
    <w:rsid w:val="00F373BA"/>
    <w:rsid w:val="00F47E73"/>
    <w:rsid w:val="00F53B0E"/>
    <w:rsid w:val="00F65F6D"/>
    <w:rsid w:val="00F769B0"/>
    <w:rsid w:val="00FA0EDF"/>
    <w:rsid w:val="00FD1625"/>
    <w:rsid w:val="00FD7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19691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3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52E90"/>
    <w:rPr>
      <w:color w:val="0000FF"/>
      <w:u w:val="single"/>
    </w:rPr>
  </w:style>
  <w:style w:type="character" w:styleId="Emphasis">
    <w:name w:val="Emphasis"/>
    <w:basedOn w:val="DefaultParagraphFont"/>
    <w:uiPriority w:val="20"/>
    <w:qFormat/>
    <w:rsid w:val="00152E90"/>
    <w:rPr>
      <w:i/>
      <w:iCs/>
    </w:rPr>
  </w:style>
  <w:style w:type="paragraph" w:styleId="ListParagraph">
    <w:name w:val="List Paragraph"/>
    <w:basedOn w:val="Normal"/>
    <w:uiPriority w:val="34"/>
    <w:qFormat/>
    <w:rsid w:val="00D136DF"/>
    <w:pPr>
      <w:ind w:left="720"/>
      <w:contextualSpacing/>
    </w:pPr>
  </w:style>
  <w:style w:type="paragraph" w:styleId="BalloonText">
    <w:name w:val="Balloon Text"/>
    <w:basedOn w:val="Normal"/>
    <w:link w:val="BalloonTextChar"/>
    <w:uiPriority w:val="99"/>
    <w:semiHidden/>
    <w:unhideWhenUsed/>
    <w:rsid w:val="00076DD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6DD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47E73"/>
    <w:rPr>
      <w:sz w:val="16"/>
      <w:szCs w:val="16"/>
    </w:rPr>
  </w:style>
  <w:style w:type="paragraph" w:styleId="CommentText">
    <w:name w:val="annotation text"/>
    <w:basedOn w:val="Normal"/>
    <w:link w:val="CommentTextChar"/>
    <w:uiPriority w:val="99"/>
    <w:semiHidden/>
    <w:unhideWhenUsed/>
    <w:rsid w:val="00F47E73"/>
    <w:rPr>
      <w:sz w:val="20"/>
      <w:szCs w:val="20"/>
    </w:rPr>
  </w:style>
  <w:style w:type="character" w:customStyle="1" w:styleId="CommentTextChar">
    <w:name w:val="Comment Text Char"/>
    <w:basedOn w:val="DefaultParagraphFont"/>
    <w:link w:val="CommentText"/>
    <w:uiPriority w:val="99"/>
    <w:semiHidden/>
    <w:rsid w:val="00F47E73"/>
    <w:rPr>
      <w:sz w:val="20"/>
      <w:szCs w:val="20"/>
    </w:rPr>
  </w:style>
  <w:style w:type="paragraph" w:styleId="CommentSubject">
    <w:name w:val="annotation subject"/>
    <w:basedOn w:val="CommentText"/>
    <w:next w:val="CommentText"/>
    <w:link w:val="CommentSubjectChar"/>
    <w:uiPriority w:val="99"/>
    <w:semiHidden/>
    <w:unhideWhenUsed/>
    <w:rsid w:val="00F47E73"/>
    <w:rPr>
      <w:b/>
      <w:bCs/>
    </w:rPr>
  </w:style>
  <w:style w:type="character" w:customStyle="1" w:styleId="CommentSubjectChar">
    <w:name w:val="Comment Subject Char"/>
    <w:basedOn w:val="CommentTextChar"/>
    <w:link w:val="CommentSubject"/>
    <w:uiPriority w:val="99"/>
    <w:semiHidden/>
    <w:rsid w:val="00F47E73"/>
    <w:rPr>
      <w:b/>
      <w:bCs/>
      <w:sz w:val="20"/>
      <w:szCs w:val="20"/>
    </w:rPr>
  </w:style>
  <w:style w:type="paragraph" w:styleId="Header">
    <w:name w:val="header"/>
    <w:basedOn w:val="Normal"/>
    <w:link w:val="HeaderChar"/>
    <w:uiPriority w:val="99"/>
    <w:unhideWhenUsed/>
    <w:rsid w:val="0044727B"/>
    <w:pPr>
      <w:tabs>
        <w:tab w:val="center" w:pos="4513"/>
        <w:tab w:val="right" w:pos="9026"/>
      </w:tabs>
    </w:pPr>
  </w:style>
  <w:style w:type="character" w:customStyle="1" w:styleId="HeaderChar">
    <w:name w:val="Header Char"/>
    <w:basedOn w:val="DefaultParagraphFont"/>
    <w:link w:val="Header"/>
    <w:uiPriority w:val="99"/>
    <w:rsid w:val="0044727B"/>
  </w:style>
  <w:style w:type="paragraph" w:styleId="Footer">
    <w:name w:val="footer"/>
    <w:basedOn w:val="Normal"/>
    <w:link w:val="FooterChar"/>
    <w:uiPriority w:val="99"/>
    <w:unhideWhenUsed/>
    <w:rsid w:val="0044727B"/>
    <w:pPr>
      <w:tabs>
        <w:tab w:val="center" w:pos="4513"/>
        <w:tab w:val="right" w:pos="9026"/>
      </w:tabs>
    </w:pPr>
  </w:style>
  <w:style w:type="character" w:customStyle="1" w:styleId="FooterChar">
    <w:name w:val="Footer Char"/>
    <w:basedOn w:val="DefaultParagraphFont"/>
    <w:link w:val="Footer"/>
    <w:uiPriority w:val="99"/>
    <w:rsid w:val="0044727B"/>
  </w:style>
  <w:style w:type="paragraph" w:styleId="Title">
    <w:name w:val="Title"/>
    <w:basedOn w:val="Normal"/>
    <w:next w:val="Normal"/>
    <w:link w:val="TitleChar"/>
    <w:uiPriority w:val="10"/>
    <w:qFormat/>
    <w:rsid w:val="00AF6EB1"/>
    <w:pPr>
      <w:contextualSpacing/>
    </w:pPr>
    <w:rPr>
      <w:rFonts w:asciiTheme="majorHAnsi" w:eastAsiaTheme="majorEastAsia" w:hAnsiTheme="majorHAnsi" w:cstheme="majorBidi"/>
      <w:spacing w:val="-10"/>
      <w:kern w:val="28"/>
      <w:sz w:val="56"/>
      <w:szCs w:val="56"/>
      <w:lang w:val="en-AU"/>
    </w:rPr>
  </w:style>
  <w:style w:type="character" w:customStyle="1" w:styleId="TitleChar">
    <w:name w:val="Title Char"/>
    <w:basedOn w:val="DefaultParagraphFont"/>
    <w:link w:val="Title"/>
    <w:uiPriority w:val="10"/>
    <w:rsid w:val="00AF6EB1"/>
    <w:rPr>
      <w:rFonts w:asciiTheme="majorHAnsi" w:eastAsiaTheme="majorEastAsia" w:hAnsiTheme="majorHAnsi" w:cstheme="majorBidi"/>
      <w:spacing w:val="-10"/>
      <w:kern w:val="28"/>
      <w:sz w:val="56"/>
      <w:szCs w:val="56"/>
      <w:lang w:val="en-AU"/>
    </w:rPr>
  </w:style>
  <w:style w:type="paragraph" w:styleId="Revision">
    <w:name w:val="Revision"/>
    <w:hidden/>
    <w:uiPriority w:val="99"/>
    <w:semiHidden/>
    <w:rsid w:val="00AF6EB1"/>
  </w:style>
  <w:style w:type="paragraph" w:styleId="NormalWeb">
    <w:name w:val="Normal (Web)"/>
    <w:basedOn w:val="Normal"/>
    <w:uiPriority w:val="99"/>
    <w:semiHidden/>
    <w:unhideWhenUsed/>
    <w:rsid w:val="00D778EC"/>
    <w:pPr>
      <w:spacing w:before="100" w:beforeAutospacing="1" w:after="100" w:afterAutospacing="1"/>
    </w:pPr>
    <w:rPr>
      <w:rFonts w:ascii="Times New Roman" w:eastAsia="Times New Roman" w:hAnsi="Times New Roman"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8434">
      <w:bodyDiv w:val="1"/>
      <w:marLeft w:val="0"/>
      <w:marRight w:val="0"/>
      <w:marTop w:val="0"/>
      <w:marBottom w:val="0"/>
      <w:divBdr>
        <w:top w:val="none" w:sz="0" w:space="0" w:color="auto"/>
        <w:left w:val="none" w:sz="0" w:space="0" w:color="auto"/>
        <w:bottom w:val="none" w:sz="0" w:space="0" w:color="auto"/>
        <w:right w:val="none" w:sz="0" w:space="0" w:color="auto"/>
      </w:divBdr>
    </w:div>
    <w:div w:id="339740244">
      <w:bodyDiv w:val="1"/>
      <w:marLeft w:val="0"/>
      <w:marRight w:val="0"/>
      <w:marTop w:val="0"/>
      <w:marBottom w:val="0"/>
      <w:divBdr>
        <w:top w:val="none" w:sz="0" w:space="0" w:color="auto"/>
        <w:left w:val="none" w:sz="0" w:space="0" w:color="auto"/>
        <w:bottom w:val="none" w:sz="0" w:space="0" w:color="auto"/>
        <w:right w:val="none" w:sz="0" w:space="0" w:color="auto"/>
      </w:divBdr>
    </w:div>
    <w:div w:id="421881621">
      <w:bodyDiv w:val="1"/>
      <w:marLeft w:val="0"/>
      <w:marRight w:val="0"/>
      <w:marTop w:val="0"/>
      <w:marBottom w:val="0"/>
      <w:divBdr>
        <w:top w:val="none" w:sz="0" w:space="0" w:color="auto"/>
        <w:left w:val="none" w:sz="0" w:space="0" w:color="auto"/>
        <w:bottom w:val="none" w:sz="0" w:space="0" w:color="auto"/>
        <w:right w:val="none" w:sz="0" w:space="0" w:color="auto"/>
      </w:divBdr>
    </w:div>
    <w:div w:id="749231862">
      <w:bodyDiv w:val="1"/>
      <w:marLeft w:val="0"/>
      <w:marRight w:val="0"/>
      <w:marTop w:val="0"/>
      <w:marBottom w:val="0"/>
      <w:divBdr>
        <w:top w:val="none" w:sz="0" w:space="0" w:color="auto"/>
        <w:left w:val="none" w:sz="0" w:space="0" w:color="auto"/>
        <w:bottom w:val="none" w:sz="0" w:space="0" w:color="auto"/>
        <w:right w:val="none" w:sz="0" w:space="0" w:color="auto"/>
      </w:divBdr>
    </w:div>
    <w:div w:id="779566995">
      <w:bodyDiv w:val="1"/>
      <w:marLeft w:val="0"/>
      <w:marRight w:val="0"/>
      <w:marTop w:val="0"/>
      <w:marBottom w:val="0"/>
      <w:divBdr>
        <w:top w:val="none" w:sz="0" w:space="0" w:color="auto"/>
        <w:left w:val="none" w:sz="0" w:space="0" w:color="auto"/>
        <w:bottom w:val="none" w:sz="0" w:space="0" w:color="auto"/>
        <w:right w:val="none" w:sz="0" w:space="0" w:color="auto"/>
      </w:divBdr>
    </w:div>
    <w:div w:id="780808784">
      <w:bodyDiv w:val="1"/>
      <w:marLeft w:val="0"/>
      <w:marRight w:val="0"/>
      <w:marTop w:val="0"/>
      <w:marBottom w:val="0"/>
      <w:divBdr>
        <w:top w:val="none" w:sz="0" w:space="0" w:color="auto"/>
        <w:left w:val="none" w:sz="0" w:space="0" w:color="auto"/>
        <w:bottom w:val="none" w:sz="0" w:space="0" w:color="auto"/>
        <w:right w:val="none" w:sz="0" w:space="0" w:color="auto"/>
      </w:divBdr>
    </w:div>
    <w:div w:id="1024552092">
      <w:bodyDiv w:val="1"/>
      <w:marLeft w:val="0"/>
      <w:marRight w:val="0"/>
      <w:marTop w:val="0"/>
      <w:marBottom w:val="0"/>
      <w:divBdr>
        <w:top w:val="none" w:sz="0" w:space="0" w:color="auto"/>
        <w:left w:val="none" w:sz="0" w:space="0" w:color="auto"/>
        <w:bottom w:val="none" w:sz="0" w:space="0" w:color="auto"/>
        <w:right w:val="none" w:sz="0" w:space="0" w:color="auto"/>
      </w:divBdr>
    </w:div>
    <w:div w:id="1245649049">
      <w:bodyDiv w:val="1"/>
      <w:marLeft w:val="0"/>
      <w:marRight w:val="0"/>
      <w:marTop w:val="0"/>
      <w:marBottom w:val="0"/>
      <w:divBdr>
        <w:top w:val="none" w:sz="0" w:space="0" w:color="auto"/>
        <w:left w:val="none" w:sz="0" w:space="0" w:color="auto"/>
        <w:bottom w:val="none" w:sz="0" w:space="0" w:color="auto"/>
        <w:right w:val="none" w:sz="0" w:space="0" w:color="auto"/>
      </w:divBdr>
    </w:div>
    <w:div w:id="13403470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372790E2-3BC6-4060-AD6B-9922A7C4FC9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Description="Create a new document." ma:contentTypeID="0x01010066D7717B5E75A749B52A2A1ED9FAFC2F" ma:contentTypeName="Document" ma:contentTypeScope="" ma:contentTypeVersion="13" ma:versionID="37e6c51bb9cbd607b56572f25a6d8d3b">
  <xsd:schema xmlns:xsd="http://www.w3.org/2001/XMLSchema" xmlns:ns3="7fe9b2ad-a624-4b84-b8ab-2d334fee27a1" xmlns:ns4="8a6433de-a4a2-468c-83d4-ad14dac3724d" xmlns:p="http://schemas.microsoft.com/office/2006/metadata/properties" xmlns:xs="http://www.w3.org/2001/XMLSchema" ma:fieldsID="c3e99bdd5658860acbeb4de4ab3078b7" ma:root="true" ns3:_="" ns4:_="" targetNamespace="http://schemas.microsoft.com/office/2006/metadata/properties">
    <xsd:import namespace="7fe9b2ad-a624-4b84-b8ab-2d334fee27a1"/>
    <xsd:import namespace="8a6433de-a4a2-468c-83d4-ad14dac3724d"/>
    <xsd:element name="properties">
      <xsd:complexType>
        <xsd:sequence>
          <xsd:element name="documentManagement">
            <xsd:complexType>
              <xsd:all>
                <xsd:element minOccurs="0" ref="ns3:MediaServiceMetadata"/>
                <xsd:element minOccurs="0" ref="ns3:MediaServiceFastMetadata"/>
                <xsd:element minOccurs="0" ref="ns3:MediaServiceDateTaken"/>
                <xsd:element minOccurs="0" ref="ns3:MediaServiceAutoTags"/>
                <xsd:element minOccurs="0" ref="ns4:SharedWithUsers"/>
                <xsd:element minOccurs="0" ref="ns4:SharedWithDetails"/>
                <xsd:element minOccurs="0" ref="ns4:SharingHintHash"/>
                <xsd:element minOccurs="0" ref="ns3:MediaServiceOCR"/>
                <xsd:element minOccurs="0" ref="ns3:MediaServiceLocation"/>
                <xsd:element minOccurs="0" ref="ns3:MediaServiceGenerationTime"/>
                <xsd:element minOccurs="0" ref="ns3:MediaServiceEventHashCode"/>
                <xsd:element minOccurs="0" ref="ns3:MediaServiceAutoKeyPoints"/>
                <xsd:element minOccurs="0" ref="ns3:MediaServiceKeyPoint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7fe9b2ad-a624-4b84-b8ab-2d334fee27a1">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MediaServiceDateTaken" ma:hidden="true" ma:index="10" ma:internalName="MediaServiceDateTaken" ma:readOnly="true" name="MediaServiceDateTaken" nillable="true">
      <xsd:simpleType>
        <xsd:restriction base="dms:Text"/>
      </xsd:simpleType>
    </xsd:element>
    <xsd:element ma:displayName="MediaServiceAutoTags" ma:index="11" ma:internalName="MediaServiceAutoTags" ma:readOnly="true" name="MediaServiceAutoTags" nillable="true">
      <xsd:simpleType>
        <xsd:restriction base="dms:Text"/>
      </xsd:simpleType>
    </xsd:element>
    <xsd:element ma:displayName="MediaServiceOCR" ma:index="15" ma:internalName="MediaServiceOCR" ma:readOnly="true" name="MediaServiceOCR" nillable="true">
      <xsd:simpleType>
        <xsd:restriction base="dms:Note">
          <xsd:maxLength value="255"/>
        </xsd:restriction>
      </xsd:simpleType>
    </xsd:element>
    <xsd:element ma:displayName="Location" ma:index="16" ma:internalName="MediaServiceLocation" ma:readOnly="true" name="MediaServiceLocation" nillable="true">
      <xsd:simpleType>
        <xsd:restriction base="dms:Text"/>
      </xsd:simpleType>
    </xsd:element>
    <xsd:element ma:displayName="MediaServiceGenerationTime" ma:hidden="true" ma:index="17" ma:internalName="MediaServiceGenerationTime" ma:readOnly="true" name="MediaServiceGenerationTime" nillable="true">
      <xsd:simpleType>
        <xsd:restriction base="dms:Text"/>
      </xsd:simpleType>
    </xsd:element>
    <xsd:element ma:displayName="MediaServiceEventHashCode" ma:hidden="true" ma:index="18" ma:internalName="MediaServiceEventHashCode" ma:readOnly="true" name="MediaServiceEventHashCode" nillable="true">
      <xsd:simpleType>
        <xsd:restriction base="dms:Text"/>
      </xsd:simpleType>
    </xsd:element>
    <xsd:element ma:displayName="MediaServiceAutoKeyPoints" ma:hidden="true" ma:index="19" ma:internalName="MediaServiceAutoKeyPoints" ma:readOnly="true" name="MediaServiceAutoKeyPoints" nillable="true">
      <xsd:simpleType>
        <xsd:restriction base="dms:Note"/>
      </xsd:simpleType>
    </xsd:element>
    <xsd:element ma:displayName="KeyPoints" ma:index="20" ma:internalName="MediaServiceKeyPoints" ma:readOnly="true" name="MediaServiceKeyPoints" nillable="true">
      <xsd:simpleType>
        <xsd:restriction base="dms:Note">
          <xsd:maxLength value="255"/>
        </xsd:restrictio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8a6433de-a4a2-468c-83d4-ad14dac3724d">
    <xsd:import namespace="http://schemas.microsoft.com/office/2006/documentManagement/types"/>
    <xsd:import namespace="http://schemas.microsoft.com/office/infopath/2007/PartnerControls"/>
    <xsd:element ma:displayName="Shared With" ma:index="12"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13" ma:internalName="SharedWithDetails" ma:readOnly="true" name="SharedWithDetails" nillable="true">
      <xsd:simpleType>
        <xsd:restriction base="dms:Note">
          <xsd:maxLength value="255"/>
        </xsd:restriction>
      </xsd:simpleType>
    </xsd:element>
    <xsd:element ma:displayName="Sharing Hint Hash" ma:hidden="true" ma:index="14" ma:internalName="SharingHintHash" ma:readOnly="true" name="SharingHintHash" nillable="true">
      <xsd:simpleType>
        <xsd:restriction base="dms:Text"/>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1EE78B12-7029-4464-A568-433A64F4786C}">
  <ds:schemaRef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8a6433de-a4a2-468c-83d4-ad14dac3724d"/>
    <ds:schemaRef ds:uri="7fe9b2ad-a624-4b84-b8ab-2d334fee27a1"/>
    <ds:schemaRef ds:uri="http://www.w3.org/XML/1998/namespace"/>
  </ds:schemaRefs>
</ds:datastoreItem>
</file>

<file path=customXml/itemProps2.xml><?xml version="1.0" encoding="utf-8"?>
<ds:datastoreItem xmlns:ds="http://schemas.openxmlformats.org/officeDocument/2006/customXml" ds:itemID="{8D1145E5-3465-44AA-B05A-5B3262EF5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9b2ad-a624-4b84-b8ab-2d334fee27a1"/>
    <ds:schemaRef ds:uri="8a6433de-a4a2-468c-83d4-ad14dac37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A6F18D-BA17-4032-ADDF-B5B11AB5BD96}">
  <ds:schemaRefs>
    <ds:schemaRef ds:uri="http://schemas.microsoft.com/sharepoint/v3/contenttype/forms"/>
  </ds:schemaRefs>
</ds:datastoreItem>
</file>

<file path=customXml/itemProps4.xml><?xml version="1.0" encoding="utf-8"?>
<ds:datastoreItem xmlns:ds="http://schemas.openxmlformats.org/officeDocument/2006/customXml" ds:itemID="{F5F62000-1F0F-4BFA-B960-27ED73C3FA95}">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813</Words>
  <Characters>4637</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Laboratory Network Statement on Asymptomatic Testing for SARS-CoV-2</dc:title>
  <dc:subject/>
  <dc:creator>Australian Government Department of Health</dc:creator>
  <cp:keywords/>
  <dc:description/>
  <cp:lastPrinted>2020-07-22T02:16:00Z</cp:lastPrinted>
  <dcterms:created xsi:type="dcterms:W3CDTF">2020-07-30T11:34:00Z</dcterms:created>
  <dcterms:modified xsi:type="dcterms:W3CDTF">2020-08-07T04:19:00Z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0x01010066D7717B5E75A749B52A2A1ED9FAFC2F</vt:lpwstr>
  </property>
</Properties>
</file>