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FCE" w:rsidRDefault="005F6FCE" w:rsidP="009B66C3">
      <w:pPr>
        <w:jc w:val="center"/>
        <w:rPr>
          <w:b/>
          <w:bCs/>
        </w:rPr>
      </w:pPr>
      <w:r>
        <w:rPr>
          <w:b/>
          <w:bCs/>
          <w:noProof/>
          <w:lang w:eastAsia="en-AU"/>
        </w:rPr>
        <w:drawing>
          <wp:anchor distT="0" distB="0" distL="114300" distR="114300" simplePos="0" relativeHeight="251658240" behindDoc="1" locked="0" layoutInCell="1" allowOverlap="1" wp14:anchorId="377DBBDF" wp14:editId="393AC3DE">
            <wp:simplePos x="0" y="0"/>
            <wp:positionH relativeFrom="page">
              <wp:align>left</wp:align>
            </wp:positionH>
            <wp:positionV relativeFrom="page">
              <wp:align>top</wp:align>
            </wp:positionV>
            <wp:extent cx="7560000" cy="10692000"/>
            <wp:effectExtent l="0" t="0" r="3175" b="0"/>
            <wp:wrapTight wrapText="bothSides">
              <wp:wrapPolygon edited="0">
                <wp:start x="0" y="0"/>
                <wp:lineTo x="0" y="21553"/>
                <wp:lineTo x="21555" y="21553"/>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307 - Remote Communities HCW Report Template V2 - Fro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DB411F" w:rsidRPr="00AF2BD1" w:rsidRDefault="000F61F1" w:rsidP="00AF2BD1">
      <w:pPr>
        <w:pStyle w:val="Subtitle"/>
      </w:pPr>
      <w:r w:rsidRPr="00AF2BD1">
        <w:t>Re</w:t>
      </w:r>
      <w:r w:rsidR="00C3749C" w:rsidRPr="00AF2BD1">
        <w:t>gional and re</w:t>
      </w:r>
      <w:r w:rsidRPr="00AF2BD1">
        <w:t xml:space="preserve">mote </w:t>
      </w:r>
      <w:r w:rsidR="003C2FDD" w:rsidRPr="00AF2BD1">
        <w:t xml:space="preserve">Indigenous </w:t>
      </w:r>
      <w:r w:rsidR="00C3749C" w:rsidRPr="00AF2BD1">
        <w:t xml:space="preserve">Australian </w:t>
      </w:r>
      <w:r w:rsidRPr="00AF2BD1">
        <w:t xml:space="preserve">communities </w:t>
      </w:r>
      <w:r w:rsidR="003C2FDD" w:rsidRPr="00AF2BD1">
        <w:t>have the potential to be severely impacted by COVID-19 outbreaks</w:t>
      </w:r>
      <w:r w:rsidRPr="00AF2BD1">
        <w:t>.</w:t>
      </w:r>
      <w:r w:rsidR="003C2FDD" w:rsidRPr="00AF2BD1">
        <w:t xml:space="preserve"> Our</w:t>
      </w:r>
      <w:r w:rsidRPr="00AF2BD1">
        <w:t xml:space="preserve"> modelling </w:t>
      </w:r>
      <w:r w:rsidR="003C2FDD" w:rsidRPr="00AF2BD1">
        <w:t>aims to help inform responses by examining a range</w:t>
      </w:r>
      <w:r w:rsidRPr="00AF2BD1">
        <w:t xml:space="preserve"> </w:t>
      </w:r>
      <w:r w:rsidR="003C2FDD" w:rsidRPr="00AF2BD1">
        <w:t>of scenarios for disease transmission, case finding, quarantine, testing and lockdown</w:t>
      </w:r>
      <w:r w:rsidRPr="00AF2BD1">
        <w:t xml:space="preserve">. </w:t>
      </w:r>
    </w:p>
    <w:p w:rsidR="000D5E5B" w:rsidRPr="000D5E5B" w:rsidRDefault="00DB411F" w:rsidP="00FE63DA">
      <w:pPr>
        <w:pStyle w:val="Heading1"/>
      </w:pPr>
      <w:r w:rsidRPr="008C002E">
        <w:t>Key messages:</w:t>
      </w:r>
    </w:p>
    <w:p w:rsidR="000D5E5B" w:rsidRPr="004F355D" w:rsidRDefault="000D5E5B" w:rsidP="00FE63DA">
      <w:pPr>
        <w:pStyle w:val="ListParagraph"/>
        <w:rPr>
          <w:rFonts w:cs="Arial"/>
          <w:color w:val="000000"/>
        </w:rPr>
      </w:pPr>
      <w:r w:rsidRPr="004F355D">
        <w:rPr>
          <w:rFonts w:cs="Arial"/>
        </w:rPr>
        <w:t>An uncontained outbreak in a remote community of 1,000 people will spread rapidly, due to overcrowded housing, close mixing in groups, and between interconnected households.</w:t>
      </w:r>
    </w:p>
    <w:p w:rsidR="000D5E5B" w:rsidRPr="004F355D" w:rsidRDefault="000D5E5B" w:rsidP="00FE63DA">
      <w:pPr>
        <w:pStyle w:val="ListParagraph"/>
        <w:rPr>
          <w:rFonts w:cs="Arial"/>
          <w:color w:val="000000"/>
        </w:rPr>
      </w:pPr>
      <w:r w:rsidRPr="004F355D">
        <w:rPr>
          <w:rFonts w:cs="Arial"/>
        </w:rPr>
        <w:t xml:space="preserve">Early case detection and prompt response are crucial, as it is likely that multiple secondary cases will be present in the community by the time a single index case </w:t>
      </w:r>
      <w:r w:rsidR="000B6290">
        <w:rPr>
          <w:rFonts w:cs="Arial"/>
        </w:rPr>
        <w:br/>
      </w:r>
      <w:r w:rsidRPr="004F355D">
        <w:rPr>
          <w:rFonts w:cs="Arial"/>
        </w:rPr>
        <w:t>is identified.</w:t>
      </w:r>
    </w:p>
    <w:p w:rsidR="000D5E5B" w:rsidRPr="004F355D" w:rsidRDefault="000D5E5B" w:rsidP="00FE63DA">
      <w:pPr>
        <w:pStyle w:val="ListParagraph"/>
        <w:rPr>
          <w:rFonts w:cs="Arial"/>
          <w:color w:val="000000"/>
        </w:rPr>
      </w:pPr>
      <w:r w:rsidRPr="004F355D">
        <w:rPr>
          <w:rFonts w:cs="Arial"/>
          <w:color w:val="000000"/>
        </w:rPr>
        <w:t xml:space="preserve">Extensive quarantine of close contacts defined by extended household membership can constrain the initial (2 month) outbreak </w:t>
      </w:r>
      <w:r w:rsidRPr="004F355D">
        <w:rPr>
          <w:rFonts w:cs="Arial"/>
          <w:b/>
          <w:bCs/>
          <w:color w:val="000000"/>
        </w:rPr>
        <w:t>reducing peak infection prevalence from 60-70% to around 10%</w:t>
      </w:r>
      <w:r w:rsidRPr="004F355D">
        <w:rPr>
          <w:rFonts w:cs="Arial"/>
          <w:color w:val="000000"/>
        </w:rPr>
        <w:t xml:space="preserve">. However, infections resurge when community mixing resumes and the </w:t>
      </w:r>
      <w:r w:rsidRPr="004F355D">
        <w:rPr>
          <w:rFonts w:cs="Arial"/>
          <w:b/>
          <w:bCs/>
          <w:color w:val="000000"/>
        </w:rPr>
        <w:t>overall community attack rate over a period of several months exceeds 80%</w:t>
      </w:r>
      <w:r w:rsidRPr="004F355D">
        <w:rPr>
          <w:rFonts w:cs="Arial"/>
          <w:color w:val="000000"/>
        </w:rPr>
        <w:t xml:space="preserve"> in modelled scenarios.</w:t>
      </w:r>
    </w:p>
    <w:p w:rsidR="000D5E5B" w:rsidRPr="004F355D" w:rsidRDefault="00901F3B" w:rsidP="00FE63DA">
      <w:pPr>
        <w:pStyle w:val="ListParagraph"/>
        <w:rPr>
          <w:rFonts w:cs="Arial"/>
          <w:color w:val="000000"/>
        </w:rPr>
      </w:pPr>
      <w:r w:rsidRPr="004F355D">
        <w:rPr>
          <w:rFonts w:cs="Arial"/>
          <w:color w:val="000000"/>
        </w:rPr>
        <w:t xml:space="preserve">It is reasonably anticipated that a proportion of cases will not present for testing either because of mild symptoms, no symptoms, or fear/stigma. Routine testing of all individuals on entry and exit from quarantine in this context, as recommended in national guidelines, </w:t>
      </w:r>
      <w:r w:rsidR="003B6BCB" w:rsidRPr="004F355D">
        <w:rPr>
          <w:rFonts w:cs="Arial"/>
          <w:color w:val="000000"/>
        </w:rPr>
        <w:t xml:space="preserve">assists case finding and </w:t>
      </w:r>
      <w:r w:rsidRPr="004F355D">
        <w:rPr>
          <w:rFonts w:cs="Arial"/>
          <w:color w:val="000000"/>
        </w:rPr>
        <w:t>reduces the risk of ongoing infections in the community.</w:t>
      </w:r>
    </w:p>
    <w:p w:rsidR="000D5E5B" w:rsidRPr="004F355D" w:rsidRDefault="00901F3B" w:rsidP="00FE63DA">
      <w:pPr>
        <w:pStyle w:val="ListParagraph"/>
        <w:rPr>
          <w:rFonts w:cs="Arial"/>
          <w:color w:val="000000"/>
        </w:rPr>
      </w:pPr>
      <w:r w:rsidRPr="004F355D">
        <w:rPr>
          <w:rFonts w:cs="Arial"/>
          <w:color w:val="000000"/>
        </w:rPr>
        <w:t xml:space="preserve">In addition to the above measures, lockdown of non-quarantined households for </w:t>
      </w:r>
      <w:r w:rsidR="00F5552A">
        <w:rPr>
          <w:rFonts w:cs="Arial"/>
          <w:color w:val="000000"/>
        </w:rPr>
        <w:br/>
      </w:r>
      <w:r w:rsidRPr="004F355D">
        <w:rPr>
          <w:rFonts w:cs="Arial"/>
          <w:color w:val="000000"/>
        </w:rPr>
        <w:t>14 days in community is a highly effective strategy for epidemic control</w:t>
      </w:r>
      <w:r w:rsidR="008B765A" w:rsidRPr="004F355D">
        <w:rPr>
          <w:rFonts w:cs="Arial"/>
          <w:color w:val="000000"/>
        </w:rPr>
        <w:t xml:space="preserve"> </w:t>
      </w:r>
      <w:r w:rsidRPr="004F355D">
        <w:rPr>
          <w:rFonts w:cs="Arial"/>
          <w:color w:val="000000"/>
        </w:rPr>
        <w:t>and reduces overall testing requirements by limiting the likelihood of successive waves of infection</w:t>
      </w:r>
      <w:r w:rsidR="00CD2D70" w:rsidRPr="004F355D">
        <w:rPr>
          <w:rFonts w:cs="Arial"/>
          <w:color w:val="000000"/>
        </w:rPr>
        <w:t>, even if there is a delay of several days to initial response</w:t>
      </w:r>
      <w:r w:rsidRPr="004F355D">
        <w:rPr>
          <w:rFonts w:cs="Arial"/>
          <w:color w:val="000000"/>
        </w:rPr>
        <w:t xml:space="preserve">. </w:t>
      </w:r>
      <w:r w:rsidR="00F5552A">
        <w:rPr>
          <w:rFonts w:cs="Arial"/>
          <w:color w:val="000000"/>
        </w:rPr>
        <w:br/>
      </w:r>
      <w:r w:rsidR="005E184A" w:rsidRPr="004F355D">
        <w:rPr>
          <w:rFonts w:cs="Arial"/>
          <w:b/>
          <w:bCs/>
          <w:color w:val="000000"/>
        </w:rPr>
        <w:t>Peak prevalence of the initial (1 month) outbreak can be constrained to less than 5%, and the final attack rate to less than 10%</w:t>
      </w:r>
      <w:r w:rsidR="005E184A" w:rsidRPr="004F355D">
        <w:rPr>
          <w:rFonts w:cs="Arial"/>
          <w:color w:val="000000"/>
        </w:rPr>
        <w:t xml:space="preserve"> in modelled scenarios.</w:t>
      </w:r>
    </w:p>
    <w:p w:rsidR="000D5E5B" w:rsidRPr="004F355D" w:rsidRDefault="00901F3B" w:rsidP="00FE63DA">
      <w:pPr>
        <w:pStyle w:val="ListParagraph"/>
        <w:rPr>
          <w:rFonts w:cs="Arial"/>
          <w:b/>
          <w:bCs/>
          <w:color w:val="201F1E"/>
        </w:rPr>
      </w:pPr>
      <w:r w:rsidRPr="004F355D">
        <w:rPr>
          <w:rFonts w:cs="Arial"/>
          <w:b/>
          <w:bCs/>
          <w:color w:val="000000"/>
          <w:bdr w:val="none" w:sz="0" w:space="0" w:color="auto" w:frame="1"/>
        </w:rPr>
        <w:t xml:space="preserve">Compliance </w:t>
      </w:r>
      <w:r w:rsidR="00292F52" w:rsidRPr="004F355D">
        <w:rPr>
          <w:rFonts w:cs="Arial"/>
          <w:b/>
          <w:bCs/>
          <w:color w:val="000000"/>
          <w:bdr w:val="none" w:sz="0" w:space="0" w:color="auto" w:frame="1"/>
        </w:rPr>
        <w:t xml:space="preserve">with lockdown </w:t>
      </w:r>
      <w:r w:rsidRPr="004F355D">
        <w:rPr>
          <w:rFonts w:cs="Arial"/>
          <w:b/>
          <w:bCs/>
          <w:color w:val="000000"/>
          <w:bdr w:val="none" w:sz="0" w:space="0" w:color="auto" w:frame="1"/>
        </w:rPr>
        <w:t>must be at least 80-90% however, or epidemic control will be lost</w:t>
      </w:r>
      <w:r w:rsidR="00292F52" w:rsidRPr="004F355D">
        <w:rPr>
          <w:rFonts w:cs="Arial"/>
          <w:b/>
          <w:bCs/>
          <w:color w:val="000000"/>
          <w:bdr w:val="none" w:sz="0" w:space="0" w:color="auto" w:frame="1"/>
        </w:rPr>
        <w:t>,</w:t>
      </w:r>
      <w:r w:rsidRPr="004F355D">
        <w:rPr>
          <w:rFonts w:cs="Arial"/>
          <w:b/>
          <w:bCs/>
          <w:color w:val="000000"/>
          <w:bdr w:val="none" w:sz="0" w:space="0" w:color="auto" w:frame="1"/>
        </w:rPr>
        <w:t xml:space="preserve"> with almost no benefit observed </w:t>
      </w:r>
      <w:r w:rsidR="00FC7167" w:rsidRPr="004F355D">
        <w:rPr>
          <w:rFonts w:cs="Arial"/>
          <w:b/>
          <w:bCs/>
          <w:color w:val="000000"/>
          <w:bdr w:val="none" w:sz="0" w:space="0" w:color="auto" w:frame="1"/>
        </w:rPr>
        <w:t xml:space="preserve">at lower levels </w:t>
      </w:r>
      <w:r w:rsidR="00F5552A">
        <w:rPr>
          <w:rFonts w:cs="Arial"/>
          <w:b/>
          <w:bCs/>
          <w:color w:val="000000"/>
          <w:bdr w:val="none" w:sz="0" w:space="0" w:color="auto" w:frame="1"/>
        </w:rPr>
        <w:br/>
      </w:r>
      <w:r w:rsidR="00FC7167" w:rsidRPr="004F355D">
        <w:rPr>
          <w:rFonts w:cs="Arial"/>
          <w:b/>
          <w:bCs/>
          <w:color w:val="000000"/>
          <w:bdr w:val="none" w:sz="0" w:space="0" w:color="auto" w:frame="1"/>
        </w:rPr>
        <w:t>of compliance</w:t>
      </w:r>
      <w:r w:rsidR="008B765A" w:rsidRPr="004F355D">
        <w:rPr>
          <w:rFonts w:cs="Arial"/>
          <w:b/>
          <w:bCs/>
          <w:color w:val="201F1E"/>
        </w:rPr>
        <w:t>.</w:t>
      </w:r>
    </w:p>
    <w:p w:rsidR="005E184A" w:rsidRPr="004F355D" w:rsidRDefault="005E184A" w:rsidP="00FE63DA">
      <w:pPr>
        <w:pStyle w:val="ListParagraph"/>
        <w:rPr>
          <w:rFonts w:cs="Arial"/>
          <w:color w:val="000000"/>
        </w:rPr>
      </w:pPr>
      <w:r w:rsidRPr="004F355D">
        <w:rPr>
          <w:rFonts w:cs="Arial"/>
          <w:color w:val="201F1E"/>
        </w:rPr>
        <w:t>The benefits of lockdown are greatest in communities of 1,000 or more people but are still observed in communities of size 500. In smaller communities of 100 people, a large proportion of the population is likely to be interconnected through household membership and placed into quarantine as part of initial response, minimising additional impacts of lockdown.</w:t>
      </w:r>
    </w:p>
    <w:p w:rsidR="000D5E5B" w:rsidRDefault="000D5E5B">
      <w:pPr>
        <w:rPr>
          <w:b/>
          <w:bCs/>
          <w:u w:val="single"/>
        </w:rPr>
      </w:pPr>
      <w:r>
        <w:rPr>
          <w:b/>
          <w:bCs/>
          <w:u w:val="single"/>
        </w:rPr>
        <w:br w:type="page"/>
      </w:r>
    </w:p>
    <w:p w:rsidR="00421B3E" w:rsidRDefault="00421B3E" w:rsidP="00AF2BD1">
      <w:pPr>
        <w:pStyle w:val="Heading1"/>
      </w:pPr>
      <w:r w:rsidRPr="00BE0B1B">
        <w:t>Model findings</w:t>
      </w:r>
      <w:r w:rsidR="00904E35">
        <w:t xml:space="preserve"> </w:t>
      </w:r>
    </w:p>
    <w:p w:rsidR="007108EA" w:rsidRPr="008536CC" w:rsidRDefault="00C3749C" w:rsidP="00AF2BD1">
      <w:pPr>
        <w:pStyle w:val="Heading2"/>
        <w:rPr>
          <w:b/>
        </w:rPr>
      </w:pPr>
      <w:r w:rsidRPr="008536CC">
        <w:t>Importance</w:t>
      </w:r>
      <w:r w:rsidR="00B24366" w:rsidRPr="008536CC">
        <w:t xml:space="preserve"> of </w:t>
      </w:r>
      <w:r w:rsidR="005168C1" w:rsidRPr="008536CC">
        <w:t>p</w:t>
      </w:r>
      <w:r w:rsidR="0021694E" w:rsidRPr="008536CC">
        <w:t>rompt</w:t>
      </w:r>
      <w:r w:rsidR="00B24366" w:rsidRPr="008536CC">
        <w:t xml:space="preserve"> </w:t>
      </w:r>
      <w:r w:rsidR="005168C1" w:rsidRPr="008536CC">
        <w:t>c</w:t>
      </w:r>
      <w:r w:rsidR="00B24366" w:rsidRPr="008536CC">
        <w:t xml:space="preserve">ase </w:t>
      </w:r>
      <w:r w:rsidR="005168C1" w:rsidRPr="008536CC">
        <w:t>f</w:t>
      </w:r>
      <w:r w:rsidR="00B24366" w:rsidRPr="008536CC">
        <w:t>inding</w:t>
      </w:r>
    </w:p>
    <w:p w:rsidR="003C7695" w:rsidRPr="004F355D" w:rsidRDefault="003B6BCB" w:rsidP="00AF2BD1">
      <w:r w:rsidRPr="004F355D">
        <w:t>We assume a scenario in which an initial case is ‘silently’ imported into a community</w:t>
      </w:r>
      <w:r w:rsidR="00C35719" w:rsidRPr="004F355D">
        <w:t xml:space="preserve"> of 100, 500, 1,000 or 3,500 people</w:t>
      </w:r>
      <w:r w:rsidRPr="004F355D">
        <w:t xml:space="preserve"> and detected on presentation to the health service. </w:t>
      </w:r>
      <w:r w:rsidR="00F5552A">
        <w:br/>
      </w:r>
      <w:r w:rsidRPr="004F355D">
        <w:t>Given the potential for infection spread in remote communities</w:t>
      </w:r>
      <w:r w:rsidR="00EC19DA" w:rsidRPr="004F355D">
        <w:t xml:space="preserve">, </w:t>
      </w:r>
      <w:r w:rsidRPr="004F355D">
        <w:t xml:space="preserve">by the time this individual is detected </w:t>
      </w:r>
      <w:r w:rsidR="00EC19DA" w:rsidRPr="004F355D">
        <w:t xml:space="preserve">the true number of </w:t>
      </w:r>
      <w:r w:rsidR="007A0616" w:rsidRPr="004F355D">
        <w:t>cases</w:t>
      </w:r>
      <w:r w:rsidR="00EC19DA" w:rsidRPr="004F355D">
        <w:t xml:space="preserve"> could be </w:t>
      </w:r>
      <w:r w:rsidR="00C3749C" w:rsidRPr="004F355D">
        <w:t>up to</w:t>
      </w:r>
      <w:r w:rsidR="00EC19DA" w:rsidRPr="004F355D">
        <w:t xml:space="preserve"> </w:t>
      </w:r>
      <w:r w:rsidR="003C7695" w:rsidRPr="004F355D">
        <w:t>ten times</w:t>
      </w:r>
      <w:r w:rsidR="00C3749C" w:rsidRPr="004F355D">
        <w:t xml:space="preserve"> </w:t>
      </w:r>
      <w:r w:rsidR="00EC19DA" w:rsidRPr="004F355D">
        <w:t>higher</w:t>
      </w:r>
      <w:r w:rsidR="002535A9" w:rsidRPr="004F355D">
        <w:t xml:space="preserve"> (see Table 1</w:t>
      </w:r>
      <w:r w:rsidR="008B765A" w:rsidRPr="004F355D">
        <w:t>, below</w:t>
      </w:r>
      <w:r w:rsidR="002535A9" w:rsidRPr="004F355D">
        <w:t>)</w:t>
      </w:r>
      <w:r w:rsidR="007A0616" w:rsidRPr="004F355D">
        <w:t xml:space="preserve">. </w:t>
      </w:r>
      <w:r w:rsidR="00317664" w:rsidRPr="004F355D">
        <w:t>This number logically increases if</w:t>
      </w:r>
      <w:r w:rsidR="00195899" w:rsidRPr="004F355D">
        <w:t xml:space="preserve"> the</w:t>
      </w:r>
      <w:r w:rsidR="00317664" w:rsidRPr="004F355D">
        <w:t xml:space="preserve"> initial response is delayed until mo</w:t>
      </w:r>
      <w:r w:rsidR="00AF2BD1" w:rsidRPr="004F355D">
        <w:t>re than one case is identified.</w:t>
      </w:r>
    </w:p>
    <w:p w:rsidR="00995030" w:rsidRPr="004F355D" w:rsidRDefault="00995030" w:rsidP="000D5E5B">
      <w:r w:rsidRPr="004F355D">
        <w:rPr>
          <w:b/>
          <w:bCs/>
          <w:i/>
          <w:iCs/>
        </w:rPr>
        <w:t>Table 1: Impact of delays to case finding.</w:t>
      </w:r>
      <w:r w:rsidRPr="004F355D">
        <w:rPr>
          <w:b/>
          <w:bCs/>
        </w:rPr>
        <w:t xml:space="preserve"> </w:t>
      </w:r>
      <w:r w:rsidRPr="004F355D">
        <w:t>Scenarios are shown for a range of community sizes (horizontal rows), reporting active case and cumulative case numbers in that community by the time the initial one, two or five cases are identified. Medians are reported, with interquartile ranges, from 100 simulations.</w:t>
      </w:r>
    </w:p>
    <w:tbl>
      <w:tblPr>
        <w:tblStyle w:val="ListTable1Light-Accent2"/>
        <w:tblW w:w="5000" w:type="pct"/>
        <w:tblLayout w:type="fixed"/>
        <w:tblLook w:val="04A0" w:firstRow="1" w:lastRow="0" w:firstColumn="1" w:lastColumn="0" w:noHBand="0" w:noVBand="1"/>
      </w:tblPr>
      <w:tblGrid>
        <w:gridCol w:w="1418"/>
        <w:gridCol w:w="1242"/>
        <w:gridCol w:w="1398"/>
        <w:gridCol w:w="1394"/>
        <w:gridCol w:w="1396"/>
        <w:gridCol w:w="1394"/>
        <w:gridCol w:w="1396"/>
      </w:tblGrid>
      <w:tr w:rsidR="00EA313F" w:rsidTr="00EA313F">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736" w:type="pct"/>
          </w:tcPr>
          <w:p w:rsidR="00EA313F" w:rsidRPr="00AF2BD1" w:rsidRDefault="00EA313F" w:rsidP="00EA313F">
            <w:pPr>
              <w:spacing w:before="0" w:after="0"/>
              <w:jc w:val="center"/>
              <w:rPr>
                <w:rStyle w:val="Emphasis"/>
              </w:rPr>
            </w:pPr>
            <w:r w:rsidRPr="00AF2BD1">
              <w:rPr>
                <w:rStyle w:val="Emphasis"/>
              </w:rPr>
              <w:t>Population</w:t>
            </w:r>
          </w:p>
          <w:p w:rsidR="00EA313F" w:rsidRPr="00AF2BD1" w:rsidRDefault="00EA313F" w:rsidP="00EA313F">
            <w:pPr>
              <w:spacing w:before="0" w:after="0"/>
              <w:jc w:val="center"/>
              <w:rPr>
                <w:rStyle w:val="Emphasis"/>
              </w:rPr>
            </w:pPr>
            <w:r w:rsidRPr="00AF2BD1">
              <w:rPr>
                <w:rStyle w:val="Emphasis"/>
              </w:rPr>
              <w:t>size</w:t>
            </w:r>
          </w:p>
        </w:tc>
        <w:tc>
          <w:tcPr>
            <w:tcW w:w="1370" w:type="pct"/>
            <w:gridSpan w:val="2"/>
            <w:vAlign w:val="center"/>
          </w:tcPr>
          <w:p w:rsidR="00EA313F" w:rsidRPr="00AF2BD1" w:rsidRDefault="00EA313F" w:rsidP="00EA313F">
            <w:pPr>
              <w:spacing w:before="0"/>
              <w:jc w:val="center"/>
              <w:cnfStyle w:val="100000000000" w:firstRow="1" w:lastRow="0" w:firstColumn="0" w:lastColumn="0" w:oddVBand="0" w:evenVBand="0" w:oddHBand="0" w:evenHBand="0" w:firstRowFirstColumn="0" w:firstRowLastColumn="0" w:lastRowFirstColumn="0" w:lastRowLastColumn="0"/>
              <w:rPr>
                <w:rStyle w:val="Emphasis"/>
              </w:rPr>
            </w:pPr>
            <w:r w:rsidRPr="00AF2BD1">
              <w:rPr>
                <w:rStyle w:val="Emphasis"/>
              </w:rPr>
              <w:t>One case identified</w:t>
            </w:r>
          </w:p>
        </w:tc>
        <w:tc>
          <w:tcPr>
            <w:tcW w:w="1447" w:type="pct"/>
            <w:gridSpan w:val="2"/>
            <w:vAlign w:val="center"/>
          </w:tcPr>
          <w:p w:rsidR="00EA313F" w:rsidRPr="00AF2BD1" w:rsidRDefault="00EA313F" w:rsidP="00EA313F">
            <w:pPr>
              <w:spacing w:before="0"/>
              <w:jc w:val="center"/>
              <w:cnfStyle w:val="100000000000" w:firstRow="1" w:lastRow="0" w:firstColumn="0" w:lastColumn="0" w:oddVBand="0" w:evenVBand="0" w:oddHBand="0" w:evenHBand="0" w:firstRowFirstColumn="0" w:firstRowLastColumn="0" w:lastRowFirstColumn="0" w:lastRowLastColumn="0"/>
              <w:rPr>
                <w:rStyle w:val="Emphasis"/>
              </w:rPr>
            </w:pPr>
            <w:r w:rsidRPr="00AF2BD1">
              <w:rPr>
                <w:rStyle w:val="Emphasis"/>
              </w:rPr>
              <w:t>Two cases identified</w:t>
            </w:r>
          </w:p>
        </w:tc>
        <w:tc>
          <w:tcPr>
            <w:tcW w:w="1447" w:type="pct"/>
            <w:gridSpan w:val="2"/>
            <w:vAlign w:val="center"/>
          </w:tcPr>
          <w:p w:rsidR="00EA313F" w:rsidRPr="00AF2BD1" w:rsidRDefault="00EA313F" w:rsidP="00EA313F">
            <w:pPr>
              <w:spacing w:before="0"/>
              <w:jc w:val="center"/>
              <w:cnfStyle w:val="100000000000" w:firstRow="1" w:lastRow="0" w:firstColumn="0" w:lastColumn="0" w:oddVBand="0" w:evenVBand="0" w:oddHBand="0" w:evenHBand="0" w:firstRowFirstColumn="0" w:firstRowLastColumn="0" w:lastRowFirstColumn="0" w:lastRowLastColumn="0"/>
              <w:rPr>
                <w:rStyle w:val="Emphasis"/>
              </w:rPr>
            </w:pPr>
            <w:r w:rsidRPr="00AF2BD1">
              <w:rPr>
                <w:rStyle w:val="Emphasis"/>
              </w:rPr>
              <w:t>Five cases identified</w:t>
            </w:r>
          </w:p>
        </w:tc>
      </w:tr>
      <w:tr w:rsidR="00EA313F" w:rsidTr="00EA3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shd w:val="clear" w:color="auto" w:fill="auto"/>
          </w:tcPr>
          <w:p w:rsidR="00EA313F" w:rsidRPr="00AF2BD1" w:rsidRDefault="00EA313F" w:rsidP="00ED6BCC">
            <w:pPr>
              <w:jc w:val="center"/>
              <w:rPr>
                <w:rStyle w:val="Emphasis"/>
              </w:rPr>
            </w:pPr>
          </w:p>
        </w:tc>
        <w:tc>
          <w:tcPr>
            <w:tcW w:w="645" w:type="pct"/>
          </w:tcPr>
          <w:p w:rsidR="00EA313F" w:rsidRPr="00AF2BD1" w:rsidRDefault="00EA313F" w:rsidP="00BC26DC">
            <w:pPr>
              <w:spacing w:after="12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Active cases</w:t>
            </w:r>
          </w:p>
        </w:tc>
        <w:tc>
          <w:tcPr>
            <w:tcW w:w="724" w:type="pct"/>
          </w:tcPr>
          <w:p w:rsidR="00EA313F" w:rsidRPr="00AF2BD1" w:rsidRDefault="00EA313F" w:rsidP="00BC26DC">
            <w:pPr>
              <w:spacing w:after="12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Cumulative cases</w:t>
            </w:r>
          </w:p>
        </w:tc>
        <w:tc>
          <w:tcPr>
            <w:tcW w:w="723" w:type="pct"/>
          </w:tcPr>
          <w:p w:rsidR="00EA313F" w:rsidRPr="00AF2BD1" w:rsidRDefault="00EA313F" w:rsidP="00BC26DC">
            <w:pPr>
              <w:spacing w:after="12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Active cases</w:t>
            </w:r>
          </w:p>
        </w:tc>
        <w:tc>
          <w:tcPr>
            <w:tcW w:w="724" w:type="pct"/>
          </w:tcPr>
          <w:p w:rsidR="00EA313F" w:rsidRPr="00AF2BD1" w:rsidRDefault="00EA313F" w:rsidP="00BC26DC">
            <w:pPr>
              <w:spacing w:after="12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Cumulative cases</w:t>
            </w:r>
          </w:p>
        </w:tc>
        <w:tc>
          <w:tcPr>
            <w:tcW w:w="723" w:type="pct"/>
          </w:tcPr>
          <w:p w:rsidR="00EA313F" w:rsidRPr="00AF2BD1" w:rsidRDefault="00EA313F" w:rsidP="00BC26DC">
            <w:pPr>
              <w:spacing w:after="12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Active cases</w:t>
            </w:r>
          </w:p>
        </w:tc>
        <w:tc>
          <w:tcPr>
            <w:tcW w:w="724" w:type="pct"/>
          </w:tcPr>
          <w:p w:rsidR="00EA313F" w:rsidRPr="00AF2BD1" w:rsidRDefault="00EA313F" w:rsidP="00BC26DC">
            <w:pPr>
              <w:spacing w:after="12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Cumulative cases</w:t>
            </w:r>
          </w:p>
        </w:tc>
      </w:tr>
      <w:tr w:rsidR="00037564" w:rsidTr="00EA313F">
        <w:tc>
          <w:tcPr>
            <w:cnfStyle w:val="001000000000" w:firstRow="0" w:lastRow="0" w:firstColumn="1" w:lastColumn="0" w:oddVBand="0" w:evenVBand="0" w:oddHBand="0" w:evenHBand="0" w:firstRowFirstColumn="0" w:firstRowLastColumn="0" w:lastRowFirstColumn="0" w:lastRowLastColumn="0"/>
            <w:tcW w:w="736" w:type="pct"/>
          </w:tcPr>
          <w:p w:rsidR="00A76585" w:rsidRPr="00AF2BD1" w:rsidRDefault="00A76585" w:rsidP="00ED6BCC">
            <w:pPr>
              <w:jc w:val="center"/>
              <w:rPr>
                <w:rStyle w:val="Emphasis"/>
              </w:rPr>
            </w:pPr>
            <w:r w:rsidRPr="00AF2BD1">
              <w:rPr>
                <w:rStyle w:val="Emphasis"/>
              </w:rPr>
              <w:t>100</w:t>
            </w:r>
          </w:p>
        </w:tc>
        <w:tc>
          <w:tcPr>
            <w:tcW w:w="645"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9 (5, 16)</w:t>
            </w:r>
          </w:p>
        </w:tc>
        <w:tc>
          <w:tcPr>
            <w:tcW w:w="724"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32 (15, 47)</w:t>
            </w:r>
          </w:p>
        </w:tc>
        <w:tc>
          <w:tcPr>
            <w:tcW w:w="723"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18 (11, 25)</w:t>
            </w:r>
          </w:p>
        </w:tc>
        <w:tc>
          <w:tcPr>
            <w:tcW w:w="724"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52 (38, 65)</w:t>
            </w:r>
          </w:p>
        </w:tc>
        <w:tc>
          <w:tcPr>
            <w:tcW w:w="723"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37 (28, 46)</w:t>
            </w:r>
          </w:p>
        </w:tc>
        <w:tc>
          <w:tcPr>
            <w:tcW w:w="724"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84 (71, 90)</w:t>
            </w:r>
          </w:p>
        </w:tc>
      </w:tr>
      <w:tr w:rsidR="00037564" w:rsidTr="00EA3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rsidR="00A76585" w:rsidRPr="00AF2BD1" w:rsidRDefault="00A76585" w:rsidP="00BC26DC">
            <w:pPr>
              <w:spacing w:after="40"/>
              <w:jc w:val="center"/>
              <w:rPr>
                <w:rStyle w:val="Emphasis"/>
              </w:rPr>
            </w:pPr>
            <w:r w:rsidRPr="00AF2BD1">
              <w:rPr>
                <w:rStyle w:val="Emphasis"/>
              </w:rPr>
              <w:t>500</w:t>
            </w:r>
          </w:p>
        </w:tc>
        <w:tc>
          <w:tcPr>
            <w:tcW w:w="645"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7 (2, 15)</w:t>
            </w:r>
          </w:p>
        </w:tc>
        <w:tc>
          <w:tcPr>
            <w:tcW w:w="724"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29 (9, 55)</w:t>
            </w:r>
          </w:p>
        </w:tc>
        <w:tc>
          <w:tcPr>
            <w:tcW w:w="723"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20 (12, 30)</w:t>
            </w:r>
          </w:p>
        </w:tc>
        <w:tc>
          <w:tcPr>
            <w:tcW w:w="724"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73 (50, 104)</w:t>
            </w:r>
          </w:p>
        </w:tc>
        <w:tc>
          <w:tcPr>
            <w:tcW w:w="723"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48 (37, 63)</w:t>
            </w:r>
          </w:p>
        </w:tc>
        <w:tc>
          <w:tcPr>
            <w:tcW w:w="724"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162 (134, 207)</w:t>
            </w:r>
          </w:p>
        </w:tc>
      </w:tr>
      <w:tr w:rsidR="00037564" w:rsidTr="00EA313F">
        <w:tc>
          <w:tcPr>
            <w:cnfStyle w:val="001000000000" w:firstRow="0" w:lastRow="0" w:firstColumn="1" w:lastColumn="0" w:oddVBand="0" w:evenVBand="0" w:oddHBand="0" w:evenHBand="0" w:firstRowFirstColumn="0" w:firstRowLastColumn="0" w:lastRowFirstColumn="0" w:lastRowLastColumn="0"/>
            <w:tcW w:w="736" w:type="pct"/>
          </w:tcPr>
          <w:p w:rsidR="00A76585" w:rsidRPr="00AF2BD1" w:rsidRDefault="00A76585" w:rsidP="00ED6BCC">
            <w:pPr>
              <w:jc w:val="center"/>
              <w:rPr>
                <w:rStyle w:val="Emphasis"/>
              </w:rPr>
            </w:pPr>
            <w:r w:rsidRPr="00AF2BD1">
              <w:rPr>
                <w:rStyle w:val="Emphasis"/>
              </w:rPr>
              <w:t>1000</w:t>
            </w:r>
          </w:p>
        </w:tc>
        <w:tc>
          <w:tcPr>
            <w:tcW w:w="645"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6 (3, 14)</w:t>
            </w:r>
          </w:p>
        </w:tc>
        <w:tc>
          <w:tcPr>
            <w:tcW w:w="724"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27 (10, 59)</w:t>
            </w:r>
          </w:p>
        </w:tc>
        <w:tc>
          <w:tcPr>
            <w:tcW w:w="723"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19 (11, 27)</w:t>
            </w:r>
          </w:p>
        </w:tc>
        <w:tc>
          <w:tcPr>
            <w:tcW w:w="724"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72 (46, 100)</w:t>
            </w:r>
          </w:p>
        </w:tc>
        <w:tc>
          <w:tcPr>
            <w:tcW w:w="723"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50 (33, 68)</w:t>
            </w:r>
          </w:p>
        </w:tc>
        <w:tc>
          <w:tcPr>
            <w:tcW w:w="724" w:type="pct"/>
          </w:tcPr>
          <w:p w:rsidR="00A76585" w:rsidRPr="00AF2BD1" w:rsidRDefault="00A76585" w:rsidP="00037564">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184 (131, 235)</w:t>
            </w:r>
          </w:p>
        </w:tc>
      </w:tr>
      <w:tr w:rsidR="00037564" w:rsidTr="00EA3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rsidR="00A76585" w:rsidRPr="00AF2BD1" w:rsidRDefault="00A76585" w:rsidP="00BC26DC">
            <w:pPr>
              <w:spacing w:after="40"/>
              <w:jc w:val="center"/>
              <w:rPr>
                <w:rStyle w:val="Emphasis"/>
              </w:rPr>
            </w:pPr>
            <w:r w:rsidRPr="00AF2BD1">
              <w:rPr>
                <w:rStyle w:val="Emphasis"/>
              </w:rPr>
              <w:t>3500</w:t>
            </w:r>
          </w:p>
        </w:tc>
        <w:tc>
          <w:tcPr>
            <w:tcW w:w="645"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7 (4, 11)</w:t>
            </w:r>
          </w:p>
        </w:tc>
        <w:tc>
          <w:tcPr>
            <w:tcW w:w="724"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22 (9, 42)</w:t>
            </w:r>
          </w:p>
        </w:tc>
        <w:tc>
          <w:tcPr>
            <w:tcW w:w="723"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18 (11, 25)</w:t>
            </w:r>
          </w:p>
        </w:tc>
        <w:tc>
          <w:tcPr>
            <w:tcW w:w="724"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66 (44, 105)</w:t>
            </w:r>
          </w:p>
        </w:tc>
        <w:tc>
          <w:tcPr>
            <w:tcW w:w="723"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49 (35, 67)</w:t>
            </w:r>
          </w:p>
        </w:tc>
        <w:tc>
          <w:tcPr>
            <w:tcW w:w="724" w:type="pct"/>
          </w:tcPr>
          <w:p w:rsidR="00A76585" w:rsidRPr="00AF2BD1" w:rsidRDefault="00A76585" w:rsidP="00BC26DC">
            <w:pPr>
              <w:spacing w:after="40"/>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187 (144, 247)</w:t>
            </w:r>
          </w:p>
        </w:tc>
      </w:tr>
    </w:tbl>
    <w:p w:rsidR="00B20052" w:rsidRDefault="00B20052" w:rsidP="00B20052">
      <w:pPr>
        <w:pStyle w:val="Heading2"/>
      </w:pPr>
    </w:p>
    <w:p w:rsidR="00B20052" w:rsidRDefault="00B20052">
      <w:pPr>
        <w:spacing w:before="0" w:after="0"/>
        <w:rPr>
          <w:rFonts w:eastAsiaTheme="majorEastAsia" w:cstheme="majorBidi"/>
          <w:color w:val="C77B4A"/>
          <w:sz w:val="30"/>
          <w:szCs w:val="26"/>
        </w:rPr>
      </w:pPr>
      <w:r>
        <w:br w:type="page"/>
      </w:r>
    </w:p>
    <w:p w:rsidR="008C002E" w:rsidRPr="00B20052" w:rsidRDefault="00421B3E" w:rsidP="00B20052">
      <w:pPr>
        <w:pStyle w:val="Heading2"/>
      </w:pPr>
      <w:r w:rsidRPr="00B20052">
        <w:t>Impact of quarantine on initial outbreak control</w:t>
      </w:r>
    </w:p>
    <w:p w:rsidR="00BC26DC" w:rsidRDefault="00F71C7A" w:rsidP="00BC26DC">
      <w:pPr>
        <w:spacing w:after="120"/>
      </w:pPr>
      <w:r w:rsidRPr="000D5E5B">
        <w:t>We assess the impact of quarantining identified contacts of the index case according to alternative ascertainment strategies</w:t>
      </w:r>
      <w:r w:rsidR="008E3C54" w:rsidRPr="000D5E5B">
        <w:t xml:space="preserve"> (</w:t>
      </w:r>
      <w:r w:rsidRPr="000D5E5B">
        <w:t>Figure 1</w:t>
      </w:r>
      <w:r w:rsidR="008E3C54" w:rsidRPr="000D5E5B">
        <w:t>)</w:t>
      </w:r>
      <w:r w:rsidRPr="000D5E5B">
        <w:t>.</w:t>
      </w:r>
    </w:p>
    <w:p w:rsidR="00B20052" w:rsidRDefault="00B20052" w:rsidP="00B20052">
      <w:r w:rsidRPr="00F850DC">
        <w:rPr>
          <w:b/>
          <w:bCs/>
          <w:i/>
          <w:iCs/>
        </w:rPr>
        <w:t xml:space="preserve">Figure 1: </w:t>
      </w:r>
      <w:r>
        <w:rPr>
          <w:b/>
          <w:bCs/>
          <w:i/>
          <w:iCs/>
        </w:rPr>
        <w:t>D</w:t>
      </w:r>
      <w:r w:rsidRPr="00F850DC">
        <w:rPr>
          <w:b/>
          <w:bCs/>
          <w:i/>
          <w:iCs/>
        </w:rPr>
        <w:t>efinitions of contacts to be quarantined</w:t>
      </w:r>
      <w:r w:rsidRPr="00C553CC">
        <w:rPr>
          <w:b/>
          <w:bCs/>
        </w:rPr>
        <w:t xml:space="preserve">. </w:t>
      </w:r>
      <w:r>
        <w:t>The household-based definition of contacts</w:t>
      </w:r>
      <w:r w:rsidRPr="00F850DC">
        <w:t xml:space="preserve"> involves quarantine of the index case’s immediate and extended households defined by family group membership. </w:t>
      </w:r>
      <w:r>
        <w:t>The alternative definition of contacts</w:t>
      </w:r>
      <w:r w:rsidRPr="00F850DC">
        <w:t xml:space="preserve"> relies on active contact tracing over the preceding 2 days, including members of any households in which the index was resident during that 2-day period. We also consider extending measures to casual community contacts over this period. </w:t>
      </w:r>
    </w:p>
    <w:p w:rsidR="0075224C" w:rsidRPr="000D5E5B" w:rsidRDefault="00D11B1E" w:rsidP="00BC26DC">
      <w:pPr>
        <w:spacing w:before="0" w:after="0"/>
        <w:jc w:val="center"/>
      </w:pPr>
      <w:r>
        <w:br/>
      </w:r>
      <w:r w:rsidR="00EA313F" w:rsidRPr="00C553CC">
        <w:rPr>
          <w:noProof/>
          <w:sz w:val="22"/>
          <w:szCs w:val="22"/>
          <w:lang w:eastAsia="en-AU"/>
        </w:rPr>
        <w:drawing>
          <wp:inline distT="0" distB="0" distL="0" distR="0" wp14:anchorId="580C9E8B" wp14:editId="7EE9DE17">
            <wp:extent cx="5416910" cy="2088000"/>
            <wp:effectExtent l="0" t="0" r="0" b="7620"/>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6809" b="6686"/>
                    <a:stretch/>
                  </pic:blipFill>
                  <pic:spPr bwMode="auto">
                    <a:xfrm>
                      <a:off x="0" y="0"/>
                      <a:ext cx="5416910" cy="2088000"/>
                    </a:xfrm>
                    <a:prstGeom prst="rect">
                      <a:avLst/>
                    </a:prstGeom>
                    <a:noFill/>
                    <a:ln>
                      <a:noFill/>
                    </a:ln>
                    <a:extLst>
                      <a:ext uri="{53640926-AAD7-44D8-BBD7-CCE9431645EC}">
                        <a14:shadowObscured xmlns:a14="http://schemas.microsoft.com/office/drawing/2010/main"/>
                      </a:ext>
                    </a:extLst>
                  </pic:spPr>
                </pic:pic>
              </a:graphicData>
            </a:graphic>
          </wp:inline>
        </w:drawing>
      </w:r>
    </w:p>
    <w:p w:rsidR="008C002E" w:rsidRDefault="00F71C7A" w:rsidP="00AF2BD1">
      <w:pPr>
        <w:rPr>
          <w:i/>
          <w:iCs/>
        </w:rPr>
      </w:pPr>
      <w:r w:rsidRPr="000D5E5B">
        <w:t xml:space="preserve">Contact definition based on </w:t>
      </w:r>
      <w:r w:rsidR="008E3C54" w:rsidRPr="000D5E5B">
        <w:t xml:space="preserve">extended </w:t>
      </w:r>
      <w:r w:rsidRPr="000D5E5B">
        <w:t>household membership is the mo</w:t>
      </w:r>
      <w:r w:rsidR="008E3C54" w:rsidRPr="000D5E5B">
        <w:t>st</w:t>
      </w:r>
      <w:r w:rsidRPr="000D5E5B">
        <w:t xml:space="preserve"> effective strategy</w:t>
      </w:r>
      <w:r w:rsidR="008E3C54" w:rsidRPr="000D5E5B">
        <w:t xml:space="preserve"> (Figure 2</w:t>
      </w:r>
      <w:r w:rsidR="00BB316B" w:rsidRPr="000D5E5B">
        <w:t>,</w:t>
      </w:r>
      <w:r w:rsidR="003C7695" w:rsidRPr="000D5E5B">
        <w:t xml:space="preserve"> </w:t>
      </w:r>
      <w:r w:rsidR="00BB316B" w:rsidRPr="000D5E5B">
        <w:t>left panel</w:t>
      </w:r>
      <w:r w:rsidR="003C7695" w:rsidRPr="000D5E5B">
        <w:t>s</w:t>
      </w:r>
      <w:r w:rsidR="008E3C54" w:rsidRPr="000D5E5B">
        <w:t>)</w:t>
      </w:r>
      <w:r w:rsidRPr="000D5E5B">
        <w:t>, involving a large number of people from closely interconnected households</w:t>
      </w:r>
      <w:r w:rsidR="008E3C54" w:rsidRPr="000D5E5B">
        <w:t>,</w:t>
      </w:r>
      <w:r w:rsidRPr="000D5E5B">
        <w:t xml:space="preserve"> associated with high transmission risk. </w:t>
      </w:r>
      <w:r w:rsidR="003C7695" w:rsidRPr="000D5E5B">
        <w:t xml:space="preserve">Testing on entry into quarantine is routine, </w:t>
      </w:r>
      <w:r w:rsidR="007247BE" w:rsidRPr="000D5E5B">
        <w:t>and an effective</w:t>
      </w:r>
      <w:r w:rsidR="003C7695" w:rsidRPr="000D5E5B">
        <w:t xml:space="preserve"> case finding strategy. </w:t>
      </w:r>
      <w:r w:rsidR="0037080F" w:rsidRPr="000D5E5B">
        <w:t>Clearance</w:t>
      </w:r>
      <w:r w:rsidR="007247BE" w:rsidRPr="000D5E5B">
        <w:t xml:space="preserve"> testing (</w:t>
      </w:r>
      <w:r w:rsidR="006B2149" w:rsidRPr="000D5E5B">
        <w:t xml:space="preserve">Figure 2, </w:t>
      </w:r>
      <w:r w:rsidR="007247BE" w:rsidRPr="000D5E5B">
        <w:t xml:space="preserve">lower panels) has little impact on the epidemic course in the model, </w:t>
      </w:r>
      <w:r w:rsidR="007247BE" w:rsidRPr="000D5E5B">
        <w:rPr>
          <w:i/>
          <w:iCs/>
        </w:rPr>
        <w:t xml:space="preserve">based on the assumption that quarantined individuals are perfectly isolated from both household and community members and not at ongoing </w:t>
      </w:r>
      <w:r w:rsidR="00984119" w:rsidRPr="000D5E5B">
        <w:rPr>
          <w:i/>
          <w:iCs/>
        </w:rPr>
        <w:t xml:space="preserve">infection </w:t>
      </w:r>
      <w:r w:rsidR="007247BE" w:rsidRPr="000D5E5B">
        <w:rPr>
          <w:i/>
          <w:iCs/>
        </w:rPr>
        <w:t xml:space="preserve">risk. </w:t>
      </w:r>
    </w:p>
    <w:p w:rsidR="00B20052" w:rsidRDefault="00B20052">
      <w:pPr>
        <w:spacing w:before="0" w:after="0"/>
        <w:rPr>
          <w:b/>
          <w:i/>
        </w:rPr>
      </w:pPr>
      <w:r>
        <w:rPr>
          <w:b/>
          <w:i/>
        </w:rPr>
        <w:br w:type="page"/>
      </w:r>
    </w:p>
    <w:p w:rsidR="00B20052" w:rsidRPr="00B34D05" w:rsidRDefault="00B20052" w:rsidP="00B20052">
      <w:pPr>
        <w:rPr>
          <w:rFonts w:ascii="Calibri" w:hAnsi="Calibri" w:cs="Calibri"/>
          <w:color w:val="FF0000"/>
          <w:highlight w:val="yellow"/>
        </w:rPr>
      </w:pPr>
      <w:r w:rsidRPr="00AF2BD1">
        <w:rPr>
          <w:b/>
          <w:i/>
        </w:rPr>
        <w:t xml:space="preserve">Figure 2: Contact tracing strategies: household-based contact tracing (left) versus history-based contact tracing (for the prior 2 days, at right). </w:t>
      </w:r>
      <w:r w:rsidRPr="00780563">
        <w:rPr>
          <w:i/>
          <w:iCs/>
        </w:rPr>
        <w:t>Epidemic curves for a community of 1000 people</w:t>
      </w:r>
      <w:r>
        <w:rPr>
          <w:i/>
          <w:iCs/>
        </w:rPr>
        <w:t xml:space="preserve"> are shown</w:t>
      </w:r>
      <w:r w:rsidRPr="00780563">
        <w:rPr>
          <w:i/>
          <w:iCs/>
        </w:rPr>
        <w:t xml:space="preserve">, </w:t>
      </w:r>
      <w:r>
        <w:rPr>
          <w:i/>
          <w:iCs/>
        </w:rPr>
        <w:t xml:space="preserve">comparing the household-based tracing strategy </w:t>
      </w:r>
      <w:r>
        <w:rPr>
          <w:i/>
          <w:iCs/>
        </w:rPr>
        <w:br/>
        <w:t xml:space="preserve">(at left) with the history-based tracing (for the prior 2 days) strategy (at right). Given the assumption of ‘perfect’ quarantine, clearance testing adds little to epidemic constraint, assuming that entry testing has already enhanced case finding efforts. </w:t>
      </w:r>
      <w:r w:rsidRPr="00780563">
        <w:rPr>
          <w:i/>
          <w:iCs/>
        </w:rPr>
        <w:t xml:space="preserve"> </w:t>
      </w:r>
    </w:p>
    <w:p w:rsidR="008C002E" w:rsidRDefault="00520C62" w:rsidP="008B28D6">
      <w:r w:rsidRPr="00520C62">
        <w:rPr>
          <w:noProof/>
          <w:sz w:val="22"/>
          <w:szCs w:val="22"/>
          <w:lang w:eastAsia="en-AU"/>
        </w:rPr>
        <w:drawing>
          <wp:inline distT="0" distB="0" distL="0" distR="0" wp14:anchorId="2932E3BD" wp14:editId="7DB5F74D">
            <wp:extent cx="2826000" cy="2116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6000" cy="2116800"/>
                    </a:xfrm>
                    <a:prstGeom prst="rect">
                      <a:avLst/>
                    </a:prstGeom>
                    <a:noFill/>
                    <a:ln>
                      <a:noFill/>
                    </a:ln>
                  </pic:spPr>
                </pic:pic>
              </a:graphicData>
            </a:graphic>
          </wp:inline>
        </w:drawing>
      </w:r>
      <w:r w:rsidR="008B28D6" w:rsidRPr="008B28D6">
        <w:rPr>
          <w:sz w:val="22"/>
          <w:szCs w:val="22"/>
        </w:rPr>
        <w:t xml:space="preserve"> </w:t>
      </w:r>
      <w:r w:rsidR="008B28D6" w:rsidRPr="008B28D6">
        <w:rPr>
          <w:noProof/>
          <w:sz w:val="22"/>
          <w:szCs w:val="22"/>
          <w:lang w:eastAsia="en-AU"/>
        </w:rPr>
        <w:drawing>
          <wp:inline distT="0" distB="0" distL="0" distR="0" wp14:anchorId="05140E6A" wp14:editId="2CE58CFB">
            <wp:extent cx="2826000" cy="2116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6000" cy="2116800"/>
                    </a:xfrm>
                    <a:prstGeom prst="rect">
                      <a:avLst/>
                    </a:prstGeom>
                    <a:noFill/>
                    <a:ln>
                      <a:noFill/>
                    </a:ln>
                  </pic:spPr>
                </pic:pic>
              </a:graphicData>
            </a:graphic>
          </wp:inline>
        </w:drawing>
      </w:r>
      <w:r w:rsidR="00424FEE" w:rsidRPr="00424FEE">
        <w:rPr>
          <w:rFonts w:ascii="Times New Roman" w:hAnsi="Times New Roman" w:cs="Times New Roman"/>
          <w:b/>
          <w:bCs/>
          <w:noProof/>
          <w:lang w:eastAsia="en-AU"/>
        </w:rPr>
        <w:drawing>
          <wp:inline distT="0" distB="0" distL="0" distR="0" wp14:anchorId="5516A0A9" wp14:editId="3C11C44E">
            <wp:extent cx="2826000" cy="211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6000" cy="2116800"/>
                    </a:xfrm>
                    <a:prstGeom prst="rect">
                      <a:avLst/>
                    </a:prstGeom>
                    <a:noFill/>
                    <a:ln>
                      <a:noFill/>
                    </a:ln>
                  </pic:spPr>
                </pic:pic>
              </a:graphicData>
            </a:graphic>
          </wp:inline>
        </w:drawing>
      </w:r>
      <w:r w:rsidR="00424FEE" w:rsidRPr="00424FEE">
        <w:rPr>
          <w:rFonts w:ascii="Times New Roman" w:hAnsi="Times New Roman" w:cs="Times New Roman"/>
          <w:b/>
          <w:bCs/>
          <w:noProof/>
        </w:rPr>
        <w:t xml:space="preserve"> </w:t>
      </w:r>
      <w:r w:rsidR="00353D53" w:rsidRPr="00353D53">
        <w:rPr>
          <w:rFonts w:ascii="Times New Roman" w:hAnsi="Times New Roman" w:cs="Times New Roman"/>
          <w:b/>
          <w:bCs/>
          <w:noProof/>
          <w:lang w:eastAsia="en-AU"/>
        </w:rPr>
        <w:drawing>
          <wp:inline distT="0" distB="0" distL="0" distR="0" wp14:anchorId="00954727" wp14:editId="2D5CA369">
            <wp:extent cx="2826000" cy="2116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000" cy="2116800"/>
                    </a:xfrm>
                    <a:prstGeom prst="rect">
                      <a:avLst/>
                    </a:prstGeom>
                    <a:noFill/>
                    <a:ln>
                      <a:noFill/>
                    </a:ln>
                  </pic:spPr>
                </pic:pic>
              </a:graphicData>
            </a:graphic>
          </wp:inline>
        </w:drawing>
      </w:r>
    </w:p>
    <w:p w:rsidR="00FA3AC2" w:rsidRDefault="0067011F" w:rsidP="00AF2BD1">
      <w:pPr>
        <w:rPr>
          <w:b/>
          <w:bCs/>
          <w:i/>
          <w:iCs/>
          <w:sz w:val="22"/>
          <w:szCs w:val="22"/>
        </w:rPr>
      </w:pPr>
      <w:r w:rsidRPr="000D5E5B">
        <w:t xml:space="preserve">Table 2 provides additional summary information on epidemic outcomes and public health response measures for the scenarios in Figure 2. A review of cumulative case numbers in each epidemic clarifies that while the first wave is blunted by the initial epidemic response, ongoing waves of infection result in a high proportion of the population becoming infected in almost all cases. Implementation of extended household quarantine with </w:t>
      </w:r>
      <w:r w:rsidR="0037080F" w:rsidRPr="000D5E5B">
        <w:t>clearance</w:t>
      </w:r>
      <w:r w:rsidRPr="000D5E5B">
        <w:t xml:space="preserve"> testing has the greatest impact on final size but requires a large number of people to be quarantined over an extended period and very high testing rates. </w:t>
      </w:r>
    </w:p>
    <w:p w:rsidR="00B20052" w:rsidRDefault="00B20052">
      <w:pPr>
        <w:spacing w:before="0" w:after="0"/>
        <w:rPr>
          <w:b/>
          <w:bCs/>
          <w:i/>
          <w:iCs/>
        </w:rPr>
      </w:pPr>
      <w:r>
        <w:rPr>
          <w:b/>
          <w:bCs/>
          <w:i/>
          <w:iCs/>
        </w:rPr>
        <w:br w:type="page"/>
      </w:r>
    </w:p>
    <w:p w:rsidR="005C62CB" w:rsidRPr="007852F7" w:rsidRDefault="005C62CB" w:rsidP="00AF2BD1">
      <w:pPr>
        <w:rPr>
          <w:b/>
          <w:bCs/>
          <w:color w:val="FF0000"/>
        </w:rPr>
      </w:pPr>
      <w:r w:rsidRPr="0097197D">
        <w:rPr>
          <w:b/>
          <w:bCs/>
          <w:i/>
          <w:iCs/>
        </w:rPr>
        <w:t>Table 2: Contact tracing and testing strategies</w:t>
      </w:r>
      <w:r w:rsidRPr="0097197D">
        <w:rPr>
          <w:i/>
          <w:iCs/>
        </w:rPr>
        <w:t xml:space="preserve">: </w:t>
      </w:r>
      <w:r w:rsidRPr="007852F7">
        <w:t>impact on size of outbreak (total cumulative cases), quarantine person-days, and total tests performed during outbreak.</w:t>
      </w:r>
      <w:r w:rsidR="000D5E5B" w:rsidRPr="007852F7">
        <w:t xml:space="preserve"> Figures in the table are medians, with interquartile ranges. </w:t>
      </w:r>
    </w:p>
    <w:tbl>
      <w:tblPr>
        <w:tblStyle w:val="ListTable1Light-Accent2"/>
        <w:tblpPr w:leftFromText="181" w:rightFromText="181" w:vertAnchor="text" w:horzAnchor="margin" w:tblpY="29"/>
        <w:tblW w:w="9734" w:type="dxa"/>
        <w:tblLook w:val="04A0" w:firstRow="1" w:lastRow="0" w:firstColumn="1" w:lastColumn="0" w:noHBand="0" w:noVBand="1"/>
      </w:tblPr>
      <w:tblGrid>
        <w:gridCol w:w="1746"/>
        <w:gridCol w:w="1331"/>
        <w:gridCol w:w="1331"/>
        <w:gridCol w:w="1332"/>
        <w:gridCol w:w="1331"/>
        <w:gridCol w:w="1331"/>
        <w:gridCol w:w="1332"/>
      </w:tblGrid>
      <w:tr w:rsidR="005C62CB" w:rsidRPr="0097197D" w:rsidTr="00EA313F">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746" w:type="dxa"/>
          </w:tcPr>
          <w:p w:rsidR="005C62CB" w:rsidRPr="00EA313F" w:rsidRDefault="005C62CB" w:rsidP="005C62CB">
            <w:pPr>
              <w:rPr>
                <w:rStyle w:val="Emphasis"/>
              </w:rPr>
            </w:pPr>
            <w:r w:rsidRPr="00EA313F">
              <w:rPr>
                <w:rStyle w:val="Emphasis"/>
              </w:rPr>
              <w:t>Strategy</w:t>
            </w:r>
          </w:p>
        </w:tc>
        <w:tc>
          <w:tcPr>
            <w:tcW w:w="3994" w:type="dxa"/>
            <w:gridSpan w:val="3"/>
          </w:tcPr>
          <w:p w:rsidR="005C62CB" w:rsidRPr="00EA313F" w:rsidRDefault="00EA313F" w:rsidP="00EA313F">
            <w:pPr>
              <w:jc w:val="center"/>
              <w:cnfStyle w:val="100000000000" w:firstRow="1" w:lastRow="0" w:firstColumn="0" w:lastColumn="0" w:oddVBand="0" w:evenVBand="0" w:oddHBand="0" w:evenHBand="0" w:firstRowFirstColumn="0" w:firstRowLastColumn="0" w:lastRowFirstColumn="0" w:lastRowLastColumn="0"/>
              <w:rPr>
                <w:rStyle w:val="Emphasis"/>
              </w:rPr>
            </w:pPr>
            <w:r w:rsidRPr="00EA313F">
              <w:rPr>
                <w:rStyle w:val="Emphasis"/>
              </w:rPr>
              <w:t>No clearance testing</w:t>
            </w:r>
          </w:p>
        </w:tc>
        <w:tc>
          <w:tcPr>
            <w:tcW w:w="3994" w:type="dxa"/>
            <w:gridSpan w:val="3"/>
          </w:tcPr>
          <w:p w:rsidR="005C62CB" w:rsidRPr="00EA313F" w:rsidRDefault="005C62CB" w:rsidP="005C62CB">
            <w:pPr>
              <w:jc w:val="center"/>
              <w:cnfStyle w:val="100000000000" w:firstRow="1" w:lastRow="0" w:firstColumn="0" w:lastColumn="0" w:oddVBand="0" w:evenVBand="0" w:oddHBand="0" w:evenHBand="0" w:firstRowFirstColumn="0" w:firstRowLastColumn="0" w:lastRowFirstColumn="0" w:lastRowLastColumn="0"/>
              <w:rPr>
                <w:rStyle w:val="Emphasis"/>
              </w:rPr>
            </w:pPr>
            <w:r w:rsidRPr="00EA313F">
              <w:rPr>
                <w:rStyle w:val="Emphasis"/>
              </w:rPr>
              <w:t>Clearance testing undertaken</w:t>
            </w:r>
          </w:p>
        </w:tc>
      </w:tr>
      <w:tr w:rsidR="005C62CB" w:rsidRPr="0097197D" w:rsidTr="00EA313F">
        <w:trPr>
          <w:cnfStyle w:val="000000100000" w:firstRow="0" w:lastRow="0" w:firstColumn="0" w:lastColumn="0" w:oddVBand="0" w:evenVBand="0" w:oddHBand="1" w:evenHBand="0" w:firstRowFirstColumn="0" w:firstRowLastColumn="0" w:lastRowFirstColumn="0" w:lastRowLastColumn="0"/>
          <w:trHeight w:val="1311"/>
        </w:trPr>
        <w:tc>
          <w:tcPr>
            <w:cnfStyle w:val="001000000000" w:firstRow="0" w:lastRow="0" w:firstColumn="1" w:lastColumn="0" w:oddVBand="0" w:evenVBand="0" w:oddHBand="0" w:evenHBand="0" w:firstRowFirstColumn="0" w:firstRowLastColumn="0" w:lastRowFirstColumn="0" w:lastRowLastColumn="0"/>
            <w:tcW w:w="1746" w:type="dxa"/>
            <w:shd w:val="clear" w:color="auto" w:fill="auto"/>
          </w:tcPr>
          <w:p w:rsidR="005C62CB" w:rsidRPr="00AF2BD1" w:rsidRDefault="005C62CB" w:rsidP="005C62CB">
            <w:pPr>
              <w:rPr>
                <w:rStyle w:val="Emphasis"/>
                <w:b w:val="0"/>
              </w:rPr>
            </w:pP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Total cumulative cases</w:t>
            </w: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Quarantine person-days (first year)</w:t>
            </w:r>
          </w:p>
        </w:tc>
        <w:tc>
          <w:tcPr>
            <w:tcW w:w="1332"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Total tests performed during outbreak (first year)</w:t>
            </w: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Total cumulative cases</w:t>
            </w: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Quarantine person-days (first year)</w:t>
            </w:r>
          </w:p>
        </w:tc>
        <w:tc>
          <w:tcPr>
            <w:tcW w:w="1332"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Total tests performed during outbreak (first year)</w:t>
            </w:r>
          </w:p>
        </w:tc>
      </w:tr>
      <w:tr w:rsidR="005C62CB" w:rsidRPr="0097197D" w:rsidTr="00EA313F">
        <w:trPr>
          <w:trHeight w:val="789"/>
        </w:trPr>
        <w:tc>
          <w:tcPr>
            <w:cnfStyle w:val="001000000000" w:firstRow="0" w:lastRow="0" w:firstColumn="1" w:lastColumn="0" w:oddVBand="0" w:evenVBand="0" w:oddHBand="0" w:evenHBand="0" w:firstRowFirstColumn="0" w:firstRowLastColumn="0" w:lastRowFirstColumn="0" w:lastRowLastColumn="0"/>
            <w:tcW w:w="1746" w:type="dxa"/>
          </w:tcPr>
          <w:p w:rsidR="005C62CB" w:rsidRPr="00AF2BD1" w:rsidRDefault="005C62CB" w:rsidP="005C62CB">
            <w:pPr>
              <w:rPr>
                <w:rStyle w:val="Emphasis"/>
                <w:b w:val="0"/>
              </w:rPr>
            </w:pPr>
            <w:r w:rsidRPr="00AF2BD1">
              <w:rPr>
                <w:rStyle w:val="Emphasis"/>
                <w:b w:val="0"/>
              </w:rPr>
              <w:t>No response</w:t>
            </w:r>
          </w:p>
        </w:tc>
        <w:tc>
          <w:tcPr>
            <w:tcW w:w="1331" w:type="dxa"/>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999</w:t>
            </w:r>
          </w:p>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(999-999)</w:t>
            </w:r>
          </w:p>
        </w:tc>
        <w:tc>
          <w:tcPr>
            <w:tcW w:w="1331" w:type="dxa"/>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N</w:t>
            </w:r>
            <w:r w:rsidR="000D5E5B" w:rsidRPr="00AF2BD1">
              <w:rPr>
                <w:rStyle w:val="Emphasis"/>
              </w:rPr>
              <w:t>/</w:t>
            </w:r>
            <w:r w:rsidRPr="00AF2BD1">
              <w:rPr>
                <w:rStyle w:val="Emphasis"/>
              </w:rPr>
              <w:t>A</w:t>
            </w:r>
          </w:p>
        </w:tc>
        <w:tc>
          <w:tcPr>
            <w:tcW w:w="1332" w:type="dxa"/>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447.0 (435.5, 458.0)</w:t>
            </w:r>
          </w:p>
        </w:tc>
        <w:tc>
          <w:tcPr>
            <w:tcW w:w="1331" w:type="dxa"/>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999</w:t>
            </w:r>
          </w:p>
        </w:tc>
        <w:tc>
          <w:tcPr>
            <w:tcW w:w="1331" w:type="dxa"/>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N</w:t>
            </w:r>
            <w:r w:rsidR="000D5E5B" w:rsidRPr="00AF2BD1">
              <w:rPr>
                <w:rStyle w:val="Emphasis"/>
              </w:rPr>
              <w:t>/</w:t>
            </w:r>
            <w:r w:rsidRPr="00AF2BD1">
              <w:rPr>
                <w:rStyle w:val="Emphasis"/>
              </w:rPr>
              <w:t>A</w:t>
            </w:r>
          </w:p>
        </w:tc>
        <w:tc>
          <w:tcPr>
            <w:tcW w:w="1332" w:type="dxa"/>
          </w:tcPr>
          <w:p w:rsidR="005C62CB" w:rsidRPr="00AF2BD1" w:rsidRDefault="000D5E5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N/A</w:t>
            </w:r>
          </w:p>
        </w:tc>
      </w:tr>
      <w:tr w:rsidR="005C62CB" w:rsidRPr="0097197D" w:rsidTr="00EA313F">
        <w:trPr>
          <w:cnfStyle w:val="000000100000" w:firstRow="0" w:lastRow="0" w:firstColumn="0" w:lastColumn="0" w:oddVBand="0" w:evenVBand="0" w:oddHBand="1" w:evenHBand="0" w:firstRowFirstColumn="0" w:firstRowLastColumn="0" w:lastRowFirstColumn="0" w:lastRowLastColumn="0"/>
          <w:trHeight w:val="1311"/>
        </w:trPr>
        <w:tc>
          <w:tcPr>
            <w:cnfStyle w:val="001000000000" w:firstRow="0" w:lastRow="0" w:firstColumn="1" w:lastColumn="0" w:oddVBand="0" w:evenVBand="0" w:oddHBand="0" w:evenHBand="0" w:firstRowFirstColumn="0" w:firstRowLastColumn="0" w:lastRowFirstColumn="0" w:lastRowLastColumn="0"/>
            <w:tcW w:w="1746" w:type="dxa"/>
          </w:tcPr>
          <w:p w:rsidR="005C62CB" w:rsidRPr="00AF2BD1" w:rsidRDefault="005C62CB" w:rsidP="005C62CB">
            <w:pPr>
              <w:rPr>
                <w:rStyle w:val="Emphasis"/>
                <w:b w:val="0"/>
              </w:rPr>
            </w:pPr>
            <w:r w:rsidRPr="00AF2BD1">
              <w:rPr>
                <w:rStyle w:val="Emphasis"/>
                <w:b w:val="0"/>
              </w:rPr>
              <w:t>Quarantine of immediate household contacts (with case isolation)</w:t>
            </w: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922.0 (907.5, 936.5)</w:t>
            </w: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29595.5 (28101.5 - 31175.0)</w:t>
            </w:r>
          </w:p>
        </w:tc>
        <w:tc>
          <w:tcPr>
            <w:tcW w:w="1332"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1957.5 (1867 - 2027)</w:t>
            </w: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922.5 (905.0, 933.0)</w:t>
            </w: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22500.5 (21469.0 - 23306.0)</w:t>
            </w:r>
          </w:p>
        </w:tc>
        <w:tc>
          <w:tcPr>
            <w:tcW w:w="1332"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7526.0 (7336 - 7743)</w:t>
            </w:r>
          </w:p>
        </w:tc>
      </w:tr>
      <w:tr w:rsidR="005C62CB" w:rsidRPr="0097197D" w:rsidTr="00EA313F">
        <w:trPr>
          <w:trHeight w:val="1326"/>
        </w:trPr>
        <w:tc>
          <w:tcPr>
            <w:cnfStyle w:val="001000000000" w:firstRow="0" w:lastRow="0" w:firstColumn="1" w:lastColumn="0" w:oddVBand="0" w:evenVBand="0" w:oddHBand="0" w:evenHBand="0" w:firstRowFirstColumn="0" w:firstRowLastColumn="0" w:lastRowFirstColumn="0" w:lastRowLastColumn="0"/>
            <w:tcW w:w="1746" w:type="dxa"/>
          </w:tcPr>
          <w:p w:rsidR="005C62CB" w:rsidRPr="00AF2BD1" w:rsidRDefault="005C62CB" w:rsidP="005C62CB">
            <w:pPr>
              <w:rPr>
                <w:rStyle w:val="Emphasis"/>
                <w:b w:val="0"/>
              </w:rPr>
            </w:pPr>
            <w:r w:rsidRPr="00AF2BD1">
              <w:rPr>
                <w:rStyle w:val="Emphasis"/>
                <w:b w:val="0"/>
              </w:rPr>
              <w:t>Quarantine of extended i.e. all household contacts (with case isolation)</w:t>
            </w:r>
          </w:p>
        </w:tc>
        <w:tc>
          <w:tcPr>
            <w:tcW w:w="1331" w:type="dxa"/>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831.5 (751.0, 871.0)</w:t>
            </w:r>
          </w:p>
        </w:tc>
        <w:tc>
          <w:tcPr>
            <w:tcW w:w="1331" w:type="dxa"/>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86825.0 (70334.5 - 97662.5)</w:t>
            </w:r>
          </w:p>
        </w:tc>
        <w:tc>
          <w:tcPr>
            <w:tcW w:w="1332" w:type="dxa"/>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4042.5 (3463 - 4305)</w:t>
            </w:r>
          </w:p>
        </w:tc>
        <w:tc>
          <w:tcPr>
            <w:tcW w:w="1331" w:type="dxa"/>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655.0 (267.5, 821.0)</w:t>
            </w:r>
          </w:p>
        </w:tc>
        <w:tc>
          <w:tcPr>
            <w:tcW w:w="1331" w:type="dxa"/>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50958.0 (13511.5, 67786.0)</w:t>
            </w:r>
          </w:p>
        </w:tc>
        <w:tc>
          <w:tcPr>
            <w:tcW w:w="1332" w:type="dxa"/>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13551.5 (4929.5, 16729.5)</w:t>
            </w:r>
          </w:p>
        </w:tc>
      </w:tr>
      <w:tr w:rsidR="005C62CB" w:rsidRPr="0097197D" w:rsidTr="00B20052">
        <w:trPr>
          <w:cnfStyle w:val="000000100000" w:firstRow="0" w:lastRow="0" w:firstColumn="0" w:lastColumn="0" w:oddVBand="0" w:evenVBand="0" w:oddHBand="1" w:evenHBand="0" w:firstRowFirstColumn="0" w:firstRowLastColumn="0" w:lastRowFirstColumn="0" w:lastRowLastColumn="0"/>
          <w:trHeight w:val="1311"/>
        </w:trPr>
        <w:tc>
          <w:tcPr>
            <w:cnfStyle w:val="001000000000" w:firstRow="0" w:lastRow="0" w:firstColumn="1" w:lastColumn="0" w:oddVBand="0" w:evenVBand="0" w:oddHBand="0" w:evenHBand="0" w:firstRowFirstColumn="0" w:firstRowLastColumn="0" w:lastRowFirstColumn="0" w:lastRowLastColumn="0"/>
            <w:tcW w:w="1746" w:type="dxa"/>
          </w:tcPr>
          <w:p w:rsidR="005C62CB" w:rsidRPr="00AF2BD1" w:rsidRDefault="005C62CB" w:rsidP="005C62CB">
            <w:pPr>
              <w:rPr>
                <w:rStyle w:val="Emphasis"/>
                <w:b w:val="0"/>
              </w:rPr>
            </w:pPr>
            <w:r w:rsidRPr="00AF2BD1">
              <w:rPr>
                <w:rStyle w:val="Emphasis"/>
                <w:b w:val="0"/>
              </w:rPr>
              <w:t xml:space="preserve">Quarantine of close contacts based on history </w:t>
            </w:r>
            <w:r w:rsidR="00EA313F">
              <w:rPr>
                <w:rStyle w:val="Emphasis"/>
                <w:b w:val="0"/>
              </w:rPr>
              <w:br/>
            </w:r>
            <w:r w:rsidRPr="00AF2BD1">
              <w:rPr>
                <w:rStyle w:val="Emphasis"/>
                <w:b w:val="0"/>
              </w:rPr>
              <w:t>(past 2 days)</w:t>
            </w: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937.0 (929.0, 945.0)</w:t>
            </w: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10776.5 (9551.5 - 11564.5)</w:t>
            </w:r>
          </w:p>
        </w:tc>
        <w:tc>
          <w:tcPr>
            <w:tcW w:w="1332"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1530.5 (1441 - 1586)</w:t>
            </w: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930.5 (917.0, 939.5)</w:t>
            </w:r>
          </w:p>
        </w:tc>
        <w:tc>
          <w:tcPr>
            <w:tcW w:w="1331"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9445.5 (8541.5, 10191.5)</w:t>
            </w:r>
          </w:p>
        </w:tc>
        <w:tc>
          <w:tcPr>
            <w:tcW w:w="1332" w:type="dxa"/>
          </w:tcPr>
          <w:p w:rsidR="005C62CB" w:rsidRPr="00AF2BD1" w:rsidRDefault="005C62CB" w:rsidP="005C62CB">
            <w:pPr>
              <w:jc w:val="center"/>
              <w:cnfStyle w:val="000000100000" w:firstRow="0" w:lastRow="0" w:firstColumn="0" w:lastColumn="0" w:oddVBand="0" w:evenVBand="0" w:oddHBand="1" w:evenHBand="0" w:firstRowFirstColumn="0" w:firstRowLastColumn="0" w:lastRowFirstColumn="0" w:lastRowLastColumn="0"/>
              <w:rPr>
                <w:rStyle w:val="Emphasis"/>
              </w:rPr>
            </w:pPr>
            <w:r w:rsidRPr="00AF2BD1">
              <w:rPr>
                <w:rStyle w:val="Emphasis"/>
              </w:rPr>
              <w:t>4673.5 (4549.5, 4780.5)</w:t>
            </w:r>
          </w:p>
        </w:tc>
      </w:tr>
      <w:tr w:rsidR="005C62CB" w:rsidRPr="0097197D" w:rsidTr="00B20052">
        <w:trPr>
          <w:trHeight w:val="1311"/>
        </w:trPr>
        <w:tc>
          <w:tcPr>
            <w:cnfStyle w:val="001000000000" w:firstRow="0" w:lastRow="0" w:firstColumn="1" w:lastColumn="0" w:oddVBand="0" w:evenVBand="0" w:oddHBand="0" w:evenHBand="0" w:firstRowFirstColumn="0" w:firstRowLastColumn="0" w:lastRowFirstColumn="0" w:lastRowLastColumn="0"/>
            <w:tcW w:w="1746" w:type="dxa"/>
            <w:tcBorders>
              <w:bottom w:val="single" w:sz="4" w:space="0" w:color="auto"/>
            </w:tcBorders>
          </w:tcPr>
          <w:p w:rsidR="005C62CB" w:rsidRPr="00AF2BD1" w:rsidRDefault="005C62CB" w:rsidP="005C62CB">
            <w:pPr>
              <w:rPr>
                <w:rStyle w:val="Emphasis"/>
                <w:b w:val="0"/>
              </w:rPr>
            </w:pPr>
            <w:r w:rsidRPr="00AF2BD1">
              <w:rPr>
                <w:rStyle w:val="Emphasis"/>
                <w:b w:val="0"/>
              </w:rPr>
              <w:t xml:space="preserve">Quarantine of all contacts based on history </w:t>
            </w:r>
            <w:r w:rsidR="00EA313F">
              <w:rPr>
                <w:rStyle w:val="Emphasis"/>
                <w:b w:val="0"/>
              </w:rPr>
              <w:br/>
            </w:r>
            <w:r w:rsidRPr="00AF2BD1">
              <w:rPr>
                <w:rStyle w:val="Emphasis"/>
                <w:b w:val="0"/>
              </w:rPr>
              <w:t>(past 2 days)</w:t>
            </w:r>
          </w:p>
        </w:tc>
        <w:tc>
          <w:tcPr>
            <w:tcW w:w="1331" w:type="dxa"/>
            <w:tcBorders>
              <w:bottom w:val="single" w:sz="4" w:space="0" w:color="auto"/>
            </w:tcBorders>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930.0 (917.0, 941.0)</w:t>
            </w:r>
          </w:p>
        </w:tc>
        <w:tc>
          <w:tcPr>
            <w:tcW w:w="1331" w:type="dxa"/>
            <w:tcBorders>
              <w:bottom w:val="single" w:sz="4" w:space="0" w:color="auto"/>
            </w:tcBorders>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11887.0 (11180.0 - 12831.5)</w:t>
            </w:r>
          </w:p>
        </w:tc>
        <w:tc>
          <w:tcPr>
            <w:tcW w:w="1332" w:type="dxa"/>
            <w:tcBorders>
              <w:bottom w:val="single" w:sz="4" w:space="0" w:color="auto"/>
            </w:tcBorders>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1614.5 (1550 - 1667)</w:t>
            </w:r>
          </w:p>
        </w:tc>
        <w:tc>
          <w:tcPr>
            <w:tcW w:w="1331" w:type="dxa"/>
            <w:tcBorders>
              <w:bottom w:val="single" w:sz="4" w:space="0" w:color="auto"/>
            </w:tcBorders>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919.0 (904.5, 931.5)</w:t>
            </w:r>
          </w:p>
        </w:tc>
        <w:tc>
          <w:tcPr>
            <w:tcW w:w="1331" w:type="dxa"/>
            <w:tcBorders>
              <w:bottom w:val="single" w:sz="4" w:space="0" w:color="auto"/>
            </w:tcBorders>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10662.0 (9718.0, 11768.5)</w:t>
            </w:r>
          </w:p>
        </w:tc>
        <w:tc>
          <w:tcPr>
            <w:tcW w:w="1332" w:type="dxa"/>
            <w:tcBorders>
              <w:bottom w:val="single" w:sz="4" w:space="0" w:color="auto"/>
            </w:tcBorders>
          </w:tcPr>
          <w:p w:rsidR="005C62CB" w:rsidRPr="00AF2BD1" w:rsidRDefault="005C62CB" w:rsidP="005C62CB">
            <w:pPr>
              <w:jc w:val="center"/>
              <w:cnfStyle w:val="000000000000" w:firstRow="0" w:lastRow="0" w:firstColumn="0" w:lastColumn="0" w:oddVBand="0" w:evenVBand="0" w:oddHBand="0" w:evenHBand="0" w:firstRowFirstColumn="0" w:firstRowLastColumn="0" w:lastRowFirstColumn="0" w:lastRowLastColumn="0"/>
              <w:rPr>
                <w:rStyle w:val="Emphasis"/>
              </w:rPr>
            </w:pPr>
            <w:r w:rsidRPr="00AF2BD1">
              <w:rPr>
                <w:rStyle w:val="Emphasis"/>
              </w:rPr>
              <w:t>4842.5 (4741.0, 4957.0)</w:t>
            </w:r>
          </w:p>
        </w:tc>
      </w:tr>
    </w:tbl>
    <w:p w:rsidR="00EA313F" w:rsidRDefault="00EA313F" w:rsidP="00AF2BD1">
      <w:pPr>
        <w:pStyle w:val="Heading2"/>
      </w:pPr>
    </w:p>
    <w:p w:rsidR="00EA313F" w:rsidRDefault="00EA313F">
      <w:pPr>
        <w:spacing w:before="0" w:after="0"/>
        <w:rPr>
          <w:rFonts w:eastAsiaTheme="majorEastAsia" w:cstheme="majorBidi"/>
          <w:b/>
          <w:color w:val="C77B4A"/>
          <w:sz w:val="28"/>
          <w:szCs w:val="26"/>
        </w:rPr>
      </w:pPr>
      <w:r>
        <w:br w:type="page"/>
      </w:r>
    </w:p>
    <w:p w:rsidR="009E207A" w:rsidRPr="00063EB3" w:rsidRDefault="00063EB3" w:rsidP="00AF2BD1">
      <w:pPr>
        <w:pStyle w:val="Heading2"/>
      </w:pPr>
      <w:r>
        <w:t xml:space="preserve">Impact of community lockdown to augment initial public </w:t>
      </w:r>
      <w:r w:rsidR="00AF2BD1">
        <w:br/>
      </w:r>
      <w:r>
        <w:t>health response</w:t>
      </w:r>
    </w:p>
    <w:p w:rsidR="007247BE" w:rsidRDefault="00901F3B" w:rsidP="00AF2BD1">
      <w:pPr>
        <w:rPr>
          <w:rFonts w:cstheme="minorHAnsi"/>
        </w:rPr>
      </w:pPr>
      <w:r w:rsidRPr="00ED6BCC">
        <w:t>In addition to the above measures, lockdown of non-quarantined households for 14 days in community is a highly effective strategy for epidemic control</w:t>
      </w:r>
      <w:r w:rsidR="00483C91" w:rsidRPr="00ED6BCC">
        <w:t xml:space="preserve"> </w:t>
      </w:r>
      <w:r w:rsidRPr="00ED6BCC">
        <w:t>and reduces overall testing requirements by limiting the likelihood of successive waves of infection.</w:t>
      </w:r>
      <w:r w:rsidRPr="00063EB3">
        <w:rPr>
          <w:rFonts w:cstheme="minorHAnsi"/>
        </w:rPr>
        <w:t xml:space="preserve"> </w:t>
      </w:r>
      <w:r w:rsidR="00C315C2" w:rsidRPr="00ED6BCC">
        <w:t xml:space="preserve">In a </w:t>
      </w:r>
      <w:r w:rsidR="00AF2BD1">
        <w:br/>
      </w:r>
      <w:r w:rsidR="00C315C2" w:rsidRPr="00ED6BCC">
        <w:rPr>
          <w:rFonts w:cstheme="minorHAnsi"/>
        </w:rPr>
        <w:t>community-wide lockdown, we assume that household members mix freely together</w:t>
      </w:r>
      <w:r w:rsidR="007247BE">
        <w:rPr>
          <w:rFonts w:cstheme="minorHAnsi"/>
        </w:rPr>
        <w:t xml:space="preserve"> (unlike quarantined household</w:t>
      </w:r>
      <w:r w:rsidR="00954E3F">
        <w:rPr>
          <w:rFonts w:cstheme="minorHAnsi"/>
        </w:rPr>
        <w:t xml:space="preserve"> member</w:t>
      </w:r>
      <w:r w:rsidR="007247BE">
        <w:rPr>
          <w:rFonts w:cstheme="minorHAnsi"/>
        </w:rPr>
        <w:t>s)</w:t>
      </w:r>
      <w:r w:rsidR="00C315C2" w:rsidRPr="00ED6BCC">
        <w:rPr>
          <w:rFonts w:cstheme="minorHAnsi"/>
        </w:rPr>
        <w:t xml:space="preserve"> but </w:t>
      </w:r>
      <w:r w:rsidR="007247BE">
        <w:rPr>
          <w:rFonts w:cstheme="minorHAnsi"/>
        </w:rPr>
        <w:t xml:space="preserve">do </w:t>
      </w:r>
      <w:r w:rsidR="00C315C2" w:rsidRPr="00ED6BCC">
        <w:rPr>
          <w:rFonts w:cstheme="minorHAnsi"/>
        </w:rPr>
        <w:t xml:space="preserve">not </w:t>
      </w:r>
      <w:r w:rsidR="007247BE">
        <w:rPr>
          <w:rFonts w:cstheme="minorHAnsi"/>
        </w:rPr>
        <w:t xml:space="preserve">associate </w:t>
      </w:r>
      <w:r w:rsidR="00C315C2" w:rsidRPr="00ED6BCC">
        <w:rPr>
          <w:rFonts w:cstheme="minorHAnsi"/>
        </w:rPr>
        <w:t>with others in the community for 14 days</w:t>
      </w:r>
      <w:r w:rsidR="007247BE">
        <w:rPr>
          <w:rFonts w:cstheme="minorHAnsi"/>
        </w:rPr>
        <w:t>.</w:t>
      </w:r>
    </w:p>
    <w:p w:rsidR="007247BE" w:rsidRDefault="007247BE" w:rsidP="00AF2BD1">
      <w:pPr>
        <w:rPr>
          <w:rFonts w:cstheme="minorHAnsi"/>
        </w:rPr>
      </w:pPr>
      <w:r>
        <w:rPr>
          <w:rFonts w:cstheme="minorHAnsi"/>
        </w:rPr>
        <w:t xml:space="preserve">The left panel of Figure 3 reproduces scenarios in the left panel of Figure 2 above, where extended household members are quarantined, with or without </w:t>
      </w:r>
      <w:r w:rsidR="0037080F">
        <w:rPr>
          <w:rFonts w:cstheme="minorHAnsi"/>
        </w:rPr>
        <w:t>clearance</w:t>
      </w:r>
      <w:r>
        <w:rPr>
          <w:rFonts w:cstheme="minorHAnsi"/>
        </w:rPr>
        <w:t xml:space="preserve"> testing. The right panel </w:t>
      </w:r>
      <w:r w:rsidR="00853F89">
        <w:rPr>
          <w:rFonts w:cstheme="minorHAnsi"/>
        </w:rPr>
        <w:t xml:space="preserve">considers the addition of lockdown as an intervention, under alternative </w:t>
      </w:r>
      <w:r w:rsidR="00CC05AF">
        <w:rPr>
          <w:rFonts w:cstheme="minorHAnsi"/>
        </w:rPr>
        <w:t xml:space="preserve">clearance </w:t>
      </w:r>
      <w:r w:rsidR="00853F89">
        <w:rPr>
          <w:rFonts w:cstheme="minorHAnsi"/>
        </w:rPr>
        <w:t xml:space="preserve">testing scenarios. </w:t>
      </w:r>
      <w:r w:rsidR="005C62CB">
        <w:rPr>
          <w:rFonts w:cstheme="minorHAnsi"/>
        </w:rPr>
        <w:t>The synergistic impact of lockdown on epidemic control is clear, as undetected infections occurring in households outside those initially quarantined cannot seed other households over the 14-day period. It is, however, critical to ensure that new infections are not seeded when mixing resumes.</w:t>
      </w:r>
    </w:p>
    <w:p w:rsidR="00B20052" w:rsidRDefault="00B20052" w:rsidP="00B20052">
      <w:r w:rsidRPr="00141762">
        <w:rPr>
          <w:b/>
          <w:bCs/>
          <w:i/>
        </w:rPr>
        <w:t>Figure 3: Impact of community lockdown.</w:t>
      </w:r>
      <w:r w:rsidRPr="00780563">
        <w:t xml:space="preserve"> Epidemic curves for scenarios in which immediate and extended household members of the index case are quarantined and tested, without </w:t>
      </w:r>
      <w:r>
        <w:t xml:space="preserve">lockdown </w:t>
      </w:r>
      <w:r w:rsidRPr="00780563">
        <w:t>(left) or with lockdown (right)</w:t>
      </w:r>
      <w:r>
        <w:t>,</w:t>
      </w:r>
      <w:r w:rsidRPr="00780563">
        <w:t xml:space="preserve"> and under different levels of clearance test.</w:t>
      </w:r>
      <w:r>
        <w:t xml:space="preserve"> </w:t>
      </w:r>
    </w:p>
    <w:p w:rsidR="00342A3D" w:rsidRDefault="0003617B" w:rsidP="00342A3D">
      <w:pPr>
        <w:keepNext/>
      </w:pPr>
      <w:r w:rsidRPr="0003617B">
        <w:rPr>
          <w:noProof/>
          <w:lang w:eastAsia="en-AU"/>
        </w:rPr>
        <w:drawing>
          <wp:inline distT="0" distB="0" distL="0" distR="0" wp14:anchorId="69221309" wp14:editId="401FF9FB">
            <wp:extent cx="2822400" cy="2116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2400" cy="2116800"/>
                    </a:xfrm>
                    <a:prstGeom prst="rect">
                      <a:avLst/>
                    </a:prstGeom>
                    <a:noFill/>
                    <a:ln>
                      <a:noFill/>
                    </a:ln>
                  </pic:spPr>
                </pic:pic>
              </a:graphicData>
            </a:graphic>
          </wp:inline>
        </w:drawing>
      </w:r>
      <w:r w:rsidR="00342A3D" w:rsidRPr="004258FF">
        <w:t xml:space="preserve"> </w:t>
      </w:r>
      <w:r w:rsidR="00B8723D" w:rsidRPr="00B8723D">
        <w:rPr>
          <w:noProof/>
          <w:lang w:eastAsia="en-AU"/>
        </w:rPr>
        <w:drawing>
          <wp:inline distT="0" distB="0" distL="0" distR="0" wp14:anchorId="61891E42" wp14:editId="67B97475">
            <wp:extent cx="2822400" cy="2116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2400" cy="2116800"/>
                    </a:xfrm>
                    <a:prstGeom prst="rect">
                      <a:avLst/>
                    </a:prstGeom>
                    <a:noFill/>
                    <a:ln>
                      <a:noFill/>
                    </a:ln>
                  </pic:spPr>
                </pic:pic>
              </a:graphicData>
            </a:graphic>
          </wp:inline>
        </w:drawing>
      </w:r>
    </w:p>
    <w:p w:rsidR="0067011F" w:rsidRDefault="0067011F" w:rsidP="00AF2BD1">
      <w:r>
        <w:t xml:space="preserve">Table 3 demonstrates the marked impact of lockdown on epidemic control, building on the strategy of quarantining extended households, and comparing clearance testing from quarantine (only) with additional clearance testing from lockdown. </w:t>
      </w:r>
      <w:r w:rsidR="0037080F">
        <w:t>Clearance</w:t>
      </w:r>
      <w:r w:rsidR="00AE2E3B">
        <w:t xml:space="preserve"> testing from quarantine only may be effective, but there is a higher probability that cases may be reseeded into the community resulting in subsequent waves of infection, apparent from the shaded areas in the right panel of figure 3, and the broader range of cases, quarantine days and tests performed in the table below. Definitive control is more likely if </w:t>
      </w:r>
      <w:r w:rsidR="0037080F">
        <w:t>clearance</w:t>
      </w:r>
      <w:r w:rsidR="00AE2E3B">
        <w:t xml:space="preserve"> testing from lockdown is performed (</w:t>
      </w:r>
      <w:r w:rsidR="001E568F">
        <w:t>bottom</w:t>
      </w:r>
      <w:r w:rsidR="00AE2E3B">
        <w:t xml:space="preserve"> row).</w:t>
      </w:r>
    </w:p>
    <w:p w:rsidR="00BC26DC" w:rsidRDefault="00BC26DC">
      <w:pPr>
        <w:spacing w:before="0" w:after="0"/>
        <w:rPr>
          <w:rFonts w:cstheme="minorHAnsi"/>
          <w:b/>
          <w:bCs/>
          <w:i/>
        </w:rPr>
      </w:pPr>
      <w:r>
        <w:rPr>
          <w:rFonts w:cstheme="minorHAnsi"/>
          <w:b/>
          <w:bCs/>
          <w:i/>
        </w:rPr>
        <w:br w:type="page"/>
      </w:r>
    </w:p>
    <w:p w:rsidR="0067011F" w:rsidRPr="00DC50A6" w:rsidRDefault="0067011F" w:rsidP="00AF2BD1">
      <w:pPr>
        <w:rPr>
          <w:rFonts w:cstheme="minorHAnsi"/>
          <w:b/>
          <w:bCs/>
        </w:rPr>
      </w:pPr>
      <w:r w:rsidRPr="00141762">
        <w:rPr>
          <w:rFonts w:cstheme="minorHAnsi"/>
          <w:b/>
          <w:bCs/>
          <w:i/>
        </w:rPr>
        <w:t>Table 3: Impact of lockdown</w:t>
      </w:r>
      <w:r w:rsidRPr="0097197D">
        <w:rPr>
          <w:rFonts w:cstheme="minorHAnsi"/>
          <w:b/>
          <w:bCs/>
        </w:rPr>
        <w:t xml:space="preserve"> </w:t>
      </w:r>
      <w:r w:rsidR="00A23D12">
        <w:rPr>
          <w:rFonts w:cstheme="minorHAnsi"/>
        </w:rPr>
        <w:t xml:space="preserve">- </w:t>
      </w:r>
      <w:r w:rsidR="00A23D12" w:rsidRPr="00A23D12">
        <w:rPr>
          <w:rFonts w:cstheme="minorHAnsi"/>
        </w:rPr>
        <w:t>Ef</w:t>
      </w:r>
      <w:r w:rsidRPr="00A23D12">
        <w:rPr>
          <w:rFonts w:cstheme="minorHAnsi"/>
        </w:rPr>
        <w:t xml:space="preserve">fect </w:t>
      </w:r>
      <w:r w:rsidRPr="007852F7">
        <w:rPr>
          <w:rFonts w:cstheme="minorHAnsi"/>
        </w:rPr>
        <w:t xml:space="preserve">on size of outbreak (total cumulative cases), quarantine person-days, and total tests performed during outbreak. </w:t>
      </w:r>
      <w:r w:rsidR="00C42AED" w:rsidRPr="007852F7">
        <w:rPr>
          <w:rFonts w:cstheme="minorHAnsi"/>
        </w:rPr>
        <w:t>Figures in the table are medians, with interquartile ranges.</w:t>
      </w:r>
    </w:p>
    <w:tbl>
      <w:tblPr>
        <w:tblStyle w:val="ListTable1Light-Accent2"/>
        <w:tblpPr w:leftFromText="181" w:rightFromText="181" w:vertAnchor="text" w:horzAnchor="margin" w:tblpY="-2"/>
        <w:tblW w:w="0" w:type="auto"/>
        <w:tblLook w:val="04A0" w:firstRow="1" w:lastRow="0" w:firstColumn="1" w:lastColumn="0" w:noHBand="0" w:noVBand="1"/>
      </w:tblPr>
      <w:tblGrid>
        <w:gridCol w:w="1719"/>
        <w:gridCol w:w="1310"/>
        <w:gridCol w:w="1310"/>
        <w:gridCol w:w="1313"/>
        <w:gridCol w:w="1310"/>
        <w:gridCol w:w="1310"/>
        <w:gridCol w:w="1313"/>
      </w:tblGrid>
      <w:tr w:rsidR="0067011F" w:rsidRPr="0097197D" w:rsidTr="005F4EA5">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719" w:type="dxa"/>
          </w:tcPr>
          <w:p w:rsidR="0067011F" w:rsidRPr="00EA313F" w:rsidRDefault="0067011F" w:rsidP="0067011F">
            <w:pPr>
              <w:rPr>
                <w:rStyle w:val="Emphasis"/>
              </w:rPr>
            </w:pPr>
            <w:r w:rsidRPr="00EA313F">
              <w:rPr>
                <w:rStyle w:val="Emphasis"/>
              </w:rPr>
              <w:t>Strategy</w:t>
            </w:r>
          </w:p>
        </w:tc>
        <w:tc>
          <w:tcPr>
            <w:tcW w:w="3933" w:type="dxa"/>
            <w:gridSpan w:val="3"/>
          </w:tcPr>
          <w:p w:rsidR="0067011F" w:rsidRPr="00EA313F" w:rsidRDefault="00EA313F" w:rsidP="00EA313F">
            <w:pPr>
              <w:jc w:val="center"/>
              <w:cnfStyle w:val="100000000000" w:firstRow="1" w:lastRow="0" w:firstColumn="0" w:lastColumn="0" w:oddVBand="0" w:evenVBand="0" w:oddHBand="0" w:evenHBand="0" w:firstRowFirstColumn="0" w:firstRowLastColumn="0" w:lastRowFirstColumn="0" w:lastRowLastColumn="0"/>
              <w:rPr>
                <w:rStyle w:val="Emphasis"/>
              </w:rPr>
            </w:pPr>
            <w:r w:rsidRPr="00EA313F">
              <w:rPr>
                <w:rStyle w:val="Emphasis"/>
              </w:rPr>
              <w:t>No lockdown</w:t>
            </w:r>
          </w:p>
        </w:tc>
        <w:tc>
          <w:tcPr>
            <w:tcW w:w="3933" w:type="dxa"/>
            <w:gridSpan w:val="3"/>
          </w:tcPr>
          <w:p w:rsidR="0067011F" w:rsidRPr="00EA313F" w:rsidRDefault="0067011F" w:rsidP="0067011F">
            <w:pPr>
              <w:jc w:val="center"/>
              <w:cnfStyle w:val="100000000000" w:firstRow="1" w:lastRow="0" w:firstColumn="0" w:lastColumn="0" w:oddVBand="0" w:evenVBand="0" w:oddHBand="0" w:evenHBand="0" w:firstRowFirstColumn="0" w:firstRowLastColumn="0" w:lastRowFirstColumn="0" w:lastRowLastColumn="0"/>
              <w:rPr>
                <w:rStyle w:val="Emphasis"/>
              </w:rPr>
            </w:pPr>
            <w:r w:rsidRPr="00EA313F">
              <w:rPr>
                <w:rStyle w:val="Emphasis"/>
              </w:rPr>
              <w:t>Full lockdown</w:t>
            </w:r>
          </w:p>
        </w:tc>
      </w:tr>
      <w:tr w:rsidR="0067011F" w:rsidRPr="0097197D" w:rsidTr="005F4EA5">
        <w:trPr>
          <w:cnfStyle w:val="000000100000" w:firstRow="0" w:lastRow="0" w:firstColumn="0" w:lastColumn="0" w:oddVBand="0" w:evenVBand="0" w:oddHBand="1" w:evenHBand="0" w:firstRowFirstColumn="0" w:firstRowLastColumn="0" w:lastRowFirstColumn="0" w:lastRowLastColumn="0"/>
          <w:trHeight w:val="1334"/>
        </w:trPr>
        <w:tc>
          <w:tcPr>
            <w:cnfStyle w:val="001000000000" w:firstRow="0" w:lastRow="0" w:firstColumn="1" w:lastColumn="0" w:oddVBand="0" w:evenVBand="0" w:oddHBand="0" w:evenHBand="0" w:firstRowFirstColumn="0" w:firstRowLastColumn="0" w:lastRowFirstColumn="0" w:lastRowLastColumn="0"/>
            <w:tcW w:w="1719" w:type="dxa"/>
            <w:shd w:val="clear" w:color="auto" w:fill="auto"/>
          </w:tcPr>
          <w:p w:rsidR="0067011F" w:rsidRPr="00141762" w:rsidRDefault="0067011F" w:rsidP="0067011F">
            <w:pPr>
              <w:rPr>
                <w:rStyle w:val="Emphasis"/>
                <w:b w:val="0"/>
              </w:rPr>
            </w:pPr>
          </w:p>
        </w:tc>
        <w:tc>
          <w:tcPr>
            <w:tcW w:w="1310" w:type="dxa"/>
          </w:tcPr>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Total cumulative cases</w:t>
            </w:r>
          </w:p>
        </w:tc>
        <w:tc>
          <w:tcPr>
            <w:tcW w:w="1310" w:type="dxa"/>
          </w:tcPr>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 xml:space="preserve">Quarantine person-days </w:t>
            </w:r>
            <w:r w:rsidR="00EA313F">
              <w:rPr>
                <w:rStyle w:val="Emphasis"/>
              </w:rPr>
              <w:br/>
            </w:r>
            <w:r w:rsidRPr="00141762">
              <w:rPr>
                <w:rStyle w:val="Emphasis"/>
              </w:rPr>
              <w:t>(first year)</w:t>
            </w:r>
          </w:p>
        </w:tc>
        <w:tc>
          <w:tcPr>
            <w:tcW w:w="1313" w:type="dxa"/>
          </w:tcPr>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Total tests performed during outbreak (first year)</w:t>
            </w:r>
          </w:p>
        </w:tc>
        <w:tc>
          <w:tcPr>
            <w:tcW w:w="1310" w:type="dxa"/>
          </w:tcPr>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Total cumulative cases</w:t>
            </w:r>
          </w:p>
        </w:tc>
        <w:tc>
          <w:tcPr>
            <w:tcW w:w="1310" w:type="dxa"/>
          </w:tcPr>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 xml:space="preserve">Quarantine person-days </w:t>
            </w:r>
            <w:r w:rsidR="00EA313F">
              <w:rPr>
                <w:rStyle w:val="Emphasis"/>
              </w:rPr>
              <w:br/>
            </w:r>
            <w:r w:rsidRPr="00141762">
              <w:rPr>
                <w:rStyle w:val="Emphasis"/>
              </w:rPr>
              <w:t>(first year)</w:t>
            </w:r>
          </w:p>
        </w:tc>
        <w:tc>
          <w:tcPr>
            <w:tcW w:w="1313" w:type="dxa"/>
          </w:tcPr>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Total tests performed during outbreak (first year)</w:t>
            </w:r>
          </w:p>
        </w:tc>
      </w:tr>
      <w:tr w:rsidR="0067011F" w:rsidRPr="0097197D" w:rsidTr="005F4EA5">
        <w:trPr>
          <w:trHeight w:val="1349"/>
        </w:trPr>
        <w:tc>
          <w:tcPr>
            <w:cnfStyle w:val="001000000000" w:firstRow="0" w:lastRow="0" w:firstColumn="1" w:lastColumn="0" w:oddVBand="0" w:evenVBand="0" w:oddHBand="0" w:evenHBand="0" w:firstRowFirstColumn="0" w:firstRowLastColumn="0" w:lastRowFirstColumn="0" w:lastRowLastColumn="0"/>
            <w:tcW w:w="1719" w:type="dxa"/>
          </w:tcPr>
          <w:p w:rsidR="0067011F" w:rsidRPr="00EA313F" w:rsidRDefault="0067011F" w:rsidP="0067011F">
            <w:pPr>
              <w:rPr>
                <w:rStyle w:val="Emphasis"/>
              </w:rPr>
            </w:pPr>
            <w:r w:rsidRPr="00EA313F">
              <w:rPr>
                <w:rStyle w:val="Emphasis"/>
              </w:rPr>
              <w:t>Quarantine of extended (i.e. all) household contacts, with case isolation</w:t>
            </w:r>
          </w:p>
        </w:tc>
        <w:tc>
          <w:tcPr>
            <w:tcW w:w="1310" w:type="dxa"/>
          </w:tcPr>
          <w:p w:rsidR="0067011F" w:rsidRPr="00141762" w:rsidRDefault="0067011F"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831.5 (751.0, 871.0)</w:t>
            </w:r>
          </w:p>
        </w:tc>
        <w:tc>
          <w:tcPr>
            <w:tcW w:w="1310" w:type="dxa"/>
          </w:tcPr>
          <w:p w:rsidR="0067011F" w:rsidRPr="00141762" w:rsidRDefault="0067011F"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86825.0 (70334.5 - 97662.5)</w:t>
            </w:r>
          </w:p>
        </w:tc>
        <w:tc>
          <w:tcPr>
            <w:tcW w:w="1313" w:type="dxa"/>
          </w:tcPr>
          <w:p w:rsidR="0067011F" w:rsidRPr="00141762" w:rsidRDefault="0067011F"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4042.5 (3463 - 4305)</w:t>
            </w:r>
          </w:p>
        </w:tc>
        <w:tc>
          <w:tcPr>
            <w:tcW w:w="1310" w:type="dxa"/>
          </w:tcPr>
          <w:p w:rsidR="0067011F" w:rsidRPr="00141762" w:rsidRDefault="0067011F"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829.0 (712.0, 866.5)</w:t>
            </w:r>
          </w:p>
        </w:tc>
        <w:tc>
          <w:tcPr>
            <w:tcW w:w="1310" w:type="dxa"/>
          </w:tcPr>
          <w:p w:rsidR="0067011F" w:rsidRPr="00141762" w:rsidRDefault="0067011F"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85283.0 (69397.0, 92022.5)</w:t>
            </w:r>
          </w:p>
        </w:tc>
        <w:tc>
          <w:tcPr>
            <w:tcW w:w="1313" w:type="dxa"/>
          </w:tcPr>
          <w:p w:rsidR="0067011F" w:rsidRPr="00141762" w:rsidRDefault="0067011F"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3927.5 (3434.5, 4156.0)</w:t>
            </w:r>
          </w:p>
        </w:tc>
      </w:tr>
      <w:tr w:rsidR="0067011F" w:rsidRPr="0097197D" w:rsidTr="00B20052">
        <w:trPr>
          <w:cnfStyle w:val="000000100000" w:firstRow="0" w:lastRow="0" w:firstColumn="0" w:lastColumn="0" w:oddVBand="0" w:evenVBand="0" w:oddHBand="1" w:evenHBand="0" w:firstRowFirstColumn="0" w:firstRowLastColumn="0" w:lastRowFirstColumn="0" w:lastRowLastColumn="0"/>
          <w:trHeight w:val="1864"/>
        </w:trPr>
        <w:tc>
          <w:tcPr>
            <w:cnfStyle w:val="001000000000" w:firstRow="0" w:lastRow="0" w:firstColumn="1" w:lastColumn="0" w:oddVBand="0" w:evenVBand="0" w:oddHBand="0" w:evenHBand="0" w:firstRowFirstColumn="0" w:firstRowLastColumn="0" w:lastRowFirstColumn="0" w:lastRowLastColumn="0"/>
            <w:tcW w:w="1719" w:type="dxa"/>
          </w:tcPr>
          <w:p w:rsidR="0067011F" w:rsidRPr="00EA313F" w:rsidRDefault="0067011F" w:rsidP="0067011F">
            <w:pPr>
              <w:rPr>
                <w:rStyle w:val="Emphasis"/>
              </w:rPr>
            </w:pPr>
            <w:r w:rsidRPr="00EA313F">
              <w:rPr>
                <w:rStyle w:val="Emphasis"/>
              </w:rPr>
              <w:t>Quarantine of extended household contacts, AND clearance testing for contacts</w:t>
            </w:r>
          </w:p>
        </w:tc>
        <w:tc>
          <w:tcPr>
            <w:tcW w:w="1310" w:type="dxa"/>
          </w:tcPr>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655.0 (267.5, 821.0)</w:t>
            </w:r>
          </w:p>
        </w:tc>
        <w:tc>
          <w:tcPr>
            <w:tcW w:w="1310" w:type="dxa"/>
          </w:tcPr>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50958.0 (13511.5, 67786.0)</w:t>
            </w:r>
          </w:p>
        </w:tc>
        <w:tc>
          <w:tcPr>
            <w:tcW w:w="1313" w:type="dxa"/>
          </w:tcPr>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13551.5 (4929.5, 16729.5)</w:t>
            </w:r>
          </w:p>
        </w:tc>
        <w:tc>
          <w:tcPr>
            <w:tcW w:w="1310" w:type="dxa"/>
          </w:tcPr>
          <w:p w:rsidR="00FA3AC2"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 xml:space="preserve">88.5 </w:t>
            </w:r>
          </w:p>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(20.0, 432.5)</w:t>
            </w:r>
          </w:p>
        </w:tc>
        <w:tc>
          <w:tcPr>
            <w:tcW w:w="1310" w:type="dxa"/>
          </w:tcPr>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5253.5 (1660.5, 24531.0)</w:t>
            </w:r>
          </w:p>
        </w:tc>
        <w:tc>
          <w:tcPr>
            <w:tcW w:w="1313" w:type="dxa"/>
          </w:tcPr>
          <w:p w:rsidR="0067011F" w:rsidRPr="00141762" w:rsidRDefault="0067011F" w:rsidP="0067011F">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1402.0 (344.5, 7564.0)</w:t>
            </w:r>
          </w:p>
        </w:tc>
      </w:tr>
      <w:tr w:rsidR="0067011F" w:rsidRPr="0097197D" w:rsidTr="00B20052">
        <w:trPr>
          <w:trHeight w:val="2137"/>
        </w:trPr>
        <w:tc>
          <w:tcPr>
            <w:cnfStyle w:val="001000000000" w:firstRow="0" w:lastRow="0" w:firstColumn="1" w:lastColumn="0" w:oddVBand="0" w:evenVBand="0" w:oddHBand="0" w:evenHBand="0" w:firstRowFirstColumn="0" w:firstRowLastColumn="0" w:lastRowFirstColumn="0" w:lastRowLastColumn="0"/>
            <w:tcW w:w="1719" w:type="dxa"/>
            <w:tcBorders>
              <w:bottom w:val="single" w:sz="4" w:space="0" w:color="auto"/>
            </w:tcBorders>
          </w:tcPr>
          <w:p w:rsidR="0067011F" w:rsidRPr="00EA313F" w:rsidRDefault="0067011F" w:rsidP="0067011F">
            <w:pPr>
              <w:rPr>
                <w:rStyle w:val="Emphasis"/>
              </w:rPr>
            </w:pPr>
            <w:r w:rsidRPr="00EA313F">
              <w:rPr>
                <w:rStyle w:val="Emphasis"/>
              </w:rPr>
              <w:t>Quarantine of extended i.e. all household contacts AND clearance testing for everyone in lockdown</w:t>
            </w:r>
          </w:p>
        </w:tc>
        <w:tc>
          <w:tcPr>
            <w:tcW w:w="1310" w:type="dxa"/>
            <w:tcBorders>
              <w:bottom w:val="single" w:sz="4" w:space="0" w:color="auto"/>
            </w:tcBorders>
          </w:tcPr>
          <w:p w:rsidR="00B34D05" w:rsidRPr="00141762" w:rsidRDefault="00FA3AC2"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N/A</w:t>
            </w:r>
          </w:p>
        </w:tc>
        <w:tc>
          <w:tcPr>
            <w:tcW w:w="1310" w:type="dxa"/>
            <w:tcBorders>
              <w:bottom w:val="single" w:sz="4" w:space="0" w:color="auto"/>
            </w:tcBorders>
          </w:tcPr>
          <w:p w:rsidR="00B34D05" w:rsidRPr="00141762" w:rsidRDefault="00FA3AC2"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N/A</w:t>
            </w:r>
          </w:p>
        </w:tc>
        <w:tc>
          <w:tcPr>
            <w:tcW w:w="1313" w:type="dxa"/>
            <w:tcBorders>
              <w:bottom w:val="single" w:sz="4" w:space="0" w:color="auto"/>
            </w:tcBorders>
          </w:tcPr>
          <w:p w:rsidR="00B34D05" w:rsidRPr="00141762" w:rsidRDefault="00FA3AC2"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N/A</w:t>
            </w:r>
          </w:p>
        </w:tc>
        <w:tc>
          <w:tcPr>
            <w:tcW w:w="1310" w:type="dxa"/>
            <w:tcBorders>
              <w:bottom w:val="single" w:sz="4" w:space="0" w:color="auto"/>
            </w:tcBorders>
          </w:tcPr>
          <w:p w:rsidR="00FA3AC2" w:rsidRPr="00141762" w:rsidRDefault="0067011F"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 xml:space="preserve">35.0 </w:t>
            </w:r>
          </w:p>
          <w:p w:rsidR="0067011F" w:rsidRPr="00141762" w:rsidRDefault="0067011F"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(9.0, 62.5)</w:t>
            </w:r>
          </w:p>
        </w:tc>
        <w:tc>
          <w:tcPr>
            <w:tcW w:w="1310" w:type="dxa"/>
            <w:tcBorders>
              <w:bottom w:val="single" w:sz="4" w:space="0" w:color="auto"/>
            </w:tcBorders>
          </w:tcPr>
          <w:p w:rsidR="0067011F" w:rsidRPr="00141762" w:rsidRDefault="0067011F"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3469.0 (1431.5, 5602.5)</w:t>
            </w:r>
          </w:p>
        </w:tc>
        <w:tc>
          <w:tcPr>
            <w:tcW w:w="1313" w:type="dxa"/>
            <w:tcBorders>
              <w:bottom w:val="single" w:sz="4" w:space="0" w:color="auto"/>
            </w:tcBorders>
          </w:tcPr>
          <w:p w:rsidR="0067011F" w:rsidRPr="00141762" w:rsidRDefault="0067011F" w:rsidP="0067011F">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2498.0 (2169.5, 2823.5)</w:t>
            </w:r>
          </w:p>
        </w:tc>
      </w:tr>
    </w:tbl>
    <w:p w:rsidR="00D11B1E" w:rsidRDefault="00D11B1E" w:rsidP="00141762"/>
    <w:p w:rsidR="00D11B1E" w:rsidRDefault="00D11B1E">
      <w:pPr>
        <w:spacing w:before="0" w:after="0"/>
      </w:pPr>
      <w:r>
        <w:br w:type="page"/>
      </w:r>
    </w:p>
    <w:p w:rsidR="00853F89" w:rsidRDefault="00853F89" w:rsidP="00141762">
      <w:r>
        <w:t xml:space="preserve">Figure 4 demonstrates the importance of timely outbreak response for epidemic </w:t>
      </w:r>
      <w:r w:rsidR="009E481F">
        <w:t>control</w:t>
      </w:r>
      <w:r>
        <w:t xml:space="preserve">, showing delays to intervention of 2, 4 or 6 days. In the </w:t>
      </w:r>
      <w:r w:rsidR="00663AFE">
        <w:t xml:space="preserve">right </w:t>
      </w:r>
      <w:r>
        <w:t xml:space="preserve">panel lockdown is implemented concurrent with case finding and quarantine, resulting in much improved epidemic control even where there are delays to implementation, compared with the ‘no lockdown’ case. </w:t>
      </w:r>
    </w:p>
    <w:p w:rsidR="00B20052" w:rsidRDefault="00B20052" w:rsidP="00B20052">
      <w:bookmarkStart w:id="0" w:name="_Ref43842626"/>
      <w:r w:rsidRPr="00141762">
        <w:rPr>
          <w:b/>
          <w:bCs/>
          <w:i/>
        </w:rPr>
        <w:t>Figure</w:t>
      </w:r>
      <w:bookmarkEnd w:id="0"/>
      <w:r w:rsidRPr="00141762">
        <w:rPr>
          <w:b/>
          <w:bCs/>
          <w:i/>
        </w:rPr>
        <w:t xml:space="preserve"> 4: Impact of delay between test and response</w:t>
      </w:r>
      <w:r w:rsidRPr="00141762">
        <w:rPr>
          <w:b/>
          <w:i/>
        </w:rPr>
        <w:t>.</w:t>
      </w:r>
      <w:r>
        <w:t xml:space="preserve"> Epidemic curves for a community of 1000 people where the initial outbreak response following identification of the index case is delayed by 2, 4 or 6 days. Contacts are quarantined according to the extended household definition, with entry and clearance testing. Epidemic outcomes are shown without lockdown (left) and with a perfectly applied lockdown at right. </w:t>
      </w:r>
    </w:p>
    <w:p w:rsidR="00780563" w:rsidRDefault="00780563" w:rsidP="00ED6BCC">
      <w:pPr>
        <w:keepNext/>
      </w:pPr>
      <w:r w:rsidRPr="00F44926">
        <w:rPr>
          <w:rFonts w:ascii="Times New Roman" w:eastAsia="Times New Roman" w:hAnsi="Times New Roman" w:cs="Times New Roman"/>
          <w:b/>
          <w:bCs/>
          <w:noProof/>
          <w:color w:val="000000"/>
          <w:lang w:eastAsia="en-AU"/>
        </w:rPr>
        <w:drawing>
          <wp:inline distT="0" distB="0" distL="0" distR="0" wp14:anchorId="38432901" wp14:editId="0388D4A6">
            <wp:extent cx="2822400" cy="211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400" cy="2116800"/>
                    </a:xfrm>
                    <a:prstGeom prst="rect">
                      <a:avLst/>
                    </a:prstGeom>
                    <a:noFill/>
                    <a:ln>
                      <a:noFill/>
                    </a:ln>
                  </pic:spPr>
                </pic:pic>
              </a:graphicData>
            </a:graphic>
          </wp:inline>
        </w:drawing>
      </w:r>
      <w:r w:rsidRPr="00402D0B">
        <w:rPr>
          <w:noProof/>
          <w:lang w:eastAsia="en-AU"/>
        </w:rPr>
        <w:drawing>
          <wp:inline distT="0" distB="0" distL="0" distR="0" wp14:anchorId="33528A25" wp14:editId="008A7CDF">
            <wp:extent cx="2800800" cy="208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800" cy="2080800"/>
                    </a:xfrm>
                    <a:prstGeom prst="rect">
                      <a:avLst/>
                    </a:prstGeom>
                    <a:noFill/>
                    <a:ln>
                      <a:noFill/>
                    </a:ln>
                  </pic:spPr>
                </pic:pic>
              </a:graphicData>
            </a:graphic>
          </wp:inline>
        </w:drawing>
      </w:r>
    </w:p>
    <w:p w:rsidR="00B20052" w:rsidRDefault="00B20052">
      <w:pPr>
        <w:spacing w:before="0" w:after="0"/>
        <w:rPr>
          <w:rFonts w:eastAsiaTheme="majorEastAsia" w:cstheme="majorBidi"/>
          <w:color w:val="C77B4A"/>
          <w:sz w:val="30"/>
          <w:szCs w:val="26"/>
          <w:bdr w:val="none" w:sz="0" w:space="0" w:color="auto" w:frame="1"/>
        </w:rPr>
      </w:pPr>
      <w:r>
        <w:rPr>
          <w:bdr w:val="none" w:sz="0" w:space="0" w:color="auto" w:frame="1"/>
        </w:rPr>
        <w:br w:type="page"/>
      </w:r>
    </w:p>
    <w:p w:rsidR="00483C91" w:rsidRPr="008536CC" w:rsidRDefault="008536CC" w:rsidP="00141762">
      <w:pPr>
        <w:pStyle w:val="Heading2"/>
        <w:rPr>
          <w:bdr w:val="none" w:sz="0" w:space="0" w:color="auto" w:frame="1"/>
        </w:rPr>
      </w:pPr>
      <w:r w:rsidRPr="008536CC">
        <w:rPr>
          <w:bdr w:val="none" w:sz="0" w:space="0" w:color="auto" w:frame="1"/>
        </w:rPr>
        <w:t>C</w:t>
      </w:r>
      <w:r w:rsidR="00901F3B" w:rsidRPr="008536CC">
        <w:rPr>
          <w:bdr w:val="none" w:sz="0" w:space="0" w:color="auto" w:frame="1"/>
        </w:rPr>
        <w:t xml:space="preserve">ompliance </w:t>
      </w:r>
      <w:r w:rsidR="00483C91" w:rsidRPr="008536CC">
        <w:rPr>
          <w:bdr w:val="none" w:sz="0" w:space="0" w:color="auto" w:frame="1"/>
        </w:rPr>
        <w:t xml:space="preserve">with lockdown </w:t>
      </w:r>
      <w:r w:rsidR="00901F3B" w:rsidRPr="008536CC">
        <w:rPr>
          <w:bdr w:val="none" w:sz="0" w:space="0" w:color="auto" w:frame="1"/>
        </w:rPr>
        <w:t xml:space="preserve">must be at least 80-90% </w:t>
      </w:r>
    </w:p>
    <w:p w:rsidR="00D11B1E" w:rsidRDefault="00954E3F" w:rsidP="00D11B1E">
      <w:pPr>
        <w:rPr>
          <w:color w:val="201F1E"/>
        </w:rPr>
      </w:pPr>
      <w:r>
        <w:rPr>
          <w:bdr w:val="none" w:sz="0" w:space="0" w:color="auto" w:frame="1"/>
        </w:rPr>
        <w:t>The effectiveness of lockdown as an intervention is highly contingent upon compliance with community mixing restrictions. ‘Leaky’</w:t>
      </w:r>
      <w:r w:rsidR="00F162E3" w:rsidRPr="00ED6BCC">
        <w:rPr>
          <w:bdr w:val="none" w:sz="0" w:space="0" w:color="auto" w:frame="1"/>
        </w:rPr>
        <w:t xml:space="preserve"> lockdowns will lead to a loss of</w:t>
      </w:r>
      <w:r w:rsidR="00901F3B" w:rsidRPr="00ED6BCC">
        <w:rPr>
          <w:bdr w:val="none" w:sz="0" w:space="0" w:color="auto" w:frame="1"/>
        </w:rPr>
        <w:t xml:space="preserve"> epidemic control</w:t>
      </w:r>
      <w:r w:rsidR="00F162E3" w:rsidRPr="00ED6BCC">
        <w:rPr>
          <w:bdr w:val="none" w:sz="0" w:space="0" w:color="auto" w:frame="1"/>
        </w:rPr>
        <w:t xml:space="preserve">, </w:t>
      </w:r>
      <w:r w:rsidR="00901F3B" w:rsidRPr="00ED6BCC">
        <w:rPr>
          <w:bdr w:val="none" w:sz="0" w:space="0" w:color="auto" w:frame="1"/>
        </w:rPr>
        <w:t>with almost no benefit observed in communities of 1,000 or more people</w:t>
      </w:r>
      <w:r w:rsidR="004C085F">
        <w:rPr>
          <w:bdr w:val="none" w:sz="0" w:space="0" w:color="auto" w:frame="1"/>
        </w:rPr>
        <w:t xml:space="preserve"> when compliance </w:t>
      </w:r>
      <w:r w:rsidR="001A4245">
        <w:rPr>
          <w:bdr w:val="none" w:sz="0" w:space="0" w:color="auto" w:frame="1"/>
        </w:rPr>
        <w:t>is less than 80%</w:t>
      </w:r>
      <w:r w:rsidR="00F162E3" w:rsidRPr="00ED6BCC">
        <w:rPr>
          <w:color w:val="201F1E"/>
        </w:rPr>
        <w:t xml:space="preserve">, as demonstrated in Figure </w:t>
      </w:r>
      <w:r w:rsidR="005C62CB">
        <w:rPr>
          <w:color w:val="201F1E"/>
        </w:rPr>
        <w:t>5</w:t>
      </w:r>
      <w:r w:rsidR="00F162E3" w:rsidRPr="00ED6BCC">
        <w:rPr>
          <w:color w:val="201F1E"/>
        </w:rPr>
        <w:t xml:space="preserve">, below. </w:t>
      </w:r>
    </w:p>
    <w:p w:rsidR="00B20052" w:rsidRDefault="00B20052" w:rsidP="00B20052">
      <w:r w:rsidRPr="00141762">
        <w:rPr>
          <w:b/>
          <w:bCs/>
          <w:i/>
        </w:rPr>
        <w:t>Figure 5: Impact of compliance with lockdown.</w:t>
      </w:r>
      <w:r>
        <w:rPr>
          <w:b/>
          <w:bCs/>
        </w:rPr>
        <w:t xml:space="preserve"> </w:t>
      </w:r>
      <w:r w:rsidRPr="00780563">
        <w:t>Epidemic curves for scenarios in which immediate and extended household members of the index case are quarantined and tested, with various level</w:t>
      </w:r>
      <w:r>
        <w:t xml:space="preserve">s </w:t>
      </w:r>
      <w:r w:rsidRPr="00780563">
        <w:t xml:space="preserve">of </w:t>
      </w:r>
      <w:r>
        <w:t xml:space="preserve">individual </w:t>
      </w:r>
      <w:r w:rsidRPr="00780563">
        <w:t xml:space="preserve">compliance </w:t>
      </w:r>
      <w:r>
        <w:t>with</w:t>
      </w:r>
      <w:r w:rsidRPr="00780563">
        <w:t xml:space="preserve"> </w:t>
      </w:r>
      <w:r>
        <w:t xml:space="preserve">community </w:t>
      </w:r>
      <w:r w:rsidRPr="00780563">
        <w:t>lockdown. All individuals in isolation/quarantine/lockdown are subject to clearance testing.</w:t>
      </w:r>
      <w:r>
        <w:t xml:space="preserve"> Multiple waves of reseeding and infection are observed if compliance is less than 80%, simulated at the level of the individual.</w:t>
      </w:r>
    </w:p>
    <w:p w:rsidR="00780563" w:rsidRDefault="00780563" w:rsidP="00D11B1E">
      <w:pPr>
        <w:jc w:val="center"/>
      </w:pPr>
      <w:r w:rsidRPr="00F75240">
        <w:rPr>
          <w:noProof/>
          <w:lang w:eastAsia="en-AU"/>
        </w:rPr>
        <w:drawing>
          <wp:inline distT="0" distB="0" distL="0" distR="0" wp14:anchorId="6C890F69" wp14:editId="2B14FA2E">
            <wp:extent cx="4150646" cy="311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4952" cy="3114728"/>
                    </a:xfrm>
                    <a:prstGeom prst="rect">
                      <a:avLst/>
                    </a:prstGeom>
                    <a:noFill/>
                    <a:ln>
                      <a:noFill/>
                    </a:ln>
                  </pic:spPr>
                </pic:pic>
              </a:graphicData>
            </a:graphic>
          </wp:inline>
        </w:drawing>
      </w:r>
    </w:p>
    <w:p w:rsidR="00954E3F" w:rsidRPr="009174D7" w:rsidRDefault="00954E3F" w:rsidP="00141762">
      <w:pPr>
        <w:pStyle w:val="Heading2"/>
      </w:pPr>
      <w:r>
        <w:t>Impact of community size on model findings</w:t>
      </w:r>
    </w:p>
    <w:p w:rsidR="00954E3F" w:rsidRDefault="00954E3F" w:rsidP="00141762">
      <w:r>
        <w:t>The findings reported for a community of size 1,000 are generally applicable to the other population sizes investigated, with some caveats (</w:t>
      </w:r>
      <w:r w:rsidR="00873B8D">
        <w:t>Figure 6)</w:t>
      </w:r>
      <w:r w:rsidR="00520113">
        <w:t>.</w:t>
      </w:r>
      <w:r w:rsidR="005C62CB">
        <w:t xml:space="preserve"> The greatest benefits of lockdown are observed in a community of 3,500 people, where the larger population size provides greater potential for repeated cycles of infection as individuals are released from quarantine and normal community mixing resumes. As for a community of 1,000 however, this impact is contingent on a high degree of compliance with movement restrictions. </w:t>
      </w:r>
    </w:p>
    <w:p w:rsidR="00D11B1E" w:rsidRDefault="00520113" w:rsidP="00141762">
      <w:r>
        <w:t>I</w:t>
      </w:r>
      <w:r w:rsidR="00954E3F">
        <w:t>n small communities of 100</w:t>
      </w:r>
      <w:r>
        <w:t>-500</w:t>
      </w:r>
      <w:r w:rsidR="00954E3F">
        <w:t xml:space="preserve"> people, a large proportion of the population is likely to be interconnected through household membership</w:t>
      </w:r>
      <w:r>
        <w:t xml:space="preserve">. A contact definition based on households results in most of the community being quarantined, so the additional benefit of lockdown is </w:t>
      </w:r>
      <w:r w:rsidR="005C62CB">
        <w:t xml:space="preserve">more </w:t>
      </w:r>
      <w:r>
        <w:t>modest in a community of 500 and negligible in a very small community of 100. However, if social contacts over the preceding 48 hours are the basis of the contact definition, far fewer people are immediately quarantined,</w:t>
      </w:r>
      <w:r w:rsidR="00D306B1">
        <w:t xml:space="preserve"> so</w:t>
      </w:r>
      <w:r>
        <w:t xml:space="preserve"> lockdowns </w:t>
      </w:r>
      <w:r w:rsidR="00D306B1">
        <w:t xml:space="preserve">will </w:t>
      </w:r>
      <w:r>
        <w:t xml:space="preserve">have substantial benefit and more families can remain in contact with each other </w:t>
      </w:r>
      <w:r w:rsidR="009E481F">
        <w:t>in the</w:t>
      </w:r>
      <w:r>
        <w:t xml:space="preserve"> community rather than being quarantined separately elsewhere.  </w:t>
      </w:r>
    </w:p>
    <w:p w:rsidR="00B20052" w:rsidRPr="00873B8D" w:rsidRDefault="00B20052" w:rsidP="00B20052">
      <w:r w:rsidRPr="00141762">
        <w:rPr>
          <w:b/>
          <w:bCs/>
          <w:i/>
        </w:rPr>
        <w:t>Figure 6: Impact of lockdown by community size, comparing 100, 500, 1,000 and 3,500 person communities.</w:t>
      </w:r>
      <w:r>
        <w:rPr>
          <w:b/>
          <w:bCs/>
        </w:rPr>
        <w:t xml:space="preserve"> </w:t>
      </w:r>
      <w:r w:rsidRPr="00780563">
        <w:t xml:space="preserve">Epidemic curves </w:t>
      </w:r>
      <w:r>
        <w:t xml:space="preserve">shown are </w:t>
      </w:r>
      <w:r w:rsidRPr="00780563">
        <w:t xml:space="preserve">for scenarios in which immediate and extended household members of the index case are quarantined and tested, </w:t>
      </w:r>
      <w:r>
        <w:t xml:space="preserve">with or without lockdown achieved with 50% or 100% compliance. In smaller communities of size 100 or 500, immediate quarantine of closely interconnected households means that relatively few are left to ‘lock down’ resulting in no (community size 100) or modest (community size 500) benefits of this additional intervention. Clear benefits of well applied lockdowns are seen in larger communities where there is potential for multiple reseeding of infection after the initial outbreak response.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73B8D" w:rsidTr="00873B8D">
        <w:tc>
          <w:tcPr>
            <w:tcW w:w="4814" w:type="dxa"/>
          </w:tcPr>
          <w:p w:rsidR="00873B8D" w:rsidRDefault="00A93F18" w:rsidP="00A93F18">
            <w:pPr>
              <w:jc w:val="center"/>
              <w:rPr>
                <w:rFonts w:cstheme="minorHAnsi"/>
              </w:rPr>
            </w:pPr>
            <w:r w:rsidRPr="00A93F18">
              <w:rPr>
                <w:rFonts w:cstheme="minorHAnsi"/>
                <w:noProof/>
                <w:lang w:eastAsia="en-AU"/>
              </w:rPr>
              <w:drawing>
                <wp:inline distT="0" distB="0" distL="0" distR="0" wp14:anchorId="0B1C1190" wp14:editId="2A8F96EB">
                  <wp:extent cx="2664000" cy="19980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4000" cy="1998000"/>
                          </a:xfrm>
                          <a:prstGeom prst="rect">
                            <a:avLst/>
                          </a:prstGeom>
                          <a:noFill/>
                          <a:ln>
                            <a:noFill/>
                          </a:ln>
                        </pic:spPr>
                      </pic:pic>
                    </a:graphicData>
                  </a:graphic>
                </wp:inline>
              </w:drawing>
            </w:r>
          </w:p>
        </w:tc>
        <w:tc>
          <w:tcPr>
            <w:tcW w:w="4814" w:type="dxa"/>
          </w:tcPr>
          <w:p w:rsidR="00873B8D" w:rsidRDefault="008973C2">
            <w:pPr>
              <w:rPr>
                <w:rFonts w:cstheme="minorHAnsi"/>
              </w:rPr>
            </w:pPr>
            <w:r w:rsidRPr="008973C2">
              <w:rPr>
                <w:rFonts w:cstheme="minorHAnsi"/>
                <w:noProof/>
                <w:lang w:eastAsia="en-AU"/>
              </w:rPr>
              <w:drawing>
                <wp:inline distT="0" distB="0" distL="0" distR="0" wp14:anchorId="1EAF45F3" wp14:editId="5331774D">
                  <wp:extent cx="2664000" cy="19980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4000" cy="1998000"/>
                          </a:xfrm>
                          <a:prstGeom prst="rect">
                            <a:avLst/>
                          </a:prstGeom>
                          <a:noFill/>
                          <a:ln>
                            <a:noFill/>
                          </a:ln>
                        </pic:spPr>
                      </pic:pic>
                    </a:graphicData>
                  </a:graphic>
                </wp:inline>
              </w:drawing>
            </w:r>
          </w:p>
        </w:tc>
      </w:tr>
      <w:tr w:rsidR="00873B8D" w:rsidTr="00873B8D">
        <w:tc>
          <w:tcPr>
            <w:tcW w:w="4814" w:type="dxa"/>
          </w:tcPr>
          <w:p w:rsidR="00873B8D" w:rsidRDefault="008973C2">
            <w:pPr>
              <w:rPr>
                <w:rFonts w:cstheme="minorHAnsi"/>
              </w:rPr>
            </w:pPr>
            <w:r w:rsidRPr="008973C2">
              <w:rPr>
                <w:rFonts w:cstheme="minorHAnsi"/>
                <w:noProof/>
                <w:lang w:eastAsia="en-AU"/>
              </w:rPr>
              <w:drawing>
                <wp:inline distT="0" distB="0" distL="0" distR="0" wp14:anchorId="5236A790" wp14:editId="2BB29D4D">
                  <wp:extent cx="2664000" cy="199800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000" cy="1998000"/>
                          </a:xfrm>
                          <a:prstGeom prst="rect">
                            <a:avLst/>
                          </a:prstGeom>
                          <a:noFill/>
                          <a:ln>
                            <a:noFill/>
                          </a:ln>
                        </pic:spPr>
                      </pic:pic>
                    </a:graphicData>
                  </a:graphic>
                </wp:inline>
              </w:drawing>
            </w:r>
          </w:p>
        </w:tc>
        <w:tc>
          <w:tcPr>
            <w:tcW w:w="4814" w:type="dxa"/>
          </w:tcPr>
          <w:p w:rsidR="00873B8D" w:rsidRDefault="008973C2">
            <w:pPr>
              <w:rPr>
                <w:rFonts w:cstheme="minorHAnsi"/>
              </w:rPr>
            </w:pPr>
            <w:r w:rsidRPr="008973C2">
              <w:rPr>
                <w:rFonts w:cstheme="minorHAnsi"/>
                <w:noProof/>
                <w:lang w:eastAsia="en-AU"/>
              </w:rPr>
              <w:drawing>
                <wp:inline distT="0" distB="0" distL="0" distR="0" wp14:anchorId="79E20A13" wp14:editId="49D8DE14">
                  <wp:extent cx="2664000" cy="199800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4000" cy="1998000"/>
                          </a:xfrm>
                          <a:prstGeom prst="rect">
                            <a:avLst/>
                          </a:prstGeom>
                          <a:noFill/>
                          <a:ln>
                            <a:noFill/>
                          </a:ln>
                        </pic:spPr>
                      </pic:pic>
                    </a:graphicData>
                  </a:graphic>
                </wp:inline>
              </w:drawing>
            </w:r>
          </w:p>
        </w:tc>
      </w:tr>
    </w:tbl>
    <w:p w:rsidR="00984119" w:rsidRDefault="00984119" w:rsidP="00F82A4A">
      <w:pPr>
        <w:jc w:val="center"/>
        <w:rPr>
          <w:sz w:val="22"/>
          <w:szCs w:val="22"/>
        </w:rPr>
      </w:pPr>
    </w:p>
    <w:p w:rsidR="00984119" w:rsidRDefault="00984119">
      <w:pPr>
        <w:rPr>
          <w:sz w:val="22"/>
          <w:szCs w:val="22"/>
        </w:rPr>
      </w:pPr>
      <w:r>
        <w:rPr>
          <w:sz w:val="22"/>
          <w:szCs w:val="22"/>
        </w:rPr>
        <w:br w:type="page"/>
      </w:r>
    </w:p>
    <w:p w:rsidR="00ED0B76" w:rsidRPr="008A5707" w:rsidRDefault="00ED0B76" w:rsidP="00141762">
      <w:pPr>
        <w:pStyle w:val="Title"/>
      </w:pPr>
      <w:r w:rsidRPr="008A5707">
        <w:t>TECHNICAL APPENDIX</w:t>
      </w:r>
    </w:p>
    <w:p w:rsidR="005E184A" w:rsidRPr="00904E35" w:rsidRDefault="005E184A" w:rsidP="00141762">
      <w:pPr>
        <w:pStyle w:val="Heading1"/>
        <w:rPr>
          <w:color w:val="FF0000"/>
        </w:rPr>
      </w:pPr>
      <w:r w:rsidRPr="008C002E">
        <w:t>Model</w:t>
      </w:r>
      <w:r>
        <w:t xml:space="preserve"> framework and assumptions</w:t>
      </w:r>
      <w:r w:rsidRPr="008C002E">
        <w:t xml:space="preserve"> </w:t>
      </w:r>
    </w:p>
    <w:p w:rsidR="005E184A" w:rsidRPr="00ED6BCC" w:rsidRDefault="005E184A" w:rsidP="00141762">
      <w:pPr>
        <w:pStyle w:val="Heading2"/>
      </w:pPr>
      <w:r w:rsidRPr="00ED6BCC">
        <w:t>Population</w:t>
      </w:r>
      <w:r>
        <w:t xml:space="preserve"> m</w:t>
      </w:r>
      <w:r w:rsidRPr="00ED6BCC">
        <w:t>odel</w:t>
      </w:r>
    </w:p>
    <w:p w:rsidR="005E184A" w:rsidRPr="00141762" w:rsidRDefault="005E184A" w:rsidP="00141762">
      <w:r w:rsidRPr="00141762">
        <w:t>We use an individual-based model to explicitly represent each member of remote communities of different sizes, comprising 100, 500, 1,000 or 3,500 people, as representative of remote communities across northern Australian jurisdictions. This report focuses on communities of size 1,000 and notes key differences associated with population size. The model population comprises individuals aged 0-80 years, with the age, infection status and physical location of individuals tracked and updated daily. Individuals with the same home location are grouped into households. Contacts within households occur more frequently and infection is transmitted more easily. Each individual is recognised to have close family connections across a total of three households, between which their time is distributed as follows: main household (core) 66% of the time, second household (regular) 23% of the time, and third household (on/off) 9% of the time. Their remaining time (i.e. 2%) is spent at a randomly allocated household at the start of each times step. Contact (leading to transmission of infection) is also possible among individuals who are not in the same household (community contact) but in the same geographic location. Household distribution and contact rates are summarised in Table A1.</w:t>
      </w:r>
    </w:p>
    <w:p w:rsidR="005E184A" w:rsidRPr="00141762" w:rsidRDefault="005E184A" w:rsidP="00141762">
      <w:pPr>
        <w:rPr>
          <w:b/>
          <w:bCs/>
          <w:i/>
          <w:iCs/>
          <w:color w:val="auto"/>
        </w:rPr>
      </w:pPr>
      <w:r w:rsidRPr="00141762">
        <w:rPr>
          <w:b/>
          <w:bCs/>
          <w:i/>
          <w:iCs/>
          <w:color w:val="auto"/>
        </w:rPr>
        <w:t>Table A1: Household size and contact rate. The two right-hand columns show the proportion of the population having the specified number of non-household contacts for regional and remote communities</w:t>
      </w:r>
    </w:p>
    <w:tbl>
      <w:tblPr>
        <w:tblStyle w:val="ListTable1Light-Accent2"/>
        <w:tblW w:w="9852" w:type="dxa"/>
        <w:tblLook w:val="04A0" w:firstRow="1" w:lastRow="0" w:firstColumn="1" w:lastColumn="0" w:noHBand="0" w:noVBand="1"/>
      </w:tblPr>
      <w:tblGrid>
        <w:gridCol w:w="2724"/>
        <w:gridCol w:w="1920"/>
        <w:gridCol w:w="1920"/>
        <w:gridCol w:w="1800"/>
        <w:gridCol w:w="1488"/>
      </w:tblGrid>
      <w:tr w:rsidR="005E184A" w:rsidRPr="00141762" w:rsidTr="005F4EA5">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24" w:type="dxa"/>
          </w:tcPr>
          <w:p w:rsidR="005E184A" w:rsidRPr="00BC26DC" w:rsidRDefault="005E184A" w:rsidP="00FE63DA">
            <w:pPr>
              <w:rPr>
                <w:rStyle w:val="Emphasis"/>
              </w:rPr>
            </w:pPr>
            <w:r w:rsidRPr="00BC26DC">
              <w:rPr>
                <w:rStyle w:val="Emphasis"/>
              </w:rPr>
              <w:t>Parameter</w:t>
            </w:r>
          </w:p>
        </w:tc>
        <w:tc>
          <w:tcPr>
            <w:tcW w:w="5640" w:type="dxa"/>
            <w:gridSpan w:val="3"/>
          </w:tcPr>
          <w:p w:rsidR="005E184A" w:rsidRPr="00BC26DC" w:rsidRDefault="005E184A" w:rsidP="00FE63DA">
            <w:pPr>
              <w:cnfStyle w:val="100000000000" w:firstRow="1" w:lastRow="0" w:firstColumn="0" w:lastColumn="0" w:oddVBand="0" w:evenVBand="0" w:oddHBand="0" w:evenHBand="0" w:firstRowFirstColumn="0" w:firstRowLastColumn="0" w:lastRowFirstColumn="0" w:lastRowLastColumn="0"/>
              <w:rPr>
                <w:rStyle w:val="Emphasis"/>
              </w:rPr>
            </w:pPr>
            <w:r w:rsidRPr="00BC26DC">
              <w:rPr>
                <w:rStyle w:val="Emphasis"/>
              </w:rPr>
              <w:t>Value</w:t>
            </w:r>
          </w:p>
        </w:tc>
        <w:tc>
          <w:tcPr>
            <w:tcW w:w="1488" w:type="dxa"/>
          </w:tcPr>
          <w:p w:rsidR="005E184A" w:rsidRPr="00BC26DC" w:rsidRDefault="005E184A" w:rsidP="00FE63DA">
            <w:pPr>
              <w:cnfStyle w:val="100000000000" w:firstRow="1" w:lastRow="0" w:firstColumn="0" w:lastColumn="0" w:oddVBand="0" w:evenVBand="0" w:oddHBand="0" w:evenHBand="0" w:firstRowFirstColumn="0" w:firstRowLastColumn="0" w:lastRowFirstColumn="0" w:lastRowLastColumn="0"/>
              <w:rPr>
                <w:rStyle w:val="Emphasis"/>
              </w:rPr>
            </w:pPr>
            <w:r w:rsidRPr="00BC26DC">
              <w:rPr>
                <w:rStyle w:val="Emphasis"/>
              </w:rPr>
              <w:t>Source</w:t>
            </w:r>
          </w:p>
        </w:tc>
      </w:tr>
      <w:tr w:rsidR="005E184A" w:rsidRPr="00141762" w:rsidTr="005F4EA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724" w:type="dxa"/>
          </w:tcPr>
          <w:p w:rsidR="005E184A" w:rsidRPr="00141762" w:rsidRDefault="005E184A" w:rsidP="001657D4">
            <w:pPr>
              <w:spacing w:after="0"/>
              <w:rPr>
                <w:rStyle w:val="Emphasis"/>
              </w:rPr>
            </w:pPr>
            <w:r w:rsidRPr="00141762">
              <w:rPr>
                <w:rStyle w:val="Emphasis"/>
              </w:rPr>
              <w:t>Size of household (mean)</w:t>
            </w:r>
          </w:p>
        </w:tc>
        <w:tc>
          <w:tcPr>
            <w:tcW w:w="5640" w:type="dxa"/>
            <w:gridSpan w:val="3"/>
          </w:tcPr>
          <w:p w:rsidR="005E184A" w:rsidRPr="00141762" w:rsidRDefault="005E184A" w:rsidP="001657D4">
            <w:pPr>
              <w:spacing w:after="0"/>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Regional = 4.5, Remote = 7.7</w:t>
            </w:r>
          </w:p>
        </w:tc>
        <w:tc>
          <w:tcPr>
            <w:tcW w:w="1488" w:type="dxa"/>
            <w:vAlign w:val="center"/>
          </w:tcPr>
          <w:p w:rsidR="005E184A" w:rsidRPr="00141762" w:rsidRDefault="005E184A" w:rsidP="001657D4">
            <w:pPr>
              <w:spacing w:after="0"/>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fldChar w:fldCharType="begin"/>
            </w:r>
            <w:r w:rsidRPr="00141762">
              <w:rPr>
                <w:rStyle w:val="Emphasis"/>
              </w:rPr>
              <w:instrText xml:space="preserve"> ADDIN EN.CITE &lt;EndNote&gt;&lt;Cite&gt;&lt;Author&gt;Bailie&lt;/Author&gt;&lt;Year&gt;2006&lt;/Year&gt;&lt;RecNum&gt;6703&lt;/RecNum&gt;&lt;DisplayText&gt;[1]&lt;/DisplayText&gt;&lt;record&gt;&lt;rec-number&gt;6703&lt;/rec-number&gt;&lt;foreign-keys&gt;&lt;key app="EN" db-id="2arzpv9pv25wrded5p0p0xfosad09td55r0p" timestamp="1585033944" guid="70f39809-1e85-41e3-8905-dd502dbf8ae5"&gt;6703&lt;/key&gt;&lt;/foreign-keys&gt;&lt;ref-type name="Journal Article"&gt;17&lt;/ref-type&gt;&lt;contributors&gt;&lt;authors&gt;&lt;author&gt;Bailie, R. S.&lt;/author&gt;&lt;author&gt;Wayte, K. J.&lt;/author&gt;&lt;/authors&gt;&lt;/contributors&gt;&lt;auth-address&gt;Menzies School of Health Research, Casuarina, Northern Territory 0810, Australia.&lt;/auth-address&gt;&lt;titles&gt;&lt;title&gt;Housing and health in Indigenous communities: key issues for housing and health improvement in remote Aboriginal and Torres Strait Islander communities&lt;/title&gt;&lt;secondary-title&gt;Aust J Rural Health&lt;/secondary-title&gt;&lt;/titles&gt;&lt;periodical&gt;&lt;full-title&gt;The Australian journal of rural health&lt;/full-title&gt;&lt;abbr-1&gt;Aust J Rural Health&lt;/abbr-1&gt;&lt;/periodical&gt;&lt;pages&gt;178-83&lt;/pages&gt;&lt;volume&gt;14&lt;/volume&gt;&lt;number&gt;5&lt;/number&gt;&lt;edition&gt;2006/10/13&lt;/edition&gt;&lt;keywords&gt;&lt;keyword&gt;*Attitude to Health&lt;/keyword&gt;&lt;keyword&gt;Australia&lt;/keyword&gt;&lt;keyword&gt;Catchment Area, Health&lt;/keyword&gt;&lt;keyword&gt;Cultural Characteristics&lt;/keyword&gt;&lt;keyword&gt;Health Services, Indigenous/*organization &amp;amp; administration&lt;/keyword&gt;&lt;keyword&gt;*Health Status&lt;/keyword&gt;&lt;keyword&gt;*Housing&lt;/keyword&gt;&lt;keyword&gt;Humans&lt;/keyword&gt;&lt;keyword&gt;Needs Assessment/organization &amp;amp; administration&lt;/keyword&gt;&lt;keyword&gt;*Oceanic Ancestry Group&lt;/keyword&gt;&lt;keyword&gt;Rural Health Services/organization &amp;amp; administration&lt;/keyword&gt;&lt;/keywords&gt;&lt;dates&gt;&lt;year&gt;2006&lt;/year&gt;&lt;pub-dates&gt;&lt;date&gt;Oct&lt;/date&gt;&lt;/pub-dates&gt;&lt;/dates&gt;&lt;isbn&gt;1038-5282 (Print)&amp;#xD;1038-5282 (Linking)&lt;/isbn&gt;&lt;accession-num&gt;17032292&lt;/accession-num&gt;&lt;urls&gt;&lt;related-urls&gt;&lt;url&gt;https://www.ncbi.nlm.nih.gov/pubmed/17032292&lt;/url&gt;&lt;/related-urls&gt;&lt;/urls&gt;&lt;electronic-resource-num&gt;10.1111/j.1440-1584.2006.00804.x&lt;/electronic-resource-num&gt;&lt;/record&gt;&lt;/Cite&gt;&lt;/EndNote&gt;</w:instrText>
            </w:r>
            <w:r w:rsidRPr="00141762">
              <w:rPr>
                <w:rStyle w:val="Emphasis"/>
              </w:rPr>
              <w:fldChar w:fldCharType="separate"/>
            </w:r>
            <w:r w:rsidRPr="00141762">
              <w:rPr>
                <w:rStyle w:val="Emphasis"/>
              </w:rPr>
              <w:t>[1]</w:t>
            </w:r>
            <w:r w:rsidRPr="00141762">
              <w:rPr>
                <w:rStyle w:val="Emphasis"/>
              </w:rPr>
              <w:fldChar w:fldCharType="end"/>
            </w:r>
          </w:p>
        </w:tc>
      </w:tr>
      <w:tr w:rsidR="005E184A" w:rsidRPr="00141762" w:rsidTr="005F4EA5">
        <w:trPr>
          <w:trHeight w:val="1326"/>
        </w:trPr>
        <w:tc>
          <w:tcPr>
            <w:cnfStyle w:val="001000000000" w:firstRow="0" w:lastRow="0" w:firstColumn="1" w:lastColumn="0" w:oddVBand="0" w:evenVBand="0" w:oddHBand="0" w:evenHBand="0" w:firstRowFirstColumn="0" w:firstRowLastColumn="0" w:lastRowFirstColumn="0" w:lastRowLastColumn="0"/>
            <w:tcW w:w="2724" w:type="dxa"/>
          </w:tcPr>
          <w:p w:rsidR="005E184A" w:rsidRPr="00141762" w:rsidRDefault="005E184A" w:rsidP="00FE63DA">
            <w:pPr>
              <w:rPr>
                <w:rStyle w:val="Emphasis"/>
              </w:rPr>
            </w:pPr>
            <w:r w:rsidRPr="00141762">
              <w:rPr>
                <w:rStyle w:val="Emphasis"/>
              </w:rPr>
              <w:t xml:space="preserve">Household distribution </w:t>
            </w:r>
          </w:p>
        </w:tc>
        <w:tc>
          <w:tcPr>
            <w:tcW w:w="5640" w:type="dxa"/>
            <w:gridSpan w:val="3"/>
          </w:tcPr>
          <w:p w:rsidR="005E184A" w:rsidRPr="00141762" w:rsidRDefault="005E184A" w:rsidP="00FE63DA">
            <w:pP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 xml:space="preserve">Individuals stay at main household (core) 66% of the time, second household (regular) 23% of the time, third household (on/off) 9% of the time, and spend their remaining time (i.e. 2%) at a randomly allocated household </w:t>
            </w:r>
          </w:p>
        </w:tc>
        <w:tc>
          <w:tcPr>
            <w:tcW w:w="1488" w:type="dxa"/>
            <w:vAlign w:val="center"/>
          </w:tcPr>
          <w:p w:rsidR="005E184A" w:rsidRPr="00141762" w:rsidRDefault="005E184A" w:rsidP="001657D4">
            <w:pPr>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fldChar w:fldCharType="begin"/>
            </w:r>
            <w:r w:rsidRPr="00141762">
              <w:rPr>
                <w:rStyle w:val="Emphasis"/>
              </w:rPr>
              <w:instrText xml:space="preserve"> ADDIN EN.CITE &lt;EndNote&gt;&lt;Cite&gt;&lt;Author&gt;Musharbash&lt;/Author&gt;&lt;Year&gt;2008&lt;/Year&gt;&lt;RecNum&gt;6745&lt;/RecNum&gt;&lt;DisplayText&gt;[2]&lt;/DisplayText&gt;&lt;record&gt;&lt;rec-number&gt;6745&lt;/rec-number&gt;&lt;foreign-keys&gt;&lt;key app="EN" db-id="2arzpv9pv25wrded5p0p0xfosad09td55r0p" timestamp="1587099429" guid="7015a117-7e2e-47f4-b07e-193ba4ccec7c"&gt;6745&lt;/key&gt;&lt;/foreign-keys&gt;&lt;ref-type name="Book"&gt;6&lt;/ref-type&gt;&lt;contributors&gt;&lt;authors&gt;&lt;author&gt;Musharbash, Yasmine&lt;/author&gt;&lt;/authors&gt;&lt;/contributors&gt;&lt;titles&gt;&lt;title&gt;Yuendumu Everyday: Contemporary life in remote Aboriginal Australia&lt;/title&gt;&lt;/titles&gt;&lt;dates&gt;&lt;year&gt;2008&lt;/year&gt;&lt;/dates&gt;&lt;publisher&gt;Aboriginal Studies Press;&lt;/publisher&gt;&lt;isbn&gt;9780855756611&lt;/isbn&gt;&lt;urls&gt;&lt;/urls&gt;&lt;/record&gt;&lt;/Cite&gt;&lt;/EndNote&gt;</w:instrText>
            </w:r>
            <w:r w:rsidRPr="00141762">
              <w:rPr>
                <w:rStyle w:val="Emphasis"/>
              </w:rPr>
              <w:fldChar w:fldCharType="separate"/>
            </w:r>
            <w:r w:rsidRPr="00141762">
              <w:rPr>
                <w:rStyle w:val="Emphasis"/>
              </w:rPr>
              <w:t>[2]</w:t>
            </w:r>
            <w:r w:rsidRPr="00141762">
              <w:rPr>
                <w:rStyle w:val="Emphasis"/>
              </w:rPr>
              <w:fldChar w:fldCharType="end"/>
            </w:r>
          </w:p>
        </w:tc>
      </w:tr>
      <w:tr w:rsidR="005E184A" w:rsidRPr="00141762" w:rsidTr="00B2005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724" w:type="dxa"/>
          </w:tcPr>
          <w:p w:rsidR="005E184A" w:rsidRPr="00141762" w:rsidRDefault="005E184A" w:rsidP="001657D4">
            <w:pPr>
              <w:spacing w:after="0"/>
              <w:rPr>
                <w:rStyle w:val="Emphasis"/>
              </w:rPr>
            </w:pPr>
            <w:r w:rsidRPr="00141762">
              <w:rPr>
                <w:rStyle w:val="Emphasis"/>
              </w:rPr>
              <w:t>Frequency of household contact per day.</w:t>
            </w:r>
          </w:p>
        </w:tc>
        <w:tc>
          <w:tcPr>
            <w:tcW w:w="5640" w:type="dxa"/>
            <w:gridSpan w:val="3"/>
          </w:tcPr>
          <w:p w:rsidR="005E184A" w:rsidRPr="00141762" w:rsidRDefault="005E184A" w:rsidP="00FE63DA">
            <w:pP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Once per day</w:t>
            </w:r>
          </w:p>
        </w:tc>
        <w:tc>
          <w:tcPr>
            <w:tcW w:w="1488" w:type="dxa"/>
            <w:vAlign w:val="center"/>
          </w:tcPr>
          <w:p w:rsidR="005E184A" w:rsidRPr="00141762" w:rsidRDefault="005E184A" w:rsidP="001657D4">
            <w:pPr>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Assumption</w:t>
            </w:r>
          </w:p>
        </w:tc>
      </w:tr>
      <w:tr w:rsidR="00141762" w:rsidRPr="00141762" w:rsidTr="005F4EA5">
        <w:trPr>
          <w:trHeight w:val="20"/>
        </w:trPr>
        <w:tc>
          <w:tcPr>
            <w:cnfStyle w:val="001000000000" w:firstRow="0" w:lastRow="0" w:firstColumn="1" w:lastColumn="0" w:oddVBand="0" w:evenVBand="0" w:oddHBand="0" w:evenHBand="0" w:firstRowFirstColumn="0" w:firstRowLastColumn="0" w:lastRowFirstColumn="0" w:lastRowLastColumn="0"/>
            <w:tcW w:w="2724" w:type="dxa"/>
            <w:vMerge w:val="restart"/>
          </w:tcPr>
          <w:p w:rsidR="00141762" w:rsidRPr="00141762" w:rsidRDefault="00141762" w:rsidP="005B1D36">
            <w:pPr>
              <w:spacing w:after="0"/>
              <w:rPr>
                <w:rStyle w:val="Emphasis"/>
              </w:rPr>
            </w:pPr>
            <w:r w:rsidRPr="00141762">
              <w:rPr>
                <w:rStyle w:val="Emphasis"/>
              </w:rPr>
              <w:t xml:space="preserve">Frequency of </w:t>
            </w:r>
            <w:r w:rsidR="00BC26DC">
              <w:rPr>
                <w:rStyle w:val="Emphasis"/>
              </w:rPr>
              <w:br/>
            </w:r>
            <w:r w:rsidRPr="00141762">
              <w:rPr>
                <w:rStyle w:val="Emphasis"/>
              </w:rPr>
              <w:t xml:space="preserve">non-household contact per day. </w:t>
            </w:r>
          </w:p>
        </w:tc>
        <w:tc>
          <w:tcPr>
            <w:tcW w:w="1920" w:type="dxa"/>
          </w:tcPr>
          <w:p w:rsidR="00141762" w:rsidRPr="005B1D36" w:rsidRDefault="00141762" w:rsidP="005B1D36">
            <w:pPr>
              <w:keepNext/>
              <w:spacing w:after="0"/>
              <w:jc w:val="center"/>
              <w:cnfStyle w:val="000000000000" w:firstRow="0" w:lastRow="0" w:firstColumn="0" w:lastColumn="0" w:oddVBand="0" w:evenVBand="0" w:oddHBand="0" w:evenHBand="0" w:firstRowFirstColumn="0" w:firstRowLastColumn="0" w:lastRowFirstColumn="0" w:lastRowLastColumn="0"/>
              <w:rPr>
                <w:rStyle w:val="Emphasis"/>
                <w:b/>
              </w:rPr>
            </w:pPr>
          </w:p>
        </w:tc>
        <w:tc>
          <w:tcPr>
            <w:tcW w:w="1920" w:type="dxa"/>
          </w:tcPr>
          <w:p w:rsidR="00141762" w:rsidRPr="005B1D36" w:rsidRDefault="00141762" w:rsidP="005B1D36">
            <w:pPr>
              <w:keepNext/>
              <w:spacing w:after="0"/>
              <w:jc w:val="center"/>
              <w:cnfStyle w:val="000000000000" w:firstRow="0" w:lastRow="0" w:firstColumn="0" w:lastColumn="0" w:oddVBand="0" w:evenVBand="0" w:oddHBand="0" w:evenHBand="0" w:firstRowFirstColumn="0" w:firstRowLastColumn="0" w:lastRowFirstColumn="0" w:lastRowLastColumn="0"/>
              <w:rPr>
                <w:rStyle w:val="Emphasis"/>
                <w:b/>
              </w:rPr>
            </w:pPr>
            <w:r w:rsidRPr="005B1D36">
              <w:rPr>
                <w:rStyle w:val="Emphasis"/>
                <w:b/>
              </w:rPr>
              <w:t>Regional (%)</w:t>
            </w:r>
          </w:p>
        </w:tc>
        <w:tc>
          <w:tcPr>
            <w:tcW w:w="1800" w:type="dxa"/>
          </w:tcPr>
          <w:p w:rsidR="00141762" w:rsidRPr="005B1D36" w:rsidRDefault="00141762" w:rsidP="005B1D36">
            <w:pPr>
              <w:keepNext/>
              <w:spacing w:after="0"/>
              <w:jc w:val="center"/>
              <w:cnfStyle w:val="000000000000" w:firstRow="0" w:lastRow="0" w:firstColumn="0" w:lastColumn="0" w:oddVBand="0" w:evenVBand="0" w:oddHBand="0" w:evenHBand="0" w:firstRowFirstColumn="0" w:firstRowLastColumn="0" w:lastRowFirstColumn="0" w:lastRowLastColumn="0"/>
              <w:rPr>
                <w:rStyle w:val="Emphasis"/>
                <w:b/>
              </w:rPr>
            </w:pPr>
            <w:r w:rsidRPr="005B1D36">
              <w:rPr>
                <w:rStyle w:val="Emphasis"/>
                <w:b/>
              </w:rPr>
              <w:t>Remote (%)</w:t>
            </w:r>
          </w:p>
        </w:tc>
        <w:tc>
          <w:tcPr>
            <w:tcW w:w="1488" w:type="dxa"/>
            <w:vMerge w:val="restart"/>
            <w:vAlign w:val="center"/>
          </w:tcPr>
          <w:p w:rsidR="00141762" w:rsidRPr="00141762" w:rsidRDefault="00141762" w:rsidP="001657D4">
            <w:pPr>
              <w:spacing w:after="0"/>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fldChar w:fldCharType="begin"/>
            </w:r>
            <w:r w:rsidRPr="00141762">
              <w:rPr>
                <w:rStyle w:val="Emphasis"/>
              </w:rPr>
              <w:instrText xml:space="preserve"> ADDIN EN.CITE &lt;EndNote&gt;&lt;Cite&gt;&lt;Author&gt;Australian Bureau of Statistics&lt;/Author&gt;&lt;Year&gt;2015&lt;/Year&gt;&lt;RecNum&gt;6706&lt;/RecNum&gt;&lt;DisplayText&gt;[3]&lt;/DisplayText&gt;&lt;record&gt;&lt;rec-number&gt;6706&lt;/rec-number&gt;&lt;foreign-keys&gt;&lt;key app="EN" db-id="2arzpv9pv25wrded5p0p0xfosad09td55r0p" timestamp="1585795910" guid="110009db-177c-44fe-8ed2-26ac5acc41dc"&gt;6706&lt;/key&gt;&lt;/foreign-keys&gt;&lt;ref-type name="Catalog"&gt;8&lt;/ref-type&gt;&lt;contributors&gt;&lt;authors&gt;&lt;author&gt;Australian Bureau of Statistics,&lt;/author&gt;&lt;/authors&gt;&lt;secondary-authors&gt;&lt;author&gt;Australian Bureau of Statistics,&lt;/author&gt;&lt;/secondary-authors&gt;&lt;/contributors&gt;&lt;titles&gt;&lt;title&gt;General Social Survey, Summary Results, Australia, 2014&lt;/title&gt;&lt;/titles&gt;&lt;num-vols&gt;41590DO004_2014&lt;/num-vols&gt;&lt;dates&gt;&lt;year&gt;2015&lt;/year&gt;&lt;/dates&gt;&lt;urls&gt;&lt;/urls&gt;&lt;/record&gt;&lt;/Cite&gt;&lt;/EndNote&gt;</w:instrText>
            </w:r>
            <w:r w:rsidRPr="00141762">
              <w:rPr>
                <w:rStyle w:val="Emphasis"/>
              </w:rPr>
              <w:fldChar w:fldCharType="separate"/>
            </w:r>
            <w:r w:rsidRPr="00141762">
              <w:rPr>
                <w:rStyle w:val="Emphasis"/>
              </w:rPr>
              <w:t>[3]</w:t>
            </w:r>
            <w:r w:rsidRPr="00141762">
              <w:rPr>
                <w:rStyle w:val="Emphasis"/>
              </w:rPr>
              <w:fldChar w:fldCharType="end"/>
            </w:r>
          </w:p>
        </w:tc>
      </w:tr>
      <w:tr w:rsidR="00141762" w:rsidRPr="00141762" w:rsidTr="005F4E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4" w:type="dxa"/>
            <w:vMerge/>
          </w:tcPr>
          <w:p w:rsidR="00141762" w:rsidRPr="00141762" w:rsidRDefault="00141762" w:rsidP="005B1D36">
            <w:pPr>
              <w:spacing w:after="0"/>
              <w:rPr>
                <w:rStyle w:val="Emphasis"/>
              </w:rPr>
            </w:pPr>
          </w:p>
        </w:tc>
        <w:tc>
          <w:tcPr>
            <w:tcW w:w="1920" w:type="dxa"/>
          </w:tcPr>
          <w:p w:rsidR="00141762" w:rsidRPr="00141762" w:rsidRDefault="00141762" w:rsidP="005B1D36">
            <w:pPr>
              <w:keepNext/>
              <w:spacing w:after="0"/>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1</w:t>
            </w:r>
          </w:p>
        </w:tc>
        <w:tc>
          <w:tcPr>
            <w:tcW w:w="1920" w:type="dxa"/>
          </w:tcPr>
          <w:p w:rsidR="00141762" w:rsidRPr="00141762" w:rsidRDefault="00141762" w:rsidP="005B1D36">
            <w:pPr>
              <w:keepNext/>
              <w:spacing w:after="0"/>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20.7</w:t>
            </w:r>
          </w:p>
        </w:tc>
        <w:tc>
          <w:tcPr>
            <w:tcW w:w="1800" w:type="dxa"/>
          </w:tcPr>
          <w:p w:rsidR="00141762" w:rsidRPr="00141762" w:rsidRDefault="00141762" w:rsidP="005B1D36">
            <w:pPr>
              <w:keepNext/>
              <w:spacing w:after="0"/>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25.0</w:t>
            </w:r>
          </w:p>
        </w:tc>
        <w:tc>
          <w:tcPr>
            <w:tcW w:w="1488" w:type="dxa"/>
            <w:vMerge/>
          </w:tcPr>
          <w:p w:rsidR="00141762" w:rsidRPr="00141762" w:rsidRDefault="00141762" w:rsidP="005B1D36">
            <w:pPr>
              <w:spacing w:after="0"/>
              <w:cnfStyle w:val="000000100000" w:firstRow="0" w:lastRow="0" w:firstColumn="0" w:lastColumn="0" w:oddVBand="0" w:evenVBand="0" w:oddHBand="1" w:evenHBand="0" w:firstRowFirstColumn="0" w:firstRowLastColumn="0" w:lastRowFirstColumn="0" w:lastRowLastColumn="0"/>
              <w:rPr>
                <w:rStyle w:val="Emphasis"/>
              </w:rPr>
            </w:pPr>
          </w:p>
        </w:tc>
      </w:tr>
      <w:tr w:rsidR="00141762" w:rsidRPr="00141762" w:rsidTr="005F4EA5">
        <w:trPr>
          <w:trHeight w:val="20"/>
        </w:trPr>
        <w:tc>
          <w:tcPr>
            <w:cnfStyle w:val="001000000000" w:firstRow="0" w:lastRow="0" w:firstColumn="1" w:lastColumn="0" w:oddVBand="0" w:evenVBand="0" w:oddHBand="0" w:evenHBand="0" w:firstRowFirstColumn="0" w:firstRowLastColumn="0" w:lastRowFirstColumn="0" w:lastRowLastColumn="0"/>
            <w:tcW w:w="2724" w:type="dxa"/>
            <w:vMerge/>
          </w:tcPr>
          <w:p w:rsidR="00141762" w:rsidRPr="00141762" w:rsidRDefault="00141762" w:rsidP="005B1D36">
            <w:pPr>
              <w:spacing w:after="0"/>
              <w:rPr>
                <w:rStyle w:val="Emphasis"/>
              </w:rPr>
            </w:pPr>
          </w:p>
        </w:tc>
        <w:tc>
          <w:tcPr>
            <w:tcW w:w="1920" w:type="dxa"/>
          </w:tcPr>
          <w:p w:rsidR="00141762" w:rsidRPr="00141762" w:rsidRDefault="00141762" w:rsidP="005B1D36">
            <w:pPr>
              <w:keepNext/>
              <w:spacing w:after="0"/>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1/7 to 1</w:t>
            </w:r>
          </w:p>
        </w:tc>
        <w:tc>
          <w:tcPr>
            <w:tcW w:w="1920" w:type="dxa"/>
          </w:tcPr>
          <w:p w:rsidR="00141762" w:rsidRPr="00141762" w:rsidRDefault="00141762" w:rsidP="005B1D36">
            <w:pPr>
              <w:keepNext/>
              <w:spacing w:after="0"/>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54.5</w:t>
            </w:r>
          </w:p>
        </w:tc>
        <w:tc>
          <w:tcPr>
            <w:tcW w:w="1800" w:type="dxa"/>
          </w:tcPr>
          <w:p w:rsidR="00141762" w:rsidRPr="00141762" w:rsidRDefault="00141762" w:rsidP="005B1D36">
            <w:pPr>
              <w:keepNext/>
              <w:spacing w:after="0"/>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50.6</w:t>
            </w:r>
          </w:p>
        </w:tc>
        <w:tc>
          <w:tcPr>
            <w:tcW w:w="1488" w:type="dxa"/>
            <w:vMerge/>
          </w:tcPr>
          <w:p w:rsidR="00141762" w:rsidRPr="00141762" w:rsidRDefault="00141762" w:rsidP="005B1D36">
            <w:pPr>
              <w:spacing w:after="0"/>
              <w:cnfStyle w:val="000000000000" w:firstRow="0" w:lastRow="0" w:firstColumn="0" w:lastColumn="0" w:oddVBand="0" w:evenVBand="0" w:oddHBand="0" w:evenHBand="0" w:firstRowFirstColumn="0" w:firstRowLastColumn="0" w:lastRowFirstColumn="0" w:lastRowLastColumn="0"/>
              <w:rPr>
                <w:rStyle w:val="Emphasis"/>
              </w:rPr>
            </w:pPr>
          </w:p>
        </w:tc>
      </w:tr>
      <w:tr w:rsidR="00141762" w:rsidRPr="00141762" w:rsidTr="005F4E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4" w:type="dxa"/>
            <w:vMerge/>
          </w:tcPr>
          <w:p w:rsidR="00141762" w:rsidRPr="00141762" w:rsidRDefault="00141762" w:rsidP="005B1D36">
            <w:pPr>
              <w:spacing w:after="0"/>
              <w:rPr>
                <w:rStyle w:val="Emphasis"/>
              </w:rPr>
            </w:pPr>
          </w:p>
        </w:tc>
        <w:tc>
          <w:tcPr>
            <w:tcW w:w="1920" w:type="dxa"/>
          </w:tcPr>
          <w:p w:rsidR="00141762" w:rsidRPr="00141762" w:rsidRDefault="00141762" w:rsidP="005B1D36">
            <w:pPr>
              <w:keepNext/>
              <w:spacing w:after="0"/>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1/30 to 1/7</w:t>
            </w:r>
          </w:p>
        </w:tc>
        <w:tc>
          <w:tcPr>
            <w:tcW w:w="1920" w:type="dxa"/>
          </w:tcPr>
          <w:p w:rsidR="00141762" w:rsidRPr="00141762" w:rsidRDefault="00141762" w:rsidP="005B1D36">
            <w:pPr>
              <w:keepNext/>
              <w:spacing w:after="0"/>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15.9</w:t>
            </w:r>
          </w:p>
        </w:tc>
        <w:tc>
          <w:tcPr>
            <w:tcW w:w="1800" w:type="dxa"/>
          </w:tcPr>
          <w:p w:rsidR="00141762" w:rsidRPr="00141762" w:rsidRDefault="00141762" w:rsidP="005B1D36">
            <w:pPr>
              <w:keepNext/>
              <w:spacing w:after="0"/>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16.2</w:t>
            </w:r>
          </w:p>
        </w:tc>
        <w:tc>
          <w:tcPr>
            <w:tcW w:w="1488" w:type="dxa"/>
            <w:vMerge/>
          </w:tcPr>
          <w:p w:rsidR="00141762" w:rsidRPr="00141762" w:rsidRDefault="00141762" w:rsidP="005B1D36">
            <w:pPr>
              <w:spacing w:after="0"/>
              <w:cnfStyle w:val="000000100000" w:firstRow="0" w:lastRow="0" w:firstColumn="0" w:lastColumn="0" w:oddVBand="0" w:evenVBand="0" w:oddHBand="1" w:evenHBand="0" w:firstRowFirstColumn="0" w:firstRowLastColumn="0" w:lastRowFirstColumn="0" w:lastRowLastColumn="0"/>
              <w:rPr>
                <w:rStyle w:val="Emphasis"/>
              </w:rPr>
            </w:pPr>
          </w:p>
        </w:tc>
      </w:tr>
      <w:tr w:rsidR="00141762" w:rsidRPr="00141762" w:rsidTr="005F4EA5">
        <w:trPr>
          <w:trHeight w:val="20"/>
        </w:trPr>
        <w:tc>
          <w:tcPr>
            <w:cnfStyle w:val="001000000000" w:firstRow="0" w:lastRow="0" w:firstColumn="1" w:lastColumn="0" w:oddVBand="0" w:evenVBand="0" w:oddHBand="0" w:evenHBand="0" w:firstRowFirstColumn="0" w:firstRowLastColumn="0" w:lastRowFirstColumn="0" w:lastRowLastColumn="0"/>
            <w:tcW w:w="2724" w:type="dxa"/>
            <w:vMerge/>
          </w:tcPr>
          <w:p w:rsidR="00141762" w:rsidRPr="00141762" w:rsidRDefault="00141762" w:rsidP="005B1D36">
            <w:pPr>
              <w:spacing w:after="0"/>
              <w:rPr>
                <w:rStyle w:val="Emphasis"/>
              </w:rPr>
            </w:pPr>
          </w:p>
        </w:tc>
        <w:tc>
          <w:tcPr>
            <w:tcW w:w="1920" w:type="dxa"/>
          </w:tcPr>
          <w:p w:rsidR="00141762" w:rsidRPr="00141762" w:rsidRDefault="00141762" w:rsidP="005B1D36">
            <w:pPr>
              <w:keepNext/>
              <w:spacing w:after="0"/>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1/90 to 1/30</w:t>
            </w:r>
          </w:p>
        </w:tc>
        <w:tc>
          <w:tcPr>
            <w:tcW w:w="1920" w:type="dxa"/>
          </w:tcPr>
          <w:p w:rsidR="00141762" w:rsidRPr="00141762" w:rsidRDefault="00141762" w:rsidP="005B1D36">
            <w:pPr>
              <w:keepNext/>
              <w:spacing w:after="0"/>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5.2</w:t>
            </w:r>
          </w:p>
        </w:tc>
        <w:tc>
          <w:tcPr>
            <w:tcW w:w="1800" w:type="dxa"/>
          </w:tcPr>
          <w:p w:rsidR="00141762" w:rsidRPr="00141762" w:rsidRDefault="00141762" w:rsidP="005B1D36">
            <w:pPr>
              <w:keepNext/>
              <w:spacing w:after="0"/>
              <w:jc w:val="center"/>
              <w:cnfStyle w:val="000000000000" w:firstRow="0" w:lastRow="0" w:firstColumn="0" w:lastColumn="0" w:oddVBand="0" w:evenVBand="0" w:oddHBand="0" w:evenHBand="0" w:firstRowFirstColumn="0" w:firstRowLastColumn="0" w:lastRowFirstColumn="0" w:lastRowLastColumn="0"/>
              <w:rPr>
                <w:rStyle w:val="Emphasis"/>
              </w:rPr>
            </w:pPr>
            <w:r w:rsidRPr="00141762">
              <w:rPr>
                <w:rStyle w:val="Emphasis"/>
              </w:rPr>
              <w:t>4.2</w:t>
            </w:r>
          </w:p>
        </w:tc>
        <w:tc>
          <w:tcPr>
            <w:tcW w:w="1488" w:type="dxa"/>
            <w:vMerge/>
          </w:tcPr>
          <w:p w:rsidR="00141762" w:rsidRPr="00141762" w:rsidRDefault="00141762" w:rsidP="005B1D36">
            <w:pPr>
              <w:spacing w:after="0"/>
              <w:cnfStyle w:val="000000000000" w:firstRow="0" w:lastRow="0" w:firstColumn="0" w:lastColumn="0" w:oddVBand="0" w:evenVBand="0" w:oddHBand="0" w:evenHBand="0" w:firstRowFirstColumn="0" w:firstRowLastColumn="0" w:lastRowFirstColumn="0" w:lastRowLastColumn="0"/>
              <w:rPr>
                <w:rStyle w:val="Emphasis"/>
              </w:rPr>
            </w:pPr>
          </w:p>
        </w:tc>
      </w:tr>
      <w:tr w:rsidR="00141762" w:rsidRPr="00141762" w:rsidTr="00B200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4" w:type="dxa"/>
            <w:vMerge/>
            <w:tcBorders>
              <w:bottom w:val="single" w:sz="4" w:space="0" w:color="auto"/>
            </w:tcBorders>
          </w:tcPr>
          <w:p w:rsidR="00141762" w:rsidRPr="00141762" w:rsidRDefault="00141762" w:rsidP="005B1D36">
            <w:pPr>
              <w:spacing w:after="0"/>
              <w:rPr>
                <w:rStyle w:val="Emphasis"/>
              </w:rPr>
            </w:pPr>
          </w:p>
        </w:tc>
        <w:tc>
          <w:tcPr>
            <w:tcW w:w="1920" w:type="dxa"/>
            <w:tcBorders>
              <w:bottom w:val="single" w:sz="4" w:space="0" w:color="auto"/>
            </w:tcBorders>
          </w:tcPr>
          <w:p w:rsidR="00141762" w:rsidRPr="00141762" w:rsidRDefault="00141762" w:rsidP="005B1D36">
            <w:pPr>
              <w:keepNext/>
              <w:spacing w:after="0"/>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0</w:t>
            </w:r>
          </w:p>
        </w:tc>
        <w:tc>
          <w:tcPr>
            <w:tcW w:w="1920" w:type="dxa"/>
            <w:tcBorders>
              <w:bottom w:val="single" w:sz="4" w:space="0" w:color="auto"/>
            </w:tcBorders>
          </w:tcPr>
          <w:p w:rsidR="00141762" w:rsidRPr="00141762" w:rsidRDefault="00141762" w:rsidP="005B1D36">
            <w:pPr>
              <w:keepNext/>
              <w:spacing w:after="0"/>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3.7</w:t>
            </w:r>
          </w:p>
        </w:tc>
        <w:tc>
          <w:tcPr>
            <w:tcW w:w="1800" w:type="dxa"/>
            <w:tcBorders>
              <w:bottom w:val="single" w:sz="4" w:space="0" w:color="auto"/>
            </w:tcBorders>
          </w:tcPr>
          <w:p w:rsidR="00141762" w:rsidRPr="00141762" w:rsidRDefault="00141762" w:rsidP="005B1D36">
            <w:pPr>
              <w:keepNext/>
              <w:spacing w:after="0"/>
              <w:jc w:val="center"/>
              <w:cnfStyle w:val="000000100000" w:firstRow="0" w:lastRow="0" w:firstColumn="0" w:lastColumn="0" w:oddVBand="0" w:evenVBand="0" w:oddHBand="1" w:evenHBand="0" w:firstRowFirstColumn="0" w:firstRowLastColumn="0" w:lastRowFirstColumn="0" w:lastRowLastColumn="0"/>
              <w:rPr>
                <w:rStyle w:val="Emphasis"/>
              </w:rPr>
            </w:pPr>
            <w:r w:rsidRPr="00141762">
              <w:rPr>
                <w:rStyle w:val="Emphasis"/>
              </w:rPr>
              <w:t>4.1</w:t>
            </w:r>
          </w:p>
        </w:tc>
        <w:tc>
          <w:tcPr>
            <w:tcW w:w="1488" w:type="dxa"/>
            <w:vMerge/>
            <w:tcBorders>
              <w:bottom w:val="single" w:sz="4" w:space="0" w:color="auto"/>
            </w:tcBorders>
          </w:tcPr>
          <w:p w:rsidR="00141762" w:rsidRPr="00141762" w:rsidRDefault="00141762" w:rsidP="005B1D36">
            <w:pPr>
              <w:spacing w:after="0"/>
              <w:cnfStyle w:val="000000100000" w:firstRow="0" w:lastRow="0" w:firstColumn="0" w:lastColumn="0" w:oddVBand="0" w:evenVBand="0" w:oddHBand="1" w:evenHBand="0" w:firstRowFirstColumn="0" w:firstRowLastColumn="0" w:lastRowFirstColumn="0" w:lastRowLastColumn="0"/>
              <w:rPr>
                <w:rStyle w:val="Emphasis"/>
              </w:rPr>
            </w:pPr>
          </w:p>
        </w:tc>
      </w:tr>
    </w:tbl>
    <w:p w:rsidR="005E184A" w:rsidRPr="00ED6BCC" w:rsidRDefault="005E184A" w:rsidP="005B1D36">
      <w:pPr>
        <w:pStyle w:val="Heading2"/>
      </w:pPr>
      <w:r w:rsidRPr="00ED6BCC">
        <w:t>Disease model</w:t>
      </w:r>
    </w:p>
    <w:p w:rsidR="005E184A" w:rsidRPr="005B1D36" w:rsidRDefault="005E184A" w:rsidP="005B1D36">
      <w:pPr>
        <w:rPr>
          <w:rFonts w:cs="Arial"/>
        </w:rPr>
      </w:pPr>
      <w:r w:rsidRPr="005B1D36">
        <w:rPr>
          <w:rFonts w:cs="Arial"/>
        </w:rPr>
        <w:t xml:space="preserve">The disease model follows a susceptible, exposed, infectious, recovered (SEIR) paradigm, allowing for infectiousness during both pre-symptomatic and symptomatic infection stages. </w:t>
      </w:r>
      <w:r w:rsidRPr="005B1D36">
        <w:rPr>
          <w:rFonts w:eastAsia="Times New Roman" w:cs="Arial"/>
          <w:color w:val="000000"/>
          <w:lang w:eastAsia="en-GB"/>
        </w:rPr>
        <w:t xml:space="preserve">An </w:t>
      </w:r>
      <w:r w:rsidRPr="005B1D36">
        <w:rPr>
          <w:rFonts w:eastAsia="Times New Roman" w:cs="Arial"/>
          <w:i/>
          <w:iCs/>
          <w:color w:val="000000"/>
          <w:lang w:eastAsia="en-GB"/>
        </w:rPr>
        <w:t>R</w:t>
      </w:r>
      <w:r w:rsidRPr="005B1D36">
        <w:rPr>
          <w:rFonts w:eastAsia="Times New Roman" w:cs="Arial"/>
          <w:i/>
          <w:iCs/>
          <w:color w:val="000000"/>
          <w:vertAlign w:val="subscript"/>
          <w:lang w:eastAsia="en-GB"/>
        </w:rPr>
        <w:t>0</w:t>
      </w:r>
      <w:r w:rsidRPr="005B1D36">
        <w:rPr>
          <w:rFonts w:eastAsia="Times New Roman" w:cs="Arial"/>
          <w:i/>
          <w:iCs/>
          <w:color w:val="000000"/>
          <w:lang w:eastAsia="en-GB"/>
        </w:rPr>
        <w:t xml:space="preserve"> </w:t>
      </w:r>
      <w:r w:rsidRPr="005B1D36">
        <w:rPr>
          <w:rFonts w:eastAsia="Times New Roman" w:cs="Arial"/>
          <w:color w:val="000000"/>
          <w:lang w:eastAsia="en-GB"/>
        </w:rPr>
        <w:t xml:space="preserve">centring around 2.5 (1.4-5.7) was observed in initial phases of the COVID-19 pandemic in Wuhan, where the average household size is approximately 3. Assuming a similar per-contact transmission probability and noting the enhanced mixing associated with overcrowded households, </w:t>
      </w:r>
      <w:r w:rsidRPr="005B1D36">
        <w:rPr>
          <w:rFonts w:eastAsia="Times New Roman" w:cs="Arial"/>
          <w:i/>
          <w:iCs/>
          <w:color w:val="000000"/>
          <w:lang w:eastAsia="en-GB"/>
        </w:rPr>
        <w:t>R</w:t>
      </w:r>
      <w:r w:rsidRPr="005B1D36">
        <w:rPr>
          <w:rFonts w:eastAsia="Times New Roman" w:cs="Arial"/>
          <w:i/>
          <w:iCs/>
          <w:color w:val="000000"/>
          <w:vertAlign w:val="subscript"/>
          <w:lang w:eastAsia="en-GB"/>
        </w:rPr>
        <w:t>0</w:t>
      </w:r>
      <w:r w:rsidRPr="005B1D36">
        <w:rPr>
          <w:rFonts w:eastAsia="Times New Roman" w:cs="Arial"/>
          <w:i/>
          <w:iCs/>
          <w:color w:val="000000"/>
          <w:lang w:eastAsia="en-GB"/>
        </w:rPr>
        <w:t xml:space="preserve"> </w:t>
      </w:r>
      <w:r w:rsidRPr="005B1D36">
        <w:rPr>
          <w:rFonts w:eastAsia="Times New Roman" w:cs="Arial"/>
          <w:color w:val="000000"/>
          <w:lang w:eastAsia="en-GB"/>
        </w:rPr>
        <w:t>in these simulations was calibrated to centre around 5 in the absence of any intervention.</w:t>
      </w:r>
      <w:r w:rsidRPr="005B1D36">
        <w:rPr>
          <w:rFonts w:eastAsia="Times New Roman" w:cs="Arial"/>
          <w:lang w:eastAsia="en-GB"/>
        </w:rPr>
        <w:t xml:space="preserve"> </w:t>
      </w:r>
      <w:r w:rsidRPr="005B1D36">
        <w:rPr>
          <w:rFonts w:cs="Arial"/>
        </w:rPr>
        <w:t xml:space="preserve">We assume that only half of all infections spontaneously present to health services, either because symptoms are absent or minimal, or because of fear and/or stigma. These non-presenting infections would not be routinely detected using a symptomatic case finding approach. Given the diverse reasons for non-presentation we conservatively assume that such individuals are as infectious as those with symptoms and may represent an ongoing infection risk following release from movement restrictions </w:t>
      </w:r>
      <w:r w:rsidR="00F5552A">
        <w:rPr>
          <w:rFonts w:cs="Arial"/>
        </w:rPr>
        <w:br/>
      </w:r>
      <w:r w:rsidRPr="005B1D36">
        <w:rPr>
          <w:rFonts w:cs="Arial"/>
        </w:rPr>
        <w:t xml:space="preserve">if undiagnosed. </w:t>
      </w:r>
    </w:p>
    <w:p w:rsidR="005E184A" w:rsidRPr="005B1D36" w:rsidRDefault="005E184A" w:rsidP="005B1D36">
      <w:pPr>
        <w:rPr>
          <w:rFonts w:cs="Arial"/>
        </w:rPr>
      </w:pPr>
      <w:r w:rsidRPr="005B1D36">
        <w:rPr>
          <w:rFonts w:cs="Arial"/>
        </w:rPr>
        <w:t xml:space="preserve">The natural history of COVID-19 is assumed to follow the schematic diagram shown in Figure A1, and key natural history parameter assumptions in Table A2. Individuals susceptible to infection enter the latent stage after exposure before proceeding to the infected and infectious stage. Consistent with observations of pre-symptomatic transmission, for any given individual in the model, infectiousness may commence prior to or after symptom onset. A post-infectious stage is assumed prior to full recovery and individuals are assumed not to be infectious after symptoms resolve. </w:t>
      </w:r>
    </w:p>
    <w:p w:rsidR="005E184A" w:rsidRPr="005B1D36" w:rsidRDefault="005E184A" w:rsidP="005B1D36">
      <w:pPr>
        <w:rPr>
          <w:rFonts w:cs="Arial"/>
        </w:rPr>
      </w:pPr>
      <w:r w:rsidRPr="005B1D36">
        <w:rPr>
          <w:rFonts w:cs="Arial"/>
        </w:rPr>
        <w:t>Model simulations commence with introduction of one infected individual at time=0, for each location evaluated.</w:t>
      </w:r>
    </w:p>
    <w:p w:rsidR="0075224C" w:rsidRPr="005B1D36" w:rsidRDefault="0075224C" w:rsidP="005B1D36">
      <w:pPr>
        <w:rPr>
          <w:rFonts w:cs="Arial"/>
          <w:b/>
          <w:bCs/>
          <w:i/>
          <w:iCs/>
          <w:color w:val="auto"/>
        </w:rPr>
      </w:pPr>
      <w:bookmarkStart w:id="1" w:name="_Ref36725437"/>
      <w:r w:rsidRPr="005B1D36">
        <w:rPr>
          <w:rFonts w:cs="Arial"/>
          <w:b/>
          <w:bCs/>
          <w:i/>
          <w:iCs/>
          <w:color w:val="auto"/>
        </w:rPr>
        <w:t xml:space="preserve">Figure </w:t>
      </w:r>
      <w:bookmarkEnd w:id="1"/>
      <w:r w:rsidRPr="005B1D36">
        <w:rPr>
          <w:rFonts w:cs="Arial"/>
          <w:b/>
          <w:bCs/>
          <w:i/>
          <w:iCs/>
          <w:color w:val="auto"/>
        </w:rPr>
        <w:t>A1: Schematic diagram of stages and disease progression of COVID-19 in the model</w:t>
      </w:r>
    </w:p>
    <w:p w:rsidR="0075224C" w:rsidRDefault="0075224C" w:rsidP="0075224C">
      <w:pPr>
        <w:keepNext/>
        <w:rPr>
          <w:rFonts w:cstheme="minorHAnsi"/>
        </w:rPr>
      </w:pPr>
      <w:r w:rsidRPr="007F57A0">
        <w:rPr>
          <w:rFonts w:cstheme="minorHAnsi"/>
          <w:noProof/>
          <w:lang w:eastAsia="en-AU"/>
        </w:rPr>
        <mc:AlternateContent>
          <mc:Choice Requires="wpc">
            <w:drawing>
              <wp:inline distT="0" distB="0" distL="0" distR="0" wp14:anchorId="340B40FB" wp14:editId="4DAF6C90">
                <wp:extent cx="5917721" cy="1503045"/>
                <wp:effectExtent l="0" t="0" r="6985" b="1905"/>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31" name="Text Box 31"/>
                        <wps:cNvSpPr txBox="1"/>
                        <wps:spPr>
                          <a:xfrm>
                            <a:off x="563985" y="207819"/>
                            <a:ext cx="762000" cy="297873"/>
                          </a:xfrm>
                          <a:prstGeom prst="rect">
                            <a:avLst/>
                          </a:prstGeom>
                          <a:solidFill>
                            <a:schemeClr val="lt1"/>
                          </a:solidFill>
                          <a:ln w="6350">
                            <a:noFill/>
                          </a:ln>
                        </wps:spPr>
                        <wps:txbx>
                          <w:txbxContent>
                            <w:p w:rsidR="00FE63DA" w:rsidRPr="005B1D36" w:rsidRDefault="00FE63DA" w:rsidP="005B1D36">
                              <w:pPr>
                                <w:spacing w:before="0"/>
                                <w:jc w:val="center"/>
                                <w:rPr>
                                  <w:color w:val="C77B4A"/>
                                  <w:lang w:val="en-US"/>
                                </w:rPr>
                              </w:pPr>
                              <w:r w:rsidRPr="005B1D36">
                                <w:rPr>
                                  <w:color w:val="C77B4A"/>
                                  <w:lang w:val="en-US"/>
                                </w:rPr>
                                <w:t>Latent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1"/>
                        <wps:cNvSpPr txBox="1"/>
                        <wps:spPr>
                          <a:xfrm>
                            <a:off x="2331243" y="207819"/>
                            <a:ext cx="1018418" cy="297815"/>
                          </a:xfrm>
                          <a:prstGeom prst="rect">
                            <a:avLst/>
                          </a:prstGeom>
                          <a:solidFill>
                            <a:schemeClr val="lt1"/>
                          </a:solidFill>
                          <a:ln w="6350">
                            <a:noFill/>
                          </a:ln>
                        </wps:spPr>
                        <wps:txbx>
                          <w:txbxContent>
                            <w:p w:rsidR="00FE63DA" w:rsidRPr="005B1D36" w:rsidRDefault="00FE63DA" w:rsidP="005B1D36">
                              <w:pPr>
                                <w:spacing w:before="0"/>
                                <w:jc w:val="center"/>
                                <w:rPr>
                                  <w:color w:val="C77B4A"/>
                                </w:rPr>
                              </w:pPr>
                              <w:r w:rsidRPr="005B1D36">
                                <w:rPr>
                                  <w:color w:val="C77B4A"/>
                                  <w:lang w:val="en-US"/>
                                </w:rPr>
                                <w:t>Infectious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31"/>
                        <wps:cNvSpPr txBox="1"/>
                        <wps:spPr>
                          <a:xfrm>
                            <a:off x="4174944" y="207819"/>
                            <a:ext cx="1337073" cy="297815"/>
                          </a:xfrm>
                          <a:prstGeom prst="rect">
                            <a:avLst/>
                          </a:prstGeom>
                          <a:solidFill>
                            <a:schemeClr val="lt1"/>
                          </a:solidFill>
                          <a:ln w="6350">
                            <a:noFill/>
                          </a:ln>
                        </wps:spPr>
                        <wps:txbx>
                          <w:txbxContent>
                            <w:p w:rsidR="00FE63DA" w:rsidRPr="005B1D36" w:rsidRDefault="00FE63DA" w:rsidP="005B1D36">
                              <w:pPr>
                                <w:spacing w:before="0"/>
                                <w:jc w:val="center"/>
                                <w:rPr>
                                  <w:color w:val="C77B4A"/>
                                </w:rPr>
                              </w:pPr>
                              <w:r w:rsidRPr="005B1D36">
                                <w:rPr>
                                  <w:color w:val="C77B4A"/>
                                  <w:lang w:val="en-US"/>
                                </w:rPr>
                                <w:t>Post-Infectious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31"/>
                        <wps:cNvSpPr txBox="1"/>
                        <wps:spPr>
                          <a:xfrm>
                            <a:off x="278239" y="1024577"/>
                            <a:ext cx="1110613" cy="297815"/>
                          </a:xfrm>
                          <a:prstGeom prst="rect">
                            <a:avLst/>
                          </a:prstGeom>
                          <a:solidFill>
                            <a:schemeClr val="lt1"/>
                          </a:solidFill>
                          <a:ln w="6350">
                            <a:noFill/>
                          </a:ln>
                        </wps:spPr>
                        <wps:txbx>
                          <w:txbxContent>
                            <w:p w:rsidR="00FE63DA" w:rsidRPr="005B1D36" w:rsidRDefault="00FE63DA" w:rsidP="005B1D36">
                              <w:pPr>
                                <w:spacing w:before="0"/>
                                <w:jc w:val="center"/>
                                <w:rPr>
                                  <w:color w:val="C77B4A"/>
                                </w:rPr>
                              </w:pPr>
                              <w:r w:rsidRPr="005B1D36">
                                <w:rPr>
                                  <w:color w:val="C77B4A"/>
                                  <w:lang w:val="en-US"/>
                                </w:rPr>
                                <w:t>Incubation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Text Box 31"/>
                        <wps:cNvSpPr txBox="1"/>
                        <wps:spPr>
                          <a:xfrm>
                            <a:off x="2263836" y="1024827"/>
                            <a:ext cx="1376512" cy="297815"/>
                          </a:xfrm>
                          <a:prstGeom prst="rect">
                            <a:avLst/>
                          </a:prstGeom>
                          <a:solidFill>
                            <a:schemeClr val="lt1"/>
                          </a:solidFill>
                          <a:ln w="6350">
                            <a:noFill/>
                          </a:ln>
                        </wps:spPr>
                        <wps:txbx>
                          <w:txbxContent>
                            <w:p w:rsidR="00FE63DA" w:rsidRPr="004F355D" w:rsidRDefault="00FE63DA" w:rsidP="005B1D36">
                              <w:pPr>
                                <w:spacing w:before="0"/>
                                <w:jc w:val="center"/>
                                <w:rPr>
                                  <w:color w:val="C77B4A"/>
                                </w:rPr>
                              </w:pPr>
                              <w:r w:rsidRPr="004F355D">
                                <w:rPr>
                                  <w:color w:val="C77B4A"/>
                                  <w:lang w:val="en-US"/>
                                </w:rPr>
                                <w:t>Symptomatic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Straight Arrow Connector 32"/>
                        <wps:cNvCnPr/>
                        <wps:spPr>
                          <a:xfrm>
                            <a:off x="249368" y="540327"/>
                            <a:ext cx="1493168" cy="0"/>
                          </a:xfrm>
                          <a:prstGeom prst="straightConnector1">
                            <a:avLst/>
                          </a:prstGeom>
                          <a:ln w="12700" cap="rnd">
                            <a:solidFill>
                              <a:srgbClr val="9E4024"/>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742490" y="540327"/>
                            <a:ext cx="2231594" cy="0"/>
                          </a:xfrm>
                          <a:prstGeom prst="straightConnector1">
                            <a:avLst/>
                          </a:prstGeom>
                          <a:ln w="12700" cap="rnd">
                            <a:solidFill>
                              <a:srgbClr val="9E4024"/>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3974294" y="540327"/>
                            <a:ext cx="1697182" cy="0"/>
                          </a:xfrm>
                          <a:prstGeom prst="straightConnector1">
                            <a:avLst/>
                          </a:prstGeom>
                          <a:ln w="12700" cap="rnd">
                            <a:solidFill>
                              <a:srgbClr val="9E4024"/>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2090062" y="955964"/>
                            <a:ext cx="1884218" cy="0"/>
                          </a:xfrm>
                          <a:prstGeom prst="straightConnector1">
                            <a:avLst/>
                          </a:prstGeom>
                          <a:ln w="12700" cap="rnd">
                            <a:solidFill>
                              <a:srgbClr val="9E4024"/>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3965662" y="297873"/>
                            <a:ext cx="0" cy="935182"/>
                          </a:xfrm>
                          <a:prstGeom prst="line">
                            <a:avLst/>
                          </a:prstGeom>
                          <a:ln w="12700" cap="rnd">
                            <a:solidFill>
                              <a:srgbClr val="9E4024"/>
                            </a:solidFill>
                            <a:round/>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49368" y="955964"/>
                            <a:ext cx="1820972" cy="0"/>
                          </a:xfrm>
                          <a:prstGeom prst="straightConnector1">
                            <a:avLst/>
                          </a:prstGeom>
                          <a:ln w="12700" cap="rnd">
                            <a:solidFill>
                              <a:srgbClr val="9E4024"/>
                            </a:solidFill>
                            <a:prstDash val="dash"/>
                            <a:round/>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249368" y="955964"/>
                            <a:ext cx="1191244" cy="0"/>
                          </a:xfrm>
                          <a:prstGeom prst="straightConnector1">
                            <a:avLst/>
                          </a:prstGeom>
                          <a:ln w="12700" cap="rnd">
                            <a:solidFill>
                              <a:srgbClr val="9E4024"/>
                            </a:solidFill>
                            <a:round/>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40B40FB" id="Canvas 26" o:spid="_x0000_s1026" editas="canvas" style="width:465.95pt;height:118.35pt;mso-position-horizontal-relative:char;mso-position-vertical-relative:line" coordsize="59175,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2DFQUAABwkAAAOAAAAZHJzL2Uyb0RvYy54bWzsWttu4zYQfS/QfyD03ljUXUacRepsigKL&#10;3aBJsc+0RNkCJFIlmdjp13eGujh24iZpvdsE1YsskcPbzOFwztCnHzZ1Re640qUUM4eeuA7hIpN5&#10;KZYz5/eby58Sh2jDRM4qKfjMuefa+XD24w+n62bKPbmSVc4VgU6Enq6bmbMypplOJjpb8ZrpE9lw&#10;AZWFVDUz8KmWk1yxNfReVxPPdaPJWqq8UTLjWkPpRVvpnNn+i4Jn5ktRaG5INXNgbsY+lX0u8Dk5&#10;O2XTpWLNqsy6abB/MIualQIGHbq6YIaRW1U+6qouMyW1LMxJJuuJLIoy43YNsBrq7q1mzsQd03Yx&#10;GWinnyC8HbHfxRLnrWVV5pdlVeFHo7SZV4rcMdDaelUajnqa7EhNYBZTbIu/a7Ajx5aVwKeQ2FPb&#10;BEusbCezbsDQuhlMrv/dUq5XrOFWQ3qafb67UqTMZ45PHSJYDXi74RtDfpYbAkUwIRwdxK4bEDQb&#10;KAfM9uUaCnH2m0LV+AvGIVAfRn6ahA65nzmeGyc0bTGD/WZQHUcAQ0BWhvVpnMR+p6u+G1TmL1zW&#10;BF9mjgJIWqSwu0/atDrqRXDUHUPYbcAHU1TGTnbXEKh0sp45kR+6tuMntK+n7eJw+Waz2HSaWMj8&#10;HhShZLstdJNdljDJT0ybK6ZgH8C6YG+bL/AoKgmDyO7NISup/nyqHOXBpFDrkDXsq5mj/7hlijuk&#10;+lWAsVMaBLgR7UcQxh58qIc1i4c14raeSwAh2BNmZ19R3lT9a6Fk/RVcwDmOClVMZDD2zDH969y0&#10;ux1cSMbPz60QbL2GmU/iGjcStUpDE9xsvjLVdHYyYODPsocXm+6Zq5VtwX5+a2RRWluiglutWtRb&#10;qLeo+/aY94+Hec/3qRdAhwdAT12aBBRce496Gr4D1FvXMGz3l4J/BDO6RXDh3xXMwfHAHNA4SAPo&#10;8BCYfT92wW2/QzB7/dk1gtnGJ1sv/qY8M0QPx4pGvDjx/NRimboenJ/xbjhCKXUj+i7BbAOn7QH6&#10;fFgyeub/wjNHRwSzF/mJDx2CZ0Y0J94+mv04Cqn3Hl1zMLrm9xA0A7Za13xtFCuXK0POlZJrMpdC&#10;AFOTivjDIQvEcS6uVEeeDtBFL0j9CCJjgHQYuP4jREM1xXqMnG36AdjcAaqouykNc2mpyh4TQW6J&#10;p13LAqkXWzaKxEuJ3HKbXUqplouBUKYfA9h2iNR9TqnkrcihnE0NK6uPIifmvgE+bVTJxLLqEwId&#10;u3/IL7W573MBv/ECYm7LsbGnPTbLsoyLgdFWAqRRqoDUwdCwZbR/27CTx6bcJnxe03hoYUeWwgyN&#10;61JI1aoPc1FbEm42PQkvWvkuOO7WvT3AUKvfOWqOn0ez9bA4rRehGUJnADTw6gNw9jyfhinE1iOc&#10;RzjvZG5flejs0ywdLvssHrjJ55xz0h+zL4KznwKeEa4H4EyjNKZJF2+M3nn0zsNFxDHgDLTtOTjb&#10;5PKLvbPnpnAFAnAFOKdhmEb2KIdzsMtN0yQJvD5NN8J5hPMx4YxZ/D04D4EqgcouTH6hX47CqAPy&#10;9hJlC2QYCgOM1A/RO7fh6oGguSoF3gc94h7fNkyG8HkMhTF+txHvGwiFg+eJHYi8BqMPiN3Tvha8&#10;cfz2QwdMkV4wvWovd3N4Qy2w6Uj43iHhwyu6PR+8n74AkWOinKZwMTjyPbiS/l/xvfYfHE1mE0Xd&#10;32XwPy4Pv63z3/6p5+wvAAAA//8DAFBLAwQUAAYACAAAACEAflML7t0AAAAFAQAADwAAAGRycy9k&#10;b3ducmV2LnhtbEyPQUvDQBCF70L/wzJCb3bTFlIbsymlIkXEg63ep7vTJJidDdlNmvrrXb3oZeDx&#10;Hu99k29G24iBOl87VjCfJSCItTM1lwrej0939yB8QDbYOCYFV/KwKSY3OWbGXfiNhkMoRSxhn6GC&#10;KoQ2k9Lriiz6mWuJo3d2ncUQZVdK0+EllttGLpIklRZrjgsVtrSrSH8eeqsAh+2g7fk5fdH9xxev&#10;HvfH9nWv1PR23D6ACDSGvzD84Ed0KCLTyfVsvGgUxEfC743eejlfgzgpWCzTFcgil//pi28AAAD/&#10;/wMAUEsBAi0AFAAGAAgAAAAhALaDOJL+AAAA4QEAABMAAAAAAAAAAAAAAAAAAAAAAFtDb250ZW50&#10;X1R5cGVzXS54bWxQSwECLQAUAAYACAAAACEAOP0h/9YAAACUAQAACwAAAAAAAAAAAAAAAAAvAQAA&#10;X3JlbHMvLnJlbHNQSwECLQAUAAYACAAAACEA7AuNgxUFAAAcJAAADgAAAAAAAAAAAAAAAAAuAgAA&#10;ZHJzL2Uyb0RvYy54bWxQSwECLQAUAAYACAAAACEAflML7t0AAAAFAQAADwAAAAAAAAAAAAAAAABv&#10;BwAAZHJzL2Rvd25yZXYueG1sUEsFBgAAAAAEAAQA8wAAAH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175;height:15030;visibility:visible;mso-wrap-style:square" filled="t">
                  <v:fill o:detectmouseclick="t"/>
                  <v:path o:connecttype="none"/>
                </v:shape>
                <v:shapetype id="_x0000_t202" coordsize="21600,21600" o:spt="202" path="m,l,21600r21600,l21600,xe">
                  <v:stroke joinstyle="miter"/>
                  <v:path gradientshapeok="t" o:connecttype="rect"/>
                </v:shapetype>
                <v:shape id="Text Box 31" o:spid="_x0000_s1028" type="#_x0000_t202" style="position:absolute;left:5639;top:2078;width:762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rsidR="00FE63DA" w:rsidRPr="005B1D36" w:rsidRDefault="00FE63DA" w:rsidP="005B1D36">
                        <w:pPr>
                          <w:spacing w:before="0"/>
                          <w:jc w:val="center"/>
                          <w:rPr>
                            <w:color w:val="C77B4A"/>
                            <w:lang w:val="en-US"/>
                          </w:rPr>
                        </w:pPr>
                        <w:r w:rsidRPr="005B1D36">
                          <w:rPr>
                            <w:color w:val="C77B4A"/>
                            <w:lang w:val="en-US"/>
                          </w:rPr>
                          <w:t>Latent</w:t>
                        </w:r>
                      </w:p>
                    </w:txbxContent>
                  </v:textbox>
                </v:shape>
                <v:shape id="Text Box 31" o:spid="_x0000_s1029" type="#_x0000_t202" style="position:absolute;left:23312;top:2078;width:1018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rsidR="00FE63DA" w:rsidRPr="005B1D36" w:rsidRDefault="00FE63DA" w:rsidP="005B1D36">
                        <w:pPr>
                          <w:spacing w:before="0"/>
                          <w:jc w:val="center"/>
                          <w:rPr>
                            <w:color w:val="C77B4A"/>
                          </w:rPr>
                        </w:pPr>
                        <w:r w:rsidRPr="005B1D36">
                          <w:rPr>
                            <w:color w:val="C77B4A"/>
                            <w:lang w:val="en-US"/>
                          </w:rPr>
                          <w:t>Infectious</w:t>
                        </w:r>
                      </w:p>
                    </w:txbxContent>
                  </v:textbox>
                </v:shape>
                <v:shape id="Text Box 31" o:spid="_x0000_s1030" type="#_x0000_t202" style="position:absolute;left:41749;top:2078;width:1337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rsidR="00FE63DA" w:rsidRPr="005B1D36" w:rsidRDefault="00FE63DA" w:rsidP="005B1D36">
                        <w:pPr>
                          <w:spacing w:before="0"/>
                          <w:jc w:val="center"/>
                          <w:rPr>
                            <w:color w:val="C77B4A"/>
                          </w:rPr>
                        </w:pPr>
                        <w:r w:rsidRPr="005B1D36">
                          <w:rPr>
                            <w:color w:val="C77B4A"/>
                            <w:lang w:val="en-US"/>
                          </w:rPr>
                          <w:t>Post-Infectious</w:t>
                        </w:r>
                      </w:p>
                    </w:txbxContent>
                  </v:textbox>
                </v:shape>
                <v:shape id="Text Box 31" o:spid="_x0000_s1031" type="#_x0000_t202" style="position:absolute;left:2782;top:10245;width:1110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rsidR="00FE63DA" w:rsidRPr="005B1D36" w:rsidRDefault="00FE63DA" w:rsidP="005B1D36">
                        <w:pPr>
                          <w:spacing w:before="0"/>
                          <w:jc w:val="center"/>
                          <w:rPr>
                            <w:color w:val="C77B4A"/>
                          </w:rPr>
                        </w:pPr>
                        <w:r w:rsidRPr="005B1D36">
                          <w:rPr>
                            <w:color w:val="C77B4A"/>
                            <w:lang w:val="en-US"/>
                          </w:rPr>
                          <w:t>Incubation</w:t>
                        </w:r>
                      </w:p>
                    </w:txbxContent>
                  </v:textbox>
                </v:shape>
                <v:shape id="Text Box 31" o:spid="_x0000_s1032" type="#_x0000_t202" style="position:absolute;left:22638;top:10248;width:1376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rsidR="00FE63DA" w:rsidRPr="004F355D" w:rsidRDefault="00FE63DA" w:rsidP="005B1D36">
                        <w:pPr>
                          <w:spacing w:before="0"/>
                          <w:jc w:val="center"/>
                          <w:rPr>
                            <w:color w:val="C77B4A"/>
                          </w:rPr>
                        </w:pPr>
                        <w:r w:rsidRPr="004F355D">
                          <w:rPr>
                            <w:color w:val="C77B4A"/>
                            <w:lang w:val="en-US"/>
                          </w:rPr>
                          <w:t>Symptomatic</w:t>
                        </w:r>
                      </w:p>
                    </w:txbxContent>
                  </v:textbox>
                </v:shape>
                <v:shapetype id="_x0000_t32" coordsize="21600,21600" o:spt="32" o:oned="t" path="m,l21600,21600e" filled="f">
                  <v:path arrowok="t" fillok="f" o:connecttype="none"/>
                  <o:lock v:ext="edit" shapetype="t"/>
                </v:shapetype>
                <v:shape id="Straight Arrow Connector 32" o:spid="_x0000_s1033" type="#_x0000_t32" style="position:absolute;left:2493;top:5403;width:149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IApxQAAANsAAAAPAAAAZHJzL2Rvd25yZXYueG1sRI9Ba8JA&#10;FITvQv/D8gq96cZERFLXIFIhhULRKvT4mn1NQrJvQ3abpP/eLQg9DjPzDbPNJtOKgXpXW1awXEQg&#10;iAuray4VXD6O8w0I55E1tpZJwS85yHYPsy2m2o58ouHsSxEg7FJUUHnfpVK6oiKDbmE74uB9296g&#10;D7Ivpe5xDHDTyjiK1tJgzWGhwo4OFRXN+ccoKI64v74c1knz/vUZ5e3r8i1eXZV6epz2zyA8Tf4/&#10;fG/nWkESw9+X8APk7gYAAP//AwBQSwECLQAUAAYACAAAACEA2+H2y+4AAACFAQAAEwAAAAAAAAAA&#10;AAAAAAAAAAAAW0NvbnRlbnRfVHlwZXNdLnhtbFBLAQItABQABgAIAAAAIQBa9CxbvwAAABUBAAAL&#10;AAAAAAAAAAAAAAAAAB8BAABfcmVscy8ucmVsc1BLAQItABQABgAIAAAAIQC5PIApxQAAANsAAAAP&#10;AAAAAAAAAAAAAAAAAAcCAABkcnMvZG93bnJldi54bWxQSwUGAAAAAAMAAwC3AAAA+QIAAAAA&#10;" strokecolor="#9e4024" strokeweight="1pt">
                  <v:stroke endarrow="block" endcap="round"/>
                </v:shape>
                <v:shape id="Straight Arrow Connector 37" o:spid="_x0000_s1034" type="#_x0000_t32" style="position:absolute;left:17424;top:5403;width:22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OxxgAAANsAAAAPAAAAZHJzL2Rvd25yZXYueG1sRI9Ba8JA&#10;FITvQv/D8gredGNSbEndiIiBFISirdDja/Y1Ccm+Ddmtpv/eLQgeh5n5hlmtR9OJMw2usaxgMY9A&#10;EJdWN1wp+PzIZy8gnEfW2FkmBX/kYJ09TFaYanvhA52PvhIBwi5FBbX3fSqlK2sy6Oa2Jw7ejx0M&#10;+iCHSuoBLwFuOhlH0VIabDgs1NjTtqayPf4aBWWOm9Nuu0za9++vqOjeFvv46aTU9HHcvILwNPp7&#10;+NYutILkGf6/hB8gsysAAAD//wMAUEsBAi0AFAAGAAgAAAAhANvh9svuAAAAhQEAABMAAAAAAAAA&#10;AAAAAAAAAAAAAFtDb250ZW50X1R5cGVzXS54bWxQSwECLQAUAAYACAAAACEAWvQsW78AAAAVAQAA&#10;CwAAAAAAAAAAAAAAAAAfAQAAX3JlbHMvLnJlbHNQSwECLQAUAAYACAAAACEAqUsjscYAAADbAAAA&#10;DwAAAAAAAAAAAAAAAAAHAgAAZHJzL2Rvd25yZXYueG1sUEsFBgAAAAADAAMAtwAAAPoCAAAAAA==&#10;" strokecolor="#9e4024" strokeweight="1pt">
                  <v:stroke endarrow="block" endcap="round"/>
                </v:shape>
                <v:shape id="Straight Arrow Connector 38" o:spid="_x0000_s1035" type="#_x0000_t32" style="position:absolute;left:39742;top:5403;width:169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LfDvgAAANsAAAAPAAAAZHJzL2Rvd25yZXYueG1sRE/JCsIw&#10;EL0L/kMYwZumLohUo4goKAjiBh7HZmyLzaQ0Uevfm4Pg8fH26bw2hXhR5XLLCnrdCARxYnXOqYLz&#10;ad0Zg3AeWWNhmRR8yMF81mxMMdb2zQd6HX0qQgi7GBVk3pexlC7JyKDr2pI4cHdbGfQBVqnUFb5D&#10;uClkP4pG0mDOoSHDkpYZJY/j0yhI1ri4rJajwWN/u0abYtvb9YcXpdqtejEB4an2f/HPvdEKBmFs&#10;+BJ+gJx9AQAA//8DAFBLAQItABQABgAIAAAAIQDb4fbL7gAAAIUBAAATAAAAAAAAAAAAAAAAAAAA&#10;AABbQ29udGVudF9UeXBlc10ueG1sUEsBAi0AFAAGAAgAAAAhAFr0LFu/AAAAFQEAAAsAAAAAAAAA&#10;AAAAAAAAHwEAAF9yZWxzLy5yZWxzUEsBAi0AFAAGAAgAAAAhANjUt8O+AAAA2wAAAA8AAAAAAAAA&#10;AAAAAAAABwIAAGRycy9kb3ducmV2LnhtbFBLBQYAAAAAAwADALcAAADyAgAAAAA=&#10;" strokecolor="#9e4024" strokeweight="1pt">
                  <v:stroke endarrow="block" endcap="round"/>
                </v:shape>
                <v:shape id="Straight Arrow Connector 39" o:spid="_x0000_s1036" type="#_x0000_t32" style="position:absolute;left:20900;top:9559;width:18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BJYxgAAANsAAAAPAAAAZHJzL2Rvd25yZXYueG1sRI9Ba8JA&#10;FITvQv/D8gredGNSpE3diIiBFISirdDja/Y1Ccm+Ddmtpv/eLQgeh5n5hlmtR9OJMw2usaxgMY9A&#10;EJdWN1wp+PzIZ88gnEfW2FkmBX/kYJ09TFaYanvhA52PvhIBwi5FBbX3fSqlK2sy6Oa2Jw7ejx0M&#10;+iCHSuoBLwFuOhlH0VIabDgs1NjTtqayPf4aBWWOm9Nuu0za9++vqOjeFvv46aTU9HHcvILwNPp7&#10;+NYutILkBf6/hB8gsysAAAD//wMAUEsBAi0AFAAGAAgAAAAhANvh9svuAAAAhQEAABMAAAAAAAAA&#10;AAAAAAAAAAAAAFtDb250ZW50X1R5cGVzXS54bWxQSwECLQAUAAYACAAAACEAWvQsW78AAAAVAQAA&#10;CwAAAAAAAAAAAAAAAAAfAQAAX3JlbHMvLnJlbHNQSwECLQAUAAYACAAAACEAt5gSWMYAAADbAAAA&#10;DwAAAAAAAAAAAAAAAAAHAgAAZHJzL2Rvd25yZXYueG1sUEsFBgAAAAADAAMAtwAAAPoCAAAAAA==&#10;" strokecolor="#9e4024" strokeweight="1pt">
                  <v:stroke endarrow="block" endcap="round"/>
                </v:shape>
                <v:line id="Straight Connector 40" o:spid="_x0000_s1037" style="position:absolute;visibility:visible;mso-wrap-style:square" from="39656,2978" to="39656,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zwgAAANsAAAAPAAAAZHJzL2Rvd25yZXYueG1sRE/Pa8Iw&#10;FL4P/B/CE7zITLVlm9UoOhBE8FD1sttb82yLzUtpMs3+++Ug7Pjx/V6ug2nFnXrXWFYwnSQgiEur&#10;G64UXM671w8QziNrbC2Tgl9ysF4NXpaYa/vggu4nX4kYwi5HBbX3XS6lK2sy6Ca2I47c1fYGfYR9&#10;JXWPjxhuWjlLkjdpsOHYUGNHnzWVt9OPUTA/Z0edZun3eIeHy3sI281XWig1GobNAoSn4P/FT/de&#10;K8ji+vgl/gC5+gMAAP//AwBQSwECLQAUAAYACAAAACEA2+H2y+4AAACFAQAAEwAAAAAAAAAAAAAA&#10;AAAAAAAAW0NvbnRlbnRfVHlwZXNdLnhtbFBLAQItABQABgAIAAAAIQBa9CxbvwAAABUBAAALAAAA&#10;AAAAAAAAAAAAAB8BAABfcmVscy8ucmVsc1BLAQItABQABgAIAAAAIQA+F8EzwgAAANsAAAAPAAAA&#10;AAAAAAAAAAAAAAcCAABkcnMvZG93bnJldi54bWxQSwUGAAAAAAMAAwC3AAAA9gIAAAAA&#10;" strokecolor="#9e4024" strokeweight="1pt">
                  <v:stroke endcap="round"/>
                </v:line>
                <v:shape id="Straight Arrow Connector 42" o:spid="_x0000_s1038" type="#_x0000_t32" style="position:absolute;left:2493;top:9559;width:18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8mwgAAANsAAAAPAAAAZHJzL2Rvd25yZXYueG1sRI/disIw&#10;FITvBd8hHGHvNFVckWoUURa8WBV/HuDYnP5gc9Jtoq1vvxEEL4eZ+YaZL1tTigfVrrCsYDiIQBAn&#10;VhecKbicf/pTEM4jaywtk4InOVguup05xto2fKTHyWciQNjFqCD3voqldElOBt3AVsTBS21t0AdZ&#10;Z1LX2AS4KeUoiibSYMFhIceK1jklt9PdKJBTs/v+29jU037r0snht9lcE6W+eu1qBsJT6z/hd3ur&#10;FYxH8PoSfoBc/AMAAP//AwBQSwECLQAUAAYACAAAACEA2+H2y+4AAACFAQAAEwAAAAAAAAAAAAAA&#10;AAAAAAAAW0NvbnRlbnRfVHlwZXNdLnhtbFBLAQItABQABgAIAAAAIQBa9CxbvwAAABUBAAALAAAA&#10;AAAAAAAAAAAAAB8BAABfcmVscy8ucmVsc1BLAQItABQABgAIAAAAIQDkvY8mwgAAANsAAAAPAAAA&#10;AAAAAAAAAAAAAAcCAABkcnMvZG93bnJldi54bWxQSwUGAAAAAAMAAwC3AAAA9gIAAAAA&#10;" strokecolor="#9e4024" strokeweight="1pt">
                  <v:stroke dashstyle="dash" endarrow="block" endcap="round"/>
                </v:shape>
                <v:shape id="Straight Arrow Connector 43" o:spid="_x0000_s1039" type="#_x0000_t32" style="position:absolute;left:2493;top:9559;width:119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bPwgAAANsAAAAPAAAAZHJzL2Rvd25yZXYueG1sRI9bq8Iw&#10;EITfBf9DWOG8aeoFkWoUEQUFQbyBj2uztsVmU5ocrf/eCIKPw8x8w0xmtSnEgyqXW1bQ7UQgiBOr&#10;c04VnI6r9giE88gaC8uk4EUOZtNmY4Kxtk/e0+PgUxEg7GJUkHlfxlK6JCODrmNL4uDdbGXQB1ml&#10;Ulf4DHBTyF4UDaXBnMNChiUtMkruh3+jIFnh/LxcDPv33fUSrYtNd9sbnJX6a9XzMQhPtf+Fv+21&#10;VjDow+dL+AFy+gYAAP//AwBQSwECLQAUAAYACAAAACEA2+H2y+4AAACFAQAAEwAAAAAAAAAAAAAA&#10;AAAAAAAAW0NvbnRlbnRfVHlwZXNdLnhtbFBLAQItABQABgAIAAAAIQBa9CxbvwAAABUBAAALAAAA&#10;AAAAAAAAAAAAAB8BAABfcmVscy8ucmVsc1BLAQItABQABgAIAAAAIQCOdlbPwgAAANsAAAAPAAAA&#10;AAAAAAAAAAAAAAcCAABkcnMvZG93bnJldi54bWxQSwUGAAAAAAMAAwC3AAAA9gIAAAAA&#10;" strokecolor="#9e4024" strokeweight="1pt">
                  <v:stroke endarrow="block" endcap="round"/>
                </v:shape>
                <w10:anchorlock/>
              </v:group>
            </w:pict>
          </mc:Fallback>
        </mc:AlternateContent>
      </w:r>
    </w:p>
    <w:p w:rsidR="00B10F9D" w:rsidRDefault="00B10F9D">
      <w:pPr>
        <w:spacing w:before="0" w:after="0"/>
        <w:rPr>
          <w:rFonts w:cstheme="minorHAnsi"/>
          <w:b/>
          <w:bCs/>
          <w:color w:val="auto"/>
          <w:sz w:val="22"/>
          <w:szCs w:val="22"/>
        </w:rPr>
      </w:pPr>
      <w:r>
        <w:rPr>
          <w:rFonts w:cstheme="minorHAnsi"/>
          <w:b/>
          <w:bCs/>
          <w:i/>
          <w:iCs/>
          <w:color w:val="auto"/>
          <w:sz w:val="22"/>
          <w:szCs w:val="22"/>
        </w:rPr>
        <w:br w:type="page"/>
      </w:r>
    </w:p>
    <w:p w:rsidR="0075224C" w:rsidRPr="00BB56C0" w:rsidRDefault="0075224C" w:rsidP="00B20052">
      <w:pPr>
        <w:rPr>
          <w:i/>
          <w:iCs/>
        </w:rPr>
      </w:pPr>
      <w:r w:rsidRPr="00944B85">
        <w:t xml:space="preserve">Table </w:t>
      </w:r>
      <w:r>
        <w:t>A2</w:t>
      </w:r>
      <w:r w:rsidRPr="00944B85">
        <w:t>: Parameters related to COVID-19 infection</w:t>
      </w:r>
    </w:p>
    <w:tbl>
      <w:tblPr>
        <w:tblStyle w:val="ListTable1Light-Accent2"/>
        <w:tblW w:w="9639" w:type="dxa"/>
        <w:tblLook w:val="04A0" w:firstRow="1" w:lastRow="0" w:firstColumn="1" w:lastColumn="0" w:noHBand="0" w:noVBand="1"/>
      </w:tblPr>
      <w:tblGrid>
        <w:gridCol w:w="2440"/>
        <w:gridCol w:w="5215"/>
        <w:gridCol w:w="1984"/>
      </w:tblGrid>
      <w:tr w:rsidR="0075224C" w:rsidRPr="008A5707" w:rsidTr="005F4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75224C" w:rsidRPr="00BC26DC" w:rsidRDefault="0075224C" w:rsidP="00FE63DA">
            <w:pPr>
              <w:rPr>
                <w:rStyle w:val="Emphasis"/>
              </w:rPr>
            </w:pPr>
            <w:r w:rsidRPr="00BC26DC">
              <w:rPr>
                <w:rStyle w:val="Emphasis"/>
              </w:rPr>
              <w:t>Parameter</w:t>
            </w:r>
          </w:p>
        </w:tc>
        <w:tc>
          <w:tcPr>
            <w:tcW w:w="5215" w:type="dxa"/>
          </w:tcPr>
          <w:p w:rsidR="0075224C" w:rsidRPr="00BC26DC" w:rsidRDefault="0075224C" w:rsidP="00FE63DA">
            <w:pPr>
              <w:cnfStyle w:val="100000000000" w:firstRow="1" w:lastRow="0" w:firstColumn="0" w:lastColumn="0" w:oddVBand="0" w:evenVBand="0" w:oddHBand="0" w:evenHBand="0" w:firstRowFirstColumn="0" w:firstRowLastColumn="0" w:lastRowFirstColumn="0" w:lastRowLastColumn="0"/>
              <w:rPr>
                <w:rStyle w:val="Emphasis"/>
              </w:rPr>
            </w:pPr>
            <w:r w:rsidRPr="00BC26DC">
              <w:rPr>
                <w:rStyle w:val="Emphasis"/>
              </w:rPr>
              <w:t>Distribution sample from</w:t>
            </w:r>
          </w:p>
        </w:tc>
        <w:tc>
          <w:tcPr>
            <w:tcW w:w="1984" w:type="dxa"/>
          </w:tcPr>
          <w:p w:rsidR="0075224C" w:rsidRPr="00BC26DC" w:rsidRDefault="0075224C" w:rsidP="00FE63DA">
            <w:pPr>
              <w:cnfStyle w:val="100000000000" w:firstRow="1" w:lastRow="0" w:firstColumn="0" w:lastColumn="0" w:oddVBand="0" w:evenVBand="0" w:oddHBand="0" w:evenHBand="0" w:firstRowFirstColumn="0" w:firstRowLastColumn="0" w:lastRowFirstColumn="0" w:lastRowLastColumn="0"/>
              <w:rPr>
                <w:rStyle w:val="Emphasis"/>
              </w:rPr>
            </w:pPr>
            <w:r w:rsidRPr="00BC26DC">
              <w:rPr>
                <w:rStyle w:val="Emphasis"/>
              </w:rPr>
              <w:t>Source</w:t>
            </w:r>
          </w:p>
        </w:tc>
      </w:tr>
      <w:tr w:rsidR="0075224C" w:rsidRPr="008A5707" w:rsidTr="005F4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75224C" w:rsidRPr="004F355D" w:rsidRDefault="0075224C" w:rsidP="00FE63DA">
            <w:pPr>
              <w:rPr>
                <w:rStyle w:val="Emphasis"/>
              </w:rPr>
            </w:pPr>
            <w:r w:rsidRPr="004F355D">
              <w:rPr>
                <w:rStyle w:val="Emphasis"/>
              </w:rPr>
              <w:t>Latent period (days)</w:t>
            </w:r>
          </w:p>
        </w:tc>
        <w:tc>
          <w:tcPr>
            <w:tcW w:w="5215" w:type="dxa"/>
          </w:tcPr>
          <w:p w:rsidR="0075224C" w:rsidRPr="004F355D" w:rsidRDefault="0075224C" w:rsidP="00FE63DA">
            <w:pPr>
              <w:cnfStyle w:val="000000100000" w:firstRow="0" w:lastRow="0" w:firstColumn="0" w:lastColumn="0" w:oddVBand="0" w:evenVBand="0" w:oddHBand="1" w:evenHBand="0" w:firstRowFirstColumn="0" w:firstRowLastColumn="0" w:lastRowFirstColumn="0" w:lastRowLastColumn="0"/>
              <w:rPr>
                <w:rStyle w:val="Emphasis"/>
              </w:rPr>
            </w:pPr>
            <w:r w:rsidRPr="004F355D">
              <w:rPr>
                <w:rStyle w:val="Emphasis"/>
              </w:rPr>
              <w:t>Uniform distribution between 3 and 6</w:t>
            </w:r>
          </w:p>
        </w:tc>
        <w:tc>
          <w:tcPr>
            <w:tcW w:w="1984" w:type="dxa"/>
            <w:vMerge w:val="restart"/>
            <w:vAlign w:val="center"/>
          </w:tcPr>
          <w:p w:rsidR="0075224C" w:rsidRPr="004F355D" w:rsidRDefault="0075224C" w:rsidP="00BC26DC">
            <w:pPr>
              <w:jc w:val="center"/>
              <w:cnfStyle w:val="000000100000" w:firstRow="0" w:lastRow="0" w:firstColumn="0" w:lastColumn="0" w:oddVBand="0" w:evenVBand="0" w:oddHBand="1" w:evenHBand="0" w:firstRowFirstColumn="0" w:firstRowLastColumn="0" w:lastRowFirstColumn="0" w:lastRowLastColumn="0"/>
              <w:rPr>
                <w:rStyle w:val="Emphasis"/>
              </w:rPr>
            </w:pPr>
            <w:r w:rsidRPr="004F355D">
              <w:rPr>
                <w:rStyle w:val="Emphasis"/>
              </w:rPr>
              <w:fldChar w:fldCharType="begin">
                <w:fldData xml:space="preserve">PEVuZE5vdGU+PENpdGU+PEF1dGhvcj5LdWNoYXJza2k8L0F1dGhvcj48WWVhcj4yMDIwPC9ZZWFy
PjxSZWNOdW0+NjcwNDwvUmVjTnVtPjxEaXNwbGF5VGV4dD5bNC03XTwvRGlzcGxheVRleHQ+PHJl
Y29yZD48cmVjLW51bWJlcj42NzA0PC9yZWMtbnVtYmVyPjxmb3JlaWduLWtleXM+PGtleSBhcHA9
IkVOIiBkYi1pZD0iMmFyenB2OXB2MjV3cmRlZDVwMHAweGZvc2FkMDl0ZDU1cjBwIiB0aW1lc3Rh
bXA9IjE1ODUwOTI0MzIiIGd1aWQ9IjYxYzg4OTAyLTJkNjEtNDNkMS1iNjcwLWM2N2JjNDEzYjBh
NSI+NjcwNDwva2V5PjwvZm9yZWlnbi1rZXlzPjxyZWYtdHlwZSBuYW1lPSJKb3VybmFsIEFydGlj
bGUiPjE3PC9yZWYtdHlwZT48Y29udHJpYnV0b3JzPjxhdXRob3JzPjxhdXRob3I+S3VjaGFyc2tp
LCBBLiBKLjwvYXV0aG9yPjxhdXRob3I+UnVzc2VsbCwgVC4gVy48L2F1dGhvcj48YXV0aG9yPkRp
YW1vbmQsIEMuPC9hdXRob3I+PGF1dGhvcj5MaXUsIFkuPC9hdXRob3I+PGF1dGhvcj5FZG11bmRz
LCBKLjwvYXV0aG9yPjxhdXRob3I+RnVuaywgUy48L2F1dGhvcj48YXV0aG9yPkVnZ28sIFIuIE0u
PC9hdXRob3I+PGF1dGhvcj5DZW50cmUgZm9yIE1hdGhlbWF0aWNhbCBNb2RlbGxpbmcgb2YgSW5m
ZWN0aW91cyBEaXNlYXNlcywgQ292aWQtd29ya2luZyBncm91cDwvYXV0aG9yPjwvYXV0aG9ycz48
L2NvbnRyaWJ1dG9ycz48YXV0aC1hZGRyZXNzPkNlbnRyZSBmb3IgTWF0aGVtYXRpY2FsIE1vZGVs
bGluZyBvZiBJbmZlY3Rpb3VzIERpc2Vhc2VzLCBMb25kb24gU2Nob29sIG9mIEh5Z2llbmUgJmFt
cDsgVHJvcGljYWwgTWVkaWNpbmUsIExvbmRvbiwgVUsuIEVsZWN0cm9uaWMgYWRkcmVzczogYWRh
bS5rdWNoYXJza2lAbHNodG0uYWMudWsuJiN4RDtDZW50cmUgZm9yIE1hdGhlbWF0aWNhbCBNb2Rl
bGxpbmcgb2YgSW5mZWN0aW91cyBEaXNlYXNlcywgTG9uZG9uIFNjaG9vbCBvZiBIeWdpZW5lICZh
bXA7IFRyb3BpY2FsIE1lZGljaW5lLCBMb25kb24sIFVLLjwvYXV0aC1hZGRyZXNzPjx0aXRsZXM+
PHRpdGxlPkVhcmx5IGR5bmFtaWNzIG9mIHRyYW5zbWlzc2lvbiBhbmQgY29udHJvbCBvZiBDT1ZJ
RC0xOTogYSBtYXRoZW1hdGljYWwgbW9kZWxsaW5nIHN0dWR5PC90aXRsZT48c2Vjb25kYXJ5LXRp
dGxlPkxhbmNldCBJbmZlY3QgRGlzPC9zZWNvbmRhcnktdGl0bGU+PC90aXRsZXM+PHBlcmlvZGlj
YWw+PGZ1bGwtdGl0bGU+VGhlIExhbmNldCBpbmZlY3Rpb3VzIGRpc2Vhc2VzPC9mdWxsLXRpdGxl
PjxhYmJyLTE+TGFuY2V0IEluZmVjdCBEaXM8L2FiYnItMT48L3BlcmlvZGljYWw+PGVkaXRpb24+
MjAyMC8wMy8xNTwvZWRpdGlvbj48ZGF0ZXM+PHllYXI+MjAyMDwveWVhcj48cHViLWRhdGVzPjxk
YXRlPk1hciAxMTwvZGF0ZT48L3B1Yi1kYXRlcz48L2RhdGVzPjxpc2JuPjE0NzQtNDQ1NyAoRWxl
Y3Ryb25pYykmI3hEOzE0NzMtMzA5OSAoTGlua2luZyk8L2lzYm4+PGFjY2Vzc2lvbi1udW0+MzIx
NzEwNTk8L2FjY2Vzc2lvbi1udW0+PHVybHM+PHJlbGF0ZWQtdXJscz48dXJsPmh0dHBzOi8vd3d3
Lm5jYmkubmxtLm5paC5nb3YvcHVibWVkLzMyMTcxMDU5PC91cmw+PC9yZWxhdGVkLXVybHM+PC91
cmxzPjxlbGVjdHJvbmljLXJlc291cmNlLW51bT4xMC4xMDE2L1MxNDczLTMwOTkoMjApMzAxNDQt
NDwvZWxlY3Ryb25pYy1yZXNvdXJjZS1udW0+PC9yZWNvcmQ+PC9DaXRlPjxDaXRlPjxBdXRob3I+
Qmk8L0F1dGhvcj48WWVhcj4yMDIwPC9ZZWFyPjxSZWNOdW0+NjcyNTwvUmVjTnVtPjxyZWNvcmQ+
PHJlYy1udW1iZXI+NjcyNTwvcmVjLW51bWJlcj48Zm9yZWlnbi1rZXlzPjxrZXkgYXBwPSJFTiIg
ZGItaWQ9IjJhcnpwdjlwdjI1d3JkZWQ1cDBwMHhmb3NhZDA5dGQ1NXIwcCIgdGltZXN0YW1wPSIx
NTg1ODc0NDczIiBndWlkPSIwODUyMGRhMy01YjM0LTQ4OWMtYWUzNC00YTYzZTMwOGEzODAiPjY3
MjU8L2tleT48L2ZvcmVpZ24ta2V5cz48cmVmLXR5cGUgbmFtZT0iSm91cm5hbCBBcnRpY2xlIj4x
NzwvcmVmLXR5cGU+PGNvbnRyaWJ1dG9ycz48YXV0aG9ycz48YXV0aG9yPkJpLCBRaWZhbmc8L2F1
dGhvcj48YXV0aG9yPld1LCBZb25nc2hlbmc8L2F1dGhvcj48YXV0aG9yPk1laSwgU2h1amlhbmc8
L2F1dGhvcj48YXV0aG9yPlllLCBDaGVuZmVpPC9hdXRob3I+PGF1dGhvcj5ab3UsIFh1YW48L2F1
dGhvcj48YXV0aG9yPlpoYW5nLCBaaGVuPC9hdXRob3I+PGF1dGhvcj5MaXUsIFhpYW9qaWFuPC9h
dXRob3I+PGF1dGhvcj5XZWksIExhbjwvYXV0aG9yPjxhdXRob3I+VHJ1ZWxvdmUsIFNoYXVuIEE8
L2F1dGhvcj48YXV0aG9yPlpoYW5nLCBUb25nPC9hdXRob3I+PGF1dGhvcj5HYW8sIFdlaTwvYXV0
aG9yPjxhdXRob3I+Q2hlbmcsIENvbmc8L2F1dGhvcj48YXV0aG9yPlRhbmcsIFhpdWp1YW48L2F1
dGhvcj48YXV0aG9yPld1LCBYaWFvbGlhbmc8L2F1dGhvcj48YXV0aG9yPld1LCBZdTwvYXV0aG9y
PjxhdXRob3I+U3VuLCBCaW5iaW48L2F1dGhvcj48YXV0aG9yPkh1YW5nLCBTdWxpPC9hdXRob3I+
PGF1dGhvcj5TdW4sIFl1PC9hdXRob3I+PGF1dGhvcj5aaGFuZywgSnVuY2VuPC9hdXRob3I+PGF1
dGhvcj5NYSwgVGluZzwvYXV0aG9yPjxhdXRob3I+TGVzc2xlciwgSnVzdGluPC9hdXRob3I+PGF1
dGhvcj5GZW5nLCBUZWlqaWFuPC9hdXRob3I+PC9hdXRob3JzPjwvY29udHJpYnV0b3JzPjx0aXRs
ZXM+PHRpdGxlPkVwaWRlbWlvbG9neSBhbmQgVHJhbnNtaXNzaW9uIG9mIENPVklELTE5IGluIFNo
ZW56aGVuIENoaW5hOiBBbmFseXNpcyBvZiAzOTEgY2FzZXMgYW5kIDEsMjg2IG9mIHRoZWlyIGNs
b3NlIGNvbnRhY3RzPC90aXRsZT48c2Vjb25kYXJ5LXRpdGxlPm1lZFJ4aXY8L3NlY29uZGFyeS10
aXRsZT48L3RpdGxlcz48cGVyaW9kaWNhbD48ZnVsbC10aXRsZT5tZWRSeGl2PC9mdWxsLXRpdGxl
PjwvcGVyaW9kaWNhbD48cGFnZXM+MjAyMC4wMy4wMy4yMDAyODQyMzwvcGFnZXM+PGRhdGVzPjx5
ZWFyPjIwMjA8L3llYXI+PC9kYXRlcz48dXJscz48cmVsYXRlZC11cmxzPjx1cmw+aHR0cHM6Ly93
d3cubWVkcnhpdi5vcmcvY29udGVudC9tZWRyeGl2L2Vhcmx5LzIwMjAvMDMvMjcvMjAyMC4wMy4w
My4yMDAyODQyMy5mdWxsLnBkZjwvdXJsPjwvcmVsYXRlZC11cmxzPjwvdXJscz48ZWxlY3Ryb25p
Yy1yZXNvdXJjZS1udW0+MTAuMTEwMS8yMDIwLjAzLjAzLjIwMDI4NDIzPC9lbGVjdHJvbmljLXJl
c291cmNlLW51bT48L3JlY29yZD48L0NpdGU+PENpdGU+PEF1dGhvcj5CYWNrZXI8L0F1dGhvcj48
WWVhcj4yMDA5PC9ZZWFyPjxSZWNOdW0+MTIwPC9SZWNOdW0+PHJlY29yZD48cmVjLW51bWJlcj4x
MjA8L3JlYy1udW1iZXI+PGZvcmVpZ24ta2V5cz48a2V5IGFwcD0iRU4iIGRiLWlkPSIyYXJ6cHY5
cHYyNXdyZGVkNXAwcDB4Zm9zYWQwOXRkNTVyMHAiIHRpbWVzdGFtcD0iMTI2MzI1MjEzMiIgZ3Vp
ZD0iNTY0Yzc2ODAtZDk0Yi00N2JiLThhZDMtM2QyYzA2OTExNTJmIj4xMjA8L2tleT48L2ZvcmVp
Z24ta2V5cz48cmVmLXR5cGUgbmFtZT0iSm91cm5hbCBBcnRpY2xlIj4xNzwvcmVmLXR5cGU+PGNv
bnRyaWJ1dG9ycz48YXV0aG9ycz48YXV0aG9yPkJhY2tlciwgSmFudGllbiBBPC9hdXRob3I+PGF1
dGhvcj5IYWdlbmFhcnMsIFRob21hcyBKPC9hdXRob3I+PGF1dGhvcj52YW4gUm9lcm11bmQsIEhl
cm1hbiBKIFc8L2F1dGhvcj48YXV0aG9yPmRlIEpvbmcsIE1hcnQgQyBNPC9hdXRob3I+PC9hdXRo
b3JzPjwvY29udHJpYnV0b3JzPjx0aXRsZXM+PHRpdGxlPk1vZGVsbGluZyB0aGUgZWZmZWN0aXZl
bmVzcyBhbmQgcmlza3Mgb2YgdmFjY2luYXRpb24gc3RyYXRlZ2llcyB0byBjb250cm9sIGNsYXNz
aWNhbCBzd2luZSBmZXZlciBlcGlkZW1pY3M8L3RpdGxlPjxzZWNvbmRhcnktdGl0bGU+Sm91cm5h
bCBvZiB0aGUgUm95YWwgU29jaWV0eSBJbnRlcmZhY2U8L3NlY29uZGFyeS10aXRsZT48L3RpdGxl
cz48cGVyaW9kaWNhbD48ZnVsbC10aXRsZT5Kb3VybmFsIG9mIHRoZSBSb3lhbCBTb2NpZXR5IElu
dGVyZmFjZTwvZnVsbC10aXRsZT48L3BlcmlvZGljYWw+PHBhZ2VzPjg0OS04NjE8L3BhZ2VzPjx2
b2x1bWU+Njwvdm9sdW1lPjxkYXRlcz48eWVhcj4yMDA5PC95ZWFyPjwvZGF0ZXM+PHVybHM+PC91
cmxzPjwvcmVjb3JkPjwvQ2l0ZT48Q2l0ZT48QXV0aG9yPktyZXR6c2NobWFyPC9BdXRob3I+PFll
YXI+MjAyMDwvWWVhcj48UmVjTnVtPjY3MjY8L1JlY051bT48cmVjb3JkPjxyZWMtbnVtYmVyPjY3
MjY8L3JlYy1udW1iZXI+PGZvcmVpZ24ta2V5cz48a2V5IGFwcD0iRU4iIGRiLWlkPSIyYXJ6cHY5
cHYyNXdyZGVkNXAwcDB4Zm9zYWQwOXRkNTVyMHAiIHRpbWVzdGFtcD0iMTU4NTg3NDY5MiIgZ3Vp
ZD0iNGI1NDk2MmMtODNjMy00YjkxLTkyOTktMjYyZmY4NTkxMDZkIj42NzI2PC9rZXk+PC9mb3Jl
aWduLWtleXM+PHJlZi10eXBlIG5hbWU9IkpvdXJuYWwgQXJ0aWNsZSI+MTc8L3JlZi10eXBlPjxj
b250cmlidXRvcnM+PGF1dGhvcnM+PGF1dGhvcj5LcmV0enNjaG1hciwgTWlyamFtIEU8L2F1dGhv
cj48YXV0aG9yPlJvemhub3ZhLCBHYW5uYTwvYXV0aG9yPjxhdXRob3I+dmFuIEJvdmVuLCBNaWNo
aWVsIEU8L2F1dGhvcj48L2F1dGhvcnM+PC9jb250cmlidXRvcnM+PHRpdGxlcz48dGl0bGU+RWZm
ZWN0aXZlbmVzcyBvZiBpc29sYXRpb24gYW5kIGNvbnRhY3QgdHJhY2luZyBmb3IgY29udGFpbm1l
bnQgYW5kIHNsb3dpbmcgZG93biBhIENPVklELTE5IGVwaWRlbWljOiBhIG1vZGVsbGluZyBzdHVk
eTwvdGl0bGU+PHNlY29uZGFyeS10aXRsZT5tZWRSeGl2PC9zZWNvbmRhcnktdGl0bGU+PC90aXRs
ZXM+PHBlcmlvZGljYWw+PGZ1bGwtdGl0bGU+bWVkUnhpdjwvZnVsbC10aXRsZT48L3BlcmlvZGlj
YWw+PHBhZ2VzPjIwMjAuMDMuMTAuMjAwMzM3Mzg8L3BhZ2VzPjxkYXRlcz48eWVhcj4yMDIwPC95
ZWFyPjwvZGF0ZXM+PHVybHM+PHJlbGF0ZWQtdXJscz48dXJsPmh0dHBzOi8vd3d3Lm1lZHJ4aXYu
b3JnL2NvbnRlbnQvbWVkcnhpdi9lYXJseS8yMDIwLzAzLzEzLzIwMjAuMDMuMTAuMjAwMzM3Mzgu
ZnVsbC5wZGY8L3VybD48L3JlbGF0ZWQtdXJscz48L3VybHM+PGVsZWN0cm9uaWMtcmVzb3VyY2Ut
bnVtPjEwLjExMDEvMjAyMC4wMy4xMC4yMDAzMzczODwvZWxlY3Ryb25pYy1yZXNvdXJjZS1udW0+
PC9yZWNvcmQ+PC9DaXRlPjwvRW5kTm90ZT5=
</w:fldData>
              </w:fldChar>
            </w:r>
            <w:r w:rsidRPr="004F355D">
              <w:rPr>
                <w:rStyle w:val="Emphasis"/>
              </w:rPr>
              <w:instrText xml:space="preserve"> ADDIN EN.CITE </w:instrText>
            </w:r>
            <w:r w:rsidRPr="004F355D">
              <w:rPr>
                <w:rStyle w:val="Emphasis"/>
              </w:rPr>
              <w:fldChar w:fldCharType="begin">
                <w:fldData xml:space="preserve">PEVuZE5vdGU+PENpdGU+PEF1dGhvcj5LdWNoYXJza2k8L0F1dGhvcj48WWVhcj4yMDIwPC9ZZWFy
PjxSZWNOdW0+NjcwNDwvUmVjTnVtPjxEaXNwbGF5VGV4dD5bNC03XTwvRGlzcGxheVRleHQ+PHJl
Y29yZD48cmVjLW51bWJlcj42NzA0PC9yZWMtbnVtYmVyPjxmb3JlaWduLWtleXM+PGtleSBhcHA9
IkVOIiBkYi1pZD0iMmFyenB2OXB2MjV3cmRlZDVwMHAweGZvc2FkMDl0ZDU1cjBwIiB0aW1lc3Rh
bXA9IjE1ODUwOTI0MzIiIGd1aWQ9IjYxYzg4OTAyLTJkNjEtNDNkMS1iNjcwLWM2N2JjNDEzYjBh
NSI+NjcwNDwva2V5PjwvZm9yZWlnbi1rZXlzPjxyZWYtdHlwZSBuYW1lPSJKb3VybmFsIEFydGlj
bGUiPjE3PC9yZWYtdHlwZT48Y29udHJpYnV0b3JzPjxhdXRob3JzPjxhdXRob3I+S3VjaGFyc2tp
LCBBLiBKLjwvYXV0aG9yPjxhdXRob3I+UnVzc2VsbCwgVC4gVy48L2F1dGhvcj48YXV0aG9yPkRp
YW1vbmQsIEMuPC9hdXRob3I+PGF1dGhvcj5MaXUsIFkuPC9hdXRob3I+PGF1dGhvcj5FZG11bmRz
LCBKLjwvYXV0aG9yPjxhdXRob3I+RnVuaywgUy48L2F1dGhvcj48YXV0aG9yPkVnZ28sIFIuIE0u
PC9hdXRob3I+PGF1dGhvcj5DZW50cmUgZm9yIE1hdGhlbWF0aWNhbCBNb2RlbGxpbmcgb2YgSW5m
ZWN0aW91cyBEaXNlYXNlcywgQ292aWQtd29ya2luZyBncm91cDwvYXV0aG9yPjwvYXV0aG9ycz48
L2NvbnRyaWJ1dG9ycz48YXV0aC1hZGRyZXNzPkNlbnRyZSBmb3IgTWF0aGVtYXRpY2FsIE1vZGVs
bGluZyBvZiBJbmZlY3Rpb3VzIERpc2Vhc2VzLCBMb25kb24gU2Nob29sIG9mIEh5Z2llbmUgJmFt
cDsgVHJvcGljYWwgTWVkaWNpbmUsIExvbmRvbiwgVUsuIEVsZWN0cm9uaWMgYWRkcmVzczogYWRh
bS5rdWNoYXJza2lAbHNodG0uYWMudWsuJiN4RDtDZW50cmUgZm9yIE1hdGhlbWF0aWNhbCBNb2Rl
bGxpbmcgb2YgSW5mZWN0aW91cyBEaXNlYXNlcywgTG9uZG9uIFNjaG9vbCBvZiBIeWdpZW5lICZh
bXA7IFRyb3BpY2FsIE1lZGljaW5lLCBMb25kb24sIFVLLjwvYXV0aC1hZGRyZXNzPjx0aXRsZXM+
PHRpdGxlPkVhcmx5IGR5bmFtaWNzIG9mIHRyYW5zbWlzc2lvbiBhbmQgY29udHJvbCBvZiBDT1ZJ
RC0xOTogYSBtYXRoZW1hdGljYWwgbW9kZWxsaW5nIHN0dWR5PC90aXRsZT48c2Vjb25kYXJ5LXRp
dGxlPkxhbmNldCBJbmZlY3QgRGlzPC9zZWNvbmRhcnktdGl0bGU+PC90aXRsZXM+PHBlcmlvZGlj
YWw+PGZ1bGwtdGl0bGU+VGhlIExhbmNldCBpbmZlY3Rpb3VzIGRpc2Vhc2VzPC9mdWxsLXRpdGxl
PjxhYmJyLTE+TGFuY2V0IEluZmVjdCBEaXM8L2FiYnItMT48L3BlcmlvZGljYWw+PGVkaXRpb24+
MjAyMC8wMy8xNTwvZWRpdGlvbj48ZGF0ZXM+PHllYXI+MjAyMDwveWVhcj48cHViLWRhdGVzPjxk
YXRlPk1hciAxMTwvZGF0ZT48L3B1Yi1kYXRlcz48L2RhdGVzPjxpc2JuPjE0NzQtNDQ1NyAoRWxl
Y3Ryb25pYykmI3hEOzE0NzMtMzA5OSAoTGlua2luZyk8L2lzYm4+PGFjY2Vzc2lvbi1udW0+MzIx
NzEwNTk8L2FjY2Vzc2lvbi1udW0+PHVybHM+PHJlbGF0ZWQtdXJscz48dXJsPmh0dHBzOi8vd3d3
Lm5jYmkubmxtLm5paC5nb3YvcHVibWVkLzMyMTcxMDU5PC91cmw+PC9yZWxhdGVkLXVybHM+PC91
cmxzPjxlbGVjdHJvbmljLXJlc291cmNlLW51bT4xMC4xMDE2L1MxNDczLTMwOTkoMjApMzAxNDQt
NDwvZWxlY3Ryb25pYy1yZXNvdXJjZS1udW0+PC9yZWNvcmQ+PC9DaXRlPjxDaXRlPjxBdXRob3I+
Qmk8L0F1dGhvcj48WWVhcj4yMDIwPC9ZZWFyPjxSZWNOdW0+NjcyNTwvUmVjTnVtPjxyZWNvcmQ+
PHJlYy1udW1iZXI+NjcyNTwvcmVjLW51bWJlcj48Zm9yZWlnbi1rZXlzPjxrZXkgYXBwPSJFTiIg
ZGItaWQ9IjJhcnpwdjlwdjI1d3JkZWQ1cDBwMHhmb3NhZDA5dGQ1NXIwcCIgdGltZXN0YW1wPSIx
NTg1ODc0NDczIiBndWlkPSIwODUyMGRhMy01YjM0LTQ4OWMtYWUzNC00YTYzZTMwOGEzODAiPjY3
MjU8L2tleT48L2ZvcmVpZ24ta2V5cz48cmVmLXR5cGUgbmFtZT0iSm91cm5hbCBBcnRpY2xlIj4x
NzwvcmVmLXR5cGU+PGNvbnRyaWJ1dG9ycz48YXV0aG9ycz48YXV0aG9yPkJpLCBRaWZhbmc8L2F1
dGhvcj48YXV0aG9yPld1LCBZb25nc2hlbmc8L2F1dGhvcj48YXV0aG9yPk1laSwgU2h1amlhbmc8
L2F1dGhvcj48YXV0aG9yPlllLCBDaGVuZmVpPC9hdXRob3I+PGF1dGhvcj5ab3UsIFh1YW48L2F1
dGhvcj48YXV0aG9yPlpoYW5nLCBaaGVuPC9hdXRob3I+PGF1dGhvcj5MaXUsIFhpYW9qaWFuPC9h
dXRob3I+PGF1dGhvcj5XZWksIExhbjwvYXV0aG9yPjxhdXRob3I+VHJ1ZWxvdmUsIFNoYXVuIEE8
L2F1dGhvcj48YXV0aG9yPlpoYW5nLCBUb25nPC9hdXRob3I+PGF1dGhvcj5HYW8sIFdlaTwvYXV0
aG9yPjxhdXRob3I+Q2hlbmcsIENvbmc8L2F1dGhvcj48YXV0aG9yPlRhbmcsIFhpdWp1YW48L2F1
dGhvcj48YXV0aG9yPld1LCBYaWFvbGlhbmc8L2F1dGhvcj48YXV0aG9yPld1LCBZdTwvYXV0aG9y
PjxhdXRob3I+U3VuLCBCaW5iaW48L2F1dGhvcj48YXV0aG9yPkh1YW5nLCBTdWxpPC9hdXRob3I+
PGF1dGhvcj5TdW4sIFl1PC9hdXRob3I+PGF1dGhvcj5aaGFuZywgSnVuY2VuPC9hdXRob3I+PGF1
dGhvcj5NYSwgVGluZzwvYXV0aG9yPjxhdXRob3I+TGVzc2xlciwgSnVzdGluPC9hdXRob3I+PGF1
dGhvcj5GZW5nLCBUZWlqaWFuPC9hdXRob3I+PC9hdXRob3JzPjwvY29udHJpYnV0b3JzPjx0aXRs
ZXM+PHRpdGxlPkVwaWRlbWlvbG9neSBhbmQgVHJhbnNtaXNzaW9uIG9mIENPVklELTE5IGluIFNo
ZW56aGVuIENoaW5hOiBBbmFseXNpcyBvZiAzOTEgY2FzZXMgYW5kIDEsMjg2IG9mIHRoZWlyIGNs
b3NlIGNvbnRhY3RzPC90aXRsZT48c2Vjb25kYXJ5LXRpdGxlPm1lZFJ4aXY8L3NlY29uZGFyeS10
aXRsZT48L3RpdGxlcz48cGVyaW9kaWNhbD48ZnVsbC10aXRsZT5tZWRSeGl2PC9mdWxsLXRpdGxl
PjwvcGVyaW9kaWNhbD48cGFnZXM+MjAyMC4wMy4wMy4yMDAyODQyMzwvcGFnZXM+PGRhdGVzPjx5
ZWFyPjIwMjA8L3llYXI+PC9kYXRlcz48dXJscz48cmVsYXRlZC11cmxzPjx1cmw+aHR0cHM6Ly93
d3cubWVkcnhpdi5vcmcvY29udGVudC9tZWRyeGl2L2Vhcmx5LzIwMjAvMDMvMjcvMjAyMC4wMy4w
My4yMDAyODQyMy5mdWxsLnBkZjwvdXJsPjwvcmVsYXRlZC11cmxzPjwvdXJscz48ZWxlY3Ryb25p
Yy1yZXNvdXJjZS1udW0+MTAuMTEwMS8yMDIwLjAzLjAzLjIwMDI4NDIzPC9lbGVjdHJvbmljLXJl
c291cmNlLW51bT48L3JlY29yZD48L0NpdGU+PENpdGU+PEF1dGhvcj5CYWNrZXI8L0F1dGhvcj48
WWVhcj4yMDA5PC9ZZWFyPjxSZWNOdW0+MTIwPC9SZWNOdW0+PHJlY29yZD48cmVjLW51bWJlcj4x
MjA8L3JlYy1udW1iZXI+PGZvcmVpZ24ta2V5cz48a2V5IGFwcD0iRU4iIGRiLWlkPSIyYXJ6cHY5
cHYyNXdyZGVkNXAwcDB4Zm9zYWQwOXRkNTVyMHAiIHRpbWVzdGFtcD0iMTI2MzI1MjEzMiIgZ3Vp
ZD0iNTY0Yzc2ODAtZDk0Yi00N2JiLThhZDMtM2QyYzA2OTExNTJmIj4xMjA8L2tleT48L2ZvcmVp
Z24ta2V5cz48cmVmLXR5cGUgbmFtZT0iSm91cm5hbCBBcnRpY2xlIj4xNzwvcmVmLXR5cGU+PGNv
bnRyaWJ1dG9ycz48YXV0aG9ycz48YXV0aG9yPkJhY2tlciwgSmFudGllbiBBPC9hdXRob3I+PGF1
dGhvcj5IYWdlbmFhcnMsIFRob21hcyBKPC9hdXRob3I+PGF1dGhvcj52YW4gUm9lcm11bmQsIEhl
cm1hbiBKIFc8L2F1dGhvcj48YXV0aG9yPmRlIEpvbmcsIE1hcnQgQyBNPC9hdXRob3I+PC9hdXRo
b3JzPjwvY29udHJpYnV0b3JzPjx0aXRsZXM+PHRpdGxlPk1vZGVsbGluZyB0aGUgZWZmZWN0aXZl
bmVzcyBhbmQgcmlza3Mgb2YgdmFjY2luYXRpb24gc3RyYXRlZ2llcyB0byBjb250cm9sIGNsYXNz
aWNhbCBzd2luZSBmZXZlciBlcGlkZW1pY3M8L3RpdGxlPjxzZWNvbmRhcnktdGl0bGU+Sm91cm5h
bCBvZiB0aGUgUm95YWwgU29jaWV0eSBJbnRlcmZhY2U8L3NlY29uZGFyeS10aXRsZT48L3RpdGxl
cz48cGVyaW9kaWNhbD48ZnVsbC10aXRsZT5Kb3VybmFsIG9mIHRoZSBSb3lhbCBTb2NpZXR5IElu
dGVyZmFjZTwvZnVsbC10aXRsZT48L3BlcmlvZGljYWw+PHBhZ2VzPjg0OS04NjE8L3BhZ2VzPjx2
b2x1bWU+Njwvdm9sdW1lPjxkYXRlcz48eWVhcj4yMDA5PC95ZWFyPjwvZGF0ZXM+PHVybHM+PC91
cmxzPjwvcmVjb3JkPjwvQ2l0ZT48Q2l0ZT48QXV0aG9yPktyZXR6c2NobWFyPC9BdXRob3I+PFll
YXI+MjAyMDwvWWVhcj48UmVjTnVtPjY3MjY8L1JlY051bT48cmVjb3JkPjxyZWMtbnVtYmVyPjY3
MjY8L3JlYy1udW1iZXI+PGZvcmVpZ24ta2V5cz48a2V5IGFwcD0iRU4iIGRiLWlkPSIyYXJ6cHY5
cHYyNXdyZGVkNXAwcDB4Zm9zYWQwOXRkNTVyMHAiIHRpbWVzdGFtcD0iMTU4NTg3NDY5MiIgZ3Vp
ZD0iNGI1NDk2MmMtODNjMy00YjkxLTkyOTktMjYyZmY4NTkxMDZkIj42NzI2PC9rZXk+PC9mb3Jl
aWduLWtleXM+PHJlZi10eXBlIG5hbWU9IkpvdXJuYWwgQXJ0aWNsZSI+MTc8L3JlZi10eXBlPjxj
b250cmlidXRvcnM+PGF1dGhvcnM+PGF1dGhvcj5LcmV0enNjaG1hciwgTWlyamFtIEU8L2F1dGhv
cj48YXV0aG9yPlJvemhub3ZhLCBHYW5uYTwvYXV0aG9yPjxhdXRob3I+dmFuIEJvdmVuLCBNaWNo
aWVsIEU8L2F1dGhvcj48L2F1dGhvcnM+PC9jb250cmlidXRvcnM+PHRpdGxlcz48dGl0bGU+RWZm
ZWN0aXZlbmVzcyBvZiBpc29sYXRpb24gYW5kIGNvbnRhY3QgdHJhY2luZyBmb3IgY29udGFpbm1l
bnQgYW5kIHNsb3dpbmcgZG93biBhIENPVklELTE5IGVwaWRlbWljOiBhIG1vZGVsbGluZyBzdHVk
eTwvdGl0bGU+PHNlY29uZGFyeS10aXRsZT5tZWRSeGl2PC9zZWNvbmRhcnktdGl0bGU+PC90aXRs
ZXM+PHBlcmlvZGljYWw+PGZ1bGwtdGl0bGU+bWVkUnhpdjwvZnVsbC10aXRsZT48L3BlcmlvZGlj
YWw+PHBhZ2VzPjIwMjAuMDMuMTAuMjAwMzM3Mzg8L3BhZ2VzPjxkYXRlcz48eWVhcj4yMDIwPC95
ZWFyPjwvZGF0ZXM+PHVybHM+PHJlbGF0ZWQtdXJscz48dXJsPmh0dHBzOi8vd3d3Lm1lZHJ4aXYu
b3JnL2NvbnRlbnQvbWVkcnhpdi9lYXJseS8yMDIwLzAzLzEzLzIwMjAuMDMuMTAuMjAwMzM3Mzgu
ZnVsbC5wZGY8L3VybD48L3JlbGF0ZWQtdXJscz48L3VybHM+PGVsZWN0cm9uaWMtcmVzb3VyY2Ut
bnVtPjEwLjExMDEvMjAyMC4wMy4xMC4yMDAzMzczODwvZWxlY3Ryb25pYy1yZXNvdXJjZS1udW0+
PC9yZWNvcmQ+PC9DaXRlPjwvRW5kTm90ZT5=
</w:fldData>
              </w:fldChar>
            </w:r>
            <w:r w:rsidRPr="004F355D">
              <w:rPr>
                <w:rStyle w:val="Emphasis"/>
              </w:rPr>
              <w:instrText xml:space="preserve"> ADDIN EN.CITE.DATA </w:instrText>
            </w:r>
            <w:r w:rsidRPr="004F355D">
              <w:rPr>
                <w:rStyle w:val="Emphasis"/>
              </w:rPr>
            </w:r>
            <w:r w:rsidRPr="004F355D">
              <w:rPr>
                <w:rStyle w:val="Emphasis"/>
              </w:rPr>
              <w:fldChar w:fldCharType="end"/>
            </w:r>
            <w:r w:rsidRPr="004F355D">
              <w:rPr>
                <w:rStyle w:val="Emphasis"/>
              </w:rPr>
            </w:r>
            <w:r w:rsidRPr="004F355D">
              <w:rPr>
                <w:rStyle w:val="Emphasis"/>
              </w:rPr>
              <w:fldChar w:fldCharType="separate"/>
            </w:r>
            <w:r w:rsidRPr="004F355D">
              <w:rPr>
                <w:rStyle w:val="Emphasis"/>
              </w:rPr>
              <w:t>[4-7]</w:t>
            </w:r>
            <w:r w:rsidRPr="004F355D">
              <w:rPr>
                <w:rStyle w:val="Emphasis"/>
              </w:rPr>
              <w:fldChar w:fldCharType="end"/>
            </w:r>
            <w:r w:rsidRPr="004F355D">
              <w:rPr>
                <w:rStyle w:val="Emphasis"/>
              </w:rPr>
              <w:t>, expert opinions.</w:t>
            </w:r>
          </w:p>
        </w:tc>
      </w:tr>
      <w:tr w:rsidR="0075224C" w:rsidRPr="008A5707" w:rsidTr="005F4EA5">
        <w:tc>
          <w:tcPr>
            <w:cnfStyle w:val="001000000000" w:firstRow="0" w:lastRow="0" w:firstColumn="1" w:lastColumn="0" w:oddVBand="0" w:evenVBand="0" w:oddHBand="0" w:evenHBand="0" w:firstRowFirstColumn="0" w:firstRowLastColumn="0" w:lastRowFirstColumn="0" w:lastRowLastColumn="0"/>
            <w:tcW w:w="2440" w:type="dxa"/>
          </w:tcPr>
          <w:p w:rsidR="0075224C" w:rsidRPr="004F355D" w:rsidRDefault="0075224C" w:rsidP="00FE63DA">
            <w:pPr>
              <w:rPr>
                <w:rStyle w:val="Emphasis"/>
              </w:rPr>
            </w:pPr>
            <w:r w:rsidRPr="004F355D">
              <w:rPr>
                <w:rStyle w:val="Emphasis"/>
              </w:rPr>
              <w:t>Incubation period (days)</w:t>
            </w:r>
          </w:p>
        </w:tc>
        <w:tc>
          <w:tcPr>
            <w:tcW w:w="5215" w:type="dxa"/>
          </w:tcPr>
          <w:p w:rsidR="0075224C" w:rsidRPr="004F355D" w:rsidRDefault="0075224C" w:rsidP="00FE63DA">
            <w:pPr>
              <w:cnfStyle w:val="000000000000" w:firstRow="0" w:lastRow="0" w:firstColumn="0" w:lastColumn="0" w:oddVBand="0" w:evenVBand="0" w:oddHBand="0" w:evenHBand="0" w:firstRowFirstColumn="0" w:firstRowLastColumn="0" w:lastRowFirstColumn="0" w:lastRowLastColumn="0"/>
              <w:rPr>
                <w:rStyle w:val="Emphasis"/>
              </w:rPr>
            </w:pPr>
            <w:r w:rsidRPr="004F355D">
              <w:rPr>
                <w:rStyle w:val="Emphasis"/>
              </w:rPr>
              <w:t>Weibull distribution of mean of 6.4 and SD of 2.3</w:t>
            </w:r>
          </w:p>
        </w:tc>
        <w:tc>
          <w:tcPr>
            <w:tcW w:w="1984" w:type="dxa"/>
            <w:vMerge/>
            <w:vAlign w:val="center"/>
          </w:tcPr>
          <w:p w:rsidR="0075224C" w:rsidRPr="004F355D" w:rsidRDefault="0075224C" w:rsidP="00BC26DC">
            <w:pPr>
              <w:jc w:val="center"/>
              <w:cnfStyle w:val="000000000000" w:firstRow="0" w:lastRow="0" w:firstColumn="0" w:lastColumn="0" w:oddVBand="0" w:evenVBand="0" w:oddHBand="0" w:evenHBand="0" w:firstRowFirstColumn="0" w:firstRowLastColumn="0" w:lastRowFirstColumn="0" w:lastRowLastColumn="0"/>
              <w:rPr>
                <w:rStyle w:val="Emphasis"/>
              </w:rPr>
            </w:pPr>
          </w:p>
        </w:tc>
      </w:tr>
      <w:tr w:rsidR="0075224C" w:rsidRPr="008A5707" w:rsidTr="005F4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75224C" w:rsidRPr="004F355D" w:rsidRDefault="0075224C" w:rsidP="00FE63DA">
            <w:pPr>
              <w:rPr>
                <w:rStyle w:val="Emphasis"/>
              </w:rPr>
            </w:pPr>
            <w:r w:rsidRPr="004F355D">
              <w:rPr>
                <w:rStyle w:val="Emphasis"/>
              </w:rPr>
              <w:t>Infectious period (days)</w:t>
            </w:r>
          </w:p>
        </w:tc>
        <w:tc>
          <w:tcPr>
            <w:tcW w:w="5215" w:type="dxa"/>
          </w:tcPr>
          <w:p w:rsidR="0075224C" w:rsidRPr="004F355D" w:rsidRDefault="0075224C" w:rsidP="00FE63DA">
            <w:pPr>
              <w:cnfStyle w:val="000000100000" w:firstRow="0" w:lastRow="0" w:firstColumn="0" w:lastColumn="0" w:oddVBand="0" w:evenVBand="0" w:oddHBand="1" w:evenHBand="0" w:firstRowFirstColumn="0" w:firstRowLastColumn="0" w:lastRowFirstColumn="0" w:lastRowLastColumn="0"/>
              <w:rPr>
                <w:rStyle w:val="Emphasis"/>
              </w:rPr>
            </w:pPr>
            <w:r w:rsidRPr="004F355D">
              <w:rPr>
                <w:rStyle w:val="Emphasis"/>
              </w:rPr>
              <w:t>Weibull distribution of mean of 10 and SD of 4</w:t>
            </w:r>
          </w:p>
        </w:tc>
        <w:tc>
          <w:tcPr>
            <w:tcW w:w="1984" w:type="dxa"/>
            <w:vMerge/>
            <w:vAlign w:val="center"/>
          </w:tcPr>
          <w:p w:rsidR="0075224C" w:rsidRPr="004F355D" w:rsidRDefault="0075224C" w:rsidP="00BC26DC">
            <w:pPr>
              <w:jc w:val="center"/>
              <w:cnfStyle w:val="000000100000" w:firstRow="0" w:lastRow="0" w:firstColumn="0" w:lastColumn="0" w:oddVBand="0" w:evenVBand="0" w:oddHBand="1" w:evenHBand="0" w:firstRowFirstColumn="0" w:firstRowLastColumn="0" w:lastRowFirstColumn="0" w:lastRowLastColumn="0"/>
              <w:rPr>
                <w:rStyle w:val="Emphasis"/>
              </w:rPr>
            </w:pPr>
          </w:p>
        </w:tc>
      </w:tr>
      <w:tr w:rsidR="0075224C" w:rsidRPr="008A5707" w:rsidTr="005F4EA5">
        <w:tc>
          <w:tcPr>
            <w:cnfStyle w:val="001000000000" w:firstRow="0" w:lastRow="0" w:firstColumn="1" w:lastColumn="0" w:oddVBand="0" w:evenVBand="0" w:oddHBand="0" w:evenHBand="0" w:firstRowFirstColumn="0" w:firstRowLastColumn="0" w:lastRowFirstColumn="0" w:lastRowLastColumn="0"/>
            <w:tcW w:w="2440" w:type="dxa"/>
          </w:tcPr>
          <w:p w:rsidR="0075224C" w:rsidRPr="004F355D" w:rsidRDefault="0075224C" w:rsidP="00FE63DA">
            <w:pPr>
              <w:rPr>
                <w:rStyle w:val="Emphasis"/>
              </w:rPr>
            </w:pPr>
            <w:r w:rsidRPr="004F355D">
              <w:rPr>
                <w:rStyle w:val="Emphasis"/>
              </w:rPr>
              <w:t>Post-infectious period (days)</w:t>
            </w:r>
          </w:p>
        </w:tc>
        <w:tc>
          <w:tcPr>
            <w:tcW w:w="5215" w:type="dxa"/>
          </w:tcPr>
          <w:p w:rsidR="0075224C" w:rsidRPr="004F355D" w:rsidRDefault="0075224C" w:rsidP="00FE63DA">
            <w:pPr>
              <w:cnfStyle w:val="000000000000" w:firstRow="0" w:lastRow="0" w:firstColumn="0" w:lastColumn="0" w:oddVBand="0" w:evenVBand="0" w:oddHBand="0" w:evenHBand="0" w:firstRowFirstColumn="0" w:firstRowLastColumn="0" w:lastRowFirstColumn="0" w:lastRowLastColumn="0"/>
              <w:rPr>
                <w:rStyle w:val="Emphasis"/>
              </w:rPr>
            </w:pPr>
            <w:r w:rsidRPr="004F355D">
              <w:rPr>
                <w:rStyle w:val="Emphasis"/>
              </w:rPr>
              <w:t>Uniform distribution between 0 to 10</w:t>
            </w:r>
          </w:p>
        </w:tc>
        <w:tc>
          <w:tcPr>
            <w:tcW w:w="1984" w:type="dxa"/>
            <w:vMerge/>
            <w:vAlign w:val="center"/>
          </w:tcPr>
          <w:p w:rsidR="0075224C" w:rsidRPr="004F355D" w:rsidRDefault="0075224C" w:rsidP="00BC26DC">
            <w:pPr>
              <w:jc w:val="center"/>
              <w:cnfStyle w:val="000000000000" w:firstRow="0" w:lastRow="0" w:firstColumn="0" w:lastColumn="0" w:oddVBand="0" w:evenVBand="0" w:oddHBand="0" w:evenHBand="0" w:firstRowFirstColumn="0" w:firstRowLastColumn="0" w:lastRowFirstColumn="0" w:lastRowLastColumn="0"/>
              <w:rPr>
                <w:rStyle w:val="Emphasis"/>
              </w:rPr>
            </w:pPr>
          </w:p>
        </w:tc>
      </w:tr>
      <w:tr w:rsidR="0075224C" w:rsidRPr="008A5707" w:rsidTr="005F4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75224C" w:rsidRPr="004F355D" w:rsidRDefault="0075224C" w:rsidP="00FE63DA">
            <w:pPr>
              <w:rPr>
                <w:rStyle w:val="Emphasis"/>
              </w:rPr>
            </w:pPr>
            <w:r w:rsidRPr="004F355D">
              <w:rPr>
                <w:rStyle w:val="Emphasis"/>
              </w:rPr>
              <w:t>Immunity following resolution of infection</w:t>
            </w:r>
          </w:p>
        </w:tc>
        <w:tc>
          <w:tcPr>
            <w:tcW w:w="5215" w:type="dxa"/>
          </w:tcPr>
          <w:p w:rsidR="0075224C" w:rsidRPr="004F355D" w:rsidRDefault="0075224C" w:rsidP="00FE63DA">
            <w:pPr>
              <w:cnfStyle w:val="000000100000" w:firstRow="0" w:lastRow="0" w:firstColumn="0" w:lastColumn="0" w:oddVBand="0" w:evenVBand="0" w:oddHBand="1" w:evenHBand="0" w:firstRowFirstColumn="0" w:firstRowLastColumn="0" w:lastRowFirstColumn="0" w:lastRowLastColumn="0"/>
              <w:rPr>
                <w:rStyle w:val="Emphasis"/>
              </w:rPr>
            </w:pPr>
            <w:r w:rsidRPr="004F355D">
              <w:rPr>
                <w:rStyle w:val="Emphasis"/>
              </w:rPr>
              <w:t xml:space="preserve">Lifelong (i.e. no re-infection occurs post </w:t>
            </w:r>
            <w:r w:rsidR="00F5552A">
              <w:rPr>
                <w:rStyle w:val="Emphasis"/>
              </w:rPr>
              <w:br/>
            </w:r>
            <w:r w:rsidRPr="004F355D">
              <w:rPr>
                <w:rStyle w:val="Emphasis"/>
              </w:rPr>
              <w:t>infectious period</w:t>
            </w:r>
          </w:p>
        </w:tc>
        <w:tc>
          <w:tcPr>
            <w:tcW w:w="1984" w:type="dxa"/>
            <w:vAlign w:val="center"/>
          </w:tcPr>
          <w:p w:rsidR="0075224C" w:rsidRPr="004F355D" w:rsidRDefault="0075224C" w:rsidP="00BC26DC">
            <w:pPr>
              <w:jc w:val="center"/>
              <w:cnfStyle w:val="000000100000" w:firstRow="0" w:lastRow="0" w:firstColumn="0" w:lastColumn="0" w:oddVBand="0" w:evenVBand="0" w:oddHBand="1" w:evenHBand="0" w:firstRowFirstColumn="0" w:firstRowLastColumn="0" w:lastRowFirstColumn="0" w:lastRowLastColumn="0"/>
              <w:rPr>
                <w:rStyle w:val="Emphasis"/>
              </w:rPr>
            </w:pPr>
            <w:r w:rsidRPr="004F355D">
              <w:rPr>
                <w:rStyle w:val="Emphasis"/>
              </w:rPr>
              <w:t>Assumption</w:t>
            </w:r>
          </w:p>
        </w:tc>
      </w:tr>
      <w:tr w:rsidR="0075224C" w:rsidRPr="008A5707" w:rsidTr="005F4EA5">
        <w:tc>
          <w:tcPr>
            <w:cnfStyle w:val="001000000000" w:firstRow="0" w:lastRow="0" w:firstColumn="1" w:lastColumn="0" w:oddVBand="0" w:evenVBand="0" w:oddHBand="0" w:evenHBand="0" w:firstRowFirstColumn="0" w:firstRowLastColumn="0" w:lastRowFirstColumn="0" w:lastRowLastColumn="0"/>
            <w:tcW w:w="2440" w:type="dxa"/>
          </w:tcPr>
          <w:p w:rsidR="0075224C" w:rsidRPr="004F355D" w:rsidRDefault="0075224C" w:rsidP="00FE63DA">
            <w:pPr>
              <w:rPr>
                <w:rStyle w:val="Emphasis"/>
              </w:rPr>
            </w:pPr>
            <w:r w:rsidRPr="004F355D">
              <w:rPr>
                <w:rStyle w:val="Emphasis"/>
              </w:rPr>
              <w:t xml:space="preserve">Transmission probability per contact </w:t>
            </w:r>
          </w:p>
        </w:tc>
        <w:tc>
          <w:tcPr>
            <w:tcW w:w="5215" w:type="dxa"/>
          </w:tcPr>
          <w:p w:rsidR="0075224C" w:rsidRPr="004F355D" w:rsidRDefault="0075224C" w:rsidP="00FE63DA">
            <w:pPr>
              <w:keepNext/>
              <w:cnfStyle w:val="000000000000" w:firstRow="0" w:lastRow="0" w:firstColumn="0" w:lastColumn="0" w:oddVBand="0" w:evenVBand="0" w:oddHBand="0" w:evenHBand="0" w:firstRowFirstColumn="0" w:firstRowLastColumn="0" w:lastRowFirstColumn="0" w:lastRowLastColumn="0"/>
              <w:rPr>
                <w:rStyle w:val="Emphasis"/>
              </w:rPr>
            </w:pPr>
            <w:r w:rsidRPr="004F355D">
              <w:rPr>
                <w:rStyle w:val="Emphasis"/>
              </w:rPr>
              <w:t>Uniform distribution between 0.15 and 0.20</w:t>
            </w:r>
          </w:p>
        </w:tc>
        <w:tc>
          <w:tcPr>
            <w:tcW w:w="1984" w:type="dxa"/>
            <w:vAlign w:val="center"/>
          </w:tcPr>
          <w:p w:rsidR="0075224C" w:rsidRPr="004F355D" w:rsidRDefault="0075224C" w:rsidP="00BC26DC">
            <w:pPr>
              <w:keepNext/>
              <w:jc w:val="center"/>
              <w:cnfStyle w:val="000000000000" w:firstRow="0" w:lastRow="0" w:firstColumn="0" w:lastColumn="0" w:oddVBand="0" w:evenVBand="0" w:oddHBand="0" w:evenHBand="0" w:firstRowFirstColumn="0" w:firstRowLastColumn="0" w:lastRowFirstColumn="0" w:lastRowLastColumn="0"/>
              <w:rPr>
                <w:rStyle w:val="Emphasis"/>
              </w:rPr>
            </w:pPr>
            <w:r w:rsidRPr="004F355D">
              <w:rPr>
                <w:rStyle w:val="Emphasis"/>
              </w:rPr>
              <w:t>Calibrated such that a R0 of 5.0 is maintain across the population.</w:t>
            </w:r>
            <w:r w:rsidR="004F355D">
              <w:rPr>
                <w:rStyle w:val="Emphasis"/>
              </w:rPr>
              <w:br/>
            </w:r>
            <w:r w:rsidRPr="004F355D">
              <w:rPr>
                <w:rStyle w:val="Emphasis"/>
              </w:rPr>
              <w:t xml:space="preserve"> </w:t>
            </w:r>
            <w:r w:rsidRPr="004F355D">
              <w:rPr>
                <w:rStyle w:val="Emphasis"/>
              </w:rPr>
              <w:fldChar w:fldCharType="begin">
                <w:fldData xml:space="preserve">PEVuZE5vdGU+PENpdGU+PEF1dGhvcj5TYW5jaGU8L0F1dGhvcj48WWVhcj4yMDIwPC9ZZWFyPjxS
ZWNOdW0+Njc0OTwvUmVjTnVtPjxEaXNwbGF5VGV4dD5bOC0xMF08L0Rpc3BsYXlUZXh0PjxyZWNv
cmQ+PHJlYy1udW1iZXI+Njc0OTwvcmVjLW51bWJlcj48Zm9yZWlnbi1rZXlzPjxrZXkgYXBwPSJF
TiIgZGItaWQ9IjJhcnpwdjlwdjI1d3JkZWQ1cDBwMHhmb3NhZDA5dGQ1NXIwcCIgdGltZXN0YW1w
PSIxNTg4MzY4ODExIiBndWlkPSIzZWI0Y2EwOC00MDQxLTQ4Y2YtYTBkOC0wZTMxZmRkMjZiN2Ui
PjY3NDk8L2tleT48L2ZvcmVpZ24ta2V5cz48cmVmLXR5cGUgbmFtZT0iSm91cm5hbCBBcnRpY2xl
Ij4xNzwvcmVmLXR5cGU+PGNvbnRyaWJ1dG9ycz48YXV0aG9ycz48YXV0aG9yPlNhbmNoZSwgUy48
L2F1dGhvcj48YXV0aG9yPkxpbiwgWS4gVC48L2F1dGhvcj48YXV0aG9yPlh1LCBDLjwvYXV0aG9y
PjxhdXRob3I+Um9tZXJvLVNldmVyc29uLCBFLjwvYXV0aG9yPjxhdXRob3I+SGVuZ2FydG5lciwg
Ti48L2F1dGhvcj48YXV0aG9yPktlLCBSLjwvYXV0aG9yPjwvYXV0aG9ycz48L2NvbnRyaWJ1dG9y
cz48dGl0bGVzPjx0aXRsZT5IaWdoIENvbnRhZ2lvdXNuZXNzIGFuZCBSYXBpZCBTcHJlYWQgb2Yg
U2V2ZXJlIEFjdXRlIFJlc3BpcmF0b3J5IFN5bmRyb21lIENvcm9uYXZpcnVzIDI8L3RpdGxlPjxz
ZWNvbmRhcnktdGl0bGU+RW1lcmcgSW5mZWN0IERpczwvc2Vjb25kYXJ5LXRpdGxlPjwvdGl0bGVz
PjxwZXJpb2RpY2FsPjxmdWxsLXRpdGxlPkVtZXJnIEluZmVjdCBEaXM8L2Z1bGwtdGl0bGU+PC9w
ZXJpb2RpY2FsPjx2b2x1bWU+MjY8L3ZvbHVtZT48bnVtYmVyPjc8L251bWJlcj48ZWRpdGlvbj4y
MDIwLzA0LzA4PC9lZGl0aW9uPjxrZXl3b3Jkcz48a2V5d29yZD4yMDE5IG5vdmVsIGNvcm9uYXZp
cnVzIGRpc2Vhc2U8L2tleXdvcmQ+PGtleXdvcmQ+Q292aWQtMTk8L2tleXdvcmQ+PGtleXdvcmQ+
Q2hpbmE8L2tleXdvcmQ+PGtleXdvcmQ+U0FSUy1Db1YtMjwva2V5d29yZD48a2V5d29yZD5XdWhh
bjwva2V5d29yZD48a2V5d29yZD5tb2RlbGluZzwva2V5d29yZD48a2V5d29yZD5yZXNwaXJhdG9y
eSBpbmZlY3Rpb25zPC9rZXl3b3JkPjxrZXl3b3JkPnNldmVyZSBhY3V0ZSByZXNwaXJhdG9yeSBz
eW5kcm9tZSBjb3JvbmF2aXJ1cyAyPC9rZXl3b3JkPjxrZXl3b3JkPnRyYW5zbWlzc2lvbiBwb3Rl
bnRpYWw8L2tleXdvcmQ+PGtleXdvcmQ+dmlydXNlczwva2V5d29yZD48a2V5d29yZD56b29ub3Nl
czwva2V5d29yZD48L2tleXdvcmRzPjxkYXRlcz48eWVhcj4yMDIwPC95ZWFyPjxwdWItZGF0ZXM+
PGRhdGU+QXByIDc8L2RhdGU+PC9wdWItZGF0ZXM+PC9kYXRlcz48aXNibj4xMDgwLTYwNTkgKEVs
ZWN0cm9uaWMpJiN4RDsxMDgwLTYwNDAgKExpbmtpbmcpPC9pc2JuPjxhY2Nlc3Npb24tbnVtPjMy
MjU1NzYxPC9hY2Nlc3Npb24tbnVtPjx1cmxzPjxyZWxhdGVkLXVybHM+PHVybD5odHRwczovL3d3
dy5uY2JpLm5sbS5uaWguZ292L3B1Ym1lZC8zMjI1NTc2MTwvdXJsPjwvcmVsYXRlZC11cmxzPjwv
dXJscz48ZWxlY3Ryb25pYy1yZXNvdXJjZS1udW0+MTAuMzIwMS9laWQyNjA3LjIwMDI4MjwvZWxl
Y3Ryb25pYy1yZXNvdXJjZS1udW0+PC9yZWNvcmQ+PC9DaXRlPjxDaXRlPjxBdXRob3I+UmlvdTwv
QXV0aG9yPjxZZWFyPjIwMjA8L1llYXI+PFJlY051bT42NzQ3PC9SZWNOdW0+PHJlY29yZD48cmVj
LW51bWJlcj42NzQ3PC9yZWMtbnVtYmVyPjxmb3JlaWduLWtleXM+PGtleSBhcHA9IkVOIiBkYi1p
ZD0iMmFyenB2OXB2MjV3cmRlZDVwMHAweGZvc2FkMDl0ZDU1cjBwIiB0aW1lc3RhbXA9IjE1ODgz
Njg3MjYiIGd1aWQ9ImJmOGUyMWQ3LWZkYWYtNGIwOS1hNjJlLTZmZjY4MTY3MzdjMiI+Njc0Nzwv
a2V5PjwvZm9yZWlnbi1rZXlzPjxyZWYtdHlwZSBuYW1lPSJKb3VybmFsIEFydGljbGUiPjE3PC9y
ZWYtdHlwZT48Y29udHJpYnV0b3JzPjxhdXRob3JzPjxhdXRob3I+UmlvdSwgSi48L2F1dGhvcj48
YXV0aG9yPkFsdGhhdXMsIEMuIEwuPC9hdXRob3I+PC9hdXRob3JzPjwvY29udHJpYnV0b3JzPjxh
dXRoLWFkZHJlc3M+SW5zdGl0dXRlIG9mIFNvY2lhbCBhbmQgUHJldmVudGl2ZSBNZWRpY2luZSwg
VW5pdmVyc2l0eSBvZiBCZXJuLCBCZXJuLCBTd2l0emVybGFuZC48L2F1dGgtYWRkcmVzcz48dGl0
bGVzPjx0aXRsZT5QYXR0ZXJuIG9mIGVhcmx5IGh1bWFuLXRvLWh1bWFuIHRyYW5zbWlzc2lvbiBv
ZiBXdWhhbiAyMDE5IG5vdmVsIGNvcm9uYXZpcnVzICgyMDE5LW5Db1YpLCBEZWNlbWJlciAyMDE5
IHRvIEphbnVhcnkgMjAyMDwvdGl0bGU+PHNlY29uZGFyeS10aXRsZT5FdXJvIFN1cnZlaWxsPC9z
ZWNvbmRhcnktdGl0bGU+PC90aXRsZXM+PHBlcmlvZGljYWw+PGZ1bGwtdGl0bGU+RXVybyBTdXJ2
ZWlsbDwvZnVsbC10aXRsZT48YWJici0xPkV1cm8gc3VydmVpbGxhbmNlIDogYnVsbGV0aW4gRXVy
b3BlZW4gc3VyIGxlcyBtYWxhZGllcyB0cmFuc21pc3NpYmxlcyA9IEV1cm9wZWFuIGNvbW11bmlj
YWJsZSBkaXNlYXNlIGJ1bGxldGluPC9hYmJyLTE+PC9wZXJpb2RpY2FsPjx2b2x1bWU+MjU8L3Zv
bHVtZT48bnVtYmVyPjQ8L251bWJlcj48ZWRpdGlvbj4yMDIwLzAyLzA2PC9lZGl0aW9uPjxrZXl3
b3Jkcz48a2V5d29yZD5CZXRhY29yb25hdmlydXMvKnBhdGhvZ2VuaWNpdHk8L2tleXdvcmQ+PGtl
eXdvcmQ+Q2hpbmEvZXBpZGVtaW9sb2d5PC9rZXl3b3JkPjxrZXl3b3JkPkNvcm9uYXZpcnVzIElu
ZmVjdGlvbnMvZXBpZGVtaW9sb2d5Lyp0cmFuc21pc3Npb248L2tleXdvcmQ+PGtleXdvcmQ+RGlz
ZWFzZSBPdXRicmVha3MvKnN0YXRpc3RpY3MgJmFtcDsgbnVtZXJpY2FsIGRhdGE8L2tleXdvcmQ+
PGtleXdvcmQ+R2xvYmFsIEhlYWx0aDwva2V5d29yZD48a2V5d29yZD5IdW1hbnM8L2tleXdvcmQ+
PGtleXdvcmQ+SW5mZWN0aW9uIENvbnRyb2w8L2tleXdvcmQ+PGtleXdvcmQ+SW5mbHVlbnphIEEg
dmlydXMvcGF0aG9nZW5pY2l0eTwva2V5d29yZD48a2V5d29yZD5JbmZsdWVuemEsIEh1bWFuL3Ry
YW5zbWlzc2lvbjwva2V5d29yZD48a2V5d29yZD5QYW5kZW1pY3M8L2tleXdvcmQ+PGtleXdvcmQ+
UG5ldW1vbmlhLCBWaXJhbC9lcGlkZW1pb2xvZ3kvKnRyYW5zbWlzc2lvbjwva2V5d29yZD48a2V5
d29yZD5SaXNrPC9rZXl3b3JkPjxrZXl3b3JkPlNBUlMgVmlydXMvcGF0aG9nZW5pY2l0eTwva2V5
d29yZD48a2V5d29yZD5TZXZlcmUgQWN1dGUgUmVzcGlyYXRvcnkgU3luZHJvbWUvKnRyYW5zbWlz
c2lvbjwva2V5d29yZD48a2V5d29yZD4qVmlydXMgUmVwbGljYXRpb248L2tleXdvcmQ+PGtleXdv
cmQ+KjIwMTktbkNvVjwva2V5d29yZD48a2V5d29yZD4qV3VoYW48L2tleXdvcmQ+PGtleXdvcmQ+
KmNvcm9uYXZpcnVzPC9rZXl3b3JkPjxrZXl3b3JkPiplbWVyZ2luZyBpbmZlY3Rpb3VzIGRpc2Vh
c2U8L2tleXdvcmQ+PGtleXdvcmQ+Km1hdGhlbWF0aWNhbCBtb2RlbGxpbmc8L2tleXdvcmQ+PC9r
ZXl3b3Jkcz48ZGF0ZXM+PHllYXI+MjAyMDwveWVhcj48cHViLWRhdGVzPjxkYXRlPkphbjwvZGF0
ZT48L3B1Yi1kYXRlcz48L2RhdGVzPjxpc2JuPjE1NjAtNzkxNyAoRWxlY3Ryb25pYykmI3hEOzEw
MjUtNDk2WCAoTGlua2luZyk8L2lzYm4+PGFjY2Vzc2lvbi1udW0+MzIwMTk2Njk8L2FjY2Vzc2lv
bi1udW0+PHVybHM+PHJlbGF0ZWQtdXJscz48dXJsPmh0dHBzOi8vd3d3Lm5jYmkubmxtLm5paC5n
b3YvcHVibWVkLzMyMDE5NjY5PC91cmw+PC9yZWxhdGVkLXVybHM+PC91cmxzPjxjdXN0b20yPlBN
QzcwMDEyMzk8L2N1c3RvbTI+PGVsZWN0cm9uaWMtcmVzb3VyY2UtbnVtPjEwLjI4MDcvMTU2MC03
OTE3LkVTLjIwMjAuMjUuNC4yMDAwMDU4PC9lbGVjdHJvbmljLXJlc291cmNlLW51bT48L3JlY29y
ZD48L0NpdGU+PENpdGU+PEF1dGhvcj5MaTwvQXV0aG9yPjxZZWFyPjIwMjA8L1llYXI+PFJlY051
bT42NzQ2PC9SZWNOdW0+PHJlY29yZD48cmVjLW51bWJlcj42NzQ2PC9yZWMtbnVtYmVyPjxmb3Jl
aWduLWtleXM+PGtleSBhcHA9IkVOIiBkYi1pZD0iMmFyenB2OXB2MjV3cmRlZDVwMHAweGZvc2Fk
MDl0ZDU1cjBwIiB0aW1lc3RhbXA9IjE1ODgzNjg2NTgiIGd1aWQ9ImNlMDA0NDA3LWExYmQtNDNh
YS04M2U0LTAxYmUzZTc3ZTIzMyI+Njc0Njwva2V5PjwvZm9yZWlnbi1rZXlzPjxyZWYtdHlwZSBu
YW1lPSJKb3VybmFsIEFydGljbGUiPjE3PC9yZWYtdHlwZT48Y29udHJpYnV0b3JzPjxhdXRob3Jz
PjxhdXRob3I+TGksIFEuPC9hdXRob3I+PGF1dGhvcj5HdWFuLCBYLjwvYXV0aG9yPjxhdXRob3I+
V3UsIFAuPC9hdXRob3I+PGF1dGhvcj5XYW5nLCBYLjwvYXV0aG9yPjxhdXRob3I+WmhvdSwgTC48
L2F1dGhvcj48YXV0aG9yPlRvbmcsIFkuPC9hdXRob3I+PGF1dGhvcj5SZW4sIFIuPC9hdXRob3I+
PGF1dGhvcj5MZXVuZywgSy4gUy4gTS48L2F1dGhvcj48YXV0aG9yPkxhdSwgRS4gSC4gWS48L2F1
dGhvcj48YXV0aG9yPldvbmcsIEouIFkuPC9hdXRob3I+PGF1dGhvcj5YaW5nLCBYLjwvYXV0aG9y
PjxhdXRob3I+WGlhbmcsIE4uPC9hdXRob3I+PGF1dGhvcj5XdSwgWS48L2F1dGhvcj48YXV0aG9y
PkxpLCBDLjwvYXV0aG9yPjxhdXRob3I+Q2hlbiwgUS48L2F1dGhvcj48YXV0aG9yPkxpLCBELjwv
YXV0aG9yPjxhdXRob3I+TGl1LCBULjwvYXV0aG9yPjxhdXRob3I+WmhhbywgSi48L2F1dGhvcj48
YXV0aG9yPkxpdSwgTS48L2F1dGhvcj48YXV0aG9yPlR1LCBXLjwvYXV0aG9yPjxhdXRob3I+Q2hl
biwgQy48L2F1dGhvcj48YXV0aG9yPkppbiwgTC48L2F1dGhvcj48YXV0aG9yPllhbmcsIFIuPC9h
dXRob3I+PGF1dGhvcj5XYW5nLCBRLjwvYXV0aG9yPjxhdXRob3I+WmhvdSwgUy48L2F1dGhvcj48
YXV0aG9yPldhbmcsIFIuPC9hdXRob3I+PGF1dGhvcj5MaXUsIEguPC9hdXRob3I+PGF1dGhvcj5M
dW8sIFkuPC9hdXRob3I+PGF1dGhvcj5MaXUsIFkuPC9hdXRob3I+PGF1dGhvcj5TaGFvLCBHLjwv
YXV0aG9yPjxhdXRob3I+TGksIEguPC9hdXRob3I+PGF1dGhvcj5UYW8sIFouPC9hdXRob3I+PGF1
dGhvcj5ZYW5nLCBZLjwvYXV0aG9yPjxhdXRob3I+RGVuZywgWi48L2F1dGhvcj48YXV0aG9yPkxp
dSwgQi48L2F1dGhvcj48YXV0aG9yPk1hLCBaLjwvYXV0aG9yPjxhdXRob3I+WmhhbmcsIFkuPC9h
dXRob3I+PGF1dGhvcj5TaGksIEcuPC9hdXRob3I+PGF1dGhvcj5MYW0sIFQuIFQuIFkuPC9hdXRo
b3I+PGF1dGhvcj5XdSwgSi4gVC48L2F1dGhvcj48YXV0aG9yPkdhbywgRy4gRi48L2F1dGhvcj48
YXV0aG9yPkNvd2xpbmcsIEIuIEouPC9hdXRob3I+PGF1dGhvcj5ZYW5nLCBCLjwvYXV0aG9yPjxh
dXRob3I+TGV1bmcsIEcuIE0uPC9hdXRob3I+PGF1dGhvcj5GZW5nLCBaLjwvYXV0aG9yPjwvYXV0
aG9ycz48L2NvbnRyaWJ1dG9ycz48YXV0aC1hZGRyZXNzPkZyb20gdGhlIENoaW5lc2UgQ2VudGVy
IGZvciBEaXNlYXNlIENvbnRyb2wgYW5kIFByZXZlbnRpb24sIEJlaWppbmcgKFEuTC4sIFguVy4s
IEwuWi4sIFIuUi4sIE4uWC4sIEMuTC4sIEQuTC4sIEouWi4sIFcuVC4sIEwuSi4sIFEuVy4sIFIu
Vy4sIFkuWi4sIEcuIFNoaSwgRy5GLkcuLCBaLkYuKSwgdGhlIEh1YmVpIFByb3ZpbmNpYWwgQ2Vu
dGVyIGZvciBEaXNlYXNlIENvbnRyb2wgYW5kIFByZXZlbnRpb24sIFd1aGFuLCBIdWJlaSAoWC5H
LiwgWS5ULiwgWC5YLiwgWS5XLiwgUS5DLiwgTS5MLiwgQy5DLiwgUi5ZLiwgUy5aLiwgWS4gTHVv
LCBCLlkuKSwgdGhlIFdvcmxkIEhlYWx0aCBPcmdhbml6YXRpb24gQ29sbGFib3JhdGluZyBDZW50
cmUgZm9yIEluZmVjdGlvdXMgRGlzZWFzZSBFcGlkZW1pb2xvZ3kgYW5kIENvbnRyb2wsIFNjaG9v
bCBvZiBQdWJsaWMgSGVhbHRoLCBVbml2ZXJzaXR5IG9mIEhvbmcgS29uZywgSG9uZyBLb25nIChQ
LlcuLCBLLlMuTS5MLiwgRS5ILlkuTC4sIEouWS5XLiwgVC5ULlkuTC4sIEouVC5XLiwgQi5KLkMu
LCBHLk0uTC4pLCB0aGUgQ2hpbmVzZSBGaWVsZCBFcGlkZW1pb2xvZ3kgVHJhaW5pbmcgUHJvZ3Jh
bSwgQ2hpbmVzZSBDZW50ZXIgZm9yIERpc2Vhc2UgQ29udHJvbCBhbmQgUHJldmVudGlvbiwgQmVp
amluZyAoVC5MLiwgUi5ZLiwgUy5aLiwgSC4gTGl1LCBZLiBMaXUsIEcuIFNoYW8sIEguIExpLCBa
LlQuKSwgdGhlIEppbmd6aG91IENlbnRlciBmb3IgRGlzZWFzZSBDb250cm9sIGFuZCBQcmV2ZW50
aW9uLCBKaW5nemhvdSwgSHViZWkgKFQuTC4pLCB0aGUgQ2hlbmdkdSBDZW50ZXIgZm9yIERpc2Vh
c2UgQ29udHJvbCBhbmQgUHJldmVudGlvbiwgQ2hlbmdkdSwgU2ljaHVhbiAoSC4gTGl1KTsgdGhl
IEh1bmFuIFByb3ZpbmNpYWwgQ2VudGVyIGZvciBEaXNlYXNlIENvbnRyb2wgYW5kIFByZXZlbnRp
b24sIENoYW5nc2hhLCBIdW5hbiAoWS4gTGl1KSwgdGhlIEFueWFuZyBNdW5pY2lwYWwgQ2VudGVy
IGZvciBEaXNlYXNlIENvbnRyb2wgYW5kIFByZXZlbnRpb24sIEFueWFuZywgSGVuYW4gKEcuIFNo
YW8pLCB0aGUgUGFuamluIENlbnRlciBmb3IgRGlzZWFzZSBDb250cm9sIGFuZCBQcmV2ZW50aW9u
LCBQYW5qaW4sIExpYW9uaW5nIChILiBMaSksIHRoZSBHdWl6aG91IENlbnRlciBmb3IgRGlzZWFz
ZSBDb250cm9sIGFuZCBQcmV2ZW50aW9uLCBHdWl5YW5nLCBHdWl6aG91IChaLlQuKSwgdGhlIEpp
YWRpbmcgRGlzdHJpY3QgQ2VudGVyIGZvciBEaXNlYXNlIENvbnRyb2wgYW5kIFByZXZlbnRpb24s
IFNoYW5naGFpIChZLlkuKSwgdGhlIE5hbmNoYW5nIENlbnRlciBmb3IgRGlzZWFzZSBDb250cm9s
IGFuZCBQcmV2ZW50aW9uLCBOYW5jaGFuZywgSmlhbmd4aSAoWi5ELiksIHRoZSBJbm5lciBNb25n
b2xpYSBDb21wcmVoZW5zaXZlIENlbnRlciBmb3IgRGlzZWFzZSBDb250cm9sIGFuZCBQcmV2ZW50
aW9uLCBIb2hob3QsIElubmVyIE1vbmdvbGlhIChCLkwuKSwgYW5kIHRoZSBCYW9zaGFuIERpc3Ry
aWN0IENlbnRlciBmb3IgRGlzZWFzZSBDb250cm9sIGFuZCBQcmV2ZW50aW9uLCBTaGFuZ2hhaSAo
Wi5NLikgLSBhbGwgaW4gQ2hpbmEuPC9hdXRoLWFkZHJlc3M+PHRpdGxlcz48dGl0bGU+RWFybHkg
VHJhbnNtaXNzaW9uIER5bmFtaWNzIGluIFd1aGFuLCBDaGluYSwgb2YgTm92ZWwgQ29yb25hdmly
dXMtSW5mZWN0ZWQgUG5ldW1vbmlhPC90aXRsZT48c2Vjb25kYXJ5LXRpdGxlPk4gRW5nbCBKIE1l
ZDwvc2Vjb25kYXJ5LXRpdGxlPjwvdGl0bGVzPjxwZXJpb2RpY2FsPjxmdWxsLXRpdGxlPk4gRW5n
bCBKIE1lZDwvZnVsbC10aXRsZT48L3BlcmlvZGljYWw+PHBhZ2VzPjExOTktMTIwNzwvcGFnZXM+
PHZvbHVtZT4zODI8L3ZvbHVtZT48bnVtYmVyPjEzPC9udW1iZXI+PGVkaXRpb24+MjAyMC8wMS8z
MDwvZWRpdGlvbj48a2V5d29yZHM+PGtleXdvcmQ+QWRvbGVzY2VudDwva2V5d29yZD48a2V5d29y
ZD5BZHVsdDwva2V5d29yZD48a2V5d29yZD5BZ2VkPC9rZXl3b3JkPjxrZXl3b3JkPipCZXRhY29y
b25hdmlydXMvZ2VuZXRpY3M8L2tleXdvcmQ+PGtleXdvcmQ+Q2hpbmEvZXBpZGVtaW9sb2d5PC9r
ZXl3b3JkPjxrZXl3b3JkPkNvbW11bmljYWJsZSBEaXNlYXNlIENvbnRyb2wvbWV0aG9kczwva2V5
d29yZD48a2V5d29yZD5Db3JvbmF2aXJ1cyBJbmZlY3Rpb25zLyplcGlkZW1pb2xvZ3kvKnRyYW5z
bWlzc2lvbi92aXJvbG9neTwva2V5d29yZD48a2V5d29yZD5EaXNlYXNlIFRyYW5zbWlzc2lvbiwg
SW5mZWN0aW91cy9wcmV2ZW50aW9uICZhbXA7IGNvbnRyb2wvKnN0YXRpc3RpY3MgJmFtcDsgbnVt
ZXJpY2FsPC9rZXl3b3JkPjxrZXl3b3JkPmRhdGE8L2tleXdvcmQ+PGtleXdvcmQ+KkVwaWRlbWlj
cy9wcmV2ZW50aW9uICZhbXA7IGNvbnRyb2w8L2tleXdvcmQ+PGtleXdvcmQ+RmVtYWxlPC9rZXl3
b3JkPjxrZXl3b3JkPkh1bWFuczwva2V5d29yZD48a2V5d29yZD5JbmNpZGVuY2U8L2tleXdvcmQ+
PGtleXdvcmQ+KkluZmVjdGlvdXMgRGlzZWFzZSBJbmN1YmF0aW9uIFBlcmlvZDwva2V5d29yZD48
a2V5d29yZD5NYWxlPC9rZXl3b3JkPjxrZXl3b3JkPk1pZGRsZSBBZ2VkPC9rZXl3b3JkPjxrZXl3
b3JkPlBhbmRlbWljczwva2V5d29yZD48a2V5d29yZD5QbmV1bW9uaWEsIFZpcmFsLyplcGlkZW1p
b2xvZ3kvKnRyYW5zbWlzc2lvbi92aXJvbG9neTwva2V5d29yZD48a2V5d29yZD5Qb2x5bWVyYXNl
IENoYWluIFJlYWN0aW9uPC9rZXl3b3JkPjxrZXl3b3JkPllvdW5nIEFkdWx0PC9rZXl3b3JkPjwv
a2V5d29yZHM+PGRhdGVzPjx5ZWFyPjIwMjA8L3llYXI+PHB1Yi1kYXRlcz48ZGF0ZT5NYXIgMjY8
L2RhdGU+PC9wdWItZGF0ZXM+PC9kYXRlcz48aXNibj4xNTMzLTQ0MDYgKEVsZWN0cm9uaWMpJiN4
RDswMDI4LTQ3OTMgKExpbmtpbmcpPC9pc2JuPjxhY2Nlc3Npb24tbnVtPjMxOTk1ODU3PC9hY2Nl
c3Npb24tbnVtPjx1cmxzPjxyZWxhdGVkLXVybHM+PHVybD5odHRwczovL3d3dy5uY2JpLm5sbS5u
aWguZ292L3B1Ym1lZC8zMTk5NTg1NzwvdXJsPjwvcmVsYXRlZC11cmxzPjwvdXJscz48Y3VzdG9t
Mj5QTUM3MTIxNDg0PC9jdXN0b20yPjxlbGVjdHJvbmljLXJlc291cmNlLW51bT4xMC4xMDU2L05F
Sk1vYTIwMDEzMTY8L2VsZWN0cm9uaWMtcmVzb3VyY2UtbnVtPjwvcmVjb3JkPjwvQ2l0ZT48L0Vu
ZE5vdGU+
</w:fldData>
              </w:fldChar>
            </w:r>
            <w:r w:rsidRPr="004F355D">
              <w:rPr>
                <w:rStyle w:val="Emphasis"/>
              </w:rPr>
              <w:instrText xml:space="preserve"> ADDIN EN.CITE </w:instrText>
            </w:r>
            <w:r w:rsidRPr="004F355D">
              <w:rPr>
                <w:rStyle w:val="Emphasis"/>
              </w:rPr>
              <w:fldChar w:fldCharType="begin">
                <w:fldData xml:space="preserve">PEVuZE5vdGU+PENpdGU+PEF1dGhvcj5TYW5jaGU8L0F1dGhvcj48WWVhcj4yMDIwPC9ZZWFyPjxS
ZWNOdW0+Njc0OTwvUmVjTnVtPjxEaXNwbGF5VGV4dD5bOC0xMF08L0Rpc3BsYXlUZXh0PjxyZWNv
cmQ+PHJlYy1udW1iZXI+Njc0OTwvcmVjLW51bWJlcj48Zm9yZWlnbi1rZXlzPjxrZXkgYXBwPSJF
TiIgZGItaWQ9IjJhcnpwdjlwdjI1d3JkZWQ1cDBwMHhmb3NhZDA5dGQ1NXIwcCIgdGltZXN0YW1w
PSIxNTg4MzY4ODExIiBndWlkPSIzZWI0Y2EwOC00MDQxLTQ4Y2YtYTBkOC0wZTMxZmRkMjZiN2Ui
PjY3NDk8L2tleT48L2ZvcmVpZ24ta2V5cz48cmVmLXR5cGUgbmFtZT0iSm91cm5hbCBBcnRpY2xl
Ij4xNzwvcmVmLXR5cGU+PGNvbnRyaWJ1dG9ycz48YXV0aG9ycz48YXV0aG9yPlNhbmNoZSwgUy48
L2F1dGhvcj48YXV0aG9yPkxpbiwgWS4gVC48L2F1dGhvcj48YXV0aG9yPlh1LCBDLjwvYXV0aG9y
PjxhdXRob3I+Um9tZXJvLVNldmVyc29uLCBFLjwvYXV0aG9yPjxhdXRob3I+SGVuZ2FydG5lciwg
Ti48L2F1dGhvcj48YXV0aG9yPktlLCBSLjwvYXV0aG9yPjwvYXV0aG9ycz48L2NvbnRyaWJ1dG9y
cz48dGl0bGVzPjx0aXRsZT5IaWdoIENvbnRhZ2lvdXNuZXNzIGFuZCBSYXBpZCBTcHJlYWQgb2Yg
U2V2ZXJlIEFjdXRlIFJlc3BpcmF0b3J5IFN5bmRyb21lIENvcm9uYXZpcnVzIDI8L3RpdGxlPjxz
ZWNvbmRhcnktdGl0bGU+RW1lcmcgSW5mZWN0IERpczwvc2Vjb25kYXJ5LXRpdGxlPjwvdGl0bGVz
PjxwZXJpb2RpY2FsPjxmdWxsLXRpdGxlPkVtZXJnIEluZmVjdCBEaXM8L2Z1bGwtdGl0bGU+PC9w
ZXJpb2RpY2FsPjx2b2x1bWU+MjY8L3ZvbHVtZT48bnVtYmVyPjc8L251bWJlcj48ZWRpdGlvbj4y
MDIwLzA0LzA4PC9lZGl0aW9uPjxrZXl3b3Jkcz48a2V5d29yZD4yMDE5IG5vdmVsIGNvcm9uYXZp
cnVzIGRpc2Vhc2U8L2tleXdvcmQ+PGtleXdvcmQ+Q292aWQtMTk8L2tleXdvcmQ+PGtleXdvcmQ+
Q2hpbmE8L2tleXdvcmQ+PGtleXdvcmQ+U0FSUy1Db1YtMjwva2V5d29yZD48a2V5d29yZD5XdWhh
bjwva2V5d29yZD48a2V5d29yZD5tb2RlbGluZzwva2V5d29yZD48a2V5d29yZD5yZXNwaXJhdG9y
eSBpbmZlY3Rpb25zPC9rZXl3b3JkPjxrZXl3b3JkPnNldmVyZSBhY3V0ZSByZXNwaXJhdG9yeSBz
eW5kcm9tZSBjb3JvbmF2aXJ1cyAyPC9rZXl3b3JkPjxrZXl3b3JkPnRyYW5zbWlzc2lvbiBwb3Rl
bnRpYWw8L2tleXdvcmQ+PGtleXdvcmQ+dmlydXNlczwva2V5d29yZD48a2V5d29yZD56b29ub3Nl
czwva2V5d29yZD48L2tleXdvcmRzPjxkYXRlcz48eWVhcj4yMDIwPC95ZWFyPjxwdWItZGF0ZXM+
PGRhdGU+QXByIDc8L2RhdGU+PC9wdWItZGF0ZXM+PC9kYXRlcz48aXNibj4xMDgwLTYwNTkgKEVs
ZWN0cm9uaWMpJiN4RDsxMDgwLTYwNDAgKExpbmtpbmcpPC9pc2JuPjxhY2Nlc3Npb24tbnVtPjMy
MjU1NzYxPC9hY2Nlc3Npb24tbnVtPjx1cmxzPjxyZWxhdGVkLXVybHM+PHVybD5odHRwczovL3d3
dy5uY2JpLm5sbS5uaWguZ292L3B1Ym1lZC8zMjI1NTc2MTwvdXJsPjwvcmVsYXRlZC11cmxzPjwv
dXJscz48ZWxlY3Ryb25pYy1yZXNvdXJjZS1udW0+MTAuMzIwMS9laWQyNjA3LjIwMDI4MjwvZWxl
Y3Ryb25pYy1yZXNvdXJjZS1udW0+PC9yZWNvcmQ+PC9DaXRlPjxDaXRlPjxBdXRob3I+UmlvdTwv
QXV0aG9yPjxZZWFyPjIwMjA8L1llYXI+PFJlY051bT42NzQ3PC9SZWNOdW0+PHJlY29yZD48cmVj
LW51bWJlcj42NzQ3PC9yZWMtbnVtYmVyPjxmb3JlaWduLWtleXM+PGtleSBhcHA9IkVOIiBkYi1p
ZD0iMmFyenB2OXB2MjV3cmRlZDVwMHAweGZvc2FkMDl0ZDU1cjBwIiB0aW1lc3RhbXA9IjE1ODgz
Njg3MjYiIGd1aWQ9ImJmOGUyMWQ3LWZkYWYtNGIwOS1hNjJlLTZmZjY4MTY3MzdjMiI+Njc0Nzwv
a2V5PjwvZm9yZWlnbi1rZXlzPjxyZWYtdHlwZSBuYW1lPSJKb3VybmFsIEFydGljbGUiPjE3PC9y
ZWYtdHlwZT48Y29udHJpYnV0b3JzPjxhdXRob3JzPjxhdXRob3I+UmlvdSwgSi48L2F1dGhvcj48
YXV0aG9yPkFsdGhhdXMsIEMuIEwuPC9hdXRob3I+PC9hdXRob3JzPjwvY29udHJpYnV0b3JzPjxh
dXRoLWFkZHJlc3M+SW5zdGl0dXRlIG9mIFNvY2lhbCBhbmQgUHJldmVudGl2ZSBNZWRpY2luZSwg
VW5pdmVyc2l0eSBvZiBCZXJuLCBCZXJuLCBTd2l0emVybGFuZC48L2F1dGgtYWRkcmVzcz48dGl0
bGVzPjx0aXRsZT5QYXR0ZXJuIG9mIGVhcmx5IGh1bWFuLXRvLWh1bWFuIHRyYW5zbWlzc2lvbiBv
ZiBXdWhhbiAyMDE5IG5vdmVsIGNvcm9uYXZpcnVzICgyMDE5LW5Db1YpLCBEZWNlbWJlciAyMDE5
IHRvIEphbnVhcnkgMjAyMDwvdGl0bGU+PHNlY29uZGFyeS10aXRsZT5FdXJvIFN1cnZlaWxsPC9z
ZWNvbmRhcnktdGl0bGU+PC90aXRsZXM+PHBlcmlvZGljYWw+PGZ1bGwtdGl0bGU+RXVybyBTdXJ2
ZWlsbDwvZnVsbC10aXRsZT48YWJici0xPkV1cm8gc3VydmVpbGxhbmNlIDogYnVsbGV0aW4gRXVy
b3BlZW4gc3VyIGxlcyBtYWxhZGllcyB0cmFuc21pc3NpYmxlcyA9IEV1cm9wZWFuIGNvbW11bmlj
YWJsZSBkaXNlYXNlIGJ1bGxldGluPC9hYmJyLTE+PC9wZXJpb2RpY2FsPjx2b2x1bWU+MjU8L3Zv
bHVtZT48bnVtYmVyPjQ8L251bWJlcj48ZWRpdGlvbj4yMDIwLzAyLzA2PC9lZGl0aW9uPjxrZXl3
b3Jkcz48a2V5d29yZD5CZXRhY29yb25hdmlydXMvKnBhdGhvZ2VuaWNpdHk8L2tleXdvcmQ+PGtl
eXdvcmQ+Q2hpbmEvZXBpZGVtaW9sb2d5PC9rZXl3b3JkPjxrZXl3b3JkPkNvcm9uYXZpcnVzIElu
ZmVjdGlvbnMvZXBpZGVtaW9sb2d5Lyp0cmFuc21pc3Npb248L2tleXdvcmQ+PGtleXdvcmQ+RGlz
ZWFzZSBPdXRicmVha3MvKnN0YXRpc3RpY3MgJmFtcDsgbnVtZXJpY2FsIGRhdGE8L2tleXdvcmQ+
PGtleXdvcmQ+R2xvYmFsIEhlYWx0aDwva2V5d29yZD48a2V5d29yZD5IdW1hbnM8L2tleXdvcmQ+
PGtleXdvcmQ+SW5mZWN0aW9uIENvbnRyb2w8L2tleXdvcmQ+PGtleXdvcmQ+SW5mbHVlbnphIEEg
dmlydXMvcGF0aG9nZW5pY2l0eTwva2V5d29yZD48a2V5d29yZD5JbmZsdWVuemEsIEh1bWFuL3Ry
YW5zbWlzc2lvbjwva2V5d29yZD48a2V5d29yZD5QYW5kZW1pY3M8L2tleXdvcmQ+PGtleXdvcmQ+
UG5ldW1vbmlhLCBWaXJhbC9lcGlkZW1pb2xvZ3kvKnRyYW5zbWlzc2lvbjwva2V5d29yZD48a2V5
d29yZD5SaXNrPC9rZXl3b3JkPjxrZXl3b3JkPlNBUlMgVmlydXMvcGF0aG9nZW5pY2l0eTwva2V5
d29yZD48a2V5d29yZD5TZXZlcmUgQWN1dGUgUmVzcGlyYXRvcnkgU3luZHJvbWUvKnRyYW5zbWlz
c2lvbjwva2V5d29yZD48a2V5d29yZD4qVmlydXMgUmVwbGljYXRpb248L2tleXdvcmQ+PGtleXdv
cmQ+KjIwMTktbkNvVjwva2V5d29yZD48a2V5d29yZD4qV3VoYW48L2tleXdvcmQ+PGtleXdvcmQ+
KmNvcm9uYXZpcnVzPC9rZXl3b3JkPjxrZXl3b3JkPiplbWVyZ2luZyBpbmZlY3Rpb3VzIGRpc2Vh
c2U8L2tleXdvcmQ+PGtleXdvcmQ+Km1hdGhlbWF0aWNhbCBtb2RlbGxpbmc8L2tleXdvcmQ+PC9r
ZXl3b3Jkcz48ZGF0ZXM+PHllYXI+MjAyMDwveWVhcj48cHViLWRhdGVzPjxkYXRlPkphbjwvZGF0
ZT48L3B1Yi1kYXRlcz48L2RhdGVzPjxpc2JuPjE1NjAtNzkxNyAoRWxlY3Ryb25pYykmI3hEOzEw
MjUtNDk2WCAoTGlua2luZyk8L2lzYm4+PGFjY2Vzc2lvbi1udW0+MzIwMTk2Njk8L2FjY2Vzc2lv
bi1udW0+PHVybHM+PHJlbGF0ZWQtdXJscz48dXJsPmh0dHBzOi8vd3d3Lm5jYmkubmxtLm5paC5n
b3YvcHVibWVkLzMyMDE5NjY5PC91cmw+PC9yZWxhdGVkLXVybHM+PC91cmxzPjxjdXN0b20yPlBN
QzcwMDEyMzk8L2N1c3RvbTI+PGVsZWN0cm9uaWMtcmVzb3VyY2UtbnVtPjEwLjI4MDcvMTU2MC03
OTE3LkVTLjIwMjAuMjUuNC4yMDAwMDU4PC9lbGVjdHJvbmljLXJlc291cmNlLW51bT48L3JlY29y
ZD48L0NpdGU+PENpdGU+PEF1dGhvcj5MaTwvQXV0aG9yPjxZZWFyPjIwMjA8L1llYXI+PFJlY051
bT42NzQ2PC9SZWNOdW0+PHJlY29yZD48cmVjLW51bWJlcj42NzQ2PC9yZWMtbnVtYmVyPjxmb3Jl
aWduLWtleXM+PGtleSBhcHA9IkVOIiBkYi1pZD0iMmFyenB2OXB2MjV3cmRlZDVwMHAweGZvc2Fk
MDl0ZDU1cjBwIiB0aW1lc3RhbXA9IjE1ODgzNjg2NTgiIGd1aWQ9ImNlMDA0NDA3LWExYmQtNDNh
YS04M2U0LTAxYmUzZTc3ZTIzMyI+Njc0Njwva2V5PjwvZm9yZWlnbi1rZXlzPjxyZWYtdHlwZSBu
YW1lPSJKb3VybmFsIEFydGljbGUiPjE3PC9yZWYtdHlwZT48Y29udHJpYnV0b3JzPjxhdXRob3Jz
PjxhdXRob3I+TGksIFEuPC9hdXRob3I+PGF1dGhvcj5HdWFuLCBYLjwvYXV0aG9yPjxhdXRob3I+
V3UsIFAuPC9hdXRob3I+PGF1dGhvcj5XYW5nLCBYLjwvYXV0aG9yPjxhdXRob3I+WmhvdSwgTC48
L2F1dGhvcj48YXV0aG9yPlRvbmcsIFkuPC9hdXRob3I+PGF1dGhvcj5SZW4sIFIuPC9hdXRob3I+
PGF1dGhvcj5MZXVuZywgSy4gUy4gTS48L2F1dGhvcj48YXV0aG9yPkxhdSwgRS4gSC4gWS48L2F1
dGhvcj48YXV0aG9yPldvbmcsIEouIFkuPC9hdXRob3I+PGF1dGhvcj5YaW5nLCBYLjwvYXV0aG9y
PjxhdXRob3I+WGlhbmcsIE4uPC9hdXRob3I+PGF1dGhvcj5XdSwgWS48L2F1dGhvcj48YXV0aG9y
PkxpLCBDLjwvYXV0aG9yPjxhdXRob3I+Q2hlbiwgUS48L2F1dGhvcj48YXV0aG9yPkxpLCBELjwv
YXV0aG9yPjxhdXRob3I+TGl1LCBULjwvYXV0aG9yPjxhdXRob3I+WmhhbywgSi48L2F1dGhvcj48
YXV0aG9yPkxpdSwgTS48L2F1dGhvcj48YXV0aG9yPlR1LCBXLjwvYXV0aG9yPjxhdXRob3I+Q2hl
biwgQy48L2F1dGhvcj48YXV0aG9yPkppbiwgTC48L2F1dGhvcj48YXV0aG9yPllhbmcsIFIuPC9h
dXRob3I+PGF1dGhvcj5XYW5nLCBRLjwvYXV0aG9yPjxhdXRob3I+WmhvdSwgUy48L2F1dGhvcj48
YXV0aG9yPldhbmcsIFIuPC9hdXRob3I+PGF1dGhvcj5MaXUsIEguPC9hdXRob3I+PGF1dGhvcj5M
dW8sIFkuPC9hdXRob3I+PGF1dGhvcj5MaXUsIFkuPC9hdXRob3I+PGF1dGhvcj5TaGFvLCBHLjwv
YXV0aG9yPjxhdXRob3I+TGksIEguPC9hdXRob3I+PGF1dGhvcj5UYW8sIFouPC9hdXRob3I+PGF1
dGhvcj5ZYW5nLCBZLjwvYXV0aG9yPjxhdXRob3I+RGVuZywgWi48L2F1dGhvcj48YXV0aG9yPkxp
dSwgQi48L2F1dGhvcj48YXV0aG9yPk1hLCBaLjwvYXV0aG9yPjxhdXRob3I+WmhhbmcsIFkuPC9h
dXRob3I+PGF1dGhvcj5TaGksIEcuPC9hdXRob3I+PGF1dGhvcj5MYW0sIFQuIFQuIFkuPC9hdXRo
b3I+PGF1dGhvcj5XdSwgSi4gVC48L2F1dGhvcj48YXV0aG9yPkdhbywgRy4gRi48L2F1dGhvcj48
YXV0aG9yPkNvd2xpbmcsIEIuIEouPC9hdXRob3I+PGF1dGhvcj5ZYW5nLCBCLjwvYXV0aG9yPjxh
dXRob3I+TGV1bmcsIEcuIE0uPC9hdXRob3I+PGF1dGhvcj5GZW5nLCBaLjwvYXV0aG9yPjwvYXV0
aG9ycz48L2NvbnRyaWJ1dG9ycz48YXV0aC1hZGRyZXNzPkZyb20gdGhlIENoaW5lc2UgQ2VudGVy
IGZvciBEaXNlYXNlIENvbnRyb2wgYW5kIFByZXZlbnRpb24sIEJlaWppbmcgKFEuTC4sIFguVy4s
IEwuWi4sIFIuUi4sIE4uWC4sIEMuTC4sIEQuTC4sIEouWi4sIFcuVC4sIEwuSi4sIFEuVy4sIFIu
Vy4sIFkuWi4sIEcuIFNoaSwgRy5GLkcuLCBaLkYuKSwgdGhlIEh1YmVpIFByb3ZpbmNpYWwgQ2Vu
dGVyIGZvciBEaXNlYXNlIENvbnRyb2wgYW5kIFByZXZlbnRpb24sIFd1aGFuLCBIdWJlaSAoWC5H
LiwgWS5ULiwgWC5YLiwgWS5XLiwgUS5DLiwgTS5MLiwgQy5DLiwgUi5ZLiwgUy5aLiwgWS4gTHVv
LCBCLlkuKSwgdGhlIFdvcmxkIEhlYWx0aCBPcmdhbml6YXRpb24gQ29sbGFib3JhdGluZyBDZW50
cmUgZm9yIEluZmVjdGlvdXMgRGlzZWFzZSBFcGlkZW1pb2xvZ3kgYW5kIENvbnRyb2wsIFNjaG9v
bCBvZiBQdWJsaWMgSGVhbHRoLCBVbml2ZXJzaXR5IG9mIEhvbmcgS29uZywgSG9uZyBLb25nIChQ
LlcuLCBLLlMuTS5MLiwgRS5ILlkuTC4sIEouWS5XLiwgVC5ULlkuTC4sIEouVC5XLiwgQi5KLkMu
LCBHLk0uTC4pLCB0aGUgQ2hpbmVzZSBGaWVsZCBFcGlkZW1pb2xvZ3kgVHJhaW5pbmcgUHJvZ3Jh
bSwgQ2hpbmVzZSBDZW50ZXIgZm9yIERpc2Vhc2UgQ29udHJvbCBhbmQgUHJldmVudGlvbiwgQmVp
amluZyAoVC5MLiwgUi5ZLiwgUy5aLiwgSC4gTGl1LCBZLiBMaXUsIEcuIFNoYW8sIEguIExpLCBa
LlQuKSwgdGhlIEppbmd6aG91IENlbnRlciBmb3IgRGlzZWFzZSBDb250cm9sIGFuZCBQcmV2ZW50
aW9uLCBKaW5nemhvdSwgSHViZWkgKFQuTC4pLCB0aGUgQ2hlbmdkdSBDZW50ZXIgZm9yIERpc2Vh
c2UgQ29udHJvbCBhbmQgUHJldmVudGlvbiwgQ2hlbmdkdSwgU2ljaHVhbiAoSC4gTGl1KTsgdGhl
IEh1bmFuIFByb3ZpbmNpYWwgQ2VudGVyIGZvciBEaXNlYXNlIENvbnRyb2wgYW5kIFByZXZlbnRp
b24sIENoYW5nc2hhLCBIdW5hbiAoWS4gTGl1KSwgdGhlIEFueWFuZyBNdW5pY2lwYWwgQ2VudGVy
IGZvciBEaXNlYXNlIENvbnRyb2wgYW5kIFByZXZlbnRpb24sIEFueWFuZywgSGVuYW4gKEcuIFNo
YW8pLCB0aGUgUGFuamluIENlbnRlciBmb3IgRGlzZWFzZSBDb250cm9sIGFuZCBQcmV2ZW50aW9u
LCBQYW5qaW4sIExpYW9uaW5nIChILiBMaSksIHRoZSBHdWl6aG91IENlbnRlciBmb3IgRGlzZWFz
ZSBDb250cm9sIGFuZCBQcmV2ZW50aW9uLCBHdWl5YW5nLCBHdWl6aG91IChaLlQuKSwgdGhlIEpp
YWRpbmcgRGlzdHJpY3QgQ2VudGVyIGZvciBEaXNlYXNlIENvbnRyb2wgYW5kIFByZXZlbnRpb24s
IFNoYW5naGFpIChZLlkuKSwgdGhlIE5hbmNoYW5nIENlbnRlciBmb3IgRGlzZWFzZSBDb250cm9s
IGFuZCBQcmV2ZW50aW9uLCBOYW5jaGFuZywgSmlhbmd4aSAoWi5ELiksIHRoZSBJbm5lciBNb25n
b2xpYSBDb21wcmVoZW5zaXZlIENlbnRlciBmb3IgRGlzZWFzZSBDb250cm9sIGFuZCBQcmV2ZW50
aW9uLCBIb2hob3QsIElubmVyIE1vbmdvbGlhIChCLkwuKSwgYW5kIHRoZSBCYW9zaGFuIERpc3Ry
aWN0IENlbnRlciBmb3IgRGlzZWFzZSBDb250cm9sIGFuZCBQcmV2ZW50aW9uLCBTaGFuZ2hhaSAo
Wi5NLikgLSBhbGwgaW4gQ2hpbmEuPC9hdXRoLWFkZHJlc3M+PHRpdGxlcz48dGl0bGU+RWFybHkg
VHJhbnNtaXNzaW9uIER5bmFtaWNzIGluIFd1aGFuLCBDaGluYSwgb2YgTm92ZWwgQ29yb25hdmly
dXMtSW5mZWN0ZWQgUG5ldW1vbmlhPC90aXRsZT48c2Vjb25kYXJ5LXRpdGxlPk4gRW5nbCBKIE1l
ZDwvc2Vjb25kYXJ5LXRpdGxlPjwvdGl0bGVzPjxwZXJpb2RpY2FsPjxmdWxsLXRpdGxlPk4gRW5n
bCBKIE1lZDwvZnVsbC10aXRsZT48L3BlcmlvZGljYWw+PHBhZ2VzPjExOTktMTIwNzwvcGFnZXM+
PHZvbHVtZT4zODI8L3ZvbHVtZT48bnVtYmVyPjEzPC9udW1iZXI+PGVkaXRpb24+MjAyMC8wMS8z
MDwvZWRpdGlvbj48a2V5d29yZHM+PGtleXdvcmQ+QWRvbGVzY2VudDwva2V5d29yZD48a2V5d29y
ZD5BZHVsdDwva2V5d29yZD48a2V5d29yZD5BZ2VkPC9rZXl3b3JkPjxrZXl3b3JkPipCZXRhY29y
b25hdmlydXMvZ2VuZXRpY3M8L2tleXdvcmQ+PGtleXdvcmQ+Q2hpbmEvZXBpZGVtaW9sb2d5PC9r
ZXl3b3JkPjxrZXl3b3JkPkNvbW11bmljYWJsZSBEaXNlYXNlIENvbnRyb2wvbWV0aG9kczwva2V5
d29yZD48a2V5d29yZD5Db3JvbmF2aXJ1cyBJbmZlY3Rpb25zLyplcGlkZW1pb2xvZ3kvKnRyYW5z
bWlzc2lvbi92aXJvbG9neTwva2V5d29yZD48a2V5d29yZD5EaXNlYXNlIFRyYW5zbWlzc2lvbiwg
SW5mZWN0aW91cy9wcmV2ZW50aW9uICZhbXA7IGNvbnRyb2wvKnN0YXRpc3RpY3MgJmFtcDsgbnVt
ZXJpY2FsPC9rZXl3b3JkPjxrZXl3b3JkPmRhdGE8L2tleXdvcmQ+PGtleXdvcmQ+KkVwaWRlbWlj
cy9wcmV2ZW50aW9uICZhbXA7IGNvbnRyb2w8L2tleXdvcmQ+PGtleXdvcmQ+RmVtYWxlPC9rZXl3
b3JkPjxrZXl3b3JkPkh1bWFuczwva2V5d29yZD48a2V5d29yZD5JbmNpZGVuY2U8L2tleXdvcmQ+
PGtleXdvcmQ+KkluZmVjdGlvdXMgRGlzZWFzZSBJbmN1YmF0aW9uIFBlcmlvZDwva2V5d29yZD48
a2V5d29yZD5NYWxlPC9rZXl3b3JkPjxrZXl3b3JkPk1pZGRsZSBBZ2VkPC9rZXl3b3JkPjxrZXl3
b3JkPlBhbmRlbWljczwva2V5d29yZD48a2V5d29yZD5QbmV1bW9uaWEsIFZpcmFsLyplcGlkZW1p
b2xvZ3kvKnRyYW5zbWlzc2lvbi92aXJvbG9neTwva2V5d29yZD48a2V5d29yZD5Qb2x5bWVyYXNl
IENoYWluIFJlYWN0aW9uPC9rZXl3b3JkPjxrZXl3b3JkPllvdW5nIEFkdWx0PC9rZXl3b3JkPjwv
a2V5d29yZHM+PGRhdGVzPjx5ZWFyPjIwMjA8L3llYXI+PHB1Yi1kYXRlcz48ZGF0ZT5NYXIgMjY8
L2RhdGU+PC9wdWItZGF0ZXM+PC9kYXRlcz48aXNibj4xNTMzLTQ0MDYgKEVsZWN0cm9uaWMpJiN4
RDswMDI4LTQ3OTMgKExpbmtpbmcpPC9pc2JuPjxhY2Nlc3Npb24tbnVtPjMxOTk1ODU3PC9hY2Nl
c3Npb24tbnVtPjx1cmxzPjxyZWxhdGVkLXVybHM+PHVybD5odHRwczovL3d3dy5uY2JpLm5sbS5u
aWguZ292L3B1Ym1lZC8zMTk5NTg1NzwvdXJsPjwvcmVsYXRlZC11cmxzPjwvdXJscz48Y3VzdG9t
Mj5QTUM3MTIxNDg0PC9jdXN0b20yPjxlbGVjdHJvbmljLXJlc291cmNlLW51bT4xMC4xMDU2L05F
Sk1vYTIwMDEzMTY8L2VsZWN0cm9uaWMtcmVzb3VyY2UtbnVtPjwvcmVjb3JkPjwvQ2l0ZT48L0Vu
ZE5vdGU+
</w:fldData>
              </w:fldChar>
            </w:r>
            <w:r w:rsidRPr="004F355D">
              <w:rPr>
                <w:rStyle w:val="Emphasis"/>
              </w:rPr>
              <w:instrText xml:space="preserve"> ADDIN EN.CITE.DATA </w:instrText>
            </w:r>
            <w:r w:rsidRPr="004F355D">
              <w:rPr>
                <w:rStyle w:val="Emphasis"/>
              </w:rPr>
            </w:r>
            <w:r w:rsidRPr="004F355D">
              <w:rPr>
                <w:rStyle w:val="Emphasis"/>
              </w:rPr>
              <w:fldChar w:fldCharType="end"/>
            </w:r>
            <w:r w:rsidRPr="004F355D">
              <w:rPr>
                <w:rStyle w:val="Emphasis"/>
              </w:rPr>
            </w:r>
            <w:r w:rsidRPr="004F355D">
              <w:rPr>
                <w:rStyle w:val="Emphasis"/>
              </w:rPr>
              <w:fldChar w:fldCharType="separate"/>
            </w:r>
            <w:r w:rsidRPr="004F355D">
              <w:rPr>
                <w:rStyle w:val="Emphasis"/>
              </w:rPr>
              <w:t>[8-10]</w:t>
            </w:r>
            <w:r w:rsidRPr="004F355D">
              <w:rPr>
                <w:rStyle w:val="Emphasis"/>
              </w:rPr>
              <w:fldChar w:fldCharType="end"/>
            </w:r>
            <w:r w:rsidRPr="004F355D">
              <w:rPr>
                <w:rStyle w:val="Emphasis"/>
              </w:rPr>
              <w:footnoteReference w:id="1"/>
            </w:r>
          </w:p>
        </w:tc>
      </w:tr>
      <w:tr w:rsidR="0075224C" w:rsidRPr="008A5707" w:rsidTr="00B20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75224C" w:rsidRPr="004F355D" w:rsidRDefault="0075224C" w:rsidP="00FE63DA">
            <w:pPr>
              <w:rPr>
                <w:rStyle w:val="Emphasis"/>
              </w:rPr>
            </w:pPr>
            <w:r w:rsidRPr="004F355D">
              <w:rPr>
                <w:rStyle w:val="Emphasis"/>
              </w:rPr>
              <w:t>Probability of symptomatic infection seeking treatment</w:t>
            </w:r>
          </w:p>
        </w:tc>
        <w:tc>
          <w:tcPr>
            <w:tcW w:w="5215" w:type="dxa"/>
          </w:tcPr>
          <w:p w:rsidR="0075224C" w:rsidRPr="004F355D" w:rsidRDefault="0075224C" w:rsidP="00FE63DA">
            <w:pPr>
              <w:keepNext/>
              <w:cnfStyle w:val="000000100000" w:firstRow="0" w:lastRow="0" w:firstColumn="0" w:lastColumn="0" w:oddVBand="0" w:evenVBand="0" w:oddHBand="1" w:evenHBand="0" w:firstRowFirstColumn="0" w:firstRowLastColumn="0" w:lastRowFirstColumn="0" w:lastRowLastColumn="0"/>
              <w:rPr>
                <w:rStyle w:val="Emphasis"/>
              </w:rPr>
            </w:pPr>
            <w:r w:rsidRPr="004F355D">
              <w:rPr>
                <w:rStyle w:val="Emphasis"/>
              </w:rPr>
              <w:t>99% seeking test within 8 days</w:t>
            </w:r>
          </w:p>
        </w:tc>
        <w:tc>
          <w:tcPr>
            <w:tcW w:w="1984" w:type="dxa"/>
            <w:vAlign w:val="center"/>
          </w:tcPr>
          <w:p w:rsidR="0075224C" w:rsidRPr="004F355D" w:rsidRDefault="0075224C" w:rsidP="00BC26DC">
            <w:pPr>
              <w:keepNext/>
              <w:jc w:val="center"/>
              <w:cnfStyle w:val="000000100000" w:firstRow="0" w:lastRow="0" w:firstColumn="0" w:lastColumn="0" w:oddVBand="0" w:evenVBand="0" w:oddHBand="1" w:evenHBand="0" w:firstRowFirstColumn="0" w:firstRowLastColumn="0" w:lastRowFirstColumn="0" w:lastRowLastColumn="0"/>
              <w:rPr>
                <w:rStyle w:val="Emphasis"/>
              </w:rPr>
            </w:pPr>
            <w:r w:rsidRPr="004F355D">
              <w:rPr>
                <w:rStyle w:val="Emphasis"/>
              </w:rPr>
              <w:t>Assumption</w:t>
            </w:r>
          </w:p>
        </w:tc>
      </w:tr>
      <w:tr w:rsidR="0075224C" w:rsidRPr="008A5707" w:rsidTr="00B20052">
        <w:tc>
          <w:tcPr>
            <w:cnfStyle w:val="001000000000" w:firstRow="0" w:lastRow="0" w:firstColumn="1" w:lastColumn="0" w:oddVBand="0" w:evenVBand="0" w:oddHBand="0" w:evenHBand="0" w:firstRowFirstColumn="0" w:firstRowLastColumn="0" w:lastRowFirstColumn="0" w:lastRowLastColumn="0"/>
            <w:tcW w:w="2440" w:type="dxa"/>
            <w:tcBorders>
              <w:bottom w:val="single" w:sz="4" w:space="0" w:color="auto"/>
            </w:tcBorders>
          </w:tcPr>
          <w:p w:rsidR="0075224C" w:rsidRPr="004F355D" w:rsidRDefault="0075224C" w:rsidP="00FE63DA">
            <w:pPr>
              <w:rPr>
                <w:rStyle w:val="Emphasis"/>
              </w:rPr>
            </w:pPr>
            <w:r w:rsidRPr="004F355D">
              <w:rPr>
                <w:rStyle w:val="Emphasis"/>
              </w:rPr>
              <w:t>Probability of symptomatic infection</w:t>
            </w:r>
          </w:p>
        </w:tc>
        <w:tc>
          <w:tcPr>
            <w:tcW w:w="5215" w:type="dxa"/>
            <w:tcBorders>
              <w:bottom w:val="single" w:sz="4" w:space="0" w:color="auto"/>
            </w:tcBorders>
          </w:tcPr>
          <w:p w:rsidR="0075224C" w:rsidRPr="004F355D" w:rsidRDefault="0075224C" w:rsidP="00FE63DA">
            <w:pPr>
              <w:keepNext/>
              <w:cnfStyle w:val="000000000000" w:firstRow="0" w:lastRow="0" w:firstColumn="0" w:lastColumn="0" w:oddVBand="0" w:evenVBand="0" w:oddHBand="0" w:evenHBand="0" w:firstRowFirstColumn="0" w:firstRowLastColumn="0" w:lastRowFirstColumn="0" w:lastRowLastColumn="0"/>
              <w:rPr>
                <w:rStyle w:val="Emphasis"/>
              </w:rPr>
            </w:pPr>
            <w:r w:rsidRPr="004F355D">
              <w:rPr>
                <w:rStyle w:val="Emphasis"/>
              </w:rPr>
              <w:t>50%, 100%</w:t>
            </w:r>
          </w:p>
        </w:tc>
        <w:tc>
          <w:tcPr>
            <w:tcW w:w="1984" w:type="dxa"/>
            <w:tcBorders>
              <w:bottom w:val="single" w:sz="4" w:space="0" w:color="auto"/>
            </w:tcBorders>
            <w:vAlign w:val="center"/>
          </w:tcPr>
          <w:p w:rsidR="0075224C" w:rsidRPr="004F355D" w:rsidRDefault="0075224C" w:rsidP="00BC26DC">
            <w:pPr>
              <w:keepNext/>
              <w:jc w:val="center"/>
              <w:cnfStyle w:val="000000000000" w:firstRow="0" w:lastRow="0" w:firstColumn="0" w:lastColumn="0" w:oddVBand="0" w:evenVBand="0" w:oddHBand="0" w:evenHBand="0" w:firstRowFirstColumn="0" w:firstRowLastColumn="0" w:lastRowFirstColumn="0" w:lastRowLastColumn="0"/>
              <w:rPr>
                <w:rStyle w:val="Emphasis"/>
              </w:rPr>
            </w:pPr>
            <w:r w:rsidRPr="004F355D">
              <w:rPr>
                <w:rStyle w:val="Emphasis"/>
              </w:rPr>
              <w:t>Assumption</w:t>
            </w:r>
          </w:p>
        </w:tc>
      </w:tr>
    </w:tbl>
    <w:p w:rsidR="005E184A" w:rsidRPr="00ED6BCC" w:rsidRDefault="005E184A" w:rsidP="004F355D">
      <w:pPr>
        <w:pStyle w:val="Heading2"/>
      </w:pPr>
      <w:r w:rsidRPr="00ED6BCC">
        <w:t>Response model</w:t>
      </w:r>
    </w:p>
    <w:p w:rsidR="0075224C" w:rsidRDefault="005E184A" w:rsidP="00B10F9D">
      <w:r w:rsidRPr="00DE390E">
        <w:t xml:space="preserve">We assess the likely impact on the size of a local outbreak of a multi-layered public health response applied immediately following identification of the index case. In all instances, cases are assumed to be effectively isolated. We similarly assume the best case that quarantined individuals are </w:t>
      </w:r>
      <w:r w:rsidRPr="00ED6BCC">
        <w:t>completely protected</w:t>
      </w:r>
      <w:r w:rsidRPr="00DE390E">
        <w:t xml:space="preserve"> from household and community transmission of infection, however that might be implemented in practice in a given setting.</w:t>
      </w:r>
      <w:r>
        <w:t xml:space="preserve"> </w:t>
      </w:r>
      <w:r w:rsidRPr="00DE390E">
        <w:t>Different approaches to contact definition were compared (Figure 1), for cons</w:t>
      </w:r>
      <w:r>
        <w:t>ideration</w:t>
      </w:r>
      <w:r w:rsidRPr="00DE390E">
        <w:t xml:space="preserve"> regarding feasibility of implementation within public health capacity.</w:t>
      </w:r>
      <w:r w:rsidRPr="00043CB8">
        <w:t xml:space="preserve"> </w:t>
      </w:r>
    </w:p>
    <w:p w:rsidR="005E184A" w:rsidRPr="0075224C" w:rsidRDefault="005E184A" w:rsidP="004F355D">
      <w:pPr>
        <w:rPr>
          <w:rFonts w:cstheme="minorHAnsi"/>
        </w:rPr>
      </w:pPr>
      <w:r w:rsidRPr="003059D6">
        <w:t xml:space="preserve">We assess the impact of additional </w:t>
      </w:r>
      <w:r>
        <w:t xml:space="preserve">14-day </w:t>
      </w:r>
      <w:r w:rsidRPr="003059D6">
        <w:t>lockdown of all households in a community</w:t>
      </w:r>
      <w:r>
        <w:t>,</w:t>
      </w:r>
      <w:r w:rsidRPr="003059D6">
        <w:t xml:space="preserve"> concurrent with the first round of isolation and quarantine. Locked down households mix internally</w:t>
      </w:r>
      <w:r>
        <w:t xml:space="preserve"> with other family members</w:t>
      </w:r>
      <w:r w:rsidRPr="003059D6">
        <w:t xml:space="preserve">, but not with the community. </w:t>
      </w:r>
      <w:r w:rsidR="0075224C" w:rsidRPr="00D57B41">
        <w:rPr>
          <w:rFonts w:cstheme="minorHAnsi"/>
        </w:rPr>
        <w:t xml:space="preserve">We investigate the cases in which mixing of household members with others in the community varies between 50 and 100% compliance, implemented at the level of the individual rather than </w:t>
      </w:r>
      <w:r w:rsidR="00F5552A">
        <w:rPr>
          <w:rFonts w:cstheme="minorHAnsi"/>
        </w:rPr>
        <w:br/>
      </w:r>
      <w:r w:rsidR="0075224C" w:rsidRPr="00D57B41">
        <w:rPr>
          <w:rFonts w:cstheme="minorHAnsi"/>
        </w:rPr>
        <w:t xml:space="preserve">the household. </w:t>
      </w:r>
    </w:p>
    <w:p w:rsidR="0075224C" w:rsidRPr="00ED6BCC" w:rsidRDefault="0075224C" w:rsidP="004F355D">
      <w:pPr>
        <w:pStyle w:val="Heading2"/>
      </w:pPr>
      <w:r w:rsidRPr="00ED6BCC">
        <w:t>Laboratory testing</w:t>
      </w:r>
    </w:p>
    <w:p w:rsidR="0075224C" w:rsidRPr="0075224C" w:rsidRDefault="0075224C" w:rsidP="004F355D">
      <w:r w:rsidRPr="00533D64">
        <w:t xml:space="preserve">All quarantined individuals are tested at the time of entry into quarantine. </w:t>
      </w:r>
      <w:r>
        <w:t>Clearance</w:t>
      </w:r>
      <w:r w:rsidRPr="00533D64">
        <w:t xml:space="preserve"> testing is performed to confirm the absence of infection in isolated individuals at day 8, and quarantined individuals on day 12. These timings take into account the anticipated 2 days to receipt of the test result, enabling release into the community after the defined 10</w:t>
      </w:r>
      <w:r>
        <w:t>-</w:t>
      </w:r>
      <w:r w:rsidRPr="00533D64">
        <w:t xml:space="preserve"> and 14</w:t>
      </w:r>
      <w:r>
        <w:t>-</w:t>
      </w:r>
      <w:r w:rsidRPr="00533D64">
        <w:t xml:space="preserve">day periods for isolation and quarantine, respectively. </w:t>
      </w:r>
      <w:r>
        <w:t xml:space="preserve">We further consider the benefits of testing all individuals prior to release from wider community lockdown. </w:t>
      </w:r>
      <w:r w:rsidRPr="00D57B41">
        <w:t xml:space="preserve">Identification of any new infection by testing initiates a new round of public health measures. If an individual in lockdown tests positive, their immediate household members would begin a 14-day cycle of quarantine, with assumptions as above. </w:t>
      </w:r>
    </w:p>
    <w:p w:rsidR="00B10F9D" w:rsidRDefault="00B10F9D">
      <w:pPr>
        <w:spacing w:before="0" w:after="0"/>
        <w:rPr>
          <w:rFonts w:eastAsiaTheme="majorEastAsia" w:cstheme="majorBidi"/>
          <w:b/>
          <w:color w:val="C77B4A"/>
          <w:sz w:val="30"/>
          <w:szCs w:val="26"/>
        </w:rPr>
      </w:pPr>
      <w:r>
        <w:br w:type="page"/>
      </w:r>
    </w:p>
    <w:p w:rsidR="00ED0B76" w:rsidRDefault="00ED0B76" w:rsidP="00B10F9D">
      <w:pPr>
        <w:pStyle w:val="Heading2"/>
        <w:spacing w:after="120"/>
      </w:pPr>
      <w:r w:rsidRPr="0075224C">
        <w:t>Modelled delays between infection, testing and response measures</w:t>
      </w:r>
    </w:p>
    <w:p w:rsidR="00B20052" w:rsidRPr="004F355D" w:rsidRDefault="00B20052" w:rsidP="00B20052">
      <w:pPr>
        <w:pStyle w:val="Caption"/>
        <w:spacing w:after="160"/>
        <w:rPr>
          <w:b/>
          <w:bCs/>
          <w:i w:val="0"/>
          <w:iCs w:val="0"/>
          <w:noProof/>
          <w:color w:val="auto"/>
          <w:sz w:val="24"/>
          <w:szCs w:val="24"/>
        </w:rPr>
      </w:pPr>
      <w:bookmarkStart w:id="2" w:name="_Ref38626382"/>
      <w:r w:rsidRPr="004F355D">
        <w:rPr>
          <w:b/>
          <w:bCs/>
          <w:i w:val="0"/>
          <w:iCs w:val="0"/>
          <w:color w:val="auto"/>
          <w:sz w:val="24"/>
          <w:szCs w:val="24"/>
        </w:rPr>
        <w:t xml:space="preserve">Figure </w:t>
      </w:r>
      <w:bookmarkEnd w:id="2"/>
      <w:r w:rsidRPr="004F355D">
        <w:rPr>
          <w:b/>
          <w:bCs/>
          <w:i w:val="0"/>
          <w:iCs w:val="0"/>
          <w:color w:val="auto"/>
          <w:sz w:val="24"/>
          <w:szCs w:val="24"/>
        </w:rPr>
        <w:t xml:space="preserve">A2: An example pathway for a typical individual with symptomatic </w:t>
      </w:r>
      <w:r w:rsidRPr="004F355D">
        <w:rPr>
          <w:b/>
          <w:bCs/>
          <w:i w:val="0"/>
          <w:iCs w:val="0"/>
          <w:noProof/>
          <w:color w:val="auto"/>
          <w:sz w:val="24"/>
          <w:szCs w:val="24"/>
        </w:rPr>
        <w:t xml:space="preserve">infection. See accompanying text for explanation of the delays associated with each of the coloured arrows </w:t>
      </w:r>
    </w:p>
    <w:p w:rsidR="00ED0B76" w:rsidRDefault="00ED0B76" w:rsidP="00B10F9D">
      <w:pPr>
        <w:keepNext/>
        <w:spacing w:after="120"/>
      </w:pPr>
      <w:r w:rsidRPr="00B10F9D">
        <w:rPr>
          <w:noProof/>
          <w:lang w:eastAsia="en-AU"/>
        </w:rPr>
        <mc:AlternateContent>
          <mc:Choice Requires="wpc">
            <w:drawing>
              <wp:inline distT="0" distB="0" distL="0" distR="0" wp14:anchorId="76FE9374" wp14:editId="6E2307A6">
                <wp:extent cx="5943600" cy="3384466"/>
                <wp:effectExtent l="0" t="0" r="0" b="6985"/>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8" name="Straight Arrow Connector 8"/>
                        <wps:cNvCnPr>
                          <a:stCxn id="7" idx="3"/>
                          <a:endCxn id="11" idx="1"/>
                        </wps:cNvCnPr>
                        <wps:spPr>
                          <a:xfrm>
                            <a:off x="2232560" y="346775"/>
                            <a:ext cx="372395" cy="495"/>
                          </a:xfrm>
                          <a:prstGeom prst="straightConnector1">
                            <a:avLst/>
                          </a:prstGeom>
                          <a:ln w="38100" cap="rnd">
                            <a:solidFill>
                              <a:srgbClr val="FF0000"/>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a:stCxn id="4" idx="3"/>
                          <a:endCxn id="7" idx="1"/>
                        </wps:cNvCnPr>
                        <wps:spPr>
                          <a:xfrm flipV="1">
                            <a:off x="1116280" y="346775"/>
                            <a:ext cx="257519" cy="222"/>
                          </a:xfrm>
                          <a:prstGeom prst="straightConnector1">
                            <a:avLst/>
                          </a:prstGeom>
                          <a:ln w="38100" cap="rnd">
                            <a:solidFill>
                              <a:schemeClr val="tx1"/>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a:stCxn id="11" idx="2"/>
                          <a:endCxn id="12" idx="0"/>
                        </wps:cNvCnPr>
                        <wps:spPr>
                          <a:xfrm flipH="1">
                            <a:off x="3205798" y="592697"/>
                            <a:ext cx="38" cy="400470"/>
                          </a:xfrm>
                          <a:prstGeom prst="straightConnector1">
                            <a:avLst/>
                          </a:prstGeom>
                          <a:ln w="38100" cap="rnd">
                            <a:solidFill>
                              <a:srgbClr val="00B050"/>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a:stCxn id="12" idx="2"/>
                          <a:endCxn id="15" idx="0"/>
                        </wps:cNvCnPr>
                        <wps:spPr>
                          <a:xfrm flipH="1">
                            <a:off x="3205481" y="1651028"/>
                            <a:ext cx="317" cy="405867"/>
                          </a:xfrm>
                          <a:prstGeom prst="straightConnector1">
                            <a:avLst/>
                          </a:prstGeom>
                          <a:ln w="38100" cap="rnd">
                            <a:solidFill>
                              <a:schemeClr val="accent2"/>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a:stCxn id="12" idx="3"/>
                          <a:endCxn id="17" idx="1"/>
                        </wps:cNvCnPr>
                        <wps:spPr>
                          <a:xfrm flipV="1">
                            <a:off x="4097867" y="1321959"/>
                            <a:ext cx="448733" cy="139"/>
                          </a:xfrm>
                          <a:prstGeom prst="straightConnector1">
                            <a:avLst/>
                          </a:prstGeom>
                          <a:ln w="38100" cap="rnd">
                            <a:solidFill>
                              <a:srgbClr val="7030A0"/>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stCxn id="17" idx="2"/>
                          <a:endCxn id="19" idx="0"/>
                        </wps:cNvCnPr>
                        <wps:spPr>
                          <a:xfrm>
                            <a:off x="5181600" y="1567492"/>
                            <a:ext cx="0" cy="262786"/>
                          </a:xfrm>
                          <a:prstGeom prst="straightConnector1">
                            <a:avLst/>
                          </a:prstGeom>
                          <a:ln w="38100" cap="rnd">
                            <a:solidFill>
                              <a:srgbClr val="00B0F0"/>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101601" y="118709"/>
                            <a:ext cx="1014679" cy="456576"/>
                          </a:xfrm>
                          <a:prstGeom prst="rect">
                            <a:avLst/>
                          </a:prstGeom>
                          <a:solidFill>
                            <a:schemeClr val="lt1"/>
                          </a:solidFill>
                          <a:ln w="6350">
                            <a:solidFill>
                              <a:prstClr val="black"/>
                            </a:solidFill>
                          </a:ln>
                        </wps:spPr>
                        <wps:txbx>
                          <w:txbxContent>
                            <w:p w:rsidR="00FE63DA" w:rsidRPr="004F355D" w:rsidRDefault="00FE63DA" w:rsidP="004F355D">
                              <w:pPr>
                                <w:spacing w:before="0" w:after="0"/>
                                <w:jc w:val="center"/>
                                <w:rPr>
                                  <w:rFonts w:cs="Arial"/>
                                  <w:lang w:val="en-US"/>
                                </w:rPr>
                              </w:pPr>
                              <w:r w:rsidRPr="004F355D">
                                <w:rPr>
                                  <w:rFonts w:cs="Arial"/>
                                  <w:lang w:val="en-US"/>
                                </w:rPr>
                                <w:t>Exposure to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5"/>
                        <wps:cNvSpPr txBox="1"/>
                        <wps:spPr>
                          <a:xfrm>
                            <a:off x="1373799" y="124424"/>
                            <a:ext cx="858761" cy="444702"/>
                          </a:xfrm>
                          <a:prstGeom prst="rect">
                            <a:avLst/>
                          </a:prstGeom>
                          <a:solidFill>
                            <a:schemeClr val="lt1"/>
                          </a:solidFill>
                          <a:ln w="6350">
                            <a:solidFill>
                              <a:prstClr val="black"/>
                            </a:solidFill>
                          </a:ln>
                        </wps:spPr>
                        <wps:txbx>
                          <w:txbxContent>
                            <w:p w:rsidR="00FE63DA" w:rsidRPr="004F355D" w:rsidRDefault="00FE63DA" w:rsidP="004F355D">
                              <w:pPr>
                                <w:spacing w:before="0" w:after="0" w:line="256" w:lineRule="auto"/>
                                <w:jc w:val="center"/>
                                <w:rPr>
                                  <w:rFonts w:cs="Arial"/>
                                </w:rPr>
                              </w:pPr>
                              <w:r w:rsidRPr="004F355D">
                                <w:rPr>
                                  <w:rFonts w:eastAsia="PMingLiU" w:cs="Arial"/>
                                  <w:lang w:val="en-US"/>
                                </w:rPr>
                                <w:t>Symptom onset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Text Box 5"/>
                        <wps:cNvSpPr txBox="1"/>
                        <wps:spPr>
                          <a:xfrm>
                            <a:off x="2604955" y="101842"/>
                            <a:ext cx="1201761" cy="490855"/>
                          </a:xfrm>
                          <a:prstGeom prst="rect">
                            <a:avLst/>
                          </a:prstGeom>
                          <a:solidFill>
                            <a:schemeClr val="lt1"/>
                          </a:solidFill>
                          <a:ln w="6350">
                            <a:solidFill>
                              <a:prstClr val="black"/>
                            </a:solidFill>
                          </a:ln>
                        </wps:spPr>
                        <wps:txbx>
                          <w:txbxContent>
                            <w:p w:rsidR="00FE63DA" w:rsidRPr="004F355D" w:rsidRDefault="00FE63DA" w:rsidP="004F355D">
                              <w:pPr>
                                <w:spacing w:before="0" w:after="0" w:line="254" w:lineRule="auto"/>
                                <w:jc w:val="center"/>
                                <w:rPr>
                                  <w:rFonts w:cs="Arial"/>
                                </w:rPr>
                              </w:pPr>
                              <w:r w:rsidRPr="004F355D">
                                <w:rPr>
                                  <w:rFonts w:eastAsia="PMingLiU" w:cs="Arial"/>
                                  <w:lang w:val="en-US"/>
                                </w:rPr>
                                <w:t xml:space="preserve">Diagnostic test carried out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5"/>
                        <wps:cNvSpPr txBox="1"/>
                        <wps:spPr>
                          <a:xfrm>
                            <a:off x="2313729" y="993167"/>
                            <a:ext cx="1784138" cy="657861"/>
                          </a:xfrm>
                          <a:prstGeom prst="rect">
                            <a:avLst/>
                          </a:prstGeom>
                          <a:solidFill>
                            <a:schemeClr val="lt1"/>
                          </a:solidFill>
                          <a:ln w="6350">
                            <a:solidFill>
                              <a:prstClr val="black"/>
                            </a:solidFill>
                          </a:ln>
                        </wps:spPr>
                        <wps:txbx>
                          <w:txbxContent>
                            <w:p w:rsidR="00FE63DA" w:rsidRPr="004F355D" w:rsidRDefault="00FE63DA" w:rsidP="004F355D">
                              <w:pPr>
                                <w:spacing w:before="0" w:after="0" w:line="252" w:lineRule="auto"/>
                                <w:jc w:val="center"/>
                                <w:rPr>
                                  <w:rFonts w:cs="Arial"/>
                                </w:rPr>
                              </w:pPr>
                              <w:r w:rsidRPr="004F355D">
                                <w:rPr>
                                  <w:rFonts w:eastAsia="PMingLiU" w:cs="Arial"/>
                                  <w:lang w:val="en-US"/>
                                </w:rPr>
                                <w:t xml:space="preserve">Diagnostic test results ready and </w:t>
                              </w:r>
                              <w:r w:rsidRPr="004F355D">
                                <w:rPr>
                                  <w:rFonts w:eastAsia="PMingLiU" w:cs="Arial"/>
                                </w:rPr>
                                <w:t>initialisation</w:t>
                              </w:r>
                              <w:r w:rsidRPr="004F355D">
                                <w:rPr>
                                  <w:rFonts w:eastAsia="PMingLiU" w:cs="Arial"/>
                                  <w:lang w:val="en-US"/>
                                </w:rPr>
                                <w:t xml:space="preserve"> of response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Text Box 5"/>
                        <wps:cNvSpPr txBox="1"/>
                        <wps:spPr>
                          <a:xfrm>
                            <a:off x="2432051" y="2056895"/>
                            <a:ext cx="1546860" cy="425048"/>
                          </a:xfrm>
                          <a:prstGeom prst="rect">
                            <a:avLst/>
                          </a:prstGeom>
                          <a:solidFill>
                            <a:schemeClr val="lt1"/>
                          </a:solidFill>
                          <a:ln w="6350">
                            <a:solidFill>
                              <a:prstClr val="black"/>
                            </a:solidFill>
                          </a:ln>
                        </wps:spPr>
                        <wps:txbx>
                          <w:txbxContent>
                            <w:p w:rsidR="00FE63DA" w:rsidRPr="004F355D" w:rsidRDefault="00FE63DA" w:rsidP="004F355D">
                              <w:pPr>
                                <w:spacing w:before="0" w:after="0" w:line="252" w:lineRule="auto"/>
                                <w:jc w:val="center"/>
                                <w:rPr>
                                  <w:rFonts w:cs="Arial"/>
                                </w:rPr>
                              </w:pPr>
                              <w:r w:rsidRPr="004F355D">
                                <w:rPr>
                                  <w:rFonts w:eastAsia="PMingLiU" w:cs="Arial"/>
                                  <w:lang w:val="en-US"/>
                                </w:rPr>
                                <w:t>Start of case isolation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5"/>
                        <wps:cNvSpPr txBox="1"/>
                        <wps:spPr>
                          <a:xfrm>
                            <a:off x="4546600" y="1076426"/>
                            <a:ext cx="1270000" cy="491066"/>
                          </a:xfrm>
                          <a:prstGeom prst="rect">
                            <a:avLst/>
                          </a:prstGeom>
                          <a:solidFill>
                            <a:schemeClr val="lt1"/>
                          </a:solidFill>
                          <a:ln w="6350">
                            <a:solidFill>
                              <a:prstClr val="black"/>
                            </a:solidFill>
                          </a:ln>
                        </wps:spPr>
                        <wps:txbx>
                          <w:txbxContent>
                            <w:p w:rsidR="00FE63DA" w:rsidRPr="004F355D" w:rsidRDefault="00FE63DA" w:rsidP="004F355D">
                              <w:pPr>
                                <w:spacing w:before="0" w:after="0" w:line="252" w:lineRule="auto"/>
                                <w:jc w:val="center"/>
                                <w:rPr>
                                  <w:rFonts w:cs="Arial"/>
                                  <w:lang w:val="en-US"/>
                                </w:rPr>
                              </w:pPr>
                              <w:r w:rsidRPr="004F355D">
                                <w:rPr>
                                  <w:rFonts w:cs="Arial"/>
                                  <w:lang w:val="en-US"/>
                                </w:rPr>
                                <w:t>Start of contact tracing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Text Box 5"/>
                        <wps:cNvSpPr txBox="1"/>
                        <wps:spPr>
                          <a:xfrm>
                            <a:off x="4546600" y="1830278"/>
                            <a:ext cx="1270000" cy="1435436"/>
                          </a:xfrm>
                          <a:prstGeom prst="rect">
                            <a:avLst/>
                          </a:prstGeom>
                          <a:solidFill>
                            <a:schemeClr val="lt1"/>
                          </a:solidFill>
                          <a:ln w="6350">
                            <a:solidFill>
                              <a:prstClr val="black"/>
                            </a:solidFill>
                          </a:ln>
                        </wps:spPr>
                        <wps:txbx>
                          <w:txbxContent>
                            <w:p w:rsidR="00FE63DA" w:rsidRPr="004F355D" w:rsidRDefault="00FE63DA" w:rsidP="004F355D">
                              <w:pPr>
                                <w:spacing w:before="0" w:after="0" w:line="252" w:lineRule="auto"/>
                                <w:jc w:val="center"/>
                                <w:rPr>
                                  <w:rFonts w:cs="Arial"/>
                                </w:rPr>
                              </w:pPr>
                              <w:r w:rsidRPr="004F355D">
                                <w:rPr>
                                  <w:rFonts w:eastAsia="PMingLiU" w:cs="Arial"/>
                                  <w:lang w:val="en-US"/>
                                </w:rPr>
                                <w:t xml:space="preserve">Contact reached and the start of contact response (quarantine, contact testing)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6FE9374" id="Canvas 20" o:spid="_x0000_s1040" editas="canvas" style="width:468pt;height:266.5pt;mso-position-horizontal-relative:char;mso-position-vertical-relative:line" coordsize="59436,3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NM/wUAANcpAAAOAAAAZHJzL2Uyb0RvYy54bWzsWltv2zYYfR+w/yDofTUpUTejTpG6yzYg&#10;aIOlW59pWbKFyaRGMbGzX7/vIyVFyuw4XdI2Tp0HRTLv5Dnf5Uiv32xWpXOdqbqQYuLSV8R1MpHK&#10;eSEWE/ePj2c/xa5Tay7mvJQim7g3We2+Ofnxh9frapx5cinLeaYc6ETU43U1cZdaV+PRqE6X2YrX&#10;r2SVCSjMpVpxDY9qMZorvobeV+XIIyQcraWaV0qmWV3Dr+9soXti+s/zLNUf8rzOtFNOXJibNldl&#10;rjO8jk5e8/FC8WpZpM00+P+YxYoXAgbtunrHNXeuVPGfrlZFqmQtc/0qlauRzPMizcwaYDWU3FnN&#10;lItrXpvFpLA77QTh7gn7nS1w3rUsi/lZUZb4UKlaT0vlXHPYtfWy0Bnu02hQawSzGGNb/L+Gc8yw&#10;ZSnwKiT2ZJvgL6ZuU2ddwUHXVXfk9eOWcrnkVWZ2qB6n768vlFPMJy6ATvAVwO1SK14slto5VUqu&#10;nakUAiAhlRPjinAu0GgqLpTZAz3dCNM+cuHfZuL6Fh+ZmLcllDZF1GzJoAd8qCvb1yZXK+wTTtiB&#10;jjzP94IQAHgDnbIwioKm5412Uhwo8vwkcJ0Uyhnc2L1rO8Hz+CWTKwdvJm7dLKpbDTXQ49fntbYN&#10;2wb2SJw1DBBTAsOnHDimxNw0GJx5rRaz7szPzgj8NbMYVFPySsxhED7WvCh/FnNH31Sw0VoVXCzK&#10;FijNqbf7YXZG37QY+T3L7f7aiRuyZ93gPE0zoe3+IqKgNo6XA6S6hsQuAK3EroZNfWyaGUPwOY27&#10;FmZkKXTXeFUIqbaNrjftlHNb3+AedsCuG7dgJuc3FwqPCJ+ABRaCX5wO/l46GKDjpLbSge2kQ0uU&#10;B7DBycui+hN8hNm8hheU0tCLd/PCC6KAJpYXnud9C14MMXZ7ykdaHDot6H5eQBWg605idN7AIBMM&#10;Tc9ReA1prBkddIEPfUdhqPHrHWr4HgmiBDwZuIQg8cIkwqnAGK3LgCLjLghhUWurv5nHIOQtCdpZ&#10;HKlx8NQAk78ngqLsfmq0+N9CDQh0THj1GGqwGCIxoAYNA0o8E871uEHBMVlyBHFoiAPR61clx9Bt&#10;2Jim9V9Hfhw8P8L9/Agfxo8tOcZjoypGkghhb/jhezQJkqHvYCyOfPB+SBHqm8KvzY9+uhERn5we&#10;nUeb6Bw8Ofan3/T+/BvNt/EQW5wHZAMPdR4YLjWJRkBjGmIGjIgPwoglbddNOIXJMZR5oQfUQbZ8&#10;S0JgNHV2JMRLIUQXTH3E4P2t3Dj92OkSJCNHb+BnzACadKOfHvRgTAmguAl8aByRO3YdikFcavJl&#10;FoRBtAfKCtQwk4/vEI8GkcodnabsNJpBrVKg3hT6kA3gxAdlA2FxVvL0r4ZpvVrAuy3qkd7MNsB7&#10;SIXaHbJiiqOk1XTrKj0rQB4757W+4ApEXGA0CNP6A1zyUsKcZHPnOkup/tn2O9YHPRJKXWcNojBo&#10;bX9fcZW5TvmbAKUyoYxBt9o8sCDy4EH1S2b9EnG1mkpQUOG8YHbmFuvrsr3NlVx9Av36FEeFIi5S&#10;GBvEtPZ2qq1UDfp3mp2emkqgG1dcn4tLVIGtmILb+nHziauqUQg14Oy9bLVRPr5zurYuno6Qp1da&#10;5oXRDTEttbv61RUqsPc23egY0p0zKFKfxRA/8qMEKICG3mPMM1S7TQ3iII5COBGTHTDInNugfEd2&#10;cHgM6eLOhzLkGSA+1eq7wzyKR08Eei8k8NYA0moEPaExuxPcUHi5dIv6hMRQ994Q5/BQb5L8Wwu2&#10;3y88A9R/f3aegir0VJj3Kbw1s4Y+SXxqZZ5bQ0+jmFG/EUkhEorB6r8wzHdJ1AFZ+u8Q82CXnwrz&#10;DN8K2PgfbsLYvirugT5gYYzvmU144wWEGYzszmUPz9CblOdo6Afv+p9fQI8KzhOBngGmO+mGRCHz&#10;TITbA70Xmc8VLOgTSsIXl/VSIwYdUf/cUQ/hyJdAfewTkCUxfNmBesr8gPkvD/adHnZAEc4zy2Xt&#10;x3dVahTt5ktH/Dyx/2z0ntvvMU/+BQAA//8DAFBLAwQUAAYACAAAACEA5eYJWdsAAAAFAQAADwAA&#10;AGRycy9kb3ducmV2LnhtbEyPwU7DMBBE70j8g7VIXBB1IGqBEKdCCDhwa8sBbq69TaLa68h22vTv&#10;WbjAZaTRrGbe1svJO3HAmPpACm5mBQgkE2xPrYKPzev1PYiUNVntAqGCEyZYNudnta5sONIKD+vc&#10;Ci6hVGkFXc5DJWUyHXqdZmFA4mwXoteZbWyljfrI5d7J26JYSK974oVOD/jcodmvR6/g7uv09v7p&#10;Yt7PzdXuZQxpg84odXkxPT2CyDjlv2P4wWd0aJhpG0aySTgF/Ej+Vc4eygXbrYJ5WRYgm1r+p2++&#10;AQAA//8DAFBLAQItABQABgAIAAAAIQC2gziS/gAAAOEBAAATAAAAAAAAAAAAAAAAAAAAAABbQ29u&#10;dGVudF9UeXBlc10ueG1sUEsBAi0AFAAGAAgAAAAhADj9If/WAAAAlAEAAAsAAAAAAAAAAAAAAAAA&#10;LwEAAF9yZWxzLy5yZWxzUEsBAi0AFAAGAAgAAAAhAC4MA0z/BQAA1ykAAA4AAAAAAAAAAAAAAAAA&#10;LgIAAGRycy9lMm9Eb2MueG1sUEsBAi0AFAAGAAgAAAAhAOXmCVnbAAAABQEAAA8AAAAAAAAAAAAA&#10;AAAAWQgAAGRycy9kb3ducmV2LnhtbFBLBQYAAAAABAAEAPMAAABhCQAAAAA=&#10;">
                <v:shape id="_x0000_s1041" type="#_x0000_t75" style="position:absolute;width:59436;height:33839;visibility:visible;mso-wrap-style:square" filled="t">
                  <v:fill o:detectmouseclick="t"/>
                  <v:path o:connecttype="none"/>
                </v:shape>
                <v:shape id="Straight Arrow Connector 8" o:spid="_x0000_s1042" type="#_x0000_t32" style="position:absolute;left:22325;top:3467;width:3724;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hBwwAAANoAAAAPAAAAZHJzL2Rvd25yZXYueG1sRE9Na8JA&#10;EL0L/Q/LFLyIbupBJHUVUQvFHmqToB7H7Jikzc6m2a1J/717KPT4eN+LVW9qcaPWVZYVPE0iEMS5&#10;1RUXCrL0ZTwH4TyyxtoyKfglB6vlw2CBsbYdf9At8YUIIexiVFB638RSurwkg25iG+LAXW1r0AfY&#10;FlK32IVwU8tpFM2kwYpDQ4kNbUrKv5Ifo+Ay6j7Ph/2pfz/uplnUJen39i1VavjYr59BeOr9v/jP&#10;/aoVhK3hSrgBcnkHAAD//wMAUEsBAi0AFAAGAAgAAAAhANvh9svuAAAAhQEAABMAAAAAAAAAAAAA&#10;AAAAAAAAAFtDb250ZW50X1R5cGVzXS54bWxQSwECLQAUAAYACAAAACEAWvQsW78AAAAVAQAACwAA&#10;AAAAAAAAAAAAAAAfAQAAX3JlbHMvLnJlbHNQSwECLQAUAAYACAAAACEAVJhoQcMAAADaAAAADwAA&#10;AAAAAAAAAAAAAAAHAgAAZHJzL2Rvd25yZXYueG1sUEsFBgAAAAADAAMAtwAAAPcCAAAAAA==&#10;" strokecolor="red" strokeweight="3pt">
                  <v:stroke endarrow="block" endcap="round"/>
                </v:shape>
                <v:shape id="Straight Arrow Connector 3" o:spid="_x0000_s1043" type="#_x0000_t32" style="position:absolute;left:11162;top:3467;width:257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3BwwAAANoAAAAPAAAAZHJzL2Rvd25yZXYueG1sRI9Pa8JA&#10;FMTvBb/D8gQvUje1UGx0FSkK6s0/tNdn9pkEs2/j7pqk375bEDwOM/MbZrboTCUacr60rOBtlIAg&#10;zqwuOVdwOq5fJyB8QNZYWSYFv+RhMe+9zDDVtuU9NYeQiwhhn6KCIoQ6ldJnBRn0I1sTR+9incEQ&#10;pculdthGuKnkOEk+pMGS40KBNX0VlF0Pd6Pg83v4c1tfrrhbUTtsnDxvV7uzUoN+t5yCCNSFZ/jR&#10;3mgF7/B/Jd4AOf8DAAD//wMAUEsBAi0AFAAGAAgAAAAhANvh9svuAAAAhQEAABMAAAAAAAAAAAAA&#10;AAAAAAAAAFtDb250ZW50X1R5cGVzXS54bWxQSwECLQAUAAYACAAAACEAWvQsW78AAAAVAQAACwAA&#10;AAAAAAAAAAAAAAAfAQAAX3JlbHMvLnJlbHNQSwECLQAUAAYACAAAACEA92gdwcMAAADaAAAADwAA&#10;AAAAAAAAAAAAAAAHAgAAZHJzL2Rvd25yZXYueG1sUEsFBgAAAAADAAMAtwAAAPcCAAAAAA==&#10;" strokecolor="black [3213]" strokeweight="3pt">
                  <v:stroke endarrow="block" endcap="round"/>
                </v:shape>
                <v:shape id="Straight Arrow Connector 13" o:spid="_x0000_s1044" type="#_x0000_t32" style="position:absolute;left:32057;top:5926;width:1;height:40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SjwAAAANsAAAAPAAAAZHJzL2Rvd25yZXYueG1sRE9Na8JA&#10;EL0L/odlhN50Yy1aoqsUS6G9SNWC1yE7JiG7syE7avz33YLQ2zze56w2vXfqSl2sAxuYTjJQxEWw&#10;NZcGfo4f41dQUZAtusBk4E4RNuvhYIW5DTfe0/UgpUohHHM0UIm0udaxqMhjnISWOHHn0HmUBLtS&#10;2w5vKdw7/Zxlc+2x5tRQYUvbiormcPEG+P41fz+5Rtz3jBfN9rh7Eb4Y8zTq35aghHr5Fz/cnzbN&#10;n8HfL+kAvf4FAAD//wMAUEsBAi0AFAAGAAgAAAAhANvh9svuAAAAhQEAABMAAAAAAAAAAAAAAAAA&#10;AAAAAFtDb250ZW50X1R5cGVzXS54bWxQSwECLQAUAAYACAAAACEAWvQsW78AAAAVAQAACwAAAAAA&#10;AAAAAAAAAAAfAQAAX3JlbHMvLnJlbHNQSwECLQAUAAYACAAAACEAuqKUo8AAAADbAAAADwAAAAAA&#10;AAAAAAAAAAAHAgAAZHJzL2Rvd25yZXYueG1sUEsFBgAAAAADAAMAtwAAAPQCAAAAAA==&#10;" strokecolor="#00b050" strokeweight="3pt">
                  <v:stroke endarrow="block" endcap="round"/>
                </v:shape>
                <v:shape id="Straight Arrow Connector 14" o:spid="_x0000_s1045" type="#_x0000_t32" style="position:absolute;left:32054;top:16510;width:3;height:40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dwwAAANsAAAAPAAAAZHJzL2Rvd25yZXYueG1sRE/dasIw&#10;FL4f7B3CGXgzNJ1sItUoTh1swgSrD3DWnLWlzUlJsti9/TIY7O58fL9nuR5MJyI531hW8DDJQBCX&#10;VjdcKbicX8ZzED4ga+wsk4Jv8rBe3d4sMdf2yieKRahECmGfo4I6hD6X0pc1GfQT2xMn7tM6gyFB&#10;V0nt8JrCTSenWTaTBhtODTX2tK2pbIsvo+Bw/xZj3O1P7r3YPM8+ntpjaPdKje6GzQJEoCH8i//c&#10;rzrNf4TfX9IBcvUDAAD//wMAUEsBAi0AFAAGAAgAAAAhANvh9svuAAAAhQEAABMAAAAAAAAAAAAA&#10;AAAAAAAAAFtDb250ZW50X1R5cGVzXS54bWxQSwECLQAUAAYACAAAACEAWvQsW78AAAAVAQAACwAA&#10;AAAAAAAAAAAAAAAfAQAAX3JlbHMvLnJlbHNQSwECLQAUAAYACAAAACEA6enPncMAAADbAAAADwAA&#10;AAAAAAAAAAAAAAAHAgAAZHJzL2Rvd25yZXYueG1sUEsFBgAAAAADAAMAtwAAAPcCAAAAAA==&#10;" strokecolor="#ed7d31 [3205]" strokeweight="3pt">
                  <v:stroke endarrow="block" endcap="round"/>
                </v:shape>
                <v:shape id="Straight Arrow Connector 16" o:spid="_x0000_s1046" type="#_x0000_t32" style="position:absolute;left:40978;top:13219;width:4488;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wfvAAAANsAAAAPAAAAZHJzL2Rvd25yZXYueG1sRI9BC8Iw&#10;DIXvgv+hRPCmnTuITKuIIHgT59BrWOM2XNOxVjf99VYQvCV8L++9rDa9qcWTWldZVjCbRiCIc6sr&#10;LhRk5/1kAcJ5ZI21ZVLwIgeb9XCwwkTbjk/0TH0hggm7BBWU3jeJlC4vyaCb2oY4sJttDfqwtoXU&#10;LXbB3NQyjqK5NFhxSCixoV1J+T19GAUXJg7QXzLCY0H0usfXd6TUeNRvlyA89f4v/l0fdKg/h+8v&#10;YQC5/gAAAP//AwBQSwECLQAUAAYACAAAACEA2+H2y+4AAACFAQAAEwAAAAAAAAAAAAAAAAAAAAAA&#10;W0NvbnRlbnRfVHlwZXNdLnhtbFBLAQItABQABgAIAAAAIQBa9CxbvwAAABUBAAALAAAAAAAAAAAA&#10;AAAAAB8BAABfcmVscy8ucmVsc1BLAQItABQABgAIAAAAIQBPibwfvAAAANsAAAAPAAAAAAAAAAAA&#10;AAAAAAcCAABkcnMvZG93bnJldi54bWxQSwUGAAAAAAMAAwC3AAAA8AIAAAAA&#10;" strokecolor="#7030a0" strokeweight="3pt">
                  <v:stroke endarrow="block" endcap="round"/>
                </v:shape>
                <v:shape id="Straight Arrow Connector 18" o:spid="_x0000_s1047" type="#_x0000_t32" style="position:absolute;left:51816;top:15674;width:0;height:2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hxAAAANsAAAAPAAAAZHJzL2Rvd25yZXYueG1sRI9NSwMx&#10;EIbvgv8hjNCLtFkr2rJtWsRSETwU24Veh824WdxMliRut//eOQjeZpj345n1dvSdGiimNrCBh1kB&#10;irgOtuXGQHXaT5egUka22AUmA1dKsN3c3qyxtOHCnzQcc6MkhFOJBlzOfal1qh15TLPQE8vtK0SP&#10;WdbYaBvxIuG+0/OieNYeW5YGhz29Oqq/jz9eSp6Gj0Pw8S0u2srtHkd/vq/mxkzuxpcVqExj/hf/&#10;ud+t4Aus/CID6M0vAAAA//8DAFBLAQItABQABgAIAAAAIQDb4fbL7gAAAIUBAAATAAAAAAAAAAAA&#10;AAAAAAAAAABbQ29udGVudF9UeXBlc10ueG1sUEsBAi0AFAAGAAgAAAAhAFr0LFu/AAAAFQEAAAsA&#10;AAAAAAAAAAAAAAAAHwEAAF9yZWxzLy5yZWxzUEsBAi0AFAAGAAgAAAAhAHBVT+HEAAAA2wAAAA8A&#10;AAAAAAAAAAAAAAAABwIAAGRycy9kb3ducmV2LnhtbFBLBQYAAAAAAwADALcAAAD4AgAAAAA=&#10;" strokecolor="#00b0f0" strokeweight="3pt">
                  <v:stroke endarrow="block" endcap="round"/>
                </v:shape>
                <v:shape id="Text Box 4" o:spid="_x0000_s1048" type="#_x0000_t202" style="position:absolute;left:1016;top:1187;width:1014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rsidR="00FE63DA" w:rsidRPr="004F355D" w:rsidRDefault="00FE63DA" w:rsidP="004F355D">
                        <w:pPr>
                          <w:spacing w:before="0" w:after="0"/>
                          <w:jc w:val="center"/>
                          <w:rPr>
                            <w:rFonts w:cs="Arial"/>
                            <w:lang w:val="en-US"/>
                          </w:rPr>
                        </w:pPr>
                        <w:r w:rsidRPr="004F355D">
                          <w:rPr>
                            <w:rFonts w:cs="Arial"/>
                            <w:lang w:val="en-US"/>
                          </w:rPr>
                          <w:t>Exposure to COVID-19</w:t>
                        </w:r>
                      </w:p>
                    </w:txbxContent>
                  </v:textbox>
                </v:shape>
                <v:shape id="Text Box 5" o:spid="_x0000_s1049" type="#_x0000_t202" style="position:absolute;left:13737;top:1244;width:8588;height:4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QgwwAAANoAAAAPAAAAZHJzL2Rvd25yZXYueG1sRI9BawIx&#10;FITvhf6H8Aq9aVYprmyN0kpFpSdX2/Nj87ob3LysSarrvzcFocdhZr5hZovetuJMPhjHCkbDDARx&#10;5bThWsFhvxpMQYSIrLF1TAquFGAxf3yYYaHdhXd0LmMtEoRDgQqaGLtCylA1ZDEMXUecvB/nLcYk&#10;fS21x0uC21aOs2wiLRpOCw12tGyoOpa/VsHpy+9fRubje9VuS3PKj5/va8yVen7q315BROrjf/je&#10;3mgFOfxdSTdAzm8AAAD//wMAUEsBAi0AFAAGAAgAAAAhANvh9svuAAAAhQEAABMAAAAAAAAAAAAA&#10;AAAAAAAAAFtDb250ZW50X1R5cGVzXS54bWxQSwECLQAUAAYACAAAACEAWvQsW78AAAAVAQAACwAA&#10;AAAAAAAAAAAAAAAfAQAAX3JlbHMvLnJlbHNQSwECLQAUAAYACAAAACEA74qEIMMAAADaAAAADwAA&#10;AAAAAAAAAAAAAAAHAgAAZHJzL2Rvd25yZXYueG1sUEsFBgAAAAADAAMAtwAAAPcCAAAAAA==&#10;" fillcolor="white [3201]" strokeweight=".5pt">
                  <v:textbox>
                    <w:txbxContent>
                      <w:p w:rsidR="00FE63DA" w:rsidRPr="004F355D" w:rsidRDefault="00FE63DA" w:rsidP="004F355D">
                        <w:pPr>
                          <w:spacing w:before="0" w:after="0" w:line="256" w:lineRule="auto"/>
                          <w:jc w:val="center"/>
                          <w:rPr>
                            <w:rFonts w:cs="Arial"/>
                          </w:rPr>
                        </w:pPr>
                        <w:r w:rsidRPr="004F355D">
                          <w:rPr>
                            <w:rFonts w:eastAsia="PMingLiU" w:cs="Arial"/>
                            <w:lang w:val="en-US"/>
                          </w:rPr>
                          <w:t>Symptom onset</w:t>
                        </w:r>
                      </w:p>
                    </w:txbxContent>
                  </v:textbox>
                </v:shape>
                <v:shape id="Text Box 5" o:spid="_x0000_s1050" type="#_x0000_t202" style="position:absolute;left:26049;top:1018;width:12018;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FE63DA" w:rsidRPr="004F355D" w:rsidRDefault="00FE63DA" w:rsidP="004F355D">
                        <w:pPr>
                          <w:spacing w:before="0" w:after="0" w:line="254" w:lineRule="auto"/>
                          <w:jc w:val="center"/>
                          <w:rPr>
                            <w:rFonts w:cs="Arial"/>
                          </w:rPr>
                        </w:pPr>
                        <w:r w:rsidRPr="004F355D">
                          <w:rPr>
                            <w:rFonts w:eastAsia="PMingLiU" w:cs="Arial"/>
                            <w:lang w:val="en-US"/>
                          </w:rPr>
                          <w:t xml:space="preserve">Diagnostic test carried out </w:t>
                        </w:r>
                      </w:p>
                    </w:txbxContent>
                  </v:textbox>
                </v:shape>
                <v:shape id="Text Box 5" o:spid="_x0000_s1051" type="#_x0000_t202" style="position:absolute;left:23137;top:9931;width:17841;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FE63DA" w:rsidRPr="004F355D" w:rsidRDefault="00FE63DA" w:rsidP="004F355D">
                        <w:pPr>
                          <w:spacing w:before="0" w:after="0" w:line="252" w:lineRule="auto"/>
                          <w:jc w:val="center"/>
                          <w:rPr>
                            <w:rFonts w:cs="Arial"/>
                          </w:rPr>
                        </w:pPr>
                        <w:r w:rsidRPr="004F355D">
                          <w:rPr>
                            <w:rFonts w:eastAsia="PMingLiU" w:cs="Arial"/>
                            <w:lang w:val="en-US"/>
                          </w:rPr>
                          <w:t xml:space="preserve">Diagnostic test results ready and </w:t>
                        </w:r>
                        <w:r w:rsidRPr="004F355D">
                          <w:rPr>
                            <w:rFonts w:eastAsia="PMingLiU" w:cs="Arial"/>
                          </w:rPr>
                          <w:t>initialisation</w:t>
                        </w:r>
                        <w:r w:rsidRPr="004F355D">
                          <w:rPr>
                            <w:rFonts w:eastAsia="PMingLiU" w:cs="Arial"/>
                            <w:lang w:val="en-US"/>
                          </w:rPr>
                          <w:t xml:space="preserve"> of response  </w:t>
                        </w:r>
                      </w:p>
                    </w:txbxContent>
                  </v:textbox>
                </v:shape>
                <v:shape id="Text Box 5" o:spid="_x0000_s1052" type="#_x0000_t202" style="position:absolute;left:24320;top:20568;width:15469;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FE63DA" w:rsidRPr="004F355D" w:rsidRDefault="00FE63DA" w:rsidP="004F355D">
                        <w:pPr>
                          <w:spacing w:before="0" w:after="0" w:line="252" w:lineRule="auto"/>
                          <w:jc w:val="center"/>
                          <w:rPr>
                            <w:rFonts w:cs="Arial"/>
                          </w:rPr>
                        </w:pPr>
                        <w:r w:rsidRPr="004F355D">
                          <w:rPr>
                            <w:rFonts w:eastAsia="PMingLiU" w:cs="Arial"/>
                            <w:lang w:val="en-US"/>
                          </w:rPr>
                          <w:t>Start of case isolation</w:t>
                        </w:r>
                      </w:p>
                    </w:txbxContent>
                  </v:textbox>
                </v:shape>
                <v:shape id="Text Box 5" o:spid="_x0000_s1053" type="#_x0000_t202" style="position:absolute;left:45466;top:10764;width:12700;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FE63DA" w:rsidRPr="004F355D" w:rsidRDefault="00FE63DA" w:rsidP="004F355D">
                        <w:pPr>
                          <w:spacing w:before="0" w:after="0" w:line="252" w:lineRule="auto"/>
                          <w:jc w:val="center"/>
                          <w:rPr>
                            <w:rFonts w:cs="Arial"/>
                            <w:lang w:val="en-US"/>
                          </w:rPr>
                        </w:pPr>
                        <w:r w:rsidRPr="004F355D">
                          <w:rPr>
                            <w:rFonts w:cs="Arial"/>
                            <w:lang w:val="en-US"/>
                          </w:rPr>
                          <w:t>Start of contact tracing</w:t>
                        </w:r>
                      </w:p>
                    </w:txbxContent>
                  </v:textbox>
                </v:shape>
                <v:shape id="Text Box 5" o:spid="_x0000_s1054" type="#_x0000_t202" style="position:absolute;left:45466;top:18302;width:12700;height:1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KPwgAAANsAAAAPAAAAZHJzL2Rvd25yZXYueG1sRE9NawIx&#10;EL0L/ocwBW+aVaS2q1G0VNriybX1PGymu8HNZE1S3f77piB4m8f7nMWqs424kA/GsYLxKANBXDpt&#10;uFLwedgOn0CEiKyxcUwKfinAatnvLTDX7sp7uhSxEimEQ44K6hjbXMpQ1mQxjFxLnLhv5y3GBH0l&#10;tcdrCreNnGTZo7RoODXU2NJLTeWp+LEKzl/+MB2b1+O2+SjMeXbabd5wptTgoVvPQUTq4l18c7/r&#10;NP8Z/n9JB8jlHwAAAP//AwBQSwECLQAUAAYACAAAACEA2+H2y+4AAACFAQAAEwAAAAAAAAAAAAAA&#10;AAAAAAAAW0NvbnRlbnRfVHlwZXNdLnhtbFBLAQItABQABgAIAAAAIQBa9CxbvwAAABUBAAALAAAA&#10;AAAAAAAAAAAAAB8BAABfcmVscy8ucmVsc1BLAQItABQABgAIAAAAIQCcBuKPwgAAANsAAAAPAAAA&#10;AAAAAAAAAAAAAAcCAABkcnMvZG93bnJldi54bWxQSwUGAAAAAAMAAwC3AAAA9gIAAAAA&#10;" fillcolor="white [3201]" strokeweight=".5pt">
                  <v:textbox>
                    <w:txbxContent>
                      <w:p w:rsidR="00FE63DA" w:rsidRPr="004F355D" w:rsidRDefault="00FE63DA" w:rsidP="004F355D">
                        <w:pPr>
                          <w:spacing w:before="0" w:after="0" w:line="252" w:lineRule="auto"/>
                          <w:jc w:val="center"/>
                          <w:rPr>
                            <w:rFonts w:cs="Arial"/>
                          </w:rPr>
                        </w:pPr>
                        <w:r w:rsidRPr="004F355D">
                          <w:rPr>
                            <w:rFonts w:eastAsia="PMingLiU" w:cs="Arial"/>
                            <w:lang w:val="en-US"/>
                          </w:rPr>
                          <w:t xml:space="preserve">Contact reached and the start of contact response (quarantine, contact testing) </w:t>
                        </w:r>
                      </w:p>
                    </w:txbxContent>
                  </v:textbox>
                </v:shape>
                <w10:anchorlock/>
              </v:group>
            </w:pict>
          </mc:Fallback>
        </mc:AlternateContent>
      </w:r>
    </w:p>
    <w:p w:rsidR="00ED0B76" w:rsidRPr="004F355D" w:rsidRDefault="00ED0B76" w:rsidP="00B10F9D">
      <w:pPr>
        <w:spacing w:after="160"/>
      </w:pPr>
      <w:r w:rsidRPr="004F355D">
        <w:t xml:space="preserve">The </w:t>
      </w:r>
      <w:r w:rsidRPr="004F355D">
        <w:rPr>
          <w:b/>
          <w:bCs/>
        </w:rPr>
        <w:t>onset of symptoms</w:t>
      </w:r>
      <w:r w:rsidRPr="004F355D">
        <w:t xml:space="preserve"> is simply the incubation period of COVID-19 and is not affected by any intervention. </w:t>
      </w:r>
    </w:p>
    <w:p w:rsidR="00ED0B76" w:rsidRPr="004F355D" w:rsidRDefault="00ED0B76" w:rsidP="00B10F9D">
      <w:pPr>
        <w:spacing w:after="160"/>
      </w:pPr>
      <w:r w:rsidRPr="004F355D">
        <w:t xml:space="preserve">The </w:t>
      </w:r>
      <w:r w:rsidRPr="004F355D">
        <w:rPr>
          <w:b/>
          <w:bCs/>
          <w:color w:val="FF0000"/>
        </w:rPr>
        <w:t xml:space="preserve">time between </w:t>
      </w:r>
      <w:r w:rsidR="0091586E" w:rsidRPr="004F355D">
        <w:rPr>
          <w:b/>
          <w:bCs/>
          <w:color w:val="FF0000"/>
        </w:rPr>
        <w:t xml:space="preserve">when </w:t>
      </w:r>
      <w:r w:rsidRPr="004F355D">
        <w:rPr>
          <w:b/>
          <w:bCs/>
          <w:color w:val="FF0000"/>
        </w:rPr>
        <w:t>onset of symptoms</w:t>
      </w:r>
      <w:r w:rsidR="00972CFD" w:rsidRPr="004F355D">
        <w:rPr>
          <w:b/>
          <w:bCs/>
          <w:color w:val="FF0000"/>
        </w:rPr>
        <w:t xml:space="preserve"> occurs</w:t>
      </w:r>
      <w:r w:rsidRPr="004F355D">
        <w:rPr>
          <w:b/>
          <w:bCs/>
          <w:color w:val="FF0000"/>
        </w:rPr>
        <w:t xml:space="preserve"> and testing is sought</w:t>
      </w:r>
      <w:r w:rsidRPr="004F355D">
        <w:rPr>
          <w:color w:val="FF0000"/>
        </w:rPr>
        <w:t xml:space="preserve"> </w:t>
      </w:r>
      <w:r w:rsidRPr="004F355D">
        <w:t xml:space="preserve">is dependent on the rate at which symptomatic individuals seek treatment, which 99% are assumed to do by the end of the 8 days infectious duration in the current model. </w:t>
      </w:r>
    </w:p>
    <w:p w:rsidR="00ED0B76" w:rsidRPr="004F355D" w:rsidRDefault="00ED0B76" w:rsidP="00B10F9D">
      <w:pPr>
        <w:spacing w:after="160"/>
      </w:pPr>
      <w:r w:rsidRPr="004F355D">
        <w:rPr>
          <w:i/>
          <w:iCs/>
        </w:rPr>
        <w:t xml:space="preserve">A quick note on asymptomatic infection: </w:t>
      </w:r>
      <w:r w:rsidRPr="004F355D">
        <w:t xml:space="preserve"> Asymptomatic do not actively seek testing, hence the time to testing will be determined by public health decisions about contact testing involving either household members or the general community.</w:t>
      </w:r>
    </w:p>
    <w:p w:rsidR="00ED0B76" w:rsidRPr="004F355D" w:rsidRDefault="00ED0B76" w:rsidP="00B10F9D">
      <w:pPr>
        <w:spacing w:after="160"/>
      </w:pPr>
      <w:r w:rsidRPr="004F355D">
        <w:t xml:space="preserve">The </w:t>
      </w:r>
      <w:r w:rsidRPr="004F355D">
        <w:rPr>
          <w:b/>
          <w:bCs/>
          <w:color w:val="00B050"/>
        </w:rPr>
        <w:t>time between diagnos</w:t>
      </w:r>
      <w:r w:rsidR="0091586E" w:rsidRPr="004F355D">
        <w:rPr>
          <w:b/>
          <w:bCs/>
          <w:color w:val="00B050"/>
        </w:rPr>
        <w:t>i</w:t>
      </w:r>
      <w:r w:rsidRPr="004F355D">
        <w:rPr>
          <w:b/>
          <w:bCs/>
          <w:color w:val="00B050"/>
        </w:rPr>
        <w:t>s and availability of results</w:t>
      </w:r>
      <w:r w:rsidRPr="004F355D">
        <w:rPr>
          <w:color w:val="00B050"/>
        </w:rPr>
        <w:t xml:space="preserve"> </w:t>
      </w:r>
      <w:r w:rsidRPr="004F355D">
        <w:t>is governed by the test used (e.g. is it POC or does it need to be sent to a laboratory in another centre?). However, in the present model we assume responses are able to start immediately if the tested individual has symptoms.</w:t>
      </w:r>
    </w:p>
    <w:p w:rsidR="00ED0B76" w:rsidRPr="004F355D" w:rsidRDefault="00ED0B76" w:rsidP="00B10F9D">
      <w:pPr>
        <w:spacing w:after="160"/>
      </w:pPr>
      <w:r w:rsidRPr="004F355D">
        <w:t xml:space="preserve">The </w:t>
      </w:r>
      <w:r w:rsidRPr="004F355D">
        <w:rPr>
          <w:b/>
          <w:bCs/>
          <w:color w:val="ED7D31" w:themeColor="accent2"/>
        </w:rPr>
        <w:t>time between availability of results and the start of case isolation</w:t>
      </w:r>
      <w:r w:rsidRPr="004F355D">
        <w:rPr>
          <w:color w:val="ED7D31" w:themeColor="accent2"/>
        </w:rPr>
        <w:t xml:space="preserve"> </w:t>
      </w:r>
      <w:r w:rsidRPr="004F355D">
        <w:t xml:space="preserve">is assumed to be instantaneous in the current model. </w:t>
      </w:r>
    </w:p>
    <w:p w:rsidR="00ED0B76" w:rsidRPr="004F355D" w:rsidRDefault="00ED0B76" w:rsidP="00B10F9D">
      <w:pPr>
        <w:spacing w:after="160"/>
      </w:pPr>
      <w:r w:rsidRPr="004F355D">
        <w:t xml:space="preserve">Likewise, </w:t>
      </w:r>
      <w:r w:rsidRPr="004F355D">
        <w:rPr>
          <w:b/>
          <w:bCs/>
          <w:color w:val="7030A0"/>
        </w:rPr>
        <w:t xml:space="preserve">time between availability of results and commencement of contact tracing </w:t>
      </w:r>
      <w:r w:rsidRPr="004F355D">
        <w:t xml:space="preserve">is also assumed to be instantaneous in the current model. </w:t>
      </w:r>
    </w:p>
    <w:p w:rsidR="00ED0B76" w:rsidRPr="004F355D" w:rsidRDefault="00ED0B76" w:rsidP="00B10F9D">
      <w:pPr>
        <w:spacing w:after="160"/>
      </w:pPr>
      <w:r w:rsidRPr="004F355D">
        <w:t xml:space="preserve">The </w:t>
      </w:r>
      <w:r w:rsidRPr="004F355D">
        <w:rPr>
          <w:b/>
          <w:bCs/>
          <w:color w:val="00B0F0"/>
        </w:rPr>
        <w:t>time between the start of contact tracing and related response</w:t>
      </w:r>
      <w:r w:rsidRPr="004F355D">
        <w:rPr>
          <w:color w:val="00B0F0"/>
        </w:rPr>
        <w:t xml:space="preserve"> </w:t>
      </w:r>
      <w:r w:rsidRPr="004F355D">
        <w:t xml:space="preserve">is currently set to zero but can be increased, should feedback indicated that this is necessary. Note for cycles of contact testing, it is assumed that the same delay to diagnosis and availability of results (the </w:t>
      </w:r>
      <w:r w:rsidRPr="004F355D">
        <w:rPr>
          <w:b/>
          <w:bCs/>
          <w:color w:val="00B050"/>
        </w:rPr>
        <w:t xml:space="preserve">green </w:t>
      </w:r>
      <w:r w:rsidRPr="004F355D">
        <w:t>arrow) will apply before initiation of related contact measures.</w:t>
      </w:r>
    </w:p>
    <w:p w:rsidR="0075224C" w:rsidRPr="007069CF" w:rsidRDefault="0075224C" w:rsidP="004F355D">
      <w:pPr>
        <w:pStyle w:val="Heading1"/>
      </w:pPr>
      <w:r>
        <w:t>References</w:t>
      </w:r>
    </w:p>
    <w:p w:rsidR="0075224C" w:rsidRPr="004F355D" w:rsidRDefault="0075224C" w:rsidP="0075224C">
      <w:pPr>
        <w:pStyle w:val="EndNoteBibliography"/>
        <w:spacing w:after="0"/>
        <w:ind w:left="720" w:hanging="720"/>
        <w:rPr>
          <w:rFonts w:ascii="Arial" w:hAnsi="Arial" w:cs="Arial"/>
          <w:noProof/>
          <w:sz w:val="24"/>
          <w:szCs w:val="24"/>
        </w:rPr>
      </w:pPr>
      <w:r w:rsidRPr="004F355D">
        <w:rPr>
          <w:rFonts w:ascii="Arial" w:hAnsi="Arial" w:cs="Arial"/>
          <w:noProof/>
          <w:sz w:val="24"/>
          <w:szCs w:val="24"/>
        </w:rPr>
        <w:fldChar w:fldCharType="begin"/>
      </w:r>
      <w:r w:rsidRPr="004F355D">
        <w:rPr>
          <w:rFonts w:ascii="Arial" w:hAnsi="Arial" w:cs="Arial"/>
          <w:sz w:val="24"/>
          <w:szCs w:val="24"/>
        </w:rPr>
        <w:instrText xml:space="preserve"> ADDIN EN.REFLIST </w:instrText>
      </w:r>
      <w:r w:rsidRPr="004F355D">
        <w:rPr>
          <w:rFonts w:ascii="Arial" w:hAnsi="Arial" w:cs="Arial"/>
          <w:noProof/>
          <w:sz w:val="24"/>
          <w:szCs w:val="24"/>
        </w:rPr>
        <w:fldChar w:fldCharType="separate"/>
      </w:r>
      <w:r w:rsidRPr="004F355D">
        <w:rPr>
          <w:rFonts w:ascii="Arial" w:hAnsi="Arial" w:cs="Arial"/>
          <w:noProof/>
          <w:sz w:val="24"/>
          <w:szCs w:val="24"/>
        </w:rPr>
        <w:t>1.</w:t>
      </w:r>
      <w:r w:rsidRPr="004F355D">
        <w:rPr>
          <w:rFonts w:ascii="Arial" w:hAnsi="Arial" w:cs="Arial"/>
          <w:noProof/>
          <w:sz w:val="24"/>
          <w:szCs w:val="24"/>
        </w:rPr>
        <w:tab/>
        <w:t xml:space="preserve">Bailie, R.S. and K.J. Wayte, </w:t>
      </w:r>
      <w:r w:rsidRPr="004F355D">
        <w:rPr>
          <w:rFonts w:ascii="Arial" w:hAnsi="Arial" w:cs="Arial"/>
          <w:i/>
          <w:noProof/>
          <w:sz w:val="24"/>
          <w:szCs w:val="24"/>
        </w:rPr>
        <w:t>Housing and health in Indigenous communities: key issues for housing and health improvement in remote Aboriginal and Torres Strait Islander communities.</w:t>
      </w:r>
      <w:r w:rsidRPr="004F355D">
        <w:rPr>
          <w:rFonts w:ascii="Arial" w:hAnsi="Arial" w:cs="Arial"/>
          <w:noProof/>
          <w:sz w:val="24"/>
          <w:szCs w:val="24"/>
        </w:rPr>
        <w:t xml:space="preserve"> Aust J Rural Health, 2006. </w:t>
      </w:r>
      <w:r w:rsidRPr="004F355D">
        <w:rPr>
          <w:rFonts w:ascii="Arial" w:hAnsi="Arial" w:cs="Arial"/>
          <w:b/>
          <w:noProof/>
          <w:sz w:val="24"/>
          <w:szCs w:val="24"/>
        </w:rPr>
        <w:t>14</w:t>
      </w:r>
      <w:r w:rsidRPr="004F355D">
        <w:rPr>
          <w:rFonts w:ascii="Arial" w:hAnsi="Arial" w:cs="Arial"/>
          <w:noProof/>
          <w:sz w:val="24"/>
          <w:szCs w:val="24"/>
        </w:rPr>
        <w:t>(5): p. 178-83.</w:t>
      </w:r>
    </w:p>
    <w:p w:rsidR="0075224C" w:rsidRPr="004F355D" w:rsidRDefault="0075224C" w:rsidP="0075224C">
      <w:pPr>
        <w:pStyle w:val="EndNoteBibliography"/>
        <w:spacing w:after="0"/>
        <w:ind w:left="720" w:hanging="720"/>
        <w:rPr>
          <w:rFonts w:ascii="Arial" w:hAnsi="Arial" w:cs="Arial"/>
          <w:noProof/>
          <w:sz w:val="24"/>
          <w:szCs w:val="24"/>
        </w:rPr>
      </w:pPr>
      <w:r w:rsidRPr="004F355D">
        <w:rPr>
          <w:rFonts w:ascii="Arial" w:hAnsi="Arial" w:cs="Arial"/>
          <w:noProof/>
          <w:sz w:val="24"/>
          <w:szCs w:val="24"/>
        </w:rPr>
        <w:t>2.</w:t>
      </w:r>
      <w:r w:rsidRPr="004F355D">
        <w:rPr>
          <w:rFonts w:ascii="Arial" w:hAnsi="Arial" w:cs="Arial"/>
          <w:noProof/>
          <w:sz w:val="24"/>
          <w:szCs w:val="24"/>
        </w:rPr>
        <w:tab/>
        <w:t xml:space="preserve">Musharbash, Y., </w:t>
      </w:r>
      <w:r w:rsidRPr="004F355D">
        <w:rPr>
          <w:rFonts w:ascii="Arial" w:hAnsi="Arial" w:cs="Arial"/>
          <w:i/>
          <w:noProof/>
          <w:sz w:val="24"/>
          <w:szCs w:val="24"/>
        </w:rPr>
        <w:t>Yuendumu Everyday: Contemporary life in remote Aboriginal Australia</w:t>
      </w:r>
      <w:r w:rsidRPr="004F355D">
        <w:rPr>
          <w:rFonts w:ascii="Arial" w:hAnsi="Arial" w:cs="Arial"/>
          <w:noProof/>
          <w:sz w:val="24"/>
          <w:szCs w:val="24"/>
        </w:rPr>
        <w:t>. 2008: Aboriginal Studies Press;.</w:t>
      </w:r>
    </w:p>
    <w:p w:rsidR="0075224C" w:rsidRPr="004F355D" w:rsidRDefault="0075224C" w:rsidP="0075224C">
      <w:pPr>
        <w:pStyle w:val="EndNoteBibliography"/>
        <w:spacing w:after="0"/>
        <w:ind w:left="720" w:hanging="720"/>
        <w:rPr>
          <w:rFonts w:ascii="Arial" w:hAnsi="Arial" w:cs="Arial"/>
          <w:noProof/>
          <w:sz w:val="24"/>
          <w:szCs w:val="24"/>
        </w:rPr>
      </w:pPr>
      <w:r w:rsidRPr="004F355D">
        <w:rPr>
          <w:rFonts w:ascii="Arial" w:hAnsi="Arial" w:cs="Arial"/>
          <w:noProof/>
          <w:sz w:val="24"/>
          <w:szCs w:val="24"/>
        </w:rPr>
        <w:t>3.</w:t>
      </w:r>
      <w:r w:rsidRPr="004F355D">
        <w:rPr>
          <w:rFonts w:ascii="Arial" w:hAnsi="Arial" w:cs="Arial"/>
          <w:noProof/>
          <w:sz w:val="24"/>
          <w:szCs w:val="24"/>
        </w:rPr>
        <w:tab/>
        <w:t xml:space="preserve">Australian Bureau of Statistics, </w:t>
      </w:r>
      <w:r w:rsidRPr="004F355D">
        <w:rPr>
          <w:rFonts w:ascii="Arial" w:hAnsi="Arial" w:cs="Arial"/>
          <w:i/>
          <w:noProof/>
          <w:sz w:val="24"/>
          <w:szCs w:val="24"/>
        </w:rPr>
        <w:t>General Social Survey, Summary Results, Australia, 2014</w:t>
      </w:r>
      <w:r w:rsidRPr="004F355D">
        <w:rPr>
          <w:rFonts w:ascii="Arial" w:hAnsi="Arial" w:cs="Arial"/>
          <w:noProof/>
          <w:sz w:val="24"/>
          <w:szCs w:val="24"/>
        </w:rPr>
        <w:t>, Australian Bureau of Statistics, Editor. 2015.</w:t>
      </w:r>
    </w:p>
    <w:p w:rsidR="0075224C" w:rsidRPr="004F355D" w:rsidRDefault="0075224C" w:rsidP="0075224C">
      <w:pPr>
        <w:pStyle w:val="EndNoteBibliography"/>
        <w:spacing w:after="0"/>
        <w:ind w:left="720" w:hanging="720"/>
        <w:rPr>
          <w:rFonts w:ascii="Arial" w:hAnsi="Arial" w:cs="Arial"/>
          <w:noProof/>
          <w:sz w:val="24"/>
          <w:szCs w:val="24"/>
        </w:rPr>
      </w:pPr>
      <w:r w:rsidRPr="004F355D">
        <w:rPr>
          <w:rFonts w:ascii="Arial" w:hAnsi="Arial" w:cs="Arial"/>
          <w:noProof/>
          <w:sz w:val="24"/>
          <w:szCs w:val="24"/>
        </w:rPr>
        <w:t>4.</w:t>
      </w:r>
      <w:r w:rsidRPr="004F355D">
        <w:rPr>
          <w:rFonts w:ascii="Arial" w:hAnsi="Arial" w:cs="Arial"/>
          <w:noProof/>
          <w:sz w:val="24"/>
          <w:szCs w:val="24"/>
        </w:rPr>
        <w:tab/>
        <w:t xml:space="preserve">Kucharski, A.J., et al., </w:t>
      </w:r>
      <w:r w:rsidRPr="004F355D">
        <w:rPr>
          <w:rFonts w:ascii="Arial" w:hAnsi="Arial" w:cs="Arial"/>
          <w:i/>
          <w:noProof/>
          <w:sz w:val="24"/>
          <w:szCs w:val="24"/>
        </w:rPr>
        <w:t>Early dynamics of transmission and control of COVID-19: a mathematical modelling study.</w:t>
      </w:r>
      <w:r w:rsidRPr="004F355D">
        <w:rPr>
          <w:rFonts w:ascii="Arial" w:hAnsi="Arial" w:cs="Arial"/>
          <w:noProof/>
          <w:sz w:val="24"/>
          <w:szCs w:val="24"/>
        </w:rPr>
        <w:t xml:space="preserve"> Lancet Infect Dis, 2020.</w:t>
      </w:r>
    </w:p>
    <w:p w:rsidR="0075224C" w:rsidRPr="004F355D" w:rsidRDefault="0075224C" w:rsidP="0075224C">
      <w:pPr>
        <w:pStyle w:val="EndNoteBibliography"/>
        <w:spacing w:after="0"/>
        <w:ind w:left="720" w:hanging="720"/>
        <w:rPr>
          <w:rFonts w:ascii="Arial" w:hAnsi="Arial" w:cs="Arial"/>
          <w:noProof/>
          <w:sz w:val="24"/>
          <w:szCs w:val="24"/>
        </w:rPr>
      </w:pPr>
      <w:r w:rsidRPr="004F355D">
        <w:rPr>
          <w:rFonts w:ascii="Arial" w:hAnsi="Arial" w:cs="Arial"/>
          <w:noProof/>
          <w:sz w:val="24"/>
          <w:szCs w:val="24"/>
        </w:rPr>
        <w:t>5.</w:t>
      </w:r>
      <w:r w:rsidRPr="004F355D">
        <w:rPr>
          <w:rFonts w:ascii="Arial" w:hAnsi="Arial" w:cs="Arial"/>
          <w:noProof/>
          <w:sz w:val="24"/>
          <w:szCs w:val="24"/>
        </w:rPr>
        <w:tab/>
        <w:t xml:space="preserve">Bi, Q., et al., </w:t>
      </w:r>
      <w:r w:rsidRPr="004F355D">
        <w:rPr>
          <w:rFonts w:ascii="Arial" w:hAnsi="Arial" w:cs="Arial"/>
          <w:i/>
          <w:noProof/>
          <w:sz w:val="24"/>
          <w:szCs w:val="24"/>
        </w:rPr>
        <w:t>Epidemiology and Transmission of COVID-19 in Shenzhen China: Analysis of 391 cases and 1,286 of their close contacts.</w:t>
      </w:r>
      <w:r w:rsidRPr="004F355D">
        <w:rPr>
          <w:rFonts w:ascii="Arial" w:hAnsi="Arial" w:cs="Arial"/>
          <w:noProof/>
          <w:sz w:val="24"/>
          <w:szCs w:val="24"/>
        </w:rPr>
        <w:t xml:space="preserve"> medRxiv, 2020: p. 2020.03.03.20028423.</w:t>
      </w:r>
    </w:p>
    <w:p w:rsidR="0075224C" w:rsidRPr="004F355D" w:rsidRDefault="0075224C" w:rsidP="0075224C">
      <w:pPr>
        <w:pStyle w:val="EndNoteBibliography"/>
        <w:spacing w:after="0"/>
        <w:ind w:left="720" w:hanging="720"/>
        <w:rPr>
          <w:rFonts w:ascii="Arial" w:hAnsi="Arial" w:cs="Arial"/>
          <w:noProof/>
          <w:sz w:val="24"/>
          <w:szCs w:val="24"/>
        </w:rPr>
      </w:pPr>
      <w:r w:rsidRPr="004F355D">
        <w:rPr>
          <w:rFonts w:ascii="Arial" w:hAnsi="Arial" w:cs="Arial"/>
          <w:noProof/>
          <w:sz w:val="24"/>
          <w:szCs w:val="24"/>
        </w:rPr>
        <w:t>6.</w:t>
      </w:r>
      <w:r w:rsidRPr="004F355D">
        <w:rPr>
          <w:rFonts w:ascii="Arial" w:hAnsi="Arial" w:cs="Arial"/>
          <w:noProof/>
          <w:sz w:val="24"/>
          <w:szCs w:val="24"/>
        </w:rPr>
        <w:tab/>
        <w:t xml:space="preserve">Backer, J.A., et al., </w:t>
      </w:r>
      <w:r w:rsidRPr="004F355D">
        <w:rPr>
          <w:rFonts w:ascii="Arial" w:hAnsi="Arial" w:cs="Arial"/>
          <w:i/>
          <w:noProof/>
          <w:sz w:val="24"/>
          <w:szCs w:val="24"/>
        </w:rPr>
        <w:t>Modelling the effectiveness and risks of vaccination strategies to control classical swine fever epidemics.</w:t>
      </w:r>
      <w:r w:rsidRPr="004F355D">
        <w:rPr>
          <w:rFonts w:ascii="Arial" w:hAnsi="Arial" w:cs="Arial"/>
          <w:noProof/>
          <w:sz w:val="24"/>
          <w:szCs w:val="24"/>
        </w:rPr>
        <w:t xml:space="preserve"> Journal of the Royal Society Interface, 2009. </w:t>
      </w:r>
      <w:r w:rsidRPr="004F355D">
        <w:rPr>
          <w:rFonts w:ascii="Arial" w:hAnsi="Arial" w:cs="Arial"/>
          <w:b/>
          <w:noProof/>
          <w:sz w:val="24"/>
          <w:szCs w:val="24"/>
        </w:rPr>
        <w:t>6</w:t>
      </w:r>
      <w:r w:rsidRPr="004F355D">
        <w:rPr>
          <w:rFonts w:ascii="Arial" w:hAnsi="Arial" w:cs="Arial"/>
          <w:noProof/>
          <w:sz w:val="24"/>
          <w:szCs w:val="24"/>
        </w:rPr>
        <w:t>: p. 849-861.</w:t>
      </w:r>
    </w:p>
    <w:p w:rsidR="0075224C" w:rsidRPr="004F355D" w:rsidRDefault="0075224C" w:rsidP="0075224C">
      <w:pPr>
        <w:pStyle w:val="EndNoteBibliography"/>
        <w:spacing w:after="0"/>
        <w:ind w:left="720" w:hanging="720"/>
        <w:rPr>
          <w:rFonts w:ascii="Arial" w:hAnsi="Arial" w:cs="Arial"/>
          <w:noProof/>
          <w:sz w:val="24"/>
          <w:szCs w:val="24"/>
        </w:rPr>
      </w:pPr>
      <w:r w:rsidRPr="004F355D">
        <w:rPr>
          <w:rFonts w:ascii="Arial" w:hAnsi="Arial" w:cs="Arial"/>
          <w:noProof/>
          <w:sz w:val="24"/>
          <w:szCs w:val="24"/>
        </w:rPr>
        <w:t>7.</w:t>
      </w:r>
      <w:r w:rsidRPr="004F355D">
        <w:rPr>
          <w:rFonts w:ascii="Arial" w:hAnsi="Arial" w:cs="Arial"/>
          <w:noProof/>
          <w:sz w:val="24"/>
          <w:szCs w:val="24"/>
        </w:rPr>
        <w:tab/>
        <w:t xml:space="preserve">Kretzschmar, M.E., G. Rozhnova, and M.E. van Boven, </w:t>
      </w:r>
      <w:r w:rsidRPr="004F355D">
        <w:rPr>
          <w:rFonts w:ascii="Arial" w:hAnsi="Arial" w:cs="Arial"/>
          <w:i/>
          <w:noProof/>
          <w:sz w:val="24"/>
          <w:szCs w:val="24"/>
        </w:rPr>
        <w:t>Effectiveness of isolation and contact tracing for containment and slowing down a COVID-19 epidemic: a modelling study.</w:t>
      </w:r>
      <w:r w:rsidRPr="004F355D">
        <w:rPr>
          <w:rFonts w:ascii="Arial" w:hAnsi="Arial" w:cs="Arial"/>
          <w:noProof/>
          <w:sz w:val="24"/>
          <w:szCs w:val="24"/>
        </w:rPr>
        <w:t xml:space="preserve"> medRxiv, 2020: p. 2020.03.10.20033738.</w:t>
      </w:r>
    </w:p>
    <w:p w:rsidR="0075224C" w:rsidRPr="004F355D" w:rsidRDefault="0075224C" w:rsidP="0075224C">
      <w:pPr>
        <w:pStyle w:val="EndNoteBibliography"/>
        <w:spacing w:after="0"/>
        <w:ind w:left="720" w:hanging="720"/>
        <w:rPr>
          <w:rFonts w:ascii="Arial" w:hAnsi="Arial" w:cs="Arial"/>
          <w:noProof/>
          <w:sz w:val="24"/>
          <w:szCs w:val="24"/>
        </w:rPr>
      </w:pPr>
      <w:r w:rsidRPr="004F355D">
        <w:rPr>
          <w:rFonts w:ascii="Arial" w:hAnsi="Arial" w:cs="Arial"/>
          <w:noProof/>
          <w:sz w:val="24"/>
          <w:szCs w:val="24"/>
        </w:rPr>
        <w:t>8.</w:t>
      </w:r>
      <w:r w:rsidRPr="004F355D">
        <w:rPr>
          <w:rFonts w:ascii="Arial" w:hAnsi="Arial" w:cs="Arial"/>
          <w:noProof/>
          <w:sz w:val="24"/>
          <w:szCs w:val="24"/>
        </w:rPr>
        <w:tab/>
        <w:t xml:space="preserve">Sanche, S., et al., </w:t>
      </w:r>
      <w:r w:rsidRPr="004F355D">
        <w:rPr>
          <w:rFonts w:ascii="Arial" w:hAnsi="Arial" w:cs="Arial"/>
          <w:i/>
          <w:noProof/>
          <w:sz w:val="24"/>
          <w:szCs w:val="24"/>
        </w:rPr>
        <w:t>High Contagiousness and Rapid Spread of Severe Acute Respiratory Syndrome Coronavirus 2.</w:t>
      </w:r>
      <w:r w:rsidRPr="004F355D">
        <w:rPr>
          <w:rFonts w:ascii="Arial" w:hAnsi="Arial" w:cs="Arial"/>
          <w:noProof/>
          <w:sz w:val="24"/>
          <w:szCs w:val="24"/>
        </w:rPr>
        <w:t xml:space="preserve"> Emerg Infect Dis, 2020. </w:t>
      </w:r>
      <w:r w:rsidRPr="004F355D">
        <w:rPr>
          <w:rFonts w:ascii="Arial" w:hAnsi="Arial" w:cs="Arial"/>
          <w:b/>
          <w:noProof/>
          <w:sz w:val="24"/>
          <w:szCs w:val="24"/>
        </w:rPr>
        <w:t>26</w:t>
      </w:r>
      <w:r w:rsidRPr="004F355D">
        <w:rPr>
          <w:rFonts w:ascii="Arial" w:hAnsi="Arial" w:cs="Arial"/>
          <w:noProof/>
          <w:sz w:val="24"/>
          <w:szCs w:val="24"/>
        </w:rPr>
        <w:t>(7).</w:t>
      </w:r>
    </w:p>
    <w:p w:rsidR="0075224C" w:rsidRPr="004F355D" w:rsidRDefault="0075224C" w:rsidP="0075224C">
      <w:pPr>
        <w:pStyle w:val="EndNoteBibliography"/>
        <w:spacing w:after="0"/>
        <w:ind w:left="720" w:hanging="720"/>
        <w:rPr>
          <w:rFonts w:ascii="Arial" w:hAnsi="Arial" w:cs="Arial"/>
          <w:noProof/>
          <w:sz w:val="24"/>
          <w:szCs w:val="24"/>
        </w:rPr>
      </w:pPr>
      <w:r w:rsidRPr="004F355D">
        <w:rPr>
          <w:rFonts w:ascii="Arial" w:hAnsi="Arial" w:cs="Arial"/>
          <w:noProof/>
          <w:sz w:val="24"/>
          <w:szCs w:val="24"/>
        </w:rPr>
        <w:t>9.</w:t>
      </w:r>
      <w:r w:rsidRPr="004F355D">
        <w:rPr>
          <w:rFonts w:ascii="Arial" w:hAnsi="Arial" w:cs="Arial"/>
          <w:noProof/>
          <w:sz w:val="24"/>
          <w:szCs w:val="24"/>
        </w:rPr>
        <w:tab/>
        <w:t xml:space="preserve">Riou, J. and C.L. Althaus, </w:t>
      </w:r>
      <w:r w:rsidRPr="004F355D">
        <w:rPr>
          <w:rFonts w:ascii="Arial" w:hAnsi="Arial" w:cs="Arial"/>
          <w:i/>
          <w:noProof/>
          <w:sz w:val="24"/>
          <w:szCs w:val="24"/>
        </w:rPr>
        <w:t>Pattern of early human-to-human transmission of Wuhan 2019 novel coronavirus (2019-nCoV), December 2019 to January 2020.</w:t>
      </w:r>
      <w:r w:rsidRPr="004F355D">
        <w:rPr>
          <w:rFonts w:ascii="Arial" w:hAnsi="Arial" w:cs="Arial"/>
          <w:noProof/>
          <w:sz w:val="24"/>
          <w:szCs w:val="24"/>
        </w:rPr>
        <w:t xml:space="preserve"> Euro Surveill, 2020. </w:t>
      </w:r>
      <w:r w:rsidRPr="004F355D">
        <w:rPr>
          <w:rFonts w:ascii="Arial" w:hAnsi="Arial" w:cs="Arial"/>
          <w:b/>
          <w:noProof/>
          <w:sz w:val="24"/>
          <w:szCs w:val="24"/>
        </w:rPr>
        <w:t>25</w:t>
      </w:r>
      <w:r w:rsidRPr="004F355D">
        <w:rPr>
          <w:rFonts w:ascii="Arial" w:hAnsi="Arial" w:cs="Arial"/>
          <w:noProof/>
          <w:sz w:val="24"/>
          <w:szCs w:val="24"/>
        </w:rPr>
        <w:t>(4).</w:t>
      </w:r>
    </w:p>
    <w:p w:rsidR="0075224C" w:rsidRPr="004F355D" w:rsidRDefault="0075224C" w:rsidP="0075224C">
      <w:pPr>
        <w:pStyle w:val="EndNoteBibliography"/>
        <w:ind w:left="720" w:hanging="720"/>
        <w:rPr>
          <w:rFonts w:ascii="Arial" w:hAnsi="Arial" w:cs="Arial"/>
          <w:noProof/>
          <w:sz w:val="24"/>
          <w:szCs w:val="24"/>
        </w:rPr>
      </w:pPr>
      <w:r w:rsidRPr="004F355D">
        <w:rPr>
          <w:rFonts w:ascii="Arial" w:hAnsi="Arial" w:cs="Arial"/>
          <w:noProof/>
          <w:sz w:val="24"/>
          <w:szCs w:val="24"/>
        </w:rPr>
        <w:t>10.</w:t>
      </w:r>
      <w:r w:rsidRPr="004F355D">
        <w:rPr>
          <w:rFonts w:ascii="Arial" w:hAnsi="Arial" w:cs="Arial"/>
          <w:noProof/>
          <w:sz w:val="24"/>
          <w:szCs w:val="24"/>
        </w:rPr>
        <w:tab/>
        <w:t xml:space="preserve">Li, Q., et al., </w:t>
      </w:r>
      <w:r w:rsidRPr="004F355D">
        <w:rPr>
          <w:rFonts w:ascii="Arial" w:hAnsi="Arial" w:cs="Arial"/>
          <w:i/>
          <w:noProof/>
          <w:sz w:val="24"/>
          <w:szCs w:val="24"/>
        </w:rPr>
        <w:t>Early Transmission Dynamics in Wuhan, China, of Novel Coronavirus-Infected Pneumonia.</w:t>
      </w:r>
      <w:r w:rsidRPr="004F355D">
        <w:rPr>
          <w:rFonts w:ascii="Arial" w:hAnsi="Arial" w:cs="Arial"/>
          <w:noProof/>
          <w:sz w:val="24"/>
          <w:szCs w:val="24"/>
        </w:rPr>
        <w:t xml:space="preserve"> N Engl J Med, 2020. </w:t>
      </w:r>
      <w:r w:rsidRPr="004F355D">
        <w:rPr>
          <w:rFonts w:ascii="Arial" w:hAnsi="Arial" w:cs="Arial"/>
          <w:b/>
          <w:noProof/>
          <w:sz w:val="24"/>
          <w:szCs w:val="24"/>
        </w:rPr>
        <w:t>382</w:t>
      </w:r>
      <w:r w:rsidRPr="004F355D">
        <w:rPr>
          <w:rFonts w:ascii="Arial" w:hAnsi="Arial" w:cs="Arial"/>
          <w:noProof/>
          <w:sz w:val="24"/>
          <w:szCs w:val="24"/>
        </w:rPr>
        <w:t>(13): p. 1199-1207.</w:t>
      </w:r>
    </w:p>
    <w:p w:rsidR="0075224C" w:rsidRDefault="0075224C" w:rsidP="0075224C">
      <w:pPr>
        <w:rPr>
          <w:rFonts w:cstheme="minorHAnsi"/>
          <w:b/>
          <w:bCs/>
        </w:rPr>
      </w:pPr>
      <w:r w:rsidRPr="004F355D">
        <w:rPr>
          <w:rFonts w:cs="Arial"/>
        </w:rPr>
        <w:fldChar w:fldCharType="end"/>
      </w:r>
    </w:p>
    <w:p w:rsidR="0075224C" w:rsidRDefault="0075224C" w:rsidP="00ED6BCC">
      <w:pPr>
        <w:rPr>
          <w:rFonts w:cstheme="minorHAnsi"/>
          <w:b/>
          <w:bCs/>
        </w:rPr>
      </w:pPr>
    </w:p>
    <w:p w:rsidR="0075224C" w:rsidRDefault="0075224C" w:rsidP="00ED6BCC">
      <w:pPr>
        <w:rPr>
          <w:rFonts w:cstheme="minorHAnsi"/>
          <w:b/>
          <w:bCs/>
        </w:rPr>
        <w:sectPr w:rsidR="0075224C" w:rsidSect="00EA313F">
          <w:headerReference w:type="default" r:id="rId26"/>
          <w:footerReference w:type="even" r:id="rId27"/>
          <w:footerReference w:type="default" r:id="rId28"/>
          <w:pgSz w:w="11906" w:h="16838"/>
          <w:pgMar w:top="1702" w:right="1134" w:bottom="1134" w:left="1134" w:header="709" w:footer="709" w:gutter="0"/>
          <w:cols w:space="708"/>
          <w:titlePg/>
          <w:docGrid w:linePitch="360"/>
        </w:sectPr>
      </w:pPr>
    </w:p>
    <w:p w:rsidR="00984119" w:rsidRPr="004F355D" w:rsidRDefault="00984119" w:rsidP="00984119">
      <w:pPr>
        <w:rPr>
          <w:b/>
          <w:bCs/>
        </w:rPr>
      </w:pPr>
      <w:r w:rsidRPr="004F355D">
        <w:rPr>
          <w:b/>
          <w:bCs/>
        </w:rPr>
        <w:t>Table A3: Characteristics of COVID-19 outbreaks in a community of population size 1000 under a range of scenarios regarding case isolation, quarantine and testing of contacts, delays between diagnosis and response, and lockdown.</w:t>
      </w:r>
    </w:p>
    <w:tbl>
      <w:tblPr>
        <w:tblStyle w:val="ListTable1Light-Accent2"/>
        <w:tblW w:w="0" w:type="auto"/>
        <w:tblLook w:val="04A0" w:firstRow="1" w:lastRow="0" w:firstColumn="1" w:lastColumn="0" w:noHBand="0" w:noVBand="1"/>
      </w:tblPr>
      <w:tblGrid>
        <w:gridCol w:w="440"/>
        <w:gridCol w:w="1240"/>
        <w:gridCol w:w="1254"/>
        <w:gridCol w:w="1282"/>
        <w:gridCol w:w="1287"/>
        <w:gridCol w:w="1449"/>
        <w:gridCol w:w="1339"/>
        <w:gridCol w:w="1559"/>
        <w:gridCol w:w="1254"/>
        <w:gridCol w:w="1560"/>
        <w:gridCol w:w="1276"/>
      </w:tblGrid>
      <w:tr w:rsidR="00984119" w:rsidRPr="00B20052" w:rsidTr="00B200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4F355D">
            <w:pPr>
              <w:rPr>
                <w:rStyle w:val="Emphasis"/>
                <w:rFonts w:cs="Arial"/>
                <w:sz w:val="20"/>
                <w:szCs w:val="20"/>
              </w:rPr>
            </w:pPr>
            <w:r w:rsidRPr="00B20052">
              <w:rPr>
                <w:rStyle w:val="Emphasis"/>
                <w:rFonts w:cs="Arial"/>
                <w:sz w:val="20"/>
                <w:szCs w:val="20"/>
              </w:rPr>
              <w:t>#</w:t>
            </w:r>
          </w:p>
        </w:tc>
        <w:tc>
          <w:tcPr>
            <w:tcW w:w="0" w:type="auto"/>
          </w:tcPr>
          <w:p w:rsidR="00984119" w:rsidRPr="00B20052" w:rsidRDefault="00984119" w:rsidP="004F355D">
            <w:pPr>
              <w:cnfStyle w:val="100000000000" w:firstRow="1"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Strategy</w:t>
            </w:r>
          </w:p>
        </w:tc>
        <w:tc>
          <w:tcPr>
            <w:tcW w:w="1255" w:type="dxa"/>
          </w:tcPr>
          <w:p w:rsidR="00984119" w:rsidRPr="00B20052" w:rsidRDefault="00984119" w:rsidP="004F355D">
            <w:pPr>
              <w:cnfStyle w:val="100000000000" w:firstRow="1"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Outbreak duration (days)</w:t>
            </w:r>
          </w:p>
        </w:tc>
        <w:tc>
          <w:tcPr>
            <w:tcW w:w="1282" w:type="dxa"/>
          </w:tcPr>
          <w:p w:rsidR="00984119" w:rsidRPr="00B20052" w:rsidRDefault="00984119" w:rsidP="004F355D">
            <w:pPr>
              <w:cnfStyle w:val="100000000000" w:firstRow="1"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Peak prevalence (%)</w:t>
            </w:r>
          </w:p>
        </w:tc>
        <w:tc>
          <w:tcPr>
            <w:tcW w:w="1288" w:type="dxa"/>
          </w:tcPr>
          <w:p w:rsidR="00984119" w:rsidRPr="00B20052" w:rsidRDefault="00984119" w:rsidP="004F355D">
            <w:pPr>
              <w:cnfStyle w:val="100000000000" w:firstRow="1"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Final size of outbreak</w:t>
            </w:r>
          </w:p>
        </w:tc>
        <w:tc>
          <w:tcPr>
            <w:tcW w:w="1451" w:type="dxa"/>
          </w:tcPr>
          <w:p w:rsidR="00984119" w:rsidRPr="00B20052" w:rsidRDefault="00984119" w:rsidP="004F355D">
            <w:pPr>
              <w:cnfStyle w:val="100000000000" w:firstRow="1"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Number of tests in first year of outbreak</w:t>
            </w:r>
          </w:p>
        </w:tc>
        <w:tc>
          <w:tcPr>
            <w:tcW w:w="1340" w:type="dxa"/>
          </w:tcPr>
          <w:p w:rsidR="00984119" w:rsidRPr="00B20052" w:rsidRDefault="00984119" w:rsidP="004F355D">
            <w:pPr>
              <w:cnfStyle w:val="100000000000" w:firstRow="1"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Maximum number of tests in a single day</w:t>
            </w:r>
          </w:p>
        </w:tc>
        <w:tc>
          <w:tcPr>
            <w:tcW w:w="1562" w:type="dxa"/>
          </w:tcPr>
          <w:p w:rsidR="00984119" w:rsidRPr="00B20052" w:rsidRDefault="00984119" w:rsidP="004F355D">
            <w:pPr>
              <w:cnfStyle w:val="100000000000" w:firstRow="1"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Number in isolation over first year of outbreak (person-days)</w:t>
            </w:r>
          </w:p>
        </w:tc>
        <w:tc>
          <w:tcPr>
            <w:tcW w:w="1255" w:type="dxa"/>
          </w:tcPr>
          <w:p w:rsidR="00984119" w:rsidRPr="00B20052" w:rsidRDefault="00984119" w:rsidP="004F355D">
            <w:pPr>
              <w:cnfStyle w:val="100000000000" w:firstRow="1"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Maximum number in isolation in a single day</w:t>
            </w:r>
          </w:p>
        </w:tc>
        <w:tc>
          <w:tcPr>
            <w:tcW w:w="1562" w:type="dxa"/>
          </w:tcPr>
          <w:p w:rsidR="00984119" w:rsidRPr="00B20052" w:rsidRDefault="00984119" w:rsidP="004F355D">
            <w:pPr>
              <w:cnfStyle w:val="100000000000" w:firstRow="1"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Number in quarantine over first year of outbreak (person-days)</w:t>
            </w:r>
          </w:p>
        </w:tc>
        <w:tc>
          <w:tcPr>
            <w:tcW w:w="1276" w:type="dxa"/>
          </w:tcPr>
          <w:p w:rsidR="00984119" w:rsidRPr="00B20052" w:rsidRDefault="00984119" w:rsidP="004F355D">
            <w:pPr>
              <w:cnfStyle w:val="100000000000" w:firstRow="1"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Maximum number in quarantine in a single day</w:t>
            </w:r>
          </w:p>
        </w:tc>
      </w:tr>
      <w:tr w:rsidR="001657D4" w:rsidRPr="00B20052" w:rsidTr="00BC2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4F355D">
            <w:pPr>
              <w:rPr>
                <w:rStyle w:val="Emphasis"/>
                <w:rFonts w:cs="Arial"/>
                <w:sz w:val="20"/>
                <w:szCs w:val="20"/>
              </w:rPr>
            </w:pPr>
            <w:r w:rsidRPr="00B20052">
              <w:rPr>
                <w:rStyle w:val="Emphasis"/>
                <w:rFonts w:cs="Arial"/>
                <w:sz w:val="20"/>
                <w:szCs w:val="20"/>
              </w:rPr>
              <w:t>0</w:t>
            </w:r>
          </w:p>
        </w:tc>
        <w:tc>
          <w:tcPr>
            <w:tcW w:w="0" w:type="auto"/>
          </w:tcPr>
          <w:p w:rsidR="00984119" w:rsidRPr="00B20052" w:rsidRDefault="00984119" w:rsidP="00B20052">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No response</w:t>
            </w:r>
          </w:p>
        </w:tc>
        <w:tc>
          <w:tcPr>
            <w:tcW w:w="1255"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56.0 (54.0, 58.0)</w:t>
            </w:r>
          </w:p>
        </w:tc>
        <w:tc>
          <w:tcPr>
            <w:tcW w:w="1282"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69.1 (68.0, 70.2)</w:t>
            </w:r>
          </w:p>
        </w:tc>
        <w:tc>
          <w:tcPr>
            <w:tcW w:w="1288"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999.0 (999.0, 999.0)</w:t>
            </w:r>
          </w:p>
        </w:tc>
        <w:tc>
          <w:tcPr>
            <w:tcW w:w="1451"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447.0 (435.5, 458.0)</w:t>
            </w:r>
          </w:p>
        </w:tc>
        <w:tc>
          <w:tcPr>
            <w:tcW w:w="1340"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42.0 (39.5, 45.0)</w:t>
            </w:r>
          </w:p>
        </w:tc>
        <w:tc>
          <w:tcPr>
            <w:tcW w:w="1562"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N/A</w:t>
            </w:r>
          </w:p>
        </w:tc>
        <w:tc>
          <w:tcPr>
            <w:tcW w:w="1255"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N/A</w:t>
            </w:r>
          </w:p>
        </w:tc>
        <w:tc>
          <w:tcPr>
            <w:tcW w:w="1562"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N/A</w:t>
            </w:r>
          </w:p>
        </w:tc>
        <w:tc>
          <w:tcPr>
            <w:tcW w:w="1276"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N/A</w:t>
            </w:r>
          </w:p>
        </w:tc>
      </w:tr>
      <w:tr w:rsidR="00984119" w:rsidRPr="00B20052" w:rsidTr="00BC26DC">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4F355D">
            <w:pPr>
              <w:rPr>
                <w:rStyle w:val="Emphasis"/>
                <w:rFonts w:cs="Arial"/>
                <w:sz w:val="20"/>
                <w:szCs w:val="20"/>
              </w:rPr>
            </w:pPr>
            <w:r w:rsidRPr="00B20052">
              <w:rPr>
                <w:rStyle w:val="Emphasis"/>
                <w:rFonts w:cs="Arial"/>
                <w:sz w:val="20"/>
                <w:szCs w:val="20"/>
              </w:rPr>
              <w:t>1</w:t>
            </w:r>
          </w:p>
        </w:tc>
        <w:tc>
          <w:tcPr>
            <w:tcW w:w="0" w:type="auto"/>
          </w:tcPr>
          <w:p w:rsidR="00984119" w:rsidRPr="00B20052" w:rsidRDefault="00984119" w:rsidP="00B20052">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 xml:space="preserve">Isolation of index case only </w:t>
            </w:r>
          </w:p>
        </w:tc>
        <w:tc>
          <w:tcPr>
            <w:tcW w:w="1255"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57.5 (55.5, 60.0)</w:t>
            </w:r>
          </w:p>
        </w:tc>
        <w:tc>
          <w:tcPr>
            <w:tcW w:w="1282"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67.5 (66.3, 68.4)</w:t>
            </w:r>
          </w:p>
        </w:tc>
        <w:tc>
          <w:tcPr>
            <w:tcW w:w="1288"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999.0 (999.0, 999.0)</w:t>
            </w:r>
          </w:p>
        </w:tc>
        <w:tc>
          <w:tcPr>
            <w:tcW w:w="1451"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1221.0 (1188.5, 1250.0)</w:t>
            </w:r>
          </w:p>
        </w:tc>
        <w:tc>
          <w:tcPr>
            <w:tcW w:w="1340"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53.0 (51.0, 56.0)</w:t>
            </w:r>
          </w:p>
        </w:tc>
        <w:tc>
          <w:tcPr>
            <w:tcW w:w="1562"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7730.0 (7515.0, 7925.0)</w:t>
            </w:r>
          </w:p>
        </w:tc>
        <w:tc>
          <w:tcPr>
            <w:tcW w:w="1255"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380.0 (366.0, 388.0)</w:t>
            </w:r>
          </w:p>
        </w:tc>
        <w:tc>
          <w:tcPr>
            <w:tcW w:w="1562"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N/A</w:t>
            </w:r>
          </w:p>
        </w:tc>
        <w:tc>
          <w:tcPr>
            <w:tcW w:w="1276"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N/A</w:t>
            </w:r>
          </w:p>
        </w:tc>
      </w:tr>
      <w:tr w:rsidR="001657D4" w:rsidRPr="00B20052" w:rsidTr="00BC2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4F355D">
            <w:pPr>
              <w:rPr>
                <w:rStyle w:val="Emphasis"/>
                <w:rFonts w:cs="Arial"/>
                <w:sz w:val="20"/>
                <w:szCs w:val="20"/>
              </w:rPr>
            </w:pPr>
            <w:r w:rsidRPr="00B20052">
              <w:rPr>
                <w:rStyle w:val="Emphasis"/>
                <w:rFonts w:cs="Arial"/>
                <w:sz w:val="20"/>
                <w:szCs w:val="20"/>
              </w:rPr>
              <w:t>2</w:t>
            </w:r>
          </w:p>
        </w:tc>
        <w:tc>
          <w:tcPr>
            <w:tcW w:w="0" w:type="auto"/>
          </w:tcPr>
          <w:p w:rsidR="00984119" w:rsidRPr="00B20052" w:rsidRDefault="00984119" w:rsidP="00B20052">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 + quarantine and test of index case’s immediate households</w:t>
            </w:r>
          </w:p>
        </w:tc>
        <w:tc>
          <w:tcPr>
            <w:tcW w:w="1255"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141.0 (126.0, 155.0)</w:t>
            </w:r>
          </w:p>
        </w:tc>
        <w:tc>
          <w:tcPr>
            <w:tcW w:w="1282"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37.6 (31.9, 40.4)</w:t>
            </w:r>
          </w:p>
        </w:tc>
        <w:tc>
          <w:tcPr>
            <w:tcW w:w="1288"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922.0 (907.5, 936.5)</w:t>
            </w:r>
          </w:p>
        </w:tc>
        <w:tc>
          <w:tcPr>
            <w:tcW w:w="1451"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1957.5 (1867 - 2027)</w:t>
            </w:r>
          </w:p>
        </w:tc>
        <w:tc>
          <w:tcPr>
            <w:tcW w:w="1340"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121.0 (102 - 142)</w:t>
            </w:r>
          </w:p>
        </w:tc>
        <w:tc>
          <w:tcPr>
            <w:tcW w:w="1562"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3919.0 (3790.0 - 4173.0)</w:t>
            </w:r>
          </w:p>
        </w:tc>
        <w:tc>
          <w:tcPr>
            <w:tcW w:w="1255"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116.0 (109.5 - 120.0)</w:t>
            </w:r>
          </w:p>
        </w:tc>
        <w:tc>
          <w:tcPr>
            <w:tcW w:w="1562"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29595.5 (28101.5 - 31175.0)</w:t>
            </w:r>
          </w:p>
        </w:tc>
        <w:tc>
          <w:tcPr>
            <w:tcW w:w="1276"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797.5 (762.5 - 825.0)</w:t>
            </w:r>
          </w:p>
        </w:tc>
      </w:tr>
      <w:tr w:rsidR="00984119" w:rsidRPr="00B20052" w:rsidTr="00BC26DC">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4F355D">
            <w:pPr>
              <w:rPr>
                <w:rStyle w:val="Emphasis"/>
                <w:rFonts w:cs="Arial"/>
                <w:sz w:val="20"/>
                <w:szCs w:val="20"/>
              </w:rPr>
            </w:pPr>
            <w:r w:rsidRPr="00B20052">
              <w:rPr>
                <w:rStyle w:val="Emphasis"/>
                <w:rFonts w:cs="Arial"/>
                <w:sz w:val="20"/>
                <w:szCs w:val="20"/>
              </w:rPr>
              <w:t xml:space="preserve">3 </w:t>
            </w:r>
          </w:p>
        </w:tc>
        <w:tc>
          <w:tcPr>
            <w:tcW w:w="0" w:type="auto"/>
          </w:tcPr>
          <w:p w:rsidR="00984119" w:rsidRPr="00B20052" w:rsidRDefault="00984119" w:rsidP="00B20052">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 + quarantine and test of all index case’s households</w:t>
            </w:r>
          </w:p>
        </w:tc>
        <w:tc>
          <w:tcPr>
            <w:tcW w:w="1255"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242.0 (155.0, 292.0)</w:t>
            </w:r>
          </w:p>
        </w:tc>
        <w:tc>
          <w:tcPr>
            <w:tcW w:w="1282"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13.7 (10.7, 16.5)</w:t>
            </w:r>
          </w:p>
        </w:tc>
        <w:tc>
          <w:tcPr>
            <w:tcW w:w="1288"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831.5 (751.0, 871.0)</w:t>
            </w:r>
          </w:p>
        </w:tc>
        <w:tc>
          <w:tcPr>
            <w:tcW w:w="1451"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4042.5 (3463 - 4305)</w:t>
            </w:r>
          </w:p>
        </w:tc>
        <w:tc>
          <w:tcPr>
            <w:tcW w:w="1340"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206.5 (159 - 257)</w:t>
            </w:r>
          </w:p>
        </w:tc>
        <w:tc>
          <w:tcPr>
            <w:tcW w:w="1562"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3027.5 (2332.0 - 3306.5)</w:t>
            </w:r>
          </w:p>
        </w:tc>
        <w:tc>
          <w:tcPr>
            <w:tcW w:w="1255"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31.5 (29.0 - 33.5)</w:t>
            </w:r>
          </w:p>
        </w:tc>
        <w:tc>
          <w:tcPr>
            <w:tcW w:w="1562"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86825.0 (70334.5 - 97662.5)</w:t>
            </w:r>
          </w:p>
        </w:tc>
        <w:tc>
          <w:tcPr>
            <w:tcW w:w="1276"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912.5 (867.0 - 936.0)</w:t>
            </w:r>
          </w:p>
        </w:tc>
      </w:tr>
      <w:tr w:rsidR="001657D4" w:rsidRPr="00B20052" w:rsidTr="00BC2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4F355D">
            <w:pPr>
              <w:rPr>
                <w:rStyle w:val="Emphasis"/>
                <w:rFonts w:cs="Arial"/>
                <w:sz w:val="20"/>
                <w:szCs w:val="20"/>
              </w:rPr>
            </w:pPr>
            <w:r w:rsidRPr="00B20052">
              <w:rPr>
                <w:rStyle w:val="Emphasis"/>
                <w:rFonts w:cs="Arial"/>
                <w:sz w:val="20"/>
                <w:szCs w:val="20"/>
              </w:rPr>
              <w:t xml:space="preserve">4 </w:t>
            </w:r>
          </w:p>
        </w:tc>
        <w:tc>
          <w:tcPr>
            <w:tcW w:w="0" w:type="auto"/>
          </w:tcPr>
          <w:p w:rsidR="00984119" w:rsidRPr="00B20052" w:rsidRDefault="00984119" w:rsidP="00B20052">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 + quarantine and test of index case’s close contacts from last 2 days</w:t>
            </w:r>
          </w:p>
        </w:tc>
        <w:tc>
          <w:tcPr>
            <w:tcW w:w="1255"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102.5 (92.5, 111.5)</w:t>
            </w:r>
          </w:p>
        </w:tc>
        <w:tc>
          <w:tcPr>
            <w:tcW w:w="1282"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45.7 (43.1, 48.1)</w:t>
            </w:r>
          </w:p>
        </w:tc>
        <w:tc>
          <w:tcPr>
            <w:tcW w:w="1288"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937.0 (929.0, 945.0)</w:t>
            </w:r>
          </w:p>
        </w:tc>
        <w:tc>
          <w:tcPr>
            <w:tcW w:w="1451"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1530.5 (1441 - 1586)</w:t>
            </w:r>
          </w:p>
        </w:tc>
        <w:tc>
          <w:tcPr>
            <w:tcW w:w="1340"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92.5 (83 - 105)</w:t>
            </w:r>
          </w:p>
        </w:tc>
        <w:tc>
          <w:tcPr>
            <w:tcW w:w="1562"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10981.5 (10805.5 - 11118.5)</w:t>
            </w:r>
          </w:p>
        </w:tc>
        <w:tc>
          <w:tcPr>
            <w:tcW w:w="1255"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522.0 (489.5 - 555.5)</w:t>
            </w:r>
          </w:p>
        </w:tc>
        <w:tc>
          <w:tcPr>
            <w:tcW w:w="1562"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10776.5 (9551.5 - 11564.5)</w:t>
            </w:r>
          </w:p>
        </w:tc>
        <w:tc>
          <w:tcPr>
            <w:tcW w:w="1276" w:type="dxa"/>
          </w:tcPr>
          <w:p w:rsidR="00984119" w:rsidRPr="00B20052" w:rsidRDefault="00984119" w:rsidP="004F355D">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303.0 (289.0 - 316.5)</w:t>
            </w:r>
          </w:p>
        </w:tc>
      </w:tr>
      <w:tr w:rsidR="00984119" w:rsidRPr="00B20052" w:rsidTr="00BC26DC">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4F355D">
            <w:pPr>
              <w:rPr>
                <w:rStyle w:val="Emphasis"/>
                <w:rFonts w:cs="Arial"/>
                <w:sz w:val="20"/>
                <w:szCs w:val="20"/>
              </w:rPr>
            </w:pPr>
            <w:r w:rsidRPr="00B20052">
              <w:rPr>
                <w:rStyle w:val="Emphasis"/>
                <w:rFonts w:cs="Arial"/>
                <w:sz w:val="20"/>
                <w:szCs w:val="20"/>
              </w:rPr>
              <w:t>5</w:t>
            </w:r>
          </w:p>
        </w:tc>
        <w:tc>
          <w:tcPr>
            <w:tcW w:w="0" w:type="auto"/>
          </w:tcPr>
          <w:p w:rsidR="00984119" w:rsidRPr="00B20052" w:rsidRDefault="00984119" w:rsidP="00B20052">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 + quarantine and test of all index case’s contacts from last 2 days</w:t>
            </w:r>
          </w:p>
        </w:tc>
        <w:tc>
          <w:tcPr>
            <w:tcW w:w="1255"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109.0 (95.0, 120.5)</w:t>
            </w:r>
          </w:p>
        </w:tc>
        <w:tc>
          <w:tcPr>
            <w:tcW w:w="1282"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43.8 (40.9, 46.4)</w:t>
            </w:r>
          </w:p>
        </w:tc>
        <w:tc>
          <w:tcPr>
            <w:tcW w:w="1288"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930.0 (917.0, 941.0)</w:t>
            </w:r>
          </w:p>
        </w:tc>
        <w:tc>
          <w:tcPr>
            <w:tcW w:w="1451"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1614.5 (1550 - 1667)</w:t>
            </w:r>
          </w:p>
        </w:tc>
        <w:tc>
          <w:tcPr>
            <w:tcW w:w="1340"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94.0 (83 - 108)</w:t>
            </w:r>
          </w:p>
        </w:tc>
        <w:tc>
          <w:tcPr>
            <w:tcW w:w="1562"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11025.5 (10837.0 - 11238.0)</w:t>
            </w:r>
          </w:p>
        </w:tc>
        <w:tc>
          <w:tcPr>
            <w:tcW w:w="1255"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510.5 (469.0 - 544.0)</w:t>
            </w:r>
          </w:p>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p>
        </w:tc>
        <w:tc>
          <w:tcPr>
            <w:tcW w:w="1562"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11887.0 (11180.0 - 12831.5)</w:t>
            </w:r>
          </w:p>
        </w:tc>
        <w:tc>
          <w:tcPr>
            <w:tcW w:w="1276" w:type="dxa"/>
          </w:tcPr>
          <w:p w:rsidR="00984119" w:rsidRPr="00B20052" w:rsidRDefault="00984119" w:rsidP="004F355D">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322.0 (306.0 - 334.5)</w:t>
            </w:r>
          </w:p>
        </w:tc>
      </w:tr>
      <w:tr w:rsidR="00984119" w:rsidRPr="00B20052" w:rsidTr="00BC2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11"/>
          </w:tcPr>
          <w:p w:rsidR="00984119" w:rsidRPr="00B20052" w:rsidRDefault="00984119" w:rsidP="00B20052">
            <w:pPr>
              <w:jc w:val="center"/>
              <w:rPr>
                <w:rStyle w:val="Emphasis"/>
                <w:rFonts w:cs="Arial"/>
                <w:sz w:val="20"/>
                <w:szCs w:val="20"/>
              </w:rPr>
            </w:pPr>
            <w:r w:rsidRPr="00B20052">
              <w:rPr>
                <w:rStyle w:val="Emphasis"/>
                <w:rFonts w:cs="Arial"/>
                <w:sz w:val="20"/>
                <w:szCs w:val="20"/>
              </w:rPr>
              <w:t>With clearance test</w:t>
            </w:r>
          </w:p>
        </w:tc>
      </w:tr>
      <w:tr w:rsidR="00984119" w:rsidRPr="00B20052" w:rsidTr="00BC26DC">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984119">
            <w:pPr>
              <w:jc w:val="center"/>
              <w:rPr>
                <w:rStyle w:val="Emphasis"/>
                <w:rFonts w:cs="Arial"/>
                <w:sz w:val="20"/>
                <w:szCs w:val="20"/>
              </w:rPr>
            </w:pPr>
            <w:r w:rsidRPr="00B20052">
              <w:rPr>
                <w:rStyle w:val="Emphasis"/>
                <w:rFonts w:cs="Arial"/>
                <w:sz w:val="20"/>
                <w:szCs w:val="20"/>
              </w:rPr>
              <w:t>6</w:t>
            </w:r>
          </w:p>
        </w:tc>
        <w:tc>
          <w:tcPr>
            <w:tcW w:w="0" w:type="auto"/>
          </w:tcPr>
          <w:p w:rsidR="00984119" w:rsidRPr="00B20052" w:rsidRDefault="00984119" w:rsidP="00B20052">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#2 + clearance test</w:t>
            </w:r>
          </w:p>
        </w:tc>
        <w:tc>
          <w:tcPr>
            <w:tcW w:w="1255"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136.5 (126.5, 154.5)</w:t>
            </w:r>
          </w:p>
        </w:tc>
        <w:tc>
          <w:tcPr>
            <w:tcW w:w="1282"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36.5 (31.8, 40.7)</w:t>
            </w:r>
          </w:p>
        </w:tc>
        <w:tc>
          <w:tcPr>
            <w:tcW w:w="1288"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922.5 (905.0, 933.0)</w:t>
            </w:r>
          </w:p>
        </w:tc>
        <w:tc>
          <w:tcPr>
            <w:tcW w:w="1451"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7526.0 (7336 - 7743)</w:t>
            </w:r>
          </w:p>
        </w:tc>
        <w:tc>
          <w:tcPr>
            <w:tcW w:w="1340"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319.0 (268 - 371)</w:t>
            </w:r>
          </w:p>
        </w:tc>
        <w:tc>
          <w:tcPr>
            <w:tcW w:w="1562"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8689.5 (8392.5 - 8942.5)</w:t>
            </w:r>
          </w:p>
        </w:tc>
        <w:tc>
          <w:tcPr>
            <w:tcW w:w="1255"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294.0 (260.0 - 317.5)</w:t>
            </w:r>
          </w:p>
        </w:tc>
        <w:tc>
          <w:tcPr>
            <w:tcW w:w="1562"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22500.5 (21469.0 - 23306.0)</w:t>
            </w:r>
          </w:p>
        </w:tc>
        <w:tc>
          <w:tcPr>
            <w:tcW w:w="1276"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743.0 (683.0 - 771.5)</w:t>
            </w:r>
          </w:p>
        </w:tc>
      </w:tr>
      <w:tr w:rsidR="001657D4" w:rsidRPr="00B20052" w:rsidTr="00BC2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984119">
            <w:pPr>
              <w:jc w:val="center"/>
              <w:rPr>
                <w:rStyle w:val="Emphasis"/>
                <w:rFonts w:cs="Arial"/>
                <w:sz w:val="20"/>
                <w:szCs w:val="20"/>
              </w:rPr>
            </w:pPr>
            <w:r w:rsidRPr="00B20052">
              <w:rPr>
                <w:rStyle w:val="Emphasis"/>
                <w:rFonts w:cs="Arial"/>
                <w:sz w:val="20"/>
                <w:szCs w:val="20"/>
              </w:rPr>
              <w:t>7</w:t>
            </w:r>
          </w:p>
        </w:tc>
        <w:tc>
          <w:tcPr>
            <w:tcW w:w="0" w:type="auto"/>
          </w:tcPr>
          <w:p w:rsidR="00984119" w:rsidRPr="00B20052" w:rsidRDefault="00984119" w:rsidP="00B20052">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 + clearance test</w:t>
            </w:r>
          </w:p>
        </w:tc>
        <w:tc>
          <w:tcPr>
            <w:tcW w:w="1255"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115.5 (49.0, 238.0)</w:t>
            </w:r>
          </w:p>
        </w:tc>
        <w:tc>
          <w:tcPr>
            <w:tcW w:w="1282"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13.2 (10.6, 15.3)</w:t>
            </w:r>
          </w:p>
        </w:tc>
        <w:tc>
          <w:tcPr>
            <w:tcW w:w="1288"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655.0 (267.5, 821.0)</w:t>
            </w:r>
          </w:p>
        </w:tc>
        <w:tc>
          <w:tcPr>
            <w:tcW w:w="1451"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13551.5 (4929.5, 16729.5)</w:t>
            </w:r>
          </w:p>
        </w:tc>
        <w:tc>
          <w:tcPr>
            <w:tcW w:w="1340"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474.0 (395.5, 581.5)</w:t>
            </w:r>
          </w:p>
        </w:tc>
        <w:tc>
          <w:tcPr>
            <w:tcW w:w="1562"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6218.5 (2277.5, 7576.5)</w:t>
            </w:r>
          </w:p>
        </w:tc>
        <w:tc>
          <w:tcPr>
            <w:tcW w:w="1255"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110.5 (89.0, 126.5)</w:t>
            </w:r>
          </w:p>
        </w:tc>
        <w:tc>
          <w:tcPr>
            <w:tcW w:w="1562"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50958.0 (13511.5, 67786.0)</w:t>
            </w:r>
          </w:p>
        </w:tc>
        <w:tc>
          <w:tcPr>
            <w:tcW w:w="1276"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841.5 (752.0, 908.5)</w:t>
            </w:r>
          </w:p>
        </w:tc>
      </w:tr>
      <w:tr w:rsidR="00984119" w:rsidRPr="00B20052" w:rsidTr="00BC26DC">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984119">
            <w:pPr>
              <w:jc w:val="center"/>
              <w:rPr>
                <w:rStyle w:val="Emphasis"/>
                <w:rFonts w:cs="Arial"/>
                <w:sz w:val="20"/>
                <w:szCs w:val="20"/>
              </w:rPr>
            </w:pPr>
            <w:r w:rsidRPr="00B20052">
              <w:rPr>
                <w:rStyle w:val="Emphasis"/>
                <w:rFonts w:cs="Arial"/>
                <w:sz w:val="20"/>
                <w:szCs w:val="20"/>
              </w:rPr>
              <w:t>8</w:t>
            </w:r>
          </w:p>
        </w:tc>
        <w:tc>
          <w:tcPr>
            <w:tcW w:w="0" w:type="auto"/>
          </w:tcPr>
          <w:p w:rsidR="00984119" w:rsidRPr="00B20052" w:rsidRDefault="00984119" w:rsidP="00B20052">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#4 + clearance test</w:t>
            </w:r>
          </w:p>
        </w:tc>
        <w:tc>
          <w:tcPr>
            <w:tcW w:w="1255"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102.0 (93.5, 115.0)</w:t>
            </w:r>
          </w:p>
        </w:tc>
        <w:tc>
          <w:tcPr>
            <w:tcW w:w="1282"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46.0 (42.8, 48.1)</w:t>
            </w:r>
          </w:p>
        </w:tc>
        <w:tc>
          <w:tcPr>
            <w:tcW w:w="1288"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930.5 (917.0, 939.5)</w:t>
            </w:r>
          </w:p>
        </w:tc>
        <w:tc>
          <w:tcPr>
            <w:tcW w:w="1451"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4673.5 (4549.5, 4780.5)</w:t>
            </w:r>
          </w:p>
        </w:tc>
        <w:tc>
          <w:tcPr>
            <w:tcW w:w="1340"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178.5 (168.5, 191.0)</w:t>
            </w:r>
          </w:p>
        </w:tc>
        <w:tc>
          <w:tcPr>
            <w:tcW w:w="1562"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14265.5 (14040.0, 14658.5)</w:t>
            </w:r>
          </w:p>
        </w:tc>
        <w:tc>
          <w:tcPr>
            <w:tcW w:w="1255"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570.0 (529.0, 597.0)</w:t>
            </w:r>
          </w:p>
        </w:tc>
        <w:tc>
          <w:tcPr>
            <w:tcW w:w="1562"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9445.5 (8541.5, 10191.5)</w:t>
            </w:r>
          </w:p>
        </w:tc>
        <w:tc>
          <w:tcPr>
            <w:tcW w:w="1276"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300.0 (282.0, 317.0)</w:t>
            </w:r>
          </w:p>
        </w:tc>
      </w:tr>
      <w:tr w:rsidR="001657D4" w:rsidRPr="00B20052" w:rsidTr="00BC2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984119">
            <w:pPr>
              <w:jc w:val="center"/>
              <w:rPr>
                <w:rStyle w:val="Emphasis"/>
                <w:rFonts w:cs="Arial"/>
                <w:sz w:val="20"/>
                <w:szCs w:val="20"/>
              </w:rPr>
            </w:pPr>
            <w:r w:rsidRPr="00B20052">
              <w:rPr>
                <w:rStyle w:val="Emphasis"/>
                <w:rFonts w:cs="Arial"/>
                <w:sz w:val="20"/>
                <w:szCs w:val="20"/>
              </w:rPr>
              <w:t>9</w:t>
            </w:r>
          </w:p>
        </w:tc>
        <w:tc>
          <w:tcPr>
            <w:tcW w:w="0" w:type="auto"/>
          </w:tcPr>
          <w:p w:rsidR="00984119" w:rsidRPr="00B20052" w:rsidRDefault="00984119" w:rsidP="00B20052">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#5 + clearance test</w:t>
            </w:r>
          </w:p>
        </w:tc>
        <w:tc>
          <w:tcPr>
            <w:tcW w:w="1255"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107.5 (92.5, 123.0)</w:t>
            </w:r>
          </w:p>
        </w:tc>
        <w:tc>
          <w:tcPr>
            <w:tcW w:w="1282"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43.3 (40.2, 46.1)</w:t>
            </w:r>
          </w:p>
        </w:tc>
        <w:tc>
          <w:tcPr>
            <w:tcW w:w="1288"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919.0 (904.5, 931.5)</w:t>
            </w:r>
          </w:p>
        </w:tc>
        <w:tc>
          <w:tcPr>
            <w:tcW w:w="1451"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4842.5 (4741.0, 4957.0)</w:t>
            </w:r>
          </w:p>
        </w:tc>
        <w:tc>
          <w:tcPr>
            <w:tcW w:w="1340"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181.0 (165.0, 199.0)</w:t>
            </w:r>
          </w:p>
        </w:tc>
        <w:tc>
          <w:tcPr>
            <w:tcW w:w="1562"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14373.5 (14080.0, 14587.5)</w:t>
            </w:r>
          </w:p>
        </w:tc>
        <w:tc>
          <w:tcPr>
            <w:tcW w:w="1255"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551.0 (518.5, 579.0)</w:t>
            </w:r>
          </w:p>
        </w:tc>
        <w:tc>
          <w:tcPr>
            <w:tcW w:w="1562"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10662.0 (9718.0, 11768.5)</w:t>
            </w:r>
          </w:p>
        </w:tc>
        <w:tc>
          <w:tcPr>
            <w:tcW w:w="1276"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317.5 (303.0, 339.0)</w:t>
            </w:r>
          </w:p>
        </w:tc>
      </w:tr>
      <w:tr w:rsidR="00984119" w:rsidRPr="00B20052" w:rsidTr="00BC26DC">
        <w:trPr>
          <w:trHeight w:val="283"/>
        </w:trPr>
        <w:tc>
          <w:tcPr>
            <w:cnfStyle w:val="001000000000" w:firstRow="0" w:lastRow="0" w:firstColumn="1" w:lastColumn="0" w:oddVBand="0" w:evenVBand="0" w:oddHBand="0" w:evenHBand="0" w:firstRowFirstColumn="0" w:firstRowLastColumn="0" w:lastRowFirstColumn="0" w:lastRowLastColumn="0"/>
            <w:tcW w:w="0" w:type="auto"/>
            <w:gridSpan w:val="11"/>
          </w:tcPr>
          <w:p w:rsidR="00984119" w:rsidRPr="00B20052" w:rsidRDefault="00984119" w:rsidP="00B20052">
            <w:pPr>
              <w:rPr>
                <w:rStyle w:val="Emphasis"/>
                <w:rFonts w:cs="Arial"/>
                <w:b w:val="0"/>
                <w:sz w:val="20"/>
                <w:szCs w:val="20"/>
              </w:rPr>
            </w:pPr>
            <w:r w:rsidRPr="00B20052">
              <w:rPr>
                <w:rStyle w:val="Emphasis"/>
                <w:rFonts w:cs="Arial"/>
                <w:b w:val="0"/>
                <w:sz w:val="20"/>
                <w:szCs w:val="20"/>
              </w:rPr>
              <w:t>With lockdown</w:t>
            </w:r>
          </w:p>
        </w:tc>
      </w:tr>
      <w:tr w:rsidR="001657D4" w:rsidRPr="00B20052" w:rsidTr="00BC2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984119">
            <w:pPr>
              <w:jc w:val="center"/>
              <w:rPr>
                <w:rStyle w:val="Emphasis"/>
                <w:rFonts w:cs="Arial"/>
                <w:sz w:val="20"/>
                <w:szCs w:val="20"/>
              </w:rPr>
            </w:pPr>
            <w:r w:rsidRPr="00B20052">
              <w:rPr>
                <w:rStyle w:val="Emphasis"/>
                <w:rFonts w:cs="Arial"/>
                <w:sz w:val="20"/>
                <w:szCs w:val="20"/>
              </w:rPr>
              <w:t>10</w:t>
            </w:r>
          </w:p>
        </w:tc>
        <w:tc>
          <w:tcPr>
            <w:tcW w:w="0" w:type="auto"/>
          </w:tcPr>
          <w:p w:rsidR="00984119" w:rsidRPr="00B20052" w:rsidRDefault="00984119" w:rsidP="00B20052">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 + full lockdown</w:t>
            </w:r>
          </w:p>
        </w:tc>
        <w:tc>
          <w:tcPr>
            <w:tcW w:w="1255"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238.0 (38.5, 278.3)</w:t>
            </w:r>
          </w:p>
        </w:tc>
        <w:tc>
          <w:tcPr>
            <w:tcW w:w="1282"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12.6 (9.7, 15.6)</w:t>
            </w:r>
          </w:p>
        </w:tc>
        <w:tc>
          <w:tcPr>
            <w:tcW w:w="1288"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829.0 (712.0, 866.5)</w:t>
            </w:r>
          </w:p>
        </w:tc>
        <w:tc>
          <w:tcPr>
            <w:tcW w:w="1451"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3927.5 (3434.5, 4156.0)</w:t>
            </w:r>
          </w:p>
        </w:tc>
        <w:tc>
          <w:tcPr>
            <w:tcW w:w="1340"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190.5 (139.0, 250.0)</w:t>
            </w:r>
          </w:p>
        </w:tc>
        <w:tc>
          <w:tcPr>
            <w:tcW w:w="1562"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2909.0 (2297.0, 3189.5)</w:t>
            </w:r>
          </w:p>
        </w:tc>
        <w:tc>
          <w:tcPr>
            <w:tcW w:w="1255"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31.0 (28.0, 33.0)</w:t>
            </w:r>
          </w:p>
        </w:tc>
        <w:tc>
          <w:tcPr>
            <w:tcW w:w="1562"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85283.0 (69397.0, 92022.5)</w:t>
            </w:r>
          </w:p>
        </w:tc>
        <w:tc>
          <w:tcPr>
            <w:tcW w:w="1276" w:type="dxa"/>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286.0 (112.0, 452.5)</w:t>
            </w:r>
          </w:p>
        </w:tc>
      </w:tr>
      <w:tr w:rsidR="00984119" w:rsidRPr="00B20052" w:rsidTr="00B20052">
        <w:tc>
          <w:tcPr>
            <w:cnfStyle w:val="001000000000" w:firstRow="0" w:lastRow="0" w:firstColumn="1" w:lastColumn="0" w:oddVBand="0" w:evenVBand="0" w:oddHBand="0" w:evenHBand="0" w:firstRowFirstColumn="0" w:firstRowLastColumn="0" w:lastRowFirstColumn="0" w:lastRowLastColumn="0"/>
            <w:tcW w:w="0" w:type="auto"/>
          </w:tcPr>
          <w:p w:rsidR="00984119" w:rsidRPr="00B20052" w:rsidRDefault="00984119" w:rsidP="00984119">
            <w:pPr>
              <w:jc w:val="center"/>
              <w:rPr>
                <w:rStyle w:val="Emphasis"/>
                <w:rFonts w:cs="Arial"/>
                <w:sz w:val="20"/>
                <w:szCs w:val="20"/>
              </w:rPr>
            </w:pPr>
            <w:r w:rsidRPr="00B20052">
              <w:rPr>
                <w:rStyle w:val="Emphasis"/>
                <w:rFonts w:cs="Arial"/>
                <w:sz w:val="20"/>
                <w:szCs w:val="20"/>
              </w:rPr>
              <w:t>11</w:t>
            </w:r>
          </w:p>
        </w:tc>
        <w:tc>
          <w:tcPr>
            <w:tcW w:w="0" w:type="auto"/>
          </w:tcPr>
          <w:p w:rsidR="00984119" w:rsidRPr="00B20052" w:rsidRDefault="00984119" w:rsidP="00B20052">
            <w:pP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#7 + full lockdown</w:t>
            </w:r>
          </w:p>
        </w:tc>
        <w:tc>
          <w:tcPr>
            <w:tcW w:w="1255"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41.0 (34.3, 72.5)</w:t>
            </w:r>
          </w:p>
        </w:tc>
        <w:tc>
          <w:tcPr>
            <w:tcW w:w="1282"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6.5 (1.6, 12.4)</w:t>
            </w:r>
          </w:p>
        </w:tc>
        <w:tc>
          <w:tcPr>
            <w:tcW w:w="1288"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88.5 (20.0, 432.5)</w:t>
            </w:r>
          </w:p>
        </w:tc>
        <w:tc>
          <w:tcPr>
            <w:tcW w:w="1451"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1402.0 (344.5, 7564.0)</w:t>
            </w:r>
          </w:p>
        </w:tc>
        <w:tc>
          <w:tcPr>
            <w:tcW w:w="1340"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198.0 (67.0, 432.0)</w:t>
            </w:r>
          </w:p>
        </w:tc>
        <w:tc>
          <w:tcPr>
            <w:tcW w:w="1562"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752.0 (197.0, 3703.0)</w:t>
            </w:r>
          </w:p>
        </w:tc>
        <w:tc>
          <w:tcPr>
            <w:tcW w:w="1255"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45.5 (11.5, 103.5)</w:t>
            </w:r>
          </w:p>
        </w:tc>
        <w:tc>
          <w:tcPr>
            <w:tcW w:w="1562"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5253.5 (1660.5, 24531.0)</w:t>
            </w:r>
          </w:p>
        </w:tc>
        <w:tc>
          <w:tcPr>
            <w:tcW w:w="1276" w:type="dxa"/>
          </w:tcPr>
          <w:p w:rsidR="00984119" w:rsidRPr="00B20052" w:rsidRDefault="00984119" w:rsidP="00984119">
            <w:pPr>
              <w:jc w:val="center"/>
              <w:cnfStyle w:val="000000000000" w:firstRow="0" w:lastRow="0" w:firstColumn="0" w:lastColumn="0" w:oddVBand="0" w:evenVBand="0" w:oddHBand="0" w:evenHBand="0" w:firstRowFirstColumn="0" w:firstRowLastColumn="0" w:lastRowFirstColumn="0" w:lastRowLastColumn="0"/>
              <w:rPr>
                <w:rStyle w:val="Emphasis"/>
                <w:rFonts w:cs="Arial"/>
                <w:sz w:val="20"/>
                <w:szCs w:val="20"/>
              </w:rPr>
            </w:pPr>
            <w:r w:rsidRPr="00B20052">
              <w:rPr>
                <w:rStyle w:val="Emphasis"/>
                <w:rFonts w:cs="Arial"/>
                <w:sz w:val="20"/>
                <w:szCs w:val="20"/>
              </w:rPr>
              <w:t>384.0 (118.0, 776.0)</w:t>
            </w:r>
          </w:p>
        </w:tc>
      </w:tr>
      <w:tr w:rsidR="001657D4" w:rsidRPr="00B20052" w:rsidTr="00B200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rsidR="00984119" w:rsidRPr="00B20052" w:rsidRDefault="00984119" w:rsidP="00984119">
            <w:pPr>
              <w:jc w:val="center"/>
              <w:rPr>
                <w:rStyle w:val="Emphasis"/>
                <w:rFonts w:cs="Arial"/>
                <w:sz w:val="20"/>
                <w:szCs w:val="20"/>
              </w:rPr>
            </w:pPr>
            <w:r w:rsidRPr="00B20052">
              <w:rPr>
                <w:rStyle w:val="Emphasis"/>
                <w:rFonts w:cs="Arial"/>
                <w:sz w:val="20"/>
                <w:szCs w:val="20"/>
              </w:rPr>
              <w:t>12</w:t>
            </w:r>
          </w:p>
        </w:tc>
        <w:tc>
          <w:tcPr>
            <w:tcW w:w="0" w:type="auto"/>
            <w:tcBorders>
              <w:bottom w:val="single" w:sz="4" w:space="0" w:color="auto"/>
            </w:tcBorders>
          </w:tcPr>
          <w:p w:rsidR="00984119" w:rsidRPr="00B20052" w:rsidRDefault="00984119" w:rsidP="00B20052">
            <w:pP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#11 + clearance test for lockdown</w:t>
            </w:r>
          </w:p>
        </w:tc>
        <w:tc>
          <w:tcPr>
            <w:tcW w:w="1255" w:type="dxa"/>
            <w:tcBorders>
              <w:bottom w:val="single" w:sz="4" w:space="0" w:color="auto"/>
            </w:tcBorders>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35.5 (29.5, 39.0)</w:t>
            </w:r>
          </w:p>
        </w:tc>
        <w:tc>
          <w:tcPr>
            <w:tcW w:w="1282" w:type="dxa"/>
            <w:tcBorders>
              <w:bottom w:val="single" w:sz="4" w:space="0" w:color="auto"/>
            </w:tcBorders>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3.1 (0.9, 5.2)</w:t>
            </w:r>
          </w:p>
        </w:tc>
        <w:tc>
          <w:tcPr>
            <w:tcW w:w="1288" w:type="dxa"/>
            <w:tcBorders>
              <w:bottom w:val="single" w:sz="4" w:space="0" w:color="auto"/>
            </w:tcBorders>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35.0 (9.0, 62.5)</w:t>
            </w:r>
          </w:p>
        </w:tc>
        <w:tc>
          <w:tcPr>
            <w:tcW w:w="1451" w:type="dxa"/>
            <w:tcBorders>
              <w:bottom w:val="single" w:sz="4" w:space="0" w:color="auto"/>
            </w:tcBorders>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2498.0 (2169.5, 2823.5)</w:t>
            </w:r>
          </w:p>
        </w:tc>
        <w:tc>
          <w:tcPr>
            <w:tcW w:w="1340" w:type="dxa"/>
            <w:tcBorders>
              <w:bottom w:val="single" w:sz="4" w:space="0" w:color="auto"/>
            </w:tcBorders>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1000.0 (1000.0, 1000.0)</w:t>
            </w:r>
          </w:p>
        </w:tc>
        <w:tc>
          <w:tcPr>
            <w:tcW w:w="1562" w:type="dxa"/>
            <w:tcBorders>
              <w:bottom w:val="single" w:sz="4" w:space="0" w:color="auto"/>
            </w:tcBorders>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420.5 (128.0, 735.5)</w:t>
            </w:r>
          </w:p>
        </w:tc>
        <w:tc>
          <w:tcPr>
            <w:tcW w:w="1255" w:type="dxa"/>
            <w:tcBorders>
              <w:bottom w:val="single" w:sz="4" w:space="0" w:color="auto"/>
            </w:tcBorders>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29.5 (8.0, 52.5)</w:t>
            </w:r>
          </w:p>
        </w:tc>
        <w:tc>
          <w:tcPr>
            <w:tcW w:w="1562" w:type="dxa"/>
            <w:tcBorders>
              <w:bottom w:val="single" w:sz="4" w:space="0" w:color="auto"/>
            </w:tcBorders>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3469.0 (1431.5, 5602.5)</w:t>
            </w:r>
          </w:p>
        </w:tc>
        <w:tc>
          <w:tcPr>
            <w:tcW w:w="1276" w:type="dxa"/>
            <w:tcBorders>
              <w:bottom w:val="single" w:sz="4" w:space="0" w:color="auto"/>
            </w:tcBorders>
          </w:tcPr>
          <w:p w:rsidR="00984119" w:rsidRPr="00B20052" w:rsidRDefault="00984119" w:rsidP="00984119">
            <w:pPr>
              <w:jc w:val="center"/>
              <w:cnfStyle w:val="000000100000" w:firstRow="0" w:lastRow="0" w:firstColumn="0" w:lastColumn="0" w:oddVBand="0" w:evenVBand="0" w:oddHBand="1" w:evenHBand="0" w:firstRowFirstColumn="0" w:firstRowLastColumn="0" w:lastRowFirstColumn="0" w:lastRowLastColumn="0"/>
              <w:rPr>
                <w:rStyle w:val="Emphasis"/>
                <w:rFonts w:cs="Arial"/>
                <w:sz w:val="20"/>
                <w:szCs w:val="20"/>
              </w:rPr>
            </w:pPr>
            <w:r w:rsidRPr="00B20052">
              <w:rPr>
                <w:rStyle w:val="Emphasis"/>
                <w:rFonts w:cs="Arial"/>
                <w:sz w:val="20"/>
                <w:szCs w:val="20"/>
              </w:rPr>
              <w:t>286.0 (112.0, 452.5)</w:t>
            </w:r>
          </w:p>
        </w:tc>
      </w:tr>
    </w:tbl>
    <w:p w:rsidR="007414F1" w:rsidRDefault="007414F1" w:rsidP="0075224C">
      <w:pPr>
        <w:rPr>
          <w:sz w:val="22"/>
          <w:szCs w:val="22"/>
        </w:rPr>
      </w:pPr>
    </w:p>
    <w:p w:rsidR="007414F1" w:rsidRDefault="007414F1" w:rsidP="007414F1">
      <w:pPr>
        <w:spacing w:before="0" w:after="0"/>
        <w:rPr>
          <w:sz w:val="22"/>
          <w:szCs w:val="22"/>
        </w:rPr>
        <w:sectPr w:rsidR="007414F1" w:rsidSect="0075224C">
          <w:headerReference w:type="default" r:id="rId29"/>
          <w:pgSz w:w="16820" w:h="11900" w:orient="landscape"/>
          <w:pgMar w:top="1440" w:right="1440" w:bottom="1440" w:left="1440" w:header="708" w:footer="708" w:gutter="0"/>
          <w:cols w:space="708"/>
          <w:docGrid w:linePitch="360"/>
        </w:sectPr>
      </w:pPr>
      <w:r>
        <w:rPr>
          <w:sz w:val="22"/>
          <w:szCs w:val="22"/>
        </w:rPr>
        <w:br w:type="page"/>
      </w:r>
    </w:p>
    <w:p w:rsidR="00AA39C5" w:rsidRPr="00C553CC" w:rsidRDefault="007414F1" w:rsidP="007414F1">
      <w:pPr>
        <w:rPr>
          <w:sz w:val="22"/>
          <w:szCs w:val="22"/>
        </w:rPr>
      </w:pPr>
      <w:r>
        <w:rPr>
          <w:noProof/>
          <w:sz w:val="22"/>
          <w:szCs w:val="22"/>
          <w:lang w:eastAsia="en-AU"/>
        </w:rPr>
        <w:drawing>
          <wp:anchor distT="0" distB="0" distL="114300" distR="114300" simplePos="0" relativeHeight="251659264" behindDoc="1" locked="0" layoutInCell="1" allowOverlap="1" wp14:anchorId="4DCADCD1" wp14:editId="2B829850">
            <wp:simplePos x="0" y="0"/>
            <wp:positionH relativeFrom="page">
              <wp:posOffset>0</wp:posOffset>
            </wp:positionH>
            <wp:positionV relativeFrom="page">
              <wp:posOffset>0</wp:posOffset>
            </wp:positionV>
            <wp:extent cx="7560000" cy="10692000"/>
            <wp:effectExtent l="0" t="0" r="3175" b="0"/>
            <wp:wrapTight wrapText="bothSides">
              <wp:wrapPolygon edited="0">
                <wp:start x="0" y="0"/>
                <wp:lineTo x="0" y="21553"/>
                <wp:lineTo x="21555" y="21553"/>
                <wp:lineTo x="21555" y="0"/>
                <wp:lineTo x="0" y="0"/>
              </wp:wrapPolygon>
            </wp:wrapTight>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000307 - Remote Communities HCW Report Template V2 - Bac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AA39C5" w:rsidRPr="00C553CC" w:rsidSect="007414F1">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B88" w:rsidRDefault="00D70B88" w:rsidP="003B6BCB">
      <w:r>
        <w:separator/>
      </w:r>
    </w:p>
  </w:endnote>
  <w:endnote w:type="continuationSeparator" w:id="0">
    <w:p w:rsidR="00D70B88" w:rsidRDefault="00D70B88" w:rsidP="003B6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78030197"/>
      <w:docPartObj>
        <w:docPartGallery w:val="Page Numbers (Bottom of Page)"/>
        <w:docPartUnique/>
      </w:docPartObj>
    </w:sdtPr>
    <w:sdtEndPr>
      <w:rPr>
        <w:rStyle w:val="PageNumber"/>
      </w:rPr>
    </w:sdtEndPr>
    <w:sdtContent>
      <w:p w:rsidR="00FE63DA" w:rsidRDefault="00FE63DA" w:rsidP="003B6B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26DC">
          <w:rPr>
            <w:rStyle w:val="PageNumber"/>
            <w:noProof/>
          </w:rPr>
          <w:t>18</w:t>
        </w:r>
        <w:r>
          <w:rPr>
            <w:rStyle w:val="PageNumber"/>
          </w:rPr>
          <w:fldChar w:fldCharType="end"/>
        </w:r>
      </w:p>
    </w:sdtContent>
  </w:sdt>
  <w:p w:rsidR="00FE63DA" w:rsidRDefault="00FE63DA" w:rsidP="009174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31301540"/>
      <w:docPartObj>
        <w:docPartGallery w:val="Page Numbers (Bottom of Page)"/>
        <w:docPartUnique/>
      </w:docPartObj>
    </w:sdtPr>
    <w:sdtEndPr>
      <w:rPr>
        <w:rStyle w:val="PageNumber"/>
      </w:rPr>
    </w:sdtEndPr>
    <w:sdtContent>
      <w:p w:rsidR="00FE63DA" w:rsidRDefault="00FE63DA" w:rsidP="003B6B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46390">
          <w:rPr>
            <w:rStyle w:val="PageNumber"/>
            <w:noProof/>
          </w:rPr>
          <w:t>2</w:t>
        </w:r>
        <w:r>
          <w:rPr>
            <w:rStyle w:val="PageNumber"/>
          </w:rPr>
          <w:fldChar w:fldCharType="end"/>
        </w:r>
      </w:p>
    </w:sdtContent>
  </w:sdt>
  <w:p w:rsidR="00FE63DA" w:rsidRDefault="00FE63DA" w:rsidP="00ED6B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B88" w:rsidRDefault="00D70B88" w:rsidP="003B6BCB">
      <w:r>
        <w:separator/>
      </w:r>
    </w:p>
  </w:footnote>
  <w:footnote w:type="continuationSeparator" w:id="0">
    <w:p w:rsidR="00D70B88" w:rsidRDefault="00D70B88" w:rsidP="003B6BCB">
      <w:r>
        <w:continuationSeparator/>
      </w:r>
    </w:p>
  </w:footnote>
  <w:footnote w:id="1">
    <w:p w:rsidR="00FE63DA" w:rsidRPr="000858A3" w:rsidRDefault="00FE63DA" w:rsidP="0075224C">
      <w:pPr>
        <w:pStyle w:val="FootnoteText"/>
      </w:pPr>
      <w:r>
        <w:rPr>
          <w:rStyle w:val="FootnoteReference"/>
        </w:rPr>
        <w:footnoteRef/>
      </w:r>
      <w:r>
        <w:t xml:space="preserve"> At the time of writing, COVID-19 is a new disease and estimation on R</w:t>
      </w:r>
      <w:r w:rsidRPr="00D45852">
        <w:rPr>
          <w:vertAlign w:val="subscript"/>
        </w:rPr>
        <w:t>0</w:t>
      </w:r>
      <w:r>
        <w:t xml:space="preserve"> is limited. Early study from Wuhan (where COVID-19 was first identified) suggested R</w:t>
      </w:r>
      <w:r w:rsidRPr="00D45852">
        <w:rPr>
          <w:vertAlign w:val="subscript"/>
        </w:rPr>
        <w:t>0</w:t>
      </w:r>
      <w:r>
        <w:t xml:space="preserve"> between 1.4 – 5.7. We have taken the upper end of this estimate as the typical household size in remote communities (7.7) is larger than those in China (3.03).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3DA" w:rsidRDefault="00FE63DA">
    <w:pPr>
      <w:pStyle w:val="Header"/>
    </w:pPr>
    <w:r>
      <w:rPr>
        <w:noProof/>
        <w:lang w:eastAsia="en-AU"/>
      </w:rPr>
      <w:drawing>
        <wp:anchor distT="0" distB="0" distL="114300" distR="114300" simplePos="0" relativeHeight="251658240" behindDoc="1" locked="0" layoutInCell="1" allowOverlap="1" wp14:anchorId="5F667844" wp14:editId="19FC73BB">
          <wp:simplePos x="0" y="0"/>
          <wp:positionH relativeFrom="column">
            <wp:posOffset>4473575</wp:posOffset>
          </wp:positionH>
          <wp:positionV relativeFrom="paragraph">
            <wp:posOffset>-69537</wp:posOffset>
          </wp:positionV>
          <wp:extent cx="1998664" cy="360000"/>
          <wp:effectExtent l="0" t="0" r="1905"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COVIDSAFE black bull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8664" cy="36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6DC" w:rsidRDefault="00BC26DC">
    <w:pPr>
      <w:pStyle w:val="Header"/>
    </w:pPr>
    <w:r>
      <w:rPr>
        <w:noProof/>
        <w:lang w:eastAsia="en-AU"/>
      </w:rPr>
      <w:drawing>
        <wp:anchor distT="0" distB="0" distL="114300" distR="114300" simplePos="0" relativeHeight="251660288" behindDoc="1" locked="0" layoutInCell="1" allowOverlap="1" wp14:anchorId="0D56ECF6" wp14:editId="2424952D">
          <wp:simplePos x="0" y="0"/>
          <wp:positionH relativeFrom="column">
            <wp:posOffset>7244496</wp:posOffset>
          </wp:positionH>
          <wp:positionV relativeFrom="paragraph">
            <wp:posOffset>-131445</wp:posOffset>
          </wp:positionV>
          <wp:extent cx="1998664" cy="360000"/>
          <wp:effectExtent l="0" t="0" r="1905"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COVIDSAFE black bull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8664" cy="36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66873"/>
    <w:multiLevelType w:val="hybridMultilevel"/>
    <w:tmpl w:val="B6709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BA188F"/>
    <w:multiLevelType w:val="hybridMultilevel"/>
    <w:tmpl w:val="16B2F4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A61F3C"/>
    <w:multiLevelType w:val="hybridMultilevel"/>
    <w:tmpl w:val="EBAE31C2"/>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40F0BEB"/>
    <w:multiLevelType w:val="hybridMultilevel"/>
    <w:tmpl w:val="DD12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553280"/>
    <w:multiLevelType w:val="hybridMultilevel"/>
    <w:tmpl w:val="2F042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CA3353"/>
    <w:multiLevelType w:val="multilevel"/>
    <w:tmpl w:val="895A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F067A0"/>
    <w:multiLevelType w:val="hybridMultilevel"/>
    <w:tmpl w:val="4B7C3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B5778C"/>
    <w:multiLevelType w:val="hybridMultilevel"/>
    <w:tmpl w:val="1E64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B13202"/>
    <w:multiLevelType w:val="hybridMultilevel"/>
    <w:tmpl w:val="2DE4FC1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980" w:hanging="36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5193455"/>
    <w:multiLevelType w:val="hybridMultilevel"/>
    <w:tmpl w:val="B23C3270"/>
    <w:lvl w:ilvl="0" w:tplc="00E48B3A">
      <w:start w:val="1"/>
      <w:numFmt w:val="bullet"/>
      <w:pStyle w:val="ListParagraph"/>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74FF21F3"/>
    <w:multiLevelType w:val="hybridMultilevel"/>
    <w:tmpl w:val="2662F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C8E3427"/>
    <w:multiLevelType w:val="hybridMultilevel"/>
    <w:tmpl w:val="CB92536A"/>
    <w:lvl w:ilvl="0" w:tplc="0C090001">
      <w:start w:val="1"/>
      <w:numFmt w:val="bullet"/>
      <w:lvlText w:val=""/>
      <w:lvlJc w:val="left"/>
      <w:pPr>
        <w:ind w:left="1800" w:hanging="360"/>
      </w:pPr>
      <w:rPr>
        <w:rFonts w:ascii="Symbol" w:hAnsi="Symbol" w:hint="default"/>
      </w:rPr>
    </w:lvl>
    <w:lvl w:ilvl="1" w:tplc="0C09000F">
      <w:start w:val="1"/>
      <w:numFmt w:val="decimal"/>
      <w:lvlText w:val="%2."/>
      <w:lvlJc w:val="left"/>
      <w:pPr>
        <w:ind w:left="2520" w:hanging="360"/>
      </w:pPr>
      <w:rPr>
        <w:rFont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
  </w:num>
  <w:num w:numId="2">
    <w:abstractNumId w:val="8"/>
  </w:num>
  <w:num w:numId="3">
    <w:abstractNumId w:val="11"/>
  </w:num>
  <w:num w:numId="4">
    <w:abstractNumId w:val="5"/>
  </w:num>
  <w:num w:numId="5">
    <w:abstractNumId w:val="0"/>
  </w:num>
  <w:num w:numId="6">
    <w:abstractNumId w:val="4"/>
  </w:num>
  <w:num w:numId="7">
    <w:abstractNumId w:val="2"/>
  </w:num>
  <w:num w:numId="8">
    <w:abstractNumId w:val="10"/>
  </w:num>
  <w:num w:numId="9">
    <w:abstractNumId w:val="6"/>
  </w:num>
  <w:num w:numId="10">
    <w:abstractNumId w:val="7"/>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rzpv9pv25wrded5p0p0xfosad09td55r0p&quot;&gt;BH-Converted&lt;record-ids&gt;&lt;item&gt;120&lt;/item&gt;&lt;item&gt;6703&lt;/item&gt;&lt;item&gt;6704&lt;/item&gt;&lt;item&gt;6706&lt;/item&gt;&lt;item&gt;6725&lt;/item&gt;&lt;item&gt;6726&lt;/item&gt;&lt;item&gt;6745&lt;/item&gt;&lt;item&gt;6746&lt;/item&gt;&lt;item&gt;6747&lt;/item&gt;&lt;item&gt;6749&lt;/item&gt;&lt;/record-ids&gt;&lt;/item&gt;&lt;/Libraries&gt;"/>
  </w:docVars>
  <w:rsids>
    <w:rsidRoot w:val="00391713"/>
    <w:rsid w:val="00004E7A"/>
    <w:rsid w:val="00007D63"/>
    <w:rsid w:val="00023C46"/>
    <w:rsid w:val="00023ED6"/>
    <w:rsid w:val="00024A78"/>
    <w:rsid w:val="00025C91"/>
    <w:rsid w:val="00027265"/>
    <w:rsid w:val="000332C2"/>
    <w:rsid w:val="000350E8"/>
    <w:rsid w:val="0003617B"/>
    <w:rsid w:val="00037564"/>
    <w:rsid w:val="00042591"/>
    <w:rsid w:val="00043C4B"/>
    <w:rsid w:val="00043CB8"/>
    <w:rsid w:val="00046688"/>
    <w:rsid w:val="00054968"/>
    <w:rsid w:val="000637BB"/>
    <w:rsid w:val="00063EB3"/>
    <w:rsid w:val="00067F8E"/>
    <w:rsid w:val="00075A46"/>
    <w:rsid w:val="00076776"/>
    <w:rsid w:val="00081873"/>
    <w:rsid w:val="00085E56"/>
    <w:rsid w:val="00090107"/>
    <w:rsid w:val="000909FE"/>
    <w:rsid w:val="000A093A"/>
    <w:rsid w:val="000A5097"/>
    <w:rsid w:val="000A71CC"/>
    <w:rsid w:val="000A7FEC"/>
    <w:rsid w:val="000B337F"/>
    <w:rsid w:val="000B6290"/>
    <w:rsid w:val="000C3FC5"/>
    <w:rsid w:val="000D5E5B"/>
    <w:rsid w:val="000E54AA"/>
    <w:rsid w:val="000F61F1"/>
    <w:rsid w:val="000F7B1F"/>
    <w:rsid w:val="000F7E46"/>
    <w:rsid w:val="001011C4"/>
    <w:rsid w:val="00101929"/>
    <w:rsid w:val="001024A6"/>
    <w:rsid w:val="00103A22"/>
    <w:rsid w:val="00105CD6"/>
    <w:rsid w:val="00113B24"/>
    <w:rsid w:val="00116F31"/>
    <w:rsid w:val="001269DF"/>
    <w:rsid w:val="00136C9E"/>
    <w:rsid w:val="00141762"/>
    <w:rsid w:val="00143BD7"/>
    <w:rsid w:val="001467A6"/>
    <w:rsid w:val="001476E2"/>
    <w:rsid w:val="00157C63"/>
    <w:rsid w:val="001657D4"/>
    <w:rsid w:val="00166A00"/>
    <w:rsid w:val="00173E04"/>
    <w:rsid w:val="00183E48"/>
    <w:rsid w:val="0019548B"/>
    <w:rsid w:val="00195758"/>
    <w:rsid w:val="00195899"/>
    <w:rsid w:val="001A4245"/>
    <w:rsid w:val="001B0D77"/>
    <w:rsid w:val="001B328B"/>
    <w:rsid w:val="001B33F2"/>
    <w:rsid w:val="001B63B8"/>
    <w:rsid w:val="001C2B36"/>
    <w:rsid w:val="001C521D"/>
    <w:rsid w:val="001E42C5"/>
    <w:rsid w:val="001E4725"/>
    <w:rsid w:val="001E568F"/>
    <w:rsid w:val="001F30A2"/>
    <w:rsid w:val="001F460E"/>
    <w:rsid w:val="0020069F"/>
    <w:rsid w:val="00202AF8"/>
    <w:rsid w:val="002034F3"/>
    <w:rsid w:val="00203CDA"/>
    <w:rsid w:val="002056CC"/>
    <w:rsid w:val="00207E9E"/>
    <w:rsid w:val="00207EC0"/>
    <w:rsid w:val="002117B4"/>
    <w:rsid w:val="0021694E"/>
    <w:rsid w:val="002179A4"/>
    <w:rsid w:val="0023425A"/>
    <w:rsid w:val="002344F9"/>
    <w:rsid w:val="002476E7"/>
    <w:rsid w:val="00247852"/>
    <w:rsid w:val="002535A9"/>
    <w:rsid w:val="0025361A"/>
    <w:rsid w:val="002604F0"/>
    <w:rsid w:val="002637D1"/>
    <w:rsid w:val="00266389"/>
    <w:rsid w:val="002701FD"/>
    <w:rsid w:val="00270873"/>
    <w:rsid w:val="002720C1"/>
    <w:rsid w:val="00292F52"/>
    <w:rsid w:val="002A1FBF"/>
    <w:rsid w:val="002B15E7"/>
    <w:rsid w:val="002B1B64"/>
    <w:rsid w:val="002B3597"/>
    <w:rsid w:val="002C1F62"/>
    <w:rsid w:val="002C6710"/>
    <w:rsid w:val="002D2C56"/>
    <w:rsid w:val="002D5D1E"/>
    <w:rsid w:val="002D5E0D"/>
    <w:rsid w:val="002E6558"/>
    <w:rsid w:val="002F0672"/>
    <w:rsid w:val="002F56E7"/>
    <w:rsid w:val="003001FA"/>
    <w:rsid w:val="00300C99"/>
    <w:rsid w:val="00302B98"/>
    <w:rsid w:val="003059D6"/>
    <w:rsid w:val="00311440"/>
    <w:rsid w:val="00316A1C"/>
    <w:rsid w:val="00317664"/>
    <w:rsid w:val="00321384"/>
    <w:rsid w:val="003269B3"/>
    <w:rsid w:val="00332F06"/>
    <w:rsid w:val="00340AF1"/>
    <w:rsid w:val="00342A3D"/>
    <w:rsid w:val="00342CC6"/>
    <w:rsid w:val="003431D3"/>
    <w:rsid w:val="003444C0"/>
    <w:rsid w:val="00345BC4"/>
    <w:rsid w:val="00346390"/>
    <w:rsid w:val="003512D7"/>
    <w:rsid w:val="00353D53"/>
    <w:rsid w:val="003566C9"/>
    <w:rsid w:val="0037080F"/>
    <w:rsid w:val="003716FD"/>
    <w:rsid w:val="00371730"/>
    <w:rsid w:val="00372685"/>
    <w:rsid w:val="0037277F"/>
    <w:rsid w:val="003763D6"/>
    <w:rsid w:val="00377C57"/>
    <w:rsid w:val="0038218E"/>
    <w:rsid w:val="00386D8F"/>
    <w:rsid w:val="00387149"/>
    <w:rsid w:val="00391713"/>
    <w:rsid w:val="00392EF7"/>
    <w:rsid w:val="00393746"/>
    <w:rsid w:val="003A6C87"/>
    <w:rsid w:val="003B0101"/>
    <w:rsid w:val="003B6BCB"/>
    <w:rsid w:val="003C2FDD"/>
    <w:rsid w:val="003C7695"/>
    <w:rsid w:val="003D583F"/>
    <w:rsid w:val="003E6771"/>
    <w:rsid w:val="003F03BD"/>
    <w:rsid w:val="003F6CF3"/>
    <w:rsid w:val="00421B3E"/>
    <w:rsid w:val="00422F92"/>
    <w:rsid w:val="00424FEE"/>
    <w:rsid w:val="004267DE"/>
    <w:rsid w:val="004340CF"/>
    <w:rsid w:val="00436DC4"/>
    <w:rsid w:val="00441CFF"/>
    <w:rsid w:val="00446FCA"/>
    <w:rsid w:val="004474B0"/>
    <w:rsid w:val="00451F8D"/>
    <w:rsid w:val="004551FA"/>
    <w:rsid w:val="00464224"/>
    <w:rsid w:val="00470D52"/>
    <w:rsid w:val="00472BC6"/>
    <w:rsid w:val="00473646"/>
    <w:rsid w:val="00482F9F"/>
    <w:rsid w:val="0048399B"/>
    <w:rsid w:val="00483C91"/>
    <w:rsid w:val="00485115"/>
    <w:rsid w:val="004934C9"/>
    <w:rsid w:val="00494572"/>
    <w:rsid w:val="004971BC"/>
    <w:rsid w:val="004A2422"/>
    <w:rsid w:val="004A3A29"/>
    <w:rsid w:val="004A6548"/>
    <w:rsid w:val="004B6765"/>
    <w:rsid w:val="004C085F"/>
    <w:rsid w:val="004C3F9F"/>
    <w:rsid w:val="004C4059"/>
    <w:rsid w:val="004D617B"/>
    <w:rsid w:val="004E0C8E"/>
    <w:rsid w:val="004E366B"/>
    <w:rsid w:val="004F1CDC"/>
    <w:rsid w:val="004F355D"/>
    <w:rsid w:val="004F7A60"/>
    <w:rsid w:val="0050126B"/>
    <w:rsid w:val="00502A00"/>
    <w:rsid w:val="005168C1"/>
    <w:rsid w:val="00520113"/>
    <w:rsid w:val="00520C62"/>
    <w:rsid w:val="005218E3"/>
    <w:rsid w:val="00523855"/>
    <w:rsid w:val="00526E74"/>
    <w:rsid w:val="00532F06"/>
    <w:rsid w:val="00534622"/>
    <w:rsid w:val="00546618"/>
    <w:rsid w:val="00546DFC"/>
    <w:rsid w:val="005473DD"/>
    <w:rsid w:val="005509DA"/>
    <w:rsid w:val="005546BE"/>
    <w:rsid w:val="00571EC8"/>
    <w:rsid w:val="00574DF3"/>
    <w:rsid w:val="00575C9D"/>
    <w:rsid w:val="00583271"/>
    <w:rsid w:val="005A5610"/>
    <w:rsid w:val="005A74CE"/>
    <w:rsid w:val="005B1006"/>
    <w:rsid w:val="005B122D"/>
    <w:rsid w:val="005B1D36"/>
    <w:rsid w:val="005C62CB"/>
    <w:rsid w:val="005D1D3A"/>
    <w:rsid w:val="005D27E1"/>
    <w:rsid w:val="005D2F7C"/>
    <w:rsid w:val="005D3F78"/>
    <w:rsid w:val="005D5F7C"/>
    <w:rsid w:val="005E184A"/>
    <w:rsid w:val="005E2561"/>
    <w:rsid w:val="005F1F88"/>
    <w:rsid w:val="005F4EA5"/>
    <w:rsid w:val="005F6FCE"/>
    <w:rsid w:val="00600273"/>
    <w:rsid w:val="00611115"/>
    <w:rsid w:val="006243CA"/>
    <w:rsid w:val="00631442"/>
    <w:rsid w:val="00634244"/>
    <w:rsid w:val="00634C26"/>
    <w:rsid w:val="006361E6"/>
    <w:rsid w:val="00641427"/>
    <w:rsid w:val="00651DF9"/>
    <w:rsid w:val="006526A6"/>
    <w:rsid w:val="006557D2"/>
    <w:rsid w:val="00663AFE"/>
    <w:rsid w:val="0067011F"/>
    <w:rsid w:val="00670460"/>
    <w:rsid w:val="00674E56"/>
    <w:rsid w:val="00686894"/>
    <w:rsid w:val="006926BA"/>
    <w:rsid w:val="006A6AA5"/>
    <w:rsid w:val="006B2149"/>
    <w:rsid w:val="006B6497"/>
    <w:rsid w:val="006C61DB"/>
    <w:rsid w:val="006C6CC4"/>
    <w:rsid w:val="006C6E1A"/>
    <w:rsid w:val="006D011E"/>
    <w:rsid w:val="006D0A24"/>
    <w:rsid w:val="006D1D86"/>
    <w:rsid w:val="006D2C65"/>
    <w:rsid w:val="006E2213"/>
    <w:rsid w:val="006E2DFA"/>
    <w:rsid w:val="006E4CE7"/>
    <w:rsid w:val="006F241A"/>
    <w:rsid w:val="00700AA7"/>
    <w:rsid w:val="007108EA"/>
    <w:rsid w:val="007112B1"/>
    <w:rsid w:val="00713F4C"/>
    <w:rsid w:val="0071689B"/>
    <w:rsid w:val="00723264"/>
    <w:rsid w:val="007247BE"/>
    <w:rsid w:val="007250FF"/>
    <w:rsid w:val="0072747F"/>
    <w:rsid w:val="007335BF"/>
    <w:rsid w:val="0073414A"/>
    <w:rsid w:val="007414F1"/>
    <w:rsid w:val="00743A5F"/>
    <w:rsid w:val="00744F64"/>
    <w:rsid w:val="007514C7"/>
    <w:rsid w:val="0075224C"/>
    <w:rsid w:val="00753C8B"/>
    <w:rsid w:val="00756CB5"/>
    <w:rsid w:val="0075745E"/>
    <w:rsid w:val="0076527D"/>
    <w:rsid w:val="00780563"/>
    <w:rsid w:val="007852F7"/>
    <w:rsid w:val="00785FB3"/>
    <w:rsid w:val="00794F4F"/>
    <w:rsid w:val="007A0616"/>
    <w:rsid w:val="007C3253"/>
    <w:rsid w:val="007C42D0"/>
    <w:rsid w:val="007C5F1A"/>
    <w:rsid w:val="007C6806"/>
    <w:rsid w:val="007D0767"/>
    <w:rsid w:val="007D29D9"/>
    <w:rsid w:val="007D402A"/>
    <w:rsid w:val="007D53FC"/>
    <w:rsid w:val="007E2002"/>
    <w:rsid w:val="007E480C"/>
    <w:rsid w:val="007E5B35"/>
    <w:rsid w:val="007F54AE"/>
    <w:rsid w:val="0080429D"/>
    <w:rsid w:val="008078D8"/>
    <w:rsid w:val="00821809"/>
    <w:rsid w:val="008230AA"/>
    <w:rsid w:val="00833116"/>
    <w:rsid w:val="00835833"/>
    <w:rsid w:val="008536CC"/>
    <w:rsid w:val="00853F89"/>
    <w:rsid w:val="008546AF"/>
    <w:rsid w:val="00861052"/>
    <w:rsid w:val="00863F6E"/>
    <w:rsid w:val="00873B8D"/>
    <w:rsid w:val="00875774"/>
    <w:rsid w:val="00885F92"/>
    <w:rsid w:val="008869D8"/>
    <w:rsid w:val="008973C2"/>
    <w:rsid w:val="008A25C8"/>
    <w:rsid w:val="008B28D6"/>
    <w:rsid w:val="008B6AB9"/>
    <w:rsid w:val="008B765A"/>
    <w:rsid w:val="008C002E"/>
    <w:rsid w:val="008C36E3"/>
    <w:rsid w:val="008C6564"/>
    <w:rsid w:val="008C65AD"/>
    <w:rsid w:val="008E1F44"/>
    <w:rsid w:val="008E3C54"/>
    <w:rsid w:val="008E6A3F"/>
    <w:rsid w:val="00901F3B"/>
    <w:rsid w:val="00903719"/>
    <w:rsid w:val="00903F28"/>
    <w:rsid w:val="00904683"/>
    <w:rsid w:val="00904C90"/>
    <w:rsid w:val="00904E35"/>
    <w:rsid w:val="00905C63"/>
    <w:rsid w:val="00905D7D"/>
    <w:rsid w:val="00906B0F"/>
    <w:rsid w:val="00913AA4"/>
    <w:rsid w:val="0091586E"/>
    <w:rsid w:val="009161B7"/>
    <w:rsid w:val="0091641D"/>
    <w:rsid w:val="009174D7"/>
    <w:rsid w:val="00934258"/>
    <w:rsid w:val="00944B83"/>
    <w:rsid w:val="00944B85"/>
    <w:rsid w:val="00954E3F"/>
    <w:rsid w:val="009568D6"/>
    <w:rsid w:val="00961389"/>
    <w:rsid w:val="009725DA"/>
    <w:rsid w:val="00972CFD"/>
    <w:rsid w:val="0097420A"/>
    <w:rsid w:val="00976B37"/>
    <w:rsid w:val="00976B40"/>
    <w:rsid w:val="00984119"/>
    <w:rsid w:val="00985A06"/>
    <w:rsid w:val="00987D46"/>
    <w:rsid w:val="00995030"/>
    <w:rsid w:val="009A5C1B"/>
    <w:rsid w:val="009B0F3F"/>
    <w:rsid w:val="009B1E6F"/>
    <w:rsid w:val="009B66C3"/>
    <w:rsid w:val="009C020A"/>
    <w:rsid w:val="009C427C"/>
    <w:rsid w:val="009D0064"/>
    <w:rsid w:val="009D1B9D"/>
    <w:rsid w:val="009D605E"/>
    <w:rsid w:val="009D7864"/>
    <w:rsid w:val="009E0F14"/>
    <w:rsid w:val="009E207A"/>
    <w:rsid w:val="009E481F"/>
    <w:rsid w:val="009E626C"/>
    <w:rsid w:val="009E6D56"/>
    <w:rsid w:val="009F03A6"/>
    <w:rsid w:val="009F3A55"/>
    <w:rsid w:val="009F6C7F"/>
    <w:rsid w:val="00A04689"/>
    <w:rsid w:val="00A16465"/>
    <w:rsid w:val="00A2135A"/>
    <w:rsid w:val="00A23D12"/>
    <w:rsid w:val="00A245A7"/>
    <w:rsid w:val="00A27385"/>
    <w:rsid w:val="00A37A99"/>
    <w:rsid w:val="00A51ABD"/>
    <w:rsid w:val="00A53FB6"/>
    <w:rsid w:val="00A55888"/>
    <w:rsid w:val="00A55E68"/>
    <w:rsid w:val="00A55FA0"/>
    <w:rsid w:val="00A62677"/>
    <w:rsid w:val="00A6283D"/>
    <w:rsid w:val="00A70D63"/>
    <w:rsid w:val="00A752A1"/>
    <w:rsid w:val="00A76585"/>
    <w:rsid w:val="00A8180A"/>
    <w:rsid w:val="00A84A2C"/>
    <w:rsid w:val="00A93F18"/>
    <w:rsid w:val="00AA00D4"/>
    <w:rsid w:val="00AA39C5"/>
    <w:rsid w:val="00AA3FD6"/>
    <w:rsid w:val="00AA6030"/>
    <w:rsid w:val="00AA6F88"/>
    <w:rsid w:val="00AB1E30"/>
    <w:rsid w:val="00AB316E"/>
    <w:rsid w:val="00AB6BB9"/>
    <w:rsid w:val="00AC0029"/>
    <w:rsid w:val="00AC422A"/>
    <w:rsid w:val="00AD6825"/>
    <w:rsid w:val="00AD7039"/>
    <w:rsid w:val="00AE0996"/>
    <w:rsid w:val="00AE1A22"/>
    <w:rsid w:val="00AE2E3B"/>
    <w:rsid w:val="00AE300D"/>
    <w:rsid w:val="00AE346B"/>
    <w:rsid w:val="00AE43D1"/>
    <w:rsid w:val="00AF04B9"/>
    <w:rsid w:val="00AF2BD1"/>
    <w:rsid w:val="00AF4AD1"/>
    <w:rsid w:val="00B073EB"/>
    <w:rsid w:val="00B10F9D"/>
    <w:rsid w:val="00B20052"/>
    <w:rsid w:val="00B2155A"/>
    <w:rsid w:val="00B24366"/>
    <w:rsid w:val="00B31ED4"/>
    <w:rsid w:val="00B34BDF"/>
    <w:rsid w:val="00B34D05"/>
    <w:rsid w:val="00B352BF"/>
    <w:rsid w:val="00B4136D"/>
    <w:rsid w:val="00B43A14"/>
    <w:rsid w:val="00B46378"/>
    <w:rsid w:val="00B55FCC"/>
    <w:rsid w:val="00B57011"/>
    <w:rsid w:val="00B66DA9"/>
    <w:rsid w:val="00B7142E"/>
    <w:rsid w:val="00B71FD3"/>
    <w:rsid w:val="00B80737"/>
    <w:rsid w:val="00B80FE1"/>
    <w:rsid w:val="00B83364"/>
    <w:rsid w:val="00B84B92"/>
    <w:rsid w:val="00B8723D"/>
    <w:rsid w:val="00B90E24"/>
    <w:rsid w:val="00BA11BE"/>
    <w:rsid w:val="00BA42F1"/>
    <w:rsid w:val="00BA7098"/>
    <w:rsid w:val="00BB1818"/>
    <w:rsid w:val="00BB2391"/>
    <w:rsid w:val="00BB316B"/>
    <w:rsid w:val="00BB56C0"/>
    <w:rsid w:val="00BC26DC"/>
    <w:rsid w:val="00BC35B3"/>
    <w:rsid w:val="00BD5641"/>
    <w:rsid w:val="00BE0B1B"/>
    <w:rsid w:val="00BE745B"/>
    <w:rsid w:val="00BF105B"/>
    <w:rsid w:val="00BF378A"/>
    <w:rsid w:val="00BF72B6"/>
    <w:rsid w:val="00C02C3F"/>
    <w:rsid w:val="00C02DF1"/>
    <w:rsid w:val="00C02F85"/>
    <w:rsid w:val="00C04749"/>
    <w:rsid w:val="00C04ECF"/>
    <w:rsid w:val="00C057C5"/>
    <w:rsid w:val="00C07176"/>
    <w:rsid w:val="00C07851"/>
    <w:rsid w:val="00C12B78"/>
    <w:rsid w:val="00C24E13"/>
    <w:rsid w:val="00C315C2"/>
    <w:rsid w:val="00C35045"/>
    <w:rsid w:val="00C35719"/>
    <w:rsid w:val="00C3648E"/>
    <w:rsid w:val="00C36B61"/>
    <w:rsid w:val="00C3749C"/>
    <w:rsid w:val="00C4249F"/>
    <w:rsid w:val="00C42A7D"/>
    <w:rsid w:val="00C42AED"/>
    <w:rsid w:val="00C46E2F"/>
    <w:rsid w:val="00C472CB"/>
    <w:rsid w:val="00C5152F"/>
    <w:rsid w:val="00C527E4"/>
    <w:rsid w:val="00C553CC"/>
    <w:rsid w:val="00C714A6"/>
    <w:rsid w:val="00C71E7C"/>
    <w:rsid w:val="00C75439"/>
    <w:rsid w:val="00C801AD"/>
    <w:rsid w:val="00C84529"/>
    <w:rsid w:val="00C87F96"/>
    <w:rsid w:val="00C90CF2"/>
    <w:rsid w:val="00C93568"/>
    <w:rsid w:val="00CA5778"/>
    <w:rsid w:val="00CB120F"/>
    <w:rsid w:val="00CB5A76"/>
    <w:rsid w:val="00CB6CBC"/>
    <w:rsid w:val="00CC05AF"/>
    <w:rsid w:val="00CC2B15"/>
    <w:rsid w:val="00CC3A65"/>
    <w:rsid w:val="00CC4924"/>
    <w:rsid w:val="00CC7208"/>
    <w:rsid w:val="00CD2D70"/>
    <w:rsid w:val="00CD4171"/>
    <w:rsid w:val="00CE18E5"/>
    <w:rsid w:val="00CE2E17"/>
    <w:rsid w:val="00CE322A"/>
    <w:rsid w:val="00CE3A44"/>
    <w:rsid w:val="00CE78EC"/>
    <w:rsid w:val="00CF153C"/>
    <w:rsid w:val="00CF37F8"/>
    <w:rsid w:val="00D0604D"/>
    <w:rsid w:val="00D11B1E"/>
    <w:rsid w:val="00D13F53"/>
    <w:rsid w:val="00D262EB"/>
    <w:rsid w:val="00D275AA"/>
    <w:rsid w:val="00D306B1"/>
    <w:rsid w:val="00D4053D"/>
    <w:rsid w:val="00D42BB0"/>
    <w:rsid w:val="00D46D9A"/>
    <w:rsid w:val="00D50954"/>
    <w:rsid w:val="00D50B9E"/>
    <w:rsid w:val="00D53A6D"/>
    <w:rsid w:val="00D57B41"/>
    <w:rsid w:val="00D63583"/>
    <w:rsid w:val="00D67ECF"/>
    <w:rsid w:val="00D70B88"/>
    <w:rsid w:val="00D83C54"/>
    <w:rsid w:val="00D934FA"/>
    <w:rsid w:val="00D95D91"/>
    <w:rsid w:val="00D96C06"/>
    <w:rsid w:val="00DA30B5"/>
    <w:rsid w:val="00DB0FD4"/>
    <w:rsid w:val="00DB1E2B"/>
    <w:rsid w:val="00DB411F"/>
    <w:rsid w:val="00DB6B2C"/>
    <w:rsid w:val="00DC0A23"/>
    <w:rsid w:val="00DC0D93"/>
    <w:rsid w:val="00DC3B97"/>
    <w:rsid w:val="00DC40E6"/>
    <w:rsid w:val="00DC6B19"/>
    <w:rsid w:val="00DC7EF1"/>
    <w:rsid w:val="00DD010D"/>
    <w:rsid w:val="00DD4A56"/>
    <w:rsid w:val="00DD6317"/>
    <w:rsid w:val="00DE2EF4"/>
    <w:rsid w:val="00DE69D5"/>
    <w:rsid w:val="00DF0A99"/>
    <w:rsid w:val="00DF49F4"/>
    <w:rsid w:val="00DF621E"/>
    <w:rsid w:val="00E00205"/>
    <w:rsid w:val="00E06CD9"/>
    <w:rsid w:val="00E07F7F"/>
    <w:rsid w:val="00E130AE"/>
    <w:rsid w:val="00E16390"/>
    <w:rsid w:val="00E21E01"/>
    <w:rsid w:val="00E25248"/>
    <w:rsid w:val="00E262EE"/>
    <w:rsid w:val="00E27FC3"/>
    <w:rsid w:val="00E31391"/>
    <w:rsid w:val="00E36486"/>
    <w:rsid w:val="00E43C1A"/>
    <w:rsid w:val="00E43DC0"/>
    <w:rsid w:val="00E4500E"/>
    <w:rsid w:val="00E464A1"/>
    <w:rsid w:val="00E639C8"/>
    <w:rsid w:val="00E94C5A"/>
    <w:rsid w:val="00E95998"/>
    <w:rsid w:val="00EA313F"/>
    <w:rsid w:val="00EB76BA"/>
    <w:rsid w:val="00EC19DA"/>
    <w:rsid w:val="00ED0B76"/>
    <w:rsid w:val="00ED6BCC"/>
    <w:rsid w:val="00ED728D"/>
    <w:rsid w:val="00ED7B0D"/>
    <w:rsid w:val="00EE7B8D"/>
    <w:rsid w:val="00F00680"/>
    <w:rsid w:val="00F031D5"/>
    <w:rsid w:val="00F04EF0"/>
    <w:rsid w:val="00F07183"/>
    <w:rsid w:val="00F1369A"/>
    <w:rsid w:val="00F162E3"/>
    <w:rsid w:val="00F16570"/>
    <w:rsid w:val="00F224A6"/>
    <w:rsid w:val="00F22840"/>
    <w:rsid w:val="00F356CA"/>
    <w:rsid w:val="00F44694"/>
    <w:rsid w:val="00F50436"/>
    <w:rsid w:val="00F5047D"/>
    <w:rsid w:val="00F5552A"/>
    <w:rsid w:val="00F562DB"/>
    <w:rsid w:val="00F71C7A"/>
    <w:rsid w:val="00F72537"/>
    <w:rsid w:val="00F82A4A"/>
    <w:rsid w:val="00F850DC"/>
    <w:rsid w:val="00FA0D3C"/>
    <w:rsid w:val="00FA3AC2"/>
    <w:rsid w:val="00FA55F1"/>
    <w:rsid w:val="00FB0E74"/>
    <w:rsid w:val="00FC0763"/>
    <w:rsid w:val="00FC4D68"/>
    <w:rsid w:val="00FC5973"/>
    <w:rsid w:val="00FC7167"/>
    <w:rsid w:val="00FC73D9"/>
    <w:rsid w:val="00FE40A0"/>
    <w:rsid w:val="00FE63DA"/>
    <w:rsid w:val="00FF46B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8F136"/>
  <w15:chartTrackingRefBased/>
  <w15:docId w15:val="{BCABCFB1-DA3C-A844-B0B4-15A8480D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 Normal"/>
    <w:qFormat/>
    <w:rsid w:val="00141762"/>
    <w:pPr>
      <w:spacing w:before="120" w:after="240"/>
    </w:pPr>
    <w:rPr>
      <w:rFonts w:ascii="Arial" w:hAnsi="Arial"/>
      <w:color w:val="000000" w:themeColor="text1"/>
    </w:rPr>
  </w:style>
  <w:style w:type="paragraph" w:styleId="Heading1">
    <w:name w:val="heading 1"/>
    <w:basedOn w:val="Normal"/>
    <w:next w:val="Normal"/>
    <w:link w:val="Heading1Char"/>
    <w:uiPriority w:val="9"/>
    <w:qFormat/>
    <w:rsid w:val="00AF2BD1"/>
    <w:pPr>
      <w:keepNext/>
      <w:keepLines/>
      <w:spacing w:before="240" w:after="360"/>
      <w:outlineLvl w:val="0"/>
    </w:pPr>
    <w:rPr>
      <w:rFonts w:eastAsiaTheme="majorEastAsia" w:cstheme="majorBidi"/>
      <w:b/>
      <w:color w:val="9E4024"/>
      <w:sz w:val="32"/>
      <w:szCs w:val="32"/>
    </w:rPr>
  </w:style>
  <w:style w:type="paragraph" w:styleId="Heading2">
    <w:name w:val="heading 2"/>
    <w:basedOn w:val="Normal"/>
    <w:next w:val="Normal"/>
    <w:link w:val="Heading2Char"/>
    <w:uiPriority w:val="9"/>
    <w:unhideWhenUsed/>
    <w:qFormat/>
    <w:rsid w:val="00B20052"/>
    <w:pPr>
      <w:keepNext/>
      <w:keepLines/>
      <w:spacing w:before="240"/>
      <w:outlineLvl w:val="1"/>
    </w:pPr>
    <w:rPr>
      <w:rFonts w:eastAsiaTheme="majorEastAsia" w:cstheme="majorBidi"/>
      <w:color w:val="C77B4A"/>
      <w:sz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3DA"/>
    <w:pPr>
      <w:numPr>
        <w:numId w:val="12"/>
      </w:numPr>
      <w:ind w:left="714" w:hanging="357"/>
      <w:contextualSpacing/>
    </w:pPr>
  </w:style>
  <w:style w:type="paragraph" w:styleId="BalloonText">
    <w:name w:val="Balloon Text"/>
    <w:basedOn w:val="Normal"/>
    <w:link w:val="BalloonTextChar"/>
    <w:uiPriority w:val="99"/>
    <w:semiHidden/>
    <w:unhideWhenUsed/>
    <w:rsid w:val="005168C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68C1"/>
    <w:rPr>
      <w:rFonts w:ascii="Times New Roman" w:hAnsi="Times New Roman" w:cs="Times New Roman"/>
      <w:sz w:val="18"/>
      <w:szCs w:val="18"/>
    </w:rPr>
  </w:style>
  <w:style w:type="table" w:styleId="TableGrid">
    <w:name w:val="Table Grid"/>
    <w:basedOn w:val="TableNormal"/>
    <w:uiPriority w:val="39"/>
    <w:rsid w:val="00AA39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B120F"/>
    <w:rPr>
      <w:rFonts w:eastAsiaTheme="minorEastAsia"/>
      <w:sz w:val="22"/>
      <w:szCs w:val="22"/>
      <w:lang w:eastAsia="zh-TW"/>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5B1006"/>
    <w:rPr>
      <w:sz w:val="16"/>
      <w:szCs w:val="16"/>
    </w:rPr>
  </w:style>
  <w:style w:type="paragraph" w:styleId="CommentText">
    <w:name w:val="annotation text"/>
    <w:basedOn w:val="Normal"/>
    <w:link w:val="CommentTextChar"/>
    <w:uiPriority w:val="99"/>
    <w:unhideWhenUsed/>
    <w:rsid w:val="005B1006"/>
    <w:rPr>
      <w:sz w:val="20"/>
      <w:szCs w:val="20"/>
    </w:rPr>
  </w:style>
  <w:style w:type="character" w:customStyle="1" w:styleId="CommentTextChar">
    <w:name w:val="Comment Text Char"/>
    <w:basedOn w:val="DefaultParagraphFont"/>
    <w:link w:val="CommentText"/>
    <w:uiPriority w:val="99"/>
    <w:rsid w:val="005B1006"/>
    <w:rPr>
      <w:sz w:val="20"/>
      <w:szCs w:val="20"/>
    </w:rPr>
  </w:style>
  <w:style w:type="paragraph" w:styleId="CommentSubject">
    <w:name w:val="annotation subject"/>
    <w:basedOn w:val="CommentText"/>
    <w:next w:val="CommentText"/>
    <w:link w:val="CommentSubjectChar"/>
    <w:uiPriority w:val="99"/>
    <w:semiHidden/>
    <w:unhideWhenUsed/>
    <w:rsid w:val="005B1006"/>
    <w:rPr>
      <w:b/>
      <w:bCs/>
    </w:rPr>
  </w:style>
  <w:style w:type="character" w:customStyle="1" w:styleId="CommentSubjectChar">
    <w:name w:val="Comment Subject Char"/>
    <w:basedOn w:val="CommentTextChar"/>
    <w:link w:val="CommentSubject"/>
    <w:uiPriority w:val="99"/>
    <w:semiHidden/>
    <w:rsid w:val="005B1006"/>
    <w:rPr>
      <w:b/>
      <w:bCs/>
      <w:sz w:val="20"/>
      <w:szCs w:val="20"/>
    </w:rPr>
  </w:style>
  <w:style w:type="paragraph" w:styleId="Caption">
    <w:name w:val="caption"/>
    <w:basedOn w:val="Normal"/>
    <w:next w:val="Normal"/>
    <w:uiPriority w:val="35"/>
    <w:unhideWhenUsed/>
    <w:qFormat/>
    <w:rsid w:val="0080429D"/>
    <w:pPr>
      <w:spacing w:after="200"/>
    </w:pPr>
    <w:rPr>
      <w:i/>
      <w:iCs/>
      <w:color w:val="44546A" w:themeColor="text2"/>
      <w:sz w:val="18"/>
      <w:szCs w:val="18"/>
    </w:rPr>
  </w:style>
  <w:style w:type="character" w:customStyle="1" w:styleId="UnresolvedMention">
    <w:name w:val="Unresolved Mention"/>
    <w:basedOn w:val="DefaultParagraphFont"/>
    <w:uiPriority w:val="99"/>
    <w:unhideWhenUsed/>
    <w:rsid w:val="000332C2"/>
    <w:rPr>
      <w:color w:val="605E5C"/>
      <w:shd w:val="clear" w:color="auto" w:fill="E1DFDD"/>
    </w:rPr>
  </w:style>
  <w:style w:type="character" w:customStyle="1" w:styleId="Mention">
    <w:name w:val="Mention"/>
    <w:basedOn w:val="DefaultParagraphFont"/>
    <w:uiPriority w:val="99"/>
    <w:unhideWhenUsed/>
    <w:rsid w:val="000332C2"/>
    <w:rPr>
      <w:color w:val="2B579A"/>
      <w:shd w:val="clear" w:color="auto" w:fill="E1DFDD"/>
    </w:rPr>
  </w:style>
  <w:style w:type="paragraph" w:customStyle="1" w:styleId="EndNoteBibliography">
    <w:name w:val="EndNote Bibliography"/>
    <w:basedOn w:val="Normal"/>
    <w:link w:val="EndNoteBibliographyChar"/>
    <w:rsid w:val="00ED0B76"/>
    <w:pPr>
      <w:spacing w:after="160"/>
    </w:pPr>
    <w:rPr>
      <w:rFonts w:ascii="Calibri" w:eastAsiaTheme="minorEastAsia" w:hAnsi="Calibri" w:cs="Calibri"/>
      <w:sz w:val="22"/>
      <w:szCs w:val="22"/>
      <w:lang w:eastAsia="zh-CN"/>
    </w:rPr>
  </w:style>
  <w:style w:type="character" w:customStyle="1" w:styleId="EndNoteBibliographyChar">
    <w:name w:val="EndNote Bibliography Char"/>
    <w:basedOn w:val="DefaultParagraphFont"/>
    <w:link w:val="EndNoteBibliography"/>
    <w:rsid w:val="00ED0B76"/>
    <w:rPr>
      <w:rFonts w:ascii="Calibri" w:eastAsiaTheme="minorEastAsia" w:hAnsi="Calibri" w:cs="Calibri"/>
      <w:sz w:val="22"/>
      <w:szCs w:val="22"/>
      <w:lang w:eastAsia="zh-CN"/>
    </w:rPr>
  </w:style>
  <w:style w:type="character" w:styleId="Emphasis">
    <w:name w:val="Emphasis"/>
    <w:aliases w:val="Table Text"/>
    <w:basedOn w:val="Strong"/>
    <w:uiPriority w:val="20"/>
    <w:qFormat/>
    <w:rsid w:val="00AF2BD1"/>
    <w:rPr>
      <w:rFonts w:ascii="Arial" w:hAnsi="Arial"/>
      <w:b w:val="0"/>
      <w:bCs/>
      <w:i w:val="0"/>
      <w:iCs/>
      <w:color w:val="000000" w:themeColor="text1"/>
      <w:sz w:val="22"/>
    </w:rPr>
  </w:style>
  <w:style w:type="table" w:styleId="GridTable3-Accent1">
    <w:name w:val="Grid Table 3 Accent 1"/>
    <w:basedOn w:val="TableNormal"/>
    <w:uiPriority w:val="48"/>
    <w:rsid w:val="007108E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3">
    <w:name w:val="Grid Table 2 Accent 3"/>
    <w:basedOn w:val="TableNormal"/>
    <w:uiPriority w:val="47"/>
    <w:rsid w:val="007108EA"/>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7108E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F162E3"/>
  </w:style>
  <w:style w:type="paragraph" w:styleId="Footer">
    <w:name w:val="footer"/>
    <w:basedOn w:val="Normal"/>
    <w:link w:val="FooterChar"/>
    <w:uiPriority w:val="99"/>
    <w:unhideWhenUsed/>
    <w:rsid w:val="003B6BCB"/>
    <w:pPr>
      <w:tabs>
        <w:tab w:val="center" w:pos="4513"/>
        <w:tab w:val="right" w:pos="9026"/>
      </w:tabs>
    </w:pPr>
  </w:style>
  <w:style w:type="character" w:customStyle="1" w:styleId="FooterChar">
    <w:name w:val="Footer Char"/>
    <w:basedOn w:val="DefaultParagraphFont"/>
    <w:link w:val="Footer"/>
    <w:uiPriority w:val="99"/>
    <w:rsid w:val="003B6BCB"/>
  </w:style>
  <w:style w:type="character" w:styleId="PageNumber">
    <w:name w:val="page number"/>
    <w:basedOn w:val="DefaultParagraphFont"/>
    <w:uiPriority w:val="99"/>
    <w:semiHidden/>
    <w:unhideWhenUsed/>
    <w:rsid w:val="003B6BCB"/>
  </w:style>
  <w:style w:type="paragraph" w:styleId="Header">
    <w:name w:val="header"/>
    <w:basedOn w:val="Normal"/>
    <w:link w:val="HeaderChar"/>
    <w:uiPriority w:val="99"/>
    <w:unhideWhenUsed/>
    <w:rsid w:val="00ED6BCC"/>
    <w:pPr>
      <w:tabs>
        <w:tab w:val="center" w:pos="4513"/>
        <w:tab w:val="right" w:pos="9026"/>
      </w:tabs>
    </w:pPr>
  </w:style>
  <w:style w:type="character" w:customStyle="1" w:styleId="HeaderChar">
    <w:name w:val="Header Char"/>
    <w:basedOn w:val="DefaultParagraphFont"/>
    <w:link w:val="Header"/>
    <w:uiPriority w:val="99"/>
    <w:rsid w:val="00ED6BCC"/>
  </w:style>
  <w:style w:type="paragraph" w:styleId="FootnoteText">
    <w:name w:val="footnote text"/>
    <w:basedOn w:val="Normal"/>
    <w:link w:val="FootnoteTextChar"/>
    <w:uiPriority w:val="99"/>
    <w:semiHidden/>
    <w:unhideWhenUsed/>
    <w:rsid w:val="007112B1"/>
    <w:rPr>
      <w:rFonts w:eastAsiaTheme="minorEastAsia"/>
      <w:sz w:val="20"/>
      <w:szCs w:val="20"/>
      <w:lang w:eastAsia="zh-TW"/>
    </w:rPr>
  </w:style>
  <w:style w:type="character" w:customStyle="1" w:styleId="FootnoteTextChar">
    <w:name w:val="Footnote Text Char"/>
    <w:basedOn w:val="DefaultParagraphFont"/>
    <w:link w:val="FootnoteText"/>
    <w:uiPriority w:val="99"/>
    <w:semiHidden/>
    <w:rsid w:val="007112B1"/>
    <w:rPr>
      <w:rFonts w:eastAsiaTheme="minorEastAsia"/>
      <w:sz w:val="20"/>
      <w:szCs w:val="20"/>
      <w:lang w:eastAsia="zh-TW"/>
    </w:rPr>
  </w:style>
  <w:style w:type="character" w:styleId="FootnoteReference">
    <w:name w:val="footnote reference"/>
    <w:basedOn w:val="DefaultParagraphFont"/>
    <w:uiPriority w:val="99"/>
    <w:semiHidden/>
    <w:unhideWhenUsed/>
    <w:rsid w:val="007112B1"/>
    <w:rPr>
      <w:vertAlign w:val="superscript"/>
    </w:rPr>
  </w:style>
  <w:style w:type="paragraph" w:customStyle="1" w:styleId="EndNoteBibliographyTitle">
    <w:name w:val="EndNote Bibliography Title"/>
    <w:basedOn w:val="Normal"/>
    <w:link w:val="EndNoteBibliographyTitleChar"/>
    <w:rsid w:val="00A8180A"/>
    <w:pPr>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A8180A"/>
    <w:rPr>
      <w:rFonts w:ascii="Calibri" w:hAnsi="Calibri" w:cs="Calibri"/>
      <w:noProof/>
      <w:sz w:val="22"/>
      <w:lang w:val="en-US"/>
    </w:rPr>
  </w:style>
  <w:style w:type="table" w:styleId="TableGridLight">
    <w:name w:val="Grid Table Light"/>
    <w:basedOn w:val="TableNormal"/>
    <w:uiPriority w:val="40"/>
    <w:rsid w:val="005C62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1C2B36"/>
  </w:style>
  <w:style w:type="character" w:customStyle="1" w:styleId="Heading1Char">
    <w:name w:val="Heading 1 Char"/>
    <w:basedOn w:val="DefaultParagraphFont"/>
    <w:link w:val="Heading1"/>
    <w:uiPriority w:val="9"/>
    <w:rsid w:val="00AF2BD1"/>
    <w:rPr>
      <w:rFonts w:ascii="Arial" w:eastAsiaTheme="majorEastAsia" w:hAnsi="Arial" w:cstheme="majorBidi"/>
      <w:b/>
      <w:color w:val="9E4024"/>
      <w:sz w:val="32"/>
      <w:szCs w:val="32"/>
    </w:rPr>
  </w:style>
  <w:style w:type="paragraph" w:styleId="Subtitle">
    <w:name w:val="Subtitle"/>
    <w:basedOn w:val="Normal"/>
    <w:next w:val="Normal"/>
    <w:link w:val="SubtitleChar"/>
    <w:uiPriority w:val="11"/>
    <w:qFormat/>
    <w:rsid w:val="00AF2BD1"/>
    <w:pPr>
      <w:numPr>
        <w:ilvl w:val="1"/>
      </w:numPr>
    </w:pPr>
    <w:rPr>
      <w:rFonts w:eastAsiaTheme="minorEastAsia"/>
      <w:sz w:val="28"/>
      <w:szCs w:val="22"/>
    </w:rPr>
  </w:style>
  <w:style w:type="character" w:customStyle="1" w:styleId="SubtitleChar">
    <w:name w:val="Subtitle Char"/>
    <w:basedOn w:val="DefaultParagraphFont"/>
    <w:link w:val="Subtitle"/>
    <w:uiPriority w:val="11"/>
    <w:rsid w:val="00AF2BD1"/>
    <w:rPr>
      <w:rFonts w:ascii="Arial" w:eastAsiaTheme="minorEastAsia" w:hAnsi="Arial"/>
      <w:color w:val="000000" w:themeColor="text1"/>
      <w:sz w:val="28"/>
      <w:szCs w:val="22"/>
    </w:rPr>
  </w:style>
  <w:style w:type="character" w:customStyle="1" w:styleId="Heading2Char">
    <w:name w:val="Heading 2 Char"/>
    <w:basedOn w:val="DefaultParagraphFont"/>
    <w:link w:val="Heading2"/>
    <w:uiPriority w:val="9"/>
    <w:rsid w:val="00B20052"/>
    <w:rPr>
      <w:rFonts w:ascii="Arial" w:eastAsiaTheme="majorEastAsia" w:hAnsi="Arial" w:cstheme="majorBidi"/>
      <w:color w:val="C77B4A"/>
      <w:sz w:val="30"/>
      <w:szCs w:val="26"/>
    </w:rPr>
  </w:style>
  <w:style w:type="paragraph" w:styleId="NoSpacing">
    <w:name w:val="No Spacing"/>
    <w:uiPriority w:val="1"/>
    <w:rsid w:val="00141762"/>
    <w:rPr>
      <w:rFonts w:ascii="Arial" w:hAnsi="Arial"/>
      <w:color w:val="000000" w:themeColor="text1"/>
    </w:rPr>
  </w:style>
  <w:style w:type="character" w:styleId="Strong">
    <w:name w:val="Strong"/>
    <w:basedOn w:val="DefaultParagraphFont"/>
    <w:uiPriority w:val="22"/>
    <w:rsid w:val="00AF2BD1"/>
    <w:rPr>
      <w:b/>
      <w:bCs/>
    </w:rPr>
  </w:style>
  <w:style w:type="paragraph" w:styleId="Title">
    <w:name w:val="Title"/>
    <w:basedOn w:val="Normal"/>
    <w:next w:val="Normal"/>
    <w:link w:val="TitleChar"/>
    <w:uiPriority w:val="10"/>
    <w:qFormat/>
    <w:rsid w:val="00141762"/>
    <w:pPr>
      <w:spacing w:after="360"/>
      <w:contextualSpacing/>
    </w:pPr>
    <w:rPr>
      <w:rFonts w:eastAsiaTheme="majorEastAsia" w:cstheme="majorBidi"/>
      <w:color w:val="auto"/>
      <w:spacing w:val="-10"/>
      <w:kern w:val="28"/>
      <w:sz w:val="48"/>
      <w:szCs w:val="56"/>
    </w:rPr>
  </w:style>
  <w:style w:type="character" w:customStyle="1" w:styleId="TitleChar">
    <w:name w:val="Title Char"/>
    <w:basedOn w:val="DefaultParagraphFont"/>
    <w:link w:val="Title"/>
    <w:uiPriority w:val="10"/>
    <w:rsid w:val="00141762"/>
    <w:rPr>
      <w:rFonts w:ascii="Arial" w:eastAsiaTheme="majorEastAsia" w:hAnsi="Arial" w:cstheme="majorBidi"/>
      <w:spacing w:val="-10"/>
      <w:kern w:val="28"/>
      <w:sz w:val="48"/>
      <w:szCs w:val="56"/>
    </w:rPr>
  </w:style>
  <w:style w:type="table" w:styleId="ListTable2-Accent2">
    <w:name w:val="List Table 2 Accent 2"/>
    <w:basedOn w:val="TableNormal"/>
    <w:uiPriority w:val="47"/>
    <w:rsid w:val="001657D4"/>
    <w:rPr>
      <w:rFonts w:ascii="Arial" w:hAnsi="Arial"/>
      <w:sz w:val="22"/>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2">
    <w:name w:val="List Table 1 Light Accent 2"/>
    <w:basedOn w:val="TableNormal"/>
    <w:uiPriority w:val="46"/>
    <w:rsid w:val="001657D4"/>
    <w:tblPr>
      <w:tblStyleRowBandSize w:val="1"/>
      <w:tblStyleColBandSize w:val="1"/>
    </w:tblPr>
    <w:tcPr>
      <w:shd w:val="clear" w:color="auto" w:fill="auto"/>
    </w:tc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320948">
      <w:bodyDiv w:val="1"/>
      <w:marLeft w:val="0"/>
      <w:marRight w:val="0"/>
      <w:marTop w:val="0"/>
      <w:marBottom w:val="0"/>
      <w:divBdr>
        <w:top w:val="none" w:sz="0" w:space="0" w:color="auto"/>
        <w:left w:val="none" w:sz="0" w:space="0" w:color="auto"/>
        <w:bottom w:val="none" w:sz="0" w:space="0" w:color="auto"/>
        <w:right w:val="none" w:sz="0" w:space="0" w:color="auto"/>
      </w:divBdr>
    </w:div>
    <w:div w:id="125307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E25BC0AE4B0C4B87BEDE83A7897B62" ma:contentTypeVersion="13" ma:contentTypeDescription="Create a new document." ma:contentTypeScope="" ma:versionID="cefbdf01e7d7bb5e34b97efc3f3d490e">
  <xsd:schema xmlns:xsd="http://www.w3.org/2001/XMLSchema" xmlns:xs="http://www.w3.org/2001/XMLSchema" xmlns:p="http://schemas.microsoft.com/office/2006/metadata/properties" xmlns:ns3="60df2c1f-aceb-43cf-ad09-2d28ebcf9263" xmlns:ns4="afb73c42-e6fd-44dd-a540-dd3962359062" targetNamespace="http://schemas.microsoft.com/office/2006/metadata/properties" ma:root="true" ma:fieldsID="c9e3ac7aff7243602e66d522772514f2" ns3:_="" ns4:_="">
    <xsd:import namespace="60df2c1f-aceb-43cf-ad09-2d28ebcf9263"/>
    <xsd:import namespace="afb73c42-e6fd-44dd-a540-dd39623590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f2c1f-aceb-43cf-ad09-2d28ebcf92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73c42-e6fd-44dd-a540-dd396235906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0057A-A96F-4D2B-B920-1B0CFD8E5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df2c1f-aceb-43cf-ad09-2d28ebcf9263"/>
    <ds:schemaRef ds:uri="afb73c42-e6fd-44dd-a540-dd3962359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64CD3-9A78-4FF3-8D65-D344FA807A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836618-B96B-47FC-B242-FB29AE53284E}">
  <ds:schemaRefs>
    <ds:schemaRef ds:uri="http://schemas.microsoft.com/sharepoint/v3/contenttype/forms"/>
  </ds:schemaRefs>
</ds:datastoreItem>
</file>

<file path=customXml/itemProps4.xml><?xml version="1.0" encoding="utf-8"?>
<ds:datastoreItem xmlns:ds="http://schemas.openxmlformats.org/officeDocument/2006/customXml" ds:itemID="{B420723E-9085-4EDB-9943-765DF052C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Pages>
  <Words>4668</Words>
  <Characters>26608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Brown</dc:creator>
  <cp:keywords/>
  <dc:description/>
  <cp:lastModifiedBy>Hood, Jodi</cp:lastModifiedBy>
  <cp:revision>13</cp:revision>
  <dcterms:created xsi:type="dcterms:W3CDTF">2020-07-09T22:33:00Z</dcterms:created>
  <dcterms:modified xsi:type="dcterms:W3CDTF">2020-07-14T02:25:00Z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0x010100C2E25BC0AE4B0C4B87BEDE83A7897B62</vt:lpwstr>
  </property>
</Properties>
</file>