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B03D" w14:textId="77777777" w:rsidR="00EC09BF" w:rsidRDefault="00EC09BF"/>
    <w:p w14:paraId="2956D5E0" w14:textId="78AB97AC" w:rsidR="00EC09BF" w:rsidRPr="00781AF2" w:rsidRDefault="00EC09BF" w:rsidP="00536843">
      <w:pPr>
        <w:jc w:val="center"/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</w:pPr>
      <w:r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C</w:t>
      </w:r>
      <w:r w:rsidR="00D441D1"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ommunicable Diseases Network Australia (C</w:t>
      </w:r>
      <w:r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DNA</w:t>
      </w:r>
      <w:r w:rsidR="00D441D1"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)</w:t>
      </w:r>
      <w:r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 xml:space="preserve"> and P</w:t>
      </w:r>
      <w:r w:rsidR="00D441D1"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ublic Health Laboratory Network (P</w:t>
      </w:r>
      <w:r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HLN</w:t>
      </w:r>
      <w:r w:rsidR="00D441D1"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>)</w:t>
      </w:r>
      <w:r w:rsidRPr="00781AF2">
        <w:rPr>
          <w:rFonts w:ascii="Segoe UI" w:hAnsi="Segoe UI" w:cs="Segoe UI"/>
          <w:b/>
          <w:color w:val="313131"/>
          <w:sz w:val="28"/>
          <w:szCs w:val="28"/>
          <w:shd w:val="clear" w:color="auto" w:fill="FFFFFF"/>
        </w:rPr>
        <w:t xml:space="preserve"> joint statement</w:t>
      </w:r>
    </w:p>
    <w:p w14:paraId="0357B152" w14:textId="4B0E08F0" w:rsidR="00280050" w:rsidRPr="00536843" w:rsidRDefault="00835104" w:rsidP="00536843">
      <w:pPr>
        <w:jc w:val="center"/>
        <w:rPr>
          <w:rFonts w:ascii="Segoe UI" w:hAnsi="Segoe UI" w:cs="Segoe UI"/>
          <w:b/>
          <w:color w:val="313131"/>
          <w:shd w:val="clear" w:color="auto" w:fill="FFFFFF"/>
        </w:rPr>
      </w:pPr>
      <w:r>
        <w:rPr>
          <w:rFonts w:ascii="Segoe UI" w:hAnsi="Segoe UI" w:cs="Segoe UI"/>
          <w:b/>
          <w:color w:val="313131"/>
          <w:shd w:val="clear" w:color="auto" w:fill="FFFFFF"/>
        </w:rPr>
        <w:t>Revised</w:t>
      </w:r>
      <w:r w:rsidR="00552433" w:rsidRPr="00536843">
        <w:rPr>
          <w:rFonts w:ascii="Segoe UI" w:hAnsi="Segoe UI" w:cs="Segoe UI"/>
          <w:b/>
          <w:color w:val="313131"/>
          <w:shd w:val="clear" w:color="auto" w:fill="FFFFFF"/>
        </w:rPr>
        <w:t xml:space="preserve"> Australian criteria for </w:t>
      </w:r>
      <w:r w:rsidR="00C86C3F">
        <w:rPr>
          <w:rFonts w:ascii="Segoe UI" w:hAnsi="Segoe UI" w:cs="Segoe UI"/>
          <w:b/>
          <w:color w:val="313131"/>
          <w:shd w:val="clear" w:color="auto" w:fill="FFFFFF"/>
        </w:rPr>
        <w:t xml:space="preserve">the </w:t>
      </w:r>
      <w:r w:rsidR="00552433" w:rsidRPr="00536843">
        <w:rPr>
          <w:rFonts w:ascii="Segoe UI" w:hAnsi="Segoe UI" w:cs="Segoe UI"/>
          <w:b/>
          <w:color w:val="313131"/>
          <w:shd w:val="clear" w:color="auto" w:fill="FFFFFF"/>
        </w:rPr>
        <w:t xml:space="preserve">release </w:t>
      </w:r>
      <w:r w:rsidR="00C86C3F">
        <w:rPr>
          <w:rFonts w:ascii="Segoe UI" w:hAnsi="Segoe UI" w:cs="Segoe UI"/>
          <w:b/>
          <w:color w:val="313131"/>
          <w:shd w:val="clear" w:color="auto" w:fill="FFFFFF"/>
        </w:rPr>
        <w:t>of persons recover</w:t>
      </w:r>
      <w:r w:rsidR="003F040C">
        <w:rPr>
          <w:rFonts w:ascii="Segoe UI" w:hAnsi="Segoe UI" w:cs="Segoe UI"/>
          <w:b/>
          <w:color w:val="313131"/>
          <w:shd w:val="clear" w:color="auto" w:fill="FFFFFF"/>
        </w:rPr>
        <w:t>ed</w:t>
      </w:r>
      <w:r w:rsidR="00C86C3F">
        <w:rPr>
          <w:rFonts w:ascii="Segoe UI" w:hAnsi="Segoe UI" w:cs="Segoe UI"/>
          <w:b/>
          <w:color w:val="313131"/>
          <w:shd w:val="clear" w:color="auto" w:fill="FFFFFF"/>
        </w:rPr>
        <w:t xml:space="preserve"> from </w:t>
      </w:r>
      <w:r w:rsidR="00C86C3F" w:rsidRPr="00536843">
        <w:rPr>
          <w:rFonts w:ascii="Segoe UI" w:hAnsi="Segoe UI" w:cs="Segoe UI"/>
          <w:b/>
          <w:color w:val="313131"/>
          <w:shd w:val="clear" w:color="auto" w:fill="FFFFFF"/>
        </w:rPr>
        <w:t>COVID-19</w:t>
      </w:r>
      <w:r w:rsidR="00C86C3F">
        <w:rPr>
          <w:rFonts w:ascii="Segoe UI" w:hAnsi="Segoe UI" w:cs="Segoe UI"/>
          <w:b/>
          <w:color w:val="313131"/>
          <w:shd w:val="clear" w:color="auto" w:fill="FFFFFF"/>
        </w:rPr>
        <w:t xml:space="preserve"> </w:t>
      </w:r>
      <w:r w:rsidR="000B25ED">
        <w:rPr>
          <w:rFonts w:ascii="Segoe UI" w:hAnsi="Segoe UI" w:cs="Segoe UI"/>
          <w:b/>
          <w:color w:val="313131"/>
          <w:shd w:val="clear" w:color="auto" w:fill="FFFFFF"/>
        </w:rPr>
        <w:t>from isolation</w:t>
      </w:r>
    </w:p>
    <w:p w14:paraId="332CAFA7" w14:textId="77777777" w:rsidR="008F7951" w:rsidRDefault="008F7951" w:rsidP="0051355D">
      <w:pPr>
        <w:rPr>
          <w:rFonts w:ascii="Segoe UI" w:hAnsi="Segoe UI" w:cs="Segoe UI"/>
          <w:color w:val="313131"/>
          <w:shd w:val="clear" w:color="auto" w:fill="FFFFFF"/>
        </w:rPr>
      </w:pPr>
    </w:p>
    <w:p w14:paraId="21079051" w14:textId="3D8F3D19" w:rsidR="00552BA9" w:rsidRPr="00536843" w:rsidRDefault="0051355D" w:rsidP="0051355D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t xml:space="preserve">CDNA and PHLN have </w:t>
      </w:r>
      <w:r w:rsidR="0026110C">
        <w:rPr>
          <w:rFonts w:ascii="Segoe UI" w:hAnsi="Segoe UI" w:cs="Segoe UI"/>
          <w:color w:val="313131"/>
          <w:shd w:val="clear" w:color="auto" w:fill="FFFFFF"/>
        </w:rPr>
        <w:t>revised their</w:t>
      </w:r>
      <w:r w:rsidR="0026110C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advice </w:t>
      </w:r>
      <w:r w:rsidR="001D2F4B">
        <w:rPr>
          <w:rFonts w:ascii="Segoe UI" w:hAnsi="Segoe UI" w:cs="Segoe UI"/>
          <w:color w:val="313131"/>
          <w:shd w:val="clear" w:color="auto" w:fill="FFFFFF"/>
        </w:rPr>
        <w:t>on</w:t>
      </w:r>
      <w:r w:rsidR="001D2F4B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9D2E82">
        <w:rPr>
          <w:rFonts w:ascii="Segoe UI" w:hAnsi="Segoe UI" w:cs="Segoe UI"/>
          <w:color w:val="313131"/>
          <w:shd w:val="clear" w:color="auto" w:fill="FFFFFF"/>
        </w:rPr>
        <w:t xml:space="preserve">the release from isolation of </w:t>
      </w:r>
      <w:r w:rsidRPr="00536843">
        <w:rPr>
          <w:rFonts w:ascii="Segoe UI" w:hAnsi="Segoe UI" w:cs="Segoe UI"/>
          <w:color w:val="313131"/>
          <w:shd w:val="clear" w:color="auto" w:fill="FFFFFF"/>
        </w:rPr>
        <w:t>persons who have had COVID-19</w:t>
      </w:r>
      <w:r w:rsidR="004C4C6E">
        <w:rPr>
          <w:rFonts w:ascii="Segoe UI" w:hAnsi="Segoe UI" w:cs="Segoe UI"/>
          <w:color w:val="313131"/>
          <w:shd w:val="clear" w:color="auto" w:fill="FFFFFF"/>
        </w:rPr>
        <w:t>. This includes</w:t>
      </w:r>
      <w:r w:rsidR="00663C4B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1D2F4B">
        <w:rPr>
          <w:rFonts w:ascii="Segoe UI" w:hAnsi="Segoe UI" w:cs="Segoe UI"/>
          <w:color w:val="313131"/>
          <w:shd w:val="clear" w:color="auto" w:fill="FFFFFF"/>
        </w:rPr>
        <w:t xml:space="preserve">people </w:t>
      </w:r>
      <w:r w:rsidR="00A712A0">
        <w:rPr>
          <w:rFonts w:ascii="Segoe UI" w:hAnsi="Segoe UI" w:cs="Segoe UI"/>
          <w:color w:val="313131"/>
          <w:shd w:val="clear" w:color="auto" w:fill="FFFFFF"/>
        </w:rPr>
        <w:t xml:space="preserve">who live or are </w:t>
      </w:r>
      <w:r w:rsidR="00663C4B" w:rsidRPr="00536843">
        <w:rPr>
          <w:rFonts w:ascii="Segoe UI" w:hAnsi="Segoe UI" w:cs="Segoe UI"/>
          <w:color w:val="313131"/>
          <w:shd w:val="clear" w:color="auto" w:fill="FFFFFF"/>
        </w:rPr>
        <w:t>return</w:t>
      </w:r>
      <w:r w:rsidR="004C4C6E">
        <w:rPr>
          <w:rFonts w:ascii="Segoe UI" w:hAnsi="Segoe UI" w:cs="Segoe UI"/>
          <w:color w:val="313131"/>
          <w:shd w:val="clear" w:color="auto" w:fill="FFFFFF"/>
        </w:rPr>
        <w:t>ing</w:t>
      </w:r>
      <w:r w:rsidR="00663C4B" w:rsidRPr="00536843">
        <w:rPr>
          <w:rFonts w:ascii="Segoe UI" w:hAnsi="Segoe UI" w:cs="Segoe UI"/>
          <w:color w:val="313131"/>
          <w:shd w:val="clear" w:color="auto" w:fill="FFFFFF"/>
        </w:rPr>
        <w:t xml:space="preserve"> to</w:t>
      </w:r>
      <w:r w:rsidR="0026110C">
        <w:rPr>
          <w:rFonts w:ascii="Segoe UI" w:hAnsi="Segoe UI" w:cs="Segoe UI"/>
          <w:color w:val="313131"/>
          <w:shd w:val="clear" w:color="auto" w:fill="FFFFFF"/>
        </w:rPr>
        <w:t xml:space="preserve"> work in</w:t>
      </w:r>
      <w:r w:rsidR="00663C4B" w:rsidRPr="00536843">
        <w:rPr>
          <w:rFonts w:ascii="Segoe UI" w:hAnsi="Segoe UI" w:cs="Segoe UI"/>
          <w:color w:val="313131"/>
          <w:shd w:val="clear" w:color="auto" w:fill="FFFFFF"/>
        </w:rPr>
        <w:t xml:space="preserve"> settings</w:t>
      </w:r>
      <w:r w:rsidR="0026110C">
        <w:rPr>
          <w:rFonts w:ascii="Segoe UI" w:hAnsi="Segoe UI" w:cs="Segoe UI"/>
          <w:color w:val="313131"/>
          <w:shd w:val="clear" w:color="auto" w:fill="FFFFFF"/>
        </w:rPr>
        <w:t xml:space="preserve"> considered high-risk for outbreaks</w:t>
      </w:r>
      <w:r w:rsidRPr="00536843">
        <w:rPr>
          <w:rFonts w:ascii="Segoe UI" w:hAnsi="Segoe UI" w:cs="Segoe UI"/>
          <w:color w:val="313131"/>
          <w:shd w:val="clear" w:color="auto" w:fill="FFFFFF"/>
        </w:rPr>
        <w:t>.</w:t>
      </w:r>
      <w:r w:rsidR="00663C4B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26110C">
        <w:rPr>
          <w:rFonts w:ascii="Segoe UI" w:hAnsi="Segoe UI" w:cs="Segoe UI"/>
          <w:color w:val="313131"/>
          <w:shd w:val="clear" w:color="auto" w:fill="FFFFFF"/>
        </w:rPr>
        <w:t>These settings include hospitals, aged care facilities, remote mining sites, and other residential communities.</w:t>
      </w:r>
    </w:p>
    <w:p w14:paraId="2396CFDA" w14:textId="7C956B71" w:rsidR="004C4C6E" w:rsidRDefault="0051355D" w:rsidP="004878E6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lastRenderedPageBreak/>
        <w:t xml:space="preserve">Prior to 4 June 2020, </w:t>
      </w:r>
      <w:r w:rsidR="004878E6">
        <w:rPr>
          <w:rFonts w:ascii="Segoe UI" w:hAnsi="Segoe UI" w:cs="Segoe UI"/>
          <w:color w:val="313131"/>
          <w:shd w:val="clear" w:color="auto" w:fill="FFFFFF"/>
        </w:rPr>
        <w:t xml:space="preserve">the </w:t>
      </w:r>
      <w:r w:rsidR="004878E6" w:rsidRPr="00871D50">
        <w:rPr>
          <w:rFonts w:ascii="Segoe UI" w:hAnsi="Segoe UI" w:cs="Segoe UI"/>
          <w:i/>
          <w:color w:val="313131"/>
          <w:shd w:val="clear" w:color="auto" w:fill="FFFFFF"/>
        </w:rPr>
        <w:t>Coronavirus Disease 2019 (COVID-19) CDNA National Guidelines for Public Health Units</w:t>
      </w:r>
      <w:r w:rsidR="0026110C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4878E6">
        <w:rPr>
          <w:rFonts w:ascii="Segoe UI" w:hAnsi="Segoe UI" w:cs="Segoe UI"/>
          <w:color w:val="313131"/>
          <w:shd w:val="clear" w:color="auto" w:fill="FFFFFF"/>
        </w:rPr>
        <w:t>(</w:t>
      </w:r>
      <w:proofErr w:type="spellStart"/>
      <w:r w:rsidR="004878E6">
        <w:rPr>
          <w:rFonts w:ascii="Segoe UI" w:hAnsi="Segoe UI" w:cs="Segoe UI"/>
          <w:color w:val="313131"/>
          <w:shd w:val="clear" w:color="auto" w:fill="FFFFFF"/>
        </w:rPr>
        <w:t>SoNG</w:t>
      </w:r>
      <w:proofErr w:type="spellEnd"/>
      <w:r w:rsidR="004878E6">
        <w:rPr>
          <w:rFonts w:ascii="Segoe UI" w:hAnsi="Segoe UI" w:cs="Segoe UI"/>
          <w:color w:val="313131"/>
          <w:shd w:val="clear" w:color="auto" w:fill="FFFFFF"/>
        </w:rPr>
        <w:t xml:space="preserve">) </w:t>
      </w:r>
      <w:r w:rsidR="0026110C">
        <w:rPr>
          <w:rFonts w:ascii="Segoe UI" w:hAnsi="Segoe UI" w:cs="Segoe UI"/>
          <w:color w:val="313131"/>
          <w:shd w:val="clear" w:color="auto" w:fill="FFFFFF"/>
        </w:rPr>
        <w:t xml:space="preserve">recommended </w:t>
      </w:r>
      <w:r w:rsidR="004878E6">
        <w:rPr>
          <w:rFonts w:ascii="Segoe UI" w:hAnsi="Segoe UI" w:cs="Segoe UI"/>
          <w:color w:val="313131"/>
          <w:shd w:val="clear" w:color="auto" w:fill="FFFFFF"/>
        </w:rPr>
        <w:t xml:space="preserve">that a person </w:t>
      </w:r>
      <w:r w:rsidR="00871D50">
        <w:rPr>
          <w:rFonts w:ascii="Segoe UI" w:hAnsi="Segoe UI" w:cs="Segoe UI"/>
          <w:color w:val="313131"/>
          <w:shd w:val="clear" w:color="auto" w:fill="FFFFFF"/>
        </w:rPr>
        <w:t xml:space="preserve">who had COVID-19 </w:t>
      </w:r>
      <w:r w:rsidR="009D2E82" w:rsidRPr="00D35730">
        <w:rPr>
          <w:rFonts w:ascii="Segoe UI" w:hAnsi="Segoe UI" w:cs="Segoe UI"/>
          <w:color w:val="313131"/>
          <w:shd w:val="clear" w:color="auto" w:fill="FFFFFF"/>
        </w:rPr>
        <w:t>needed to</w:t>
      </w:r>
      <w:r w:rsidR="004C4C6E" w:rsidRPr="00D35730">
        <w:rPr>
          <w:rFonts w:ascii="Segoe UI" w:hAnsi="Segoe UI" w:cs="Segoe UI"/>
          <w:color w:val="313131"/>
          <w:shd w:val="clear" w:color="auto" w:fill="FFFFFF"/>
        </w:rPr>
        <w:t>:</w:t>
      </w:r>
    </w:p>
    <w:p w14:paraId="6DCA1523" w14:textId="0B47C56A" w:rsidR="004C4C6E" w:rsidRPr="005A70C6" w:rsidRDefault="00871D50" w:rsidP="005A70C6">
      <w:pPr>
        <w:pStyle w:val="ListParagraph"/>
        <w:numPr>
          <w:ilvl w:val="0"/>
          <w:numId w:val="3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>be</w:t>
      </w:r>
      <w:r w:rsidR="0051355D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4878E6" w:rsidRPr="005A70C6">
        <w:rPr>
          <w:rFonts w:ascii="Segoe UI" w:hAnsi="Segoe UI" w:cs="Segoe UI"/>
          <w:color w:val="313131"/>
          <w:shd w:val="clear" w:color="auto" w:fill="FFFFFF"/>
        </w:rPr>
        <w:t>free of COVID-19 symptoms</w:t>
      </w:r>
      <w:r w:rsidR="004C4C6E">
        <w:rPr>
          <w:rFonts w:ascii="Segoe UI" w:hAnsi="Segoe UI" w:cs="Segoe UI"/>
          <w:color w:val="313131"/>
          <w:shd w:val="clear" w:color="auto" w:fill="FFFFFF"/>
        </w:rPr>
        <w:t>;</w:t>
      </w:r>
      <w:r w:rsidR="004878E6" w:rsidRPr="005A70C6">
        <w:rPr>
          <w:rFonts w:ascii="Segoe UI" w:hAnsi="Segoe UI" w:cs="Segoe UI"/>
          <w:color w:val="313131"/>
          <w:shd w:val="clear" w:color="auto" w:fill="FFFFFF"/>
        </w:rPr>
        <w:t xml:space="preserve"> and </w:t>
      </w:r>
    </w:p>
    <w:p w14:paraId="17A954D9" w14:textId="77777777" w:rsidR="00A3112F" w:rsidRDefault="004878E6" w:rsidP="005A70C6">
      <w:pPr>
        <w:pStyle w:val="ListParagraph"/>
        <w:numPr>
          <w:ilvl w:val="0"/>
          <w:numId w:val="3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>have two negative PCR</w:t>
      </w:r>
      <w:r w:rsidR="00554CB8">
        <w:rPr>
          <w:rStyle w:val="FootnoteReference"/>
          <w:rFonts w:ascii="Segoe UI" w:hAnsi="Segoe UI" w:cs="Segoe UI"/>
          <w:color w:val="313131"/>
          <w:shd w:val="clear" w:color="auto" w:fill="FFFFFF"/>
        </w:rPr>
        <w:footnoteReference w:id="1"/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results collected 24 hours apart </w:t>
      </w:r>
    </w:p>
    <w:p w14:paraId="3458A154" w14:textId="5AD532F7" w:rsidR="004C4C6E" w:rsidRPr="005A70C6" w:rsidRDefault="004878E6" w:rsidP="00A3112F">
      <w:pPr>
        <w:rPr>
          <w:rFonts w:ascii="Segoe UI" w:hAnsi="Segoe UI" w:cs="Segoe UI"/>
          <w:color w:val="313131"/>
          <w:shd w:val="clear" w:color="auto" w:fill="FFFFFF"/>
        </w:rPr>
      </w:pPr>
      <w:proofErr w:type="gramStart"/>
      <w:r w:rsidRPr="005A70C6">
        <w:rPr>
          <w:rFonts w:ascii="Segoe UI" w:hAnsi="Segoe UI" w:cs="Segoe UI"/>
          <w:color w:val="313131"/>
          <w:shd w:val="clear" w:color="auto" w:fill="FFFFFF"/>
        </w:rPr>
        <w:t>before</w:t>
      </w:r>
      <w:proofErr w:type="gramEnd"/>
      <w:r w:rsidRPr="005A70C6">
        <w:rPr>
          <w:rFonts w:ascii="Segoe UI" w:hAnsi="Segoe UI" w:cs="Segoe UI"/>
          <w:color w:val="313131"/>
          <w:shd w:val="clear" w:color="auto" w:fill="FFFFFF"/>
        </w:rPr>
        <w:t xml:space="preserve"> they could go into a high-risk setting</w:t>
      </w:r>
      <w:r w:rsidR="003F040C">
        <w:rPr>
          <w:rFonts w:ascii="Segoe UI" w:hAnsi="Segoe UI" w:cs="Segoe UI"/>
          <w:color w:val="313131"/>
          <w:shd w:val="clear" w:color="auto" w:fill="FFFFFF"/>
        </w:rPr>
        <w:t>,</w:t>
      </w:r>
      <w:r w:rsidR="004C4C6E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3F040C">
        <w:rPr>
          <w:rFonts w:ascii="Segoe UI" w:hAnsi="Segoe UI" w:cs="Segoe UI"/>
          <w:color w:val="313131"/>
          <w:shd w:val="clear" w:color="auto" w:fill="FFFFFF"/>
        </w:rPr>
        <w:t>f</w:t>
      </w:r>
      <w:r w:rsidR="004C4C6E" w:rsidRPr="005A70C6">
        <w:rPr>
          <w:rFonts w:ascii="Segoe UI" w:hAnsi="Segoe UI" w:cs="Segoe UI"/>
          <w:color w:val="313131"/>
          <w:shd w:val="clear" w:color="auto" w:fill="FFFFFF"/>
        </w:rPr>
        <w:t xml:space="preserve">or example, </w:t>
      </w:r>
      <w:r w:rsidR="00175912" w:rsidRPr="005A70C6">
        <w:rPr>
          <w:rFonts w:ascii="Segoe UI" w:hAnsi="Segoe UI" w:cs="Segoe UI"/>
          <w:color w:val="313131"/>
          <w:shd w:val="clear" w:color="auto" w:fill="FFFFFF"/>
        </w:rPr>
        <w:t xml:space="preserve">persons </w:t>
      </w:r>
      <w:r w:rsidRPr="005A70C6">
        <w:rPr>
          <w:rFonts w:ascii="Segoe UI" w:hAnsi="Segoe UI" w:cs="Segoe UI"/>
          <w:color w:val="313131"/>
          <w:shd w:val="clear" w:color="auto" w:fill="FFFFFF"/>
        </w:rPr>
        <w:t>going in</w:t>
      </w:r>
      <w:r w:rsidR="00175912" w:rsidRPr="005A70C6">
        <w:rPr>
          <w:rFonts w:ascii="Segoe UI" w:hAnsi="Segoe UI" w:cs="Segoe UI"/>
          <w:color w:val="313131"/>
          <w:shd w:val="clear" w:color="auto" w:fill="FFFFFF"/>
        </w:rPr>
        <w:t xml:space="preserve">to </w:t>
      </w:r>
      <w:r w:rsidR="005741EF" w:rsidRPr="005A70C6">
        <w:rPr>
          <w:rFonts w:ascii="Segoe UI" w:hAnsi="Segoe UI" w:cs="Segoe UI"/>
          <w:color w:val="313131"/>
          <w:shd w:val="clear" w:color="auto" w:fill="FFFFFF"/>
        </w:rPr>
        <w:t xml:space="preserve">a </w:t>
      </w:r>
      <w:r w:rsidR="00F05356" w:rsidRPr="005A70C6">
        <w:rPr>
          <w:rFonts w:ascii="Segoe UI" w:hAnsi="Segoe UI" w:cs="Segoe UI"/>
          <w:color w:val="313131"/>
          <w:shd w:val="clear" w:color="auto" w:fill="FFFFFF"/>
        </w:rPr>
        <w:t>residential aged care facilit</w:t>
      </w:r>
      <w:r w:rsidR="005741EF" w:rsidRPr="005A70C6">
        <w:rPr>
          <w:rFonts w:ascii="Segoe UI" w:hAnsi="Segoe UI" w:cs="Segoe UI"/>
          <w:color w:val="313131"/>
          <w:shd w:val="clear" w:color="auto" w:fill="FFFFFF"/>
        </w:rPr>
        <w:t>y</w:t>
      </w:r>
      <w:r w:rsidR="00175912" w:rsidRPr="005A70C6">
        <w:rPr>
          <w:rFonts w:ascii="Segoe UI" w:hAnsi="Segoe UI" w:cs="Segoe UI"/>
          <w:color w:val="313131"/>
          <w:shd w:val="clear" w:color="auto" w:fill="FFFFFF"/>
        </w:rPr>
        <w:t>, or healthcare workers returning to work</w:t>
      </w:r>
      <w:r w:rsidR="00C11604" w:rsidRPr="005A70C6">
        <w:rPr>
          <w:rFonts w:ascii="Segoe UI" w:hAnsi="Segoe UI" w:cs="Segoe UI"/>
          <w:color w:val="313131"/>
          <w:shd w:val="clear" w:color="auto" w:fill="FFFFFF"/>
        </w:rPr>
        <w:t>.</w:t>
      </w:r>
      <w:r w:rsidR="0051355D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5E1C7D2F" w14:textId="543220B6" w:rsidR="0051355D" w:rsidRPr="00536843" w:rsidRDefault="0051355D" w:rsidP="004878E6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t xml:space="preserve">This was a precautionary approach to </w:t>
      </w:r>
      <w:r w:rsidR="00C11604">
        <w:rPr>
          <w:rFonts w:ascii="Segoe UI" w:hAnsi="Segoe UI" w:cs="Segoe UI"/>
          <w:color w:val="313131"/>
          <w:shd w:val="clear" w:color="auto" w:fill="FFFFFF"/>
        </w:rPr>
        <w:t>minimise</w:t>
      </w:r>
      <w:r w:rsidR="00C11604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the risk of </w:t>
      </w:r>
      <w:r w:rsidR="004878E6">
        <w:rPr>
          <w:rFonts w:ascii="Segoe UI" w:hAnsi="Segoe UI" w:cs="Segoe UI"/>
          <w:color w:val="313131"/>
          <w:shd w:val="clear" w:color="auto" w:fill="FFFFFF"/>
        </w:rPr>
        <w:t>an</w:t>
      </w:r>
      <w:r w:rsidR="004878E6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outbreak in </w:t>
      </w:r>
      <w:r w:rsidR="004878E6">
        <w:rPr>
          <w:rFonts w:ascii="Segoe UI" w:hAnsi="Segoe UI" w:cs="Segoe UI"/>
          <w:color w:val="313131"/>
          <w:shd w:val="clear" w:color="auto" w:fill="FFFFFF"/>
        </w:rPr>
        <w:t xml:space="preserve">a </w:t>
      </w:r>
      <w:r w:rsidR="00F05356" w:rsidRPr="00536843">
        <w:rPr>
          <w:rFonts w:ascii="Segoe UI" w:hAnsi="Segoe UI" w:cs="Segoe UI"/>
          <w:color w:val="313131"/>
          <w:shd w:val="clear" w:color="auto" w:fill="FFFFFF"/>
        </w:rPr>
        <w:t xml:space="preserve">high-risk </w:t>
      </w:r>
      <w:proofErr w:type="gramStart"/>
      <w:r w:rsidR="00F05356" w:rsidRPr="00536843">
        <w:rPr>
          <w:rFonts w:ascii="Segoe UI" w:hAnsi="Segoe UI" w:cs="Segoe UI"/>
          <w:color w:val="313131"/>
          <w:shd w:val="clear" w:color="auto" w:fill="FFFFFF"/>
        </w:rPr>
        <w:t>setting</w:t>
      </w:r>
      <w:proofErr w:type="gramEnd"/>
      <w:r w:rsidR="00F05356" w:rsidRPr="00536843">
        <w:rPr>
          <w:rFonts w:ascii="Segoe UI" w:hAnsi="Segoe UI" w:cs="Segoe UI"/>
          <w:color w:val="313131"/>
          <w:shd w:val="clear" w:color="auto" w:fill="FFFFFF"/>
        </w:rPr>
        <w:t xml:space="preserve">, where the consequences </w:t>
      </w:r>
      <w:r w:rsidR="00C11604">
        <w:rPr>
          <w:rFonts w:ascii="Segoe UI" w:hAnsi="Segoe UI" w:cs="Segoe UI"/>
          <w:color w:val="313131"/>
          <w:shd w:val="clear" w:color="auto" w:fill="FFFFFF"/>
        </w:rPr>
        <w:t>could</w:t>
      </w:r>
      <w:r w:rsidR="00F05356" w:rsidRPr="00536843">
        <w:rPr>
          <w:rFonts w:ascii="Segoe UI" w:hAnsi="Segoe UI" w:cs="Segoe UI"/>
          <w:color w:val="313131"/>
          <w:shd w:val="clear" w:color="auto" w:fill="FFFFFF"/>
        </w:rPr>
        <w:t xml:space="preserve"> be </w:t>
      </w:r>
      <w:r w:rsidR="00536843">
        <w:rPr>
          <w:rFonts w:ascii="Segoe UI" w:hAnsi="Segoe UI" w:cs="Segoe UI"/>
          <w:color w:val="313131"/>
          <w:shd w:val="clear" w:color="auto" w:fill="FFFFFF"/>
        </w:rPr>
        <w:t>catastrophic</w:t>
      </w:r>
      <w:r w:rsidR="00F05356" w:rsidRPr="00536843">
        <w:rPr>
          <w:rFonts w:ascii="Segoe UI" w:hAnsi="Segoe UI" w:cs="Segoe UI"/>
          <w:color w:val="313131"/>
          <w:shd w:val="clear" w:color="auto" w:fill="FFFFFF"/>
        </w:rPr>
        <w:t>.</w:t>
      </w:r>
    </w:p>
    <w:p w14:paraId="7DDEE38B" w14:textId="5506BF4C" w:rsidR="00552BA9" w:rsidRPr="00536843" w:rsidRDefault="00F05356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lastRenderedPageBreak/>
        <w:t xml:space="preserve">After </w:t>
      </w:r>
      <w:r w:rsidR="00C11604">
        <w:rPr>
          <w:rFonts w:ascii="Segoe UI" w:hAnsi="Segoe UI" w:cs="Segoe UI"/>
          <w:color w:val="313131"/>
          <w:shd w:val="clear" w:color="auto" w:fill="FFFFFF"/>
        </w:rPr>
        <w:t>assessing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897559" w:rsidRPr="00536843">
        <w:rPr>
          <w:rFonts w:ascii="Segoe UI" w:hAnsi="Segoe UI" w:cs="Segoe UI"/>
          <w:color w:val="313131"/>
          <w:shd w:val="clear" w:color="auto" w:fill="FFFFFF"/>
        </w:rPr>
        <w:t>international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 evidence</w:t>
      </w:r>
      <w:r w:rsidR="00EF1C07">
        <w:rPr>
          <w:rFonts w:ascii="Segoe UI" w:hAnsi="Segoe UI" w:cs="Segoe UI"/>
          <w:color w:val="313131"/>
          <w:shd w:val="clear" w:color="auto" w:fill="FFFFFF"/>
        </w:rPr>
        <w:t>,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1A66CA" w:rsidRPr="00536843">
        <w:rPr>
          <w:rFonts w:ascii="Segoe UI" w:hAnsi="Segoe UI" w:cs="Segoe UI"/>
          <w:color w:val="313131"/>
          <w:shd w:val="clear" w:color="auto" w:fill="FFFFFF"/>
        </w:rPr>
        <w:t>and</w:t>
      </w:r>
      <w:r w:rsidR="008C6193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C11604" w:rsidRPr="00536843">
        <w:rPr>
          <w:rFonts w:ascii="Segoe UI" w:hAnsi="Segoe UI" w:cs="Segoe UI"/>
          <w:color w:val="313131"/>
          <w:shd w:val="clear" w:color="auto" w:fill="FFFFFF"/>
        </w:rPr>
        <w:t>Australia</w:t>
      </w:r>
      <w:r w:rsidR="00C11604">
        <w:rPr>
          <w:rFonts w:ascii="Segoe UI" w:hAnsi="Segoe UI" w:cs="Segoe UI"/>
          <w:color w:val="313131"/>
          <w:shd w:val="clear" w:color="auto" w:fill="FFFFFF"/>
        </w:rPr>
        <w:t>n</w:t>
      </w:r>
      <w:r w:rsidR="001A66CA" w:rsidRPr="00536843">
        <w:rPr>
          <w:rFonts w:ascii="Segoe UI" w:hAnsi="Segoe UI" w:cs="Segoe UI"/>
          <w:color w:val="313131"/>
          <w:shd w:val="clear" w:color="auto" w:fill="FFFFFF"/>
        </w:rPr>
        <w:t xml:space="preserve"> public health experience</w:t>
      </w:r>
      <w:r w:rsidRPr="00536843">
        <w:rPr>
          <w:rFonts w:ascii="Segoe UI" w:hAnsi="Segoe UI" w:cs="Segoe UI"/>
          <w:color w:val="313131"/>
          <w:shd w:val="clear" w:color="auto" w:fill="FFFFFF"/>
        </w:rPr>
        <w:t>, CDNA and PHLN</w:t>
      </w:r>
      <w:r w:rsidR="004878E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1D2F4B">
        <w:rPr>
          <w:rFonts w:ascii="Segoe UI" w:hAnsi="Segoe UI" w:cs="Segoe UI"/>
          <w:color w:val="313131"/>
          <w:shd w:val="clear" w:color="auto" w:fill="FFFFFF"/>
        </w:rPr>
        <w:t xml:space="preserve">have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agreed </w:t>
      </w:r>
      <w:r w:rsidR="002774E6">
        <w:rPr>
          <w:rFonts w:ascii="Segoe UI" w:hAnsi="Segoe UI" w:cs="Segoe UI"/>
          <w:color w:val="313131"/>
          <w:shd w:val="clear" w:color="auto" w:fill="FFFFFF"/>
        </w:rPr>
        <w:t xml:space="preserve">to revised criteria. People </w:t>
      </w:r>
      <w:r w:rsidRPr="00536843">
        <w:rPr>
          <w:rFonts w:ascii="Segoe UI" w:hAnsi="Segoe UI" w:cs="Segoe UI"/>
          <w:color w:val="313131"/>
          <w:shd w:val="clear" w:color="auto" w:fill="FFFFFF"/>
        </w:rPr>
        <w:t>who are eligible for release from isolation</w:t>
      </w:r>
      <w:r w:rsidR="002774E6">
        <w:rPr>
          <w:rFonts w:ascii="Segoe UI" w:hAnsi="Segoe UI" w:cs="Segoe UI"/>
          <w:color w:val="313131"/>
          <w:shd w:val="clear" w:color="auto" w:fill="FFFFFF"/>
        </w:rPr>
        <w:t>,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 based on</w:t>
      </w:r>
      <w:r w:rsidR="000972E4">
        <w:rPr>
          <w:rFonts w:ascii="Segoe UI" w:hAnsi="Segoe UI" w:cs="Segoe UI"/>
          <w:color w:val="313131"/>
          <w:shd w:val="clear" w:color="auto" w:fill="FFFFFF"/>
        </w:rPr>
        <w:t xml:space="preserve"> the</w:t>
      </w:r>
      <w:r w:rsidR="00C95D3C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536843">
        <w:rPr>
          <w:rFonts w:ascii="Segoe UI" w:hAnsi="Segoe UI" w:cs="Segoe UI"/>
          <w:color w:val="313131"/>
          <w:shd w:val="clear" w:color="auto" w:fill="FFFFFF"/>
        </w:rPr>
        <w:t>clinical criteria</w:t>
      </w:r>
      <w:r w:rsidR="002774E6">
        <w:rPr>
          <w:rFonts w:ascii="Segoe UI" w:hAnsi="Segoe UI" w:cs="Segoe UI"/>
          <w:color w:val="313131"/>
          <w:shd w:val="clear" w:color="auto" w:fill="FFFFFF"/>
        </w:rPr>
        <w:t>,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C11604">
        <w:rPr>
          <w:rFonts w:ascii="Segoe UI" w:hAnsi="Segoe UI" w:cs="Segoe UI"/>
          <w:color w:val="313131"/>
          <w:shd w:val="clear" w:color="auto" w:fill="FFFFFF"/>
        </w:rPr>
        <w:t xml:space="preserve">do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not pose a risk of onward infection. </w:t>
      </w:r>
      <w:r w:rsidR="00C11604">
        <w:rPr>
          <w:rFonts w:ascii="Segoe UI" w:hAnsi="Segoe UI" w:cs="Segoe UI"/>
          <w:color w:val="313131"/>
          <w:shd w:val="clear" w:color="auto" w:fill="FFFFFF"/>
        </w:rPr>
        <w:t>People who have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 recovered </w:t>
      </w:r>
      <w:r w:rsidR="00C11604">
        <w:rPr>
          <w:rFonts w:ascii="Segoe UI" w:hAnsi="Segoe UI" w:cs="Segoe UI"/>
          <w:color w:val="313131"/>
          <w:shd w:val="clear" w:color="auto" w:fill="FFFFFF"/>
        </w:rPr>
        <w:t xml:space="preserve">from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COVID-19 are no longer required to meet additional </w:t>
      </w:r>
      <w:r w:rsidR="00C11604">
        <w:rPr>
          <w:rFonts w:ascii="Segoe UI" w:hAnsi="Segoe UI" w:cs="Segoe UI"/>
          <w:color w:val="313131"/>
          <w:shd w:val="clear" w:color="auto" w:fill="FFFFFF"/>
        </w:rPr>
        <w:t xml:space="preserve">laboratory testing </w:t>
      </w:r>
      <w:r w:rsidRPr="00536843">
        <w:rPr>
          <w:rFonts w:ascii="Segoe UI" w:hAnsi="Segoe UI" w:cs="Segoe UI"/>
          <w:color w:val="313131"/>
          <w:shd w:val="clear" w:color="auto" w:fill="FFFFFF"/>
        </w:rPr>
        <w:t xml:space="preserve">criteria </w:t>
      </w:r>
      <w:r w:rsidR="007769B5" w:rsidRPr="00536843">
        <w:rPr>
          <w:rFonts w:ascii="Segoe UI" w:hAnsi="Segoe UI" w:cs="Segoe UI"/>
          <w:color w:val="313131"/>
          <w:shd w:val="clear" w:color="auto" w:fill="FFFFFF"/>
        </w:rPr>
        <w:t>prior to going into high-risk settings.</w:t>
      </w:r>
    </w:p>
    <w:p w14:paraId="56FA9B30" w14:textId="4CB28D83" w:rsidR="00EF1C07" w:rsidRDefault="00C07F27" w:rsidP="00897559">
      <w:pPr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>CDNA and PHLN</w:t>
      </w:r>
      <w:r w:rsidR="00EF1C07">
        <w:rPr>
          <w:rFonts w:ascii="Segoe UI" w:hAnsi="Segoe UI" w:cs="Segoe UI"/>
          <w:color w:val="313131"/>
          <w:shd w:val="clear" w:color="auto" w:fill="FFFFFF"/>
        </w:rPr>
        <w:t xml:space="preserve"> c</w:t>
      </w:r>
      <w:r w:rsidR="009106E3" w:rsidRPr="00536843">
        <w:rPr>
          <w:rFonts w:ascii="Segoe UI" w:hAnsi="Segoe UI" w:cs="Segoe UI"/>
          <w:color w:val="313131"/>
          <w:shd w:val="clear" w:color="auto" w:fill="FFFFFF"/>
        </w:rPr>
        <w:t>onsi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>der</w:t>
      </w:r>
      <w:r>
        <w:rPr>
          <w:rFonts w:ascii="Segoe UI" w:hAnsi="Segoe UI" w:cs="Segoe UI"/>
          <w:color w:val="313131"/>
          <w:shd w:val="clear" w:color="auto" w:fill="FFFFFF"/>
        </w:rPr>
        <w:t>ed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proofErr w:type="gramStart"/>
      <w:r w:rsidR="00EF1C07">
        <w:rPr>
          <w:rFonts w:ascii="Segoe UI" w:hAnsi="Segoe UI" w:cs="Segoe UI"/>
          <w:color w:val="313131"/>
          <w:shd w:val="clear" w:color="auto" w:fill="FFFFFF"/>
        </w:rPr>
        <w:t>more conservative approaches</w:t>
      </w:r>
      <w:proofErr w:type="gramEnd"/>
      <w:r w:rsidR="00AE207B">
        <w:rPr>
          <w:rFonts w:ascii="Segoe UI" w:hAnsi="Segoe UI" w:cs="Segoe UI"/>
          <w:color w:val="313131"/>
          <w:shd w:val="clear" w:color="auto" w:fill="FFFFFF"/>
        </w:rPr>
        <w:t xml:space="preserve">. This </w:t>
      </w:r>
      <w:r w:rsidR="00C95D3C" w:rsidRPr="00536843">
        <w:rPr>
          <w:rFonts w:ascii="Segoe UI" w:hAnsi="Segoe UI" w:cs="Segoe UI"/>
          <w:color w:val="313131"/>
          <w:shd w:val="clear" w:color="auto" w:fill="FFFFFF"/>
        </w:rPr>
        <w:t>includ</w:t>
      </w:r>
      <w:r w:rsidR="00AE207B">
        <w:rPr>
          <w:rFonts w:ascii="Segoe UI" w:hAnsi="Segoe UI" w:cs="Segoe UI"/>
          <w:color w:val="313131"/>
          <w:shd w:val="clear" w:color="auto" w:fill="FFFFFF"/>
        </w:rPr>
        <w:t>ed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 xml:space="preserve"> extending the period from onset of symptoms to release from isolation beyond the currently advised </w:t>
      </w:r>
      <w:r w:rsidR="00EF1C07">
        <w:rPr>
          <w:rFonts w:ascii="Segoe UI" w:hAnsi="Segoe UI" w:cs="Segoe UI"/>
          <w:color w:val="313131"/>
          <w:shd w:val="clear" w:color="auto" w:fill="FFFFFF"/>
        </w:rPr>
        <w:t xml:space="preserve">10 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>days</w:t>
      </w:r>
      <w:r w:rsidR="00EF1C07">
        <w:rPr>
          <w:rFonts w:ascii="Segoe UI" w:hAnsi="Segoe UI" w:cs="Segoe UI"/>
          <w:color w:val="313131"/>
          <w:shd w:val="clear" w:color="auto" w:fill="FFFFFF"/>
        </w:rPr>
        <w:t xml:space="preserve">, </w:t>
      </w:r>
      <w:r w:rsidR="00920594" w:rsidRPr="00536843">
        <w:rPr>
          <w:rFonts w:ascii="Segoe UI" w:hAnsi="Segoe UI" w:cs="Segoe UI"/>
          <w:color w:val="313131"/>
          <w:shd w:val="clear" w:color="auto" w:fill="FFFFFF"/>
        </w:rPr>
        <w:t>or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 xml:space="preserve"> reverting to negative PCR tests </w:t>
      </w:r>
      <w:r w:rsidR="009D2E82">
        <w:rPr>
          <w:rFonts w:ascii="Segoe UI" w:hAnsi="Segoe UI" w:cs="Segoe UI"/>
          <w:color w:val="313131"/>
          <w:shd w:val="clear" w:color="auto" w:fill="FFFFFF"/>
        </w:rPr>
        <w:t xml:space="preserve">for 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 xml:space="preserve">persons to </w:t>
      </w:r>
      <w:proofErr w:type="gramStart"/>
      <w:r w:rsidR="007D1D69" w:rsidRPr="00536843">
        <w:rPr>
          <w:rFonts w:ascii="Segoe UI" w:hAnsi="Segoe UI" w:cs="Segoe UI"/>
          <w:color w:val="313131"/>
          <w:shd w:val="clear" w:color="auto" w:fill="FFFFFF"/>
        </w:rPr>
        <w:t xml:space="preserve">be </w:t>
      </w:r>
      <w:r w:rsidR="009D2E82">
        <w:rPr>
          <w:rFonts w:ascii="Segoe UI" w:hAnsi="Segoe UI" w:cs="Segoe UI"/>
          <w:color w:val="313131"/>
          <w:shd w:val="clear" w:color="auto" w:fill="FFFFFF"/>
        </w:rPr>
        <w:t>released</w:t>
      </w:r>
      <w:proofErr w:type="gramEnd"/>
      <w:r w:rsidR="009D2E82">
        <w:rPr>
          <w:rFonts w:ascii="Segoe UI" w:hAnsi="Segoe UI" w:cs="Segoe UI"/>
          <w:color w:val="313131"/>
          <w:shd w:val="clear" w:color="auto" w:fill="FFFFFF"/>
        </w:rPr>
        <w:t xml:space="preserve"> from </w:t>
      </w:r>
      <w:r w:rsidR="007D1D69" w:rsidRPr="00536843">
        <w:rPr>
          <w:rFonts w:ascii="Segoe UI" w:hAnsi="Segoe UI" w:cs="Segoe UI"/>
          <w:color w:val="313131"/>
          <w:shd w:val="clear" w:color="auto" w:fill="FFFFFF"/>
        </w:rPr>
        <w:t>isolation.</w:t>
      </w:r>
      <w:r w:rsidR="00920594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EF1C07">
        <w:rPr>
          <w:rFonts w:ascii="Segoe UI" w:hAnsi="Segoe UI" w:cs="Segoe UI"/>
          <w:color w:val="313131"/>
          <w:shd w:val="clear" w:color="auto" w:fill="FFFFFF"/>
        </w:rPr>
        <w:t xml:space="preserve">However, current </w:t>
      </w:r>
      <w:r w:rsidR="000972E4">
        <w:rPr>
          <w:rFonts w:ascii="Segoe UI" w:hAnsi="Segoe UI" w:cs="Segoe UI"/>
          <w:color w:val="313131"/>
          <w:shd w:val="clear" w:color="auto" w:fill="FFFFFF"/>
        </w:rPr>
        <w:t xml:space="preserve">evidence </w:t>
      </w:r>
      <w:r w:rsidR="00B327E0">
        <w:rPr>
          <w:rFonts w:ascii="Segoe UI" w:hAnsi="Segoe UI" w:cs="Segoe UI"/>
          <w:color w:val="313131"/>
          <w:shd w:val="clear" w:color="auto" w:fill="FFFFFF"/>
        </w:rPr>
        <w:t>is that people are</w:t>
      </w:r>
      <w:r w:rsidR="000972E4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B327E0">
        <w:rPr>
          <w:rFonts w:ascii="Segoe UI" w:hAnsi="Segoe UI" w:cs="Segoe UI"/>
          <w:color w:val="313131"/>
          <w:shd w:val="clear" w:color="auto" w:fill="FFFFFF"/>
        </w:rPr>
        <w:t xml:space="preserve">no longer infectious after approximately 10 days </w:t>
      </w:r>
      <w:r w:rsidR="00871D50">
        <w:rPr>
          <w:rFonts w:ascii="Segoe UI" w:hAnsi="Segoe UI" w:cs="Segoe UI"/>
          <w:color w:val="313131"/>
          <w:shd w:val="clear" w:color="auto" w:fill="FFFFFF"/>
        </w:rPr>
        <w:t>since</w:t>
      </w:r>
      <w:r w:rsidR="00B327E0">
        <w:rPr>
          <w:rFonts w:ascii="Segoe UI" w:hAnsi="Segoe UI" w:cs="Segoe UI"/>
          <w:color w:val="313131"/>
          <w:shd w:val="clear" w:color="auto" w:fill="FFFFFF"/>
        </w:rPr>
        <w:t xml:space="preserve"> becoming ill with</w:t>
      </w:r>
      <w:r w:rsidR="000972E4">
        <w:rPr>
          <w:rFonts w:ascii="Segoe UI" w:hAnsi="Segoe UI" w:cs="Segoe UI"/>
          <w:color w:val="313131"/>
          <w:shd w:val="clear" w:color="auto" w:fill="FFFFFF"/>
        </w:rPr>
        <w:t xml:space="preserve"> COVID-19</w:t>
      </w:r>
      <w:r w:rsidR="00B327E0">
        <w:rPr>
          <w:rFonts w:ascii="Segoe UI" w:hAnsi="Segoe UI" w:cs="Segoe UI"/>
          <w:color w:val="313131"/>
          <w:shd w:val="clear" w:color="auto" w:fill="FFFFFF"/>
        </w:rPr>
        <w:t xml:space="preserve"> and </w:t>
      </w:r>
      <w:proofErr w:type="gramStart"/>
      <w:r w:rsidR="00B327E0">
        <w:rPr>
          <w:rFonts w:ascii="Segoe UI" w:hAnsi="Segoe UI" w:cs="Segoe UI"/>
          <w:color w:val="313131"/>
          <w:shd w:val="clear" w:color="auto" w:fill="FFFFFF"/>
        </w:rPr>
        <w:t>more conservative approaches</w:t>
      </w:r>
      <w:proofErr w:type="gramEnd"/>
      <w:r w:rsidR="00B327E0">
        <w:rPr>
          <w:rFonts w:ascii="Segoe UI" w:hAnsi="Segoe UI" w:cs="Segoe UI"/>
          <w:color w:val="313131"/>
          <w:shd w:val="clear" w:color="auto" w:fill="FFFFFF"/>
        </w:rPr>
        <w:t xml:space="preserve"> are </w:t>
      </w:r>
      <w:r w:rsidR="00EF1C07">
        <w:rPr>
          <w:rFonts w:ascii="Segoe UI" w:hAnsi="Segoe UI" w:cs="Segoe UI"/>
          <w:color w:val="313131"/>
          <w:shd w:val="clear" w:color="auto" w:fill="FFFFFF"/>
        </w:rPr>
        <w:t>not warrant</w:t>
      </w:r>
      <w:r w:rsidR="00B327E0">
        <w:rPr>
          <w:rFonts w:ascii="Segoe UI" w:hAnsi="Segoe UI" w:cs="Segoe UI"/>
          <w:color w:val="313131"/>
          <w:shd w:val="clear" w:color="auto" w:fill="FFFFFF"/>
        </w:rPr>
        <w:t>ed</w:t>
      </w:r>
      <w:r w:rsidR="00EF1C07">
        <w:rPr>
          <w:rFonts w:ascii="Segoe UI" w:hAnsi="Segoe UI" w:cs="Segoe UI"/>
          <w:color w:val="313131"/>
          <w:shd w:val="clear" w:color="auto" w:fill="FFFFFF"/>
        </w:rPr>
        <w:t>.</w:t>
      </w:r>
    </w:p>
    <w:p w14:paraId="729ED702" w14:textId="05CBEDC2" w:rsidR="00851C2F" w:rsidRDefault="00571B7A" w:rsidP="009D2E82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lastRenderedPageBreak/>
        <w:t>The evidence indicates</w:t>
      </w:r>
      <w:r w:rsidR="00851C2F">
        <w:rPr>
          <w:rFonts w:ascii="Segoe UI" w:hAnsi="Segoe UI" w:cs="Segoe UI"/>
          <w:color w:val="313131"/>
          <w:shd w:val="clear" w:color="auto" w:fill="FFFFFF"/>
        </w:rPr>
        <w:t>:</w:t>
      </w:r>
    </w:p>
    <w:p w14:paraId="2C848683" w14:textId="09F41BBA" w:rsidR="00851C2F" w:rsidRPr="005A70C6" w:rsidRDefault="006C3D9E" w:rsidP="00D35730">
      <w:pPr>
        <w:pStyle w:val="ListParagraph"/>
        <w:numPr>
          <w:ilvl w:val="0"/>
          <w:numId w:val="7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 xml:space="preserve">the critical time for viral transmission is </w:t>
      </w:r>
      <w:r w:rsidR="00571B7A" w:rsidRPr="005A70C6">
        <w:rPr>
          <w:rFonts w:ascii="Segoe UI" w:hAnsi="Segoe UI" w:cs="Segoe UI"/>
          <w:color w:val="313131"/>
          <w:shd w:val="clear" w:color="auto" w:fill="FFFFFF"/>
        </w:rPr>
        <w:t>early in the illness</w:t>
      </w:r>
      <w:r w:rsidR="00D35730" w:rsidRPr="00D35730">
        <w:rPr>
          <w:rFonts w:ascii="Segoe UI" w:hAnsi="Segoe UI" w:cs="Segoe UI"/>
          <w:color w:val="313131"/>
          <w:shd w:val="clear" w:color="auto" w:fill="FFFFFF"/>
        </w:rPr>
        <w:t>, and</w:t>
      </w:r>
      <w:r w:rsidR="00D35730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E84F49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091C6132" w14:textId="77777777" w:rsidR="00851C2F" w:rsidRDefault="00571B7A" w:rsidP="005A70C6">
      <w:pPr>
        <w:pStyle w:val="ListParagraph"/>
        <w:numPr>
          <w:ilvl w:val="0"/>
          <w:numId w:val="7"/>
        </w:numPr>
        <w:rPr>
          <w:rFonts w:ascii="Segoe UI" w:hAnsi="Segoe UI" w:cs="Segoe UI"/>
          <w:color w:val="313131"/>
          <w:shd w:val="clear" w:color="auto" w:fill="FFFFFF"/>
        </w:rPr>
      </w:pPr>
      <w:proofErr w:type="gramStart"/>
      <w:r w:rsidRPr="005A70C6">
        <w:rPr>
          <w:rFonts w:ascii="Segoe UI" w:hAnsi="Segoe UI" w:cs="Segoe UI"/>
          <w:color w:val="313131"/>
          <w:shd w:val="clear" w:color="auto" w:fill="FFFFFF"/>
        </w:rPr>
        <w:t>the</w:t>
      </w:r>
      <w:proofErr w:type="gramEnd"/>
      <w:r w:rsidRPr="005A70C6">
        <w:rPr>
          <w:rFonts w:ascii="Segoe UI" w:hAnsi="Segoe UI" w:cs="Segoe UI"/>
          <w:color w:val="313131"/>
          <w:shd w:val="clear" w:color="auto" w:fill="FFFFFF"/>
        </w:rPr>
        <w:t xml:space="preserve"> risk</w:t>
      </w:r>
      <w:r w:rsidR="00EF1C07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6C3D9E" w:rsidRPr="005A70C6">
        <w:rPr>
          <w:rFonts w:ascii="Segoe UI" w:hAnsi="Segoe UI" w:cs="Segoe UI"/>
          <w:color w:val="313131"/>
          <w:shd w:val="clear" w:color="auto" w:fill="FFFFFF"/>
        </w:rPr>
        <w:t xml:space="preserve">of </w:t>
      </w:r>
      <w:r w:rsidR="00EF1C07" w:rsidRPr="005A70C6">
        <w:rPr>
          <w:rFonts w:ascii="Segoe UI" w:hAnsi="Segoe UI" w:cs="Segoe UI"/>
          <w:color w:val="313131"/>
          <w:shd w:val="clear" w:color="auto" w:fill="FFFFFF"/>
        </w:rPr>
        <w:t>transmissibility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decreases over the ensuing week</w:t>
      </w:r>
      <w:r w:rsidR="00E84F49" w:rsidRPr="005A70C6">
        <w:rPr>
          <w:rFonts w:ascii="Segoe UI" w:hAnsi="Segoe UI" w:cs="Segoe UI"/>
          <w:color w:val="313131"/>
          <w:shd w:val="clear" w:color="auto" w:fill="FFFFFF"/>
        </w:rPr>
        <w:t>,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EF1C07" w:rsidRPr="005A70C6">
        <w:rPr>
          <w:rFonts w:ascii="Segoe UI" w:hAnsi="Segoe UI" w:cs="Segoe UI"/>
          <w:color w:val="313131"/>
          <w:shd w:val="clear" w:color="auto" w:fill="FFFFFF"/>
        </w:rPr>
        <w:t>becoming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E84F49" w:rsidRPr="005A70C6">
        <w:rPr>
          <w:rFonts w:ascii="Segoe UI" w:hAnsi="Segoe UI" w:cs="Segoe UI"/>
          <w:color w:val="313131"/>
          <w:shd w:val="clear" w:color="auto" w:fill="FFFFFF"/>
        </w:rPr>
        <w:t>negligible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by day 10.</w:t>
      </w:r>
      <w:r w:rsidR="007D1D69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32417966" w14:textId="39E06E6C" w:rsidR="009D2E82" w:rsidRPr="005A70C6" w:rsidRDefault="00536843" w:rsidP="006D73F8">
      <w:p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>While cases may test PCR positive for weeks following onset of symptoms,</w:t>
      </w:r>
      <w:r w:rsidR="00442C77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AE207B" w:rsidRPr="005A70C6">
        <w:rPr>
          <w:rFonts w:ascii="Segoe UI" w:hAnsi="Segoe UI" w:cs="Segoe UI"/>
          <w:color w:val="313131"/>
          <w:shd w:val="clear" w:color="auto" w:fill="FFFFFF"/>
        </w:rPr>
        <w:t xml:space="preserve">they </w:t>
      </w:r>
      <w:proofErr w:type="gramStart"/>
      <w:r w:rsidR="003F040C">
        <w:rPr>
          <w:rFonts w:ascii="Segoe UI" w:hAnsi="Segoe UI" w:cs="Segoe UI"/>
          <w:color w:val="313131"/>
          <w:shd w:val="clear" w:color="auto" w:fill="FFFFFF"/>
        </w:rPr>
        <w:t>are considered</w:t>
      </w:r>
      <w:proofErr w:type="gramEnd"/>
      <w:r w:rsidR="003F040C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AE207B" w:rsidRPr="005A70C6">
        <w:rPr>
          <w:rFonts w:ascii="Segoe UI" w:hAnsi="Segoe UI" w:cs="Segoe UI"/>
          <w:color w:val="313131"/>
          <w:shd w:val="clear" w:color="auto" w:fill="FFFFFF"/>
        </w:rPr>
        <w:t xml:space="preserve">not </w:t>
      </w:r>
      <w:r w:rsidR="003F040C">
        <w:rPr>
          <w:rFonts w:ascii="Segoe UI" w:hAnsi="Segoe UI" w:cs="Segoe UI"/>
          <w:color w:val="313131"/>
          <w:shd w:val="clear" w:color="auto" w:fill="FFFFFF"/>
        </w:rPr>
        <w:t xml:space="preserve">to be </w:t>
      </w:r>
      <w:r w:rsidR="00AE207B" w:rsidRPr="005A70C6">
        <w:rPr>
          <w:rFonts w:ascii="Segoe UI" w:hAnsi="Segoe UI" w:cs="Segoe UI"/>
          <w:color w:val="313131"/>
          <w:shd w:val="clear" w:color="auto" w:fill="FFFFFF"/>
        </w:rPr>
        <w:t>infectious. T</w:t>
      </w:r>
      <w:r w:rsidR="00897559" w:rsidRPr="005A70C6">
        <w:rPr>
          <w:rFonts w:ascii="Segoe UI" w:hAnsi="Segoe UI" w:cs="Segoe UI"/>
          <w:color w:val="313131"/>
          <w:shd w:val="clear" w:color="auto" w:fill="FFFFFF"/>
        </w:rPr>
        <w:t xml:space="preserve">here is evidence that </w:t>
      </w:r>
      <w:r w:rsidR="00B327E0" w:rsidRPr="005A70C6">
        <w:rPr>
          <w:rFonts w:ascii="Segoe UI" w:hAnsi="Segoe UI" w:cs="Segoe UI"/>
          <w:color w:val="313131"/>
          <w:shd w:val="clear" w:color="auto" w:fill="FFFFFF"/>
        </w:rPr>
        <w:t xml:space="preserve">being able to </w:t>
      </w:r>
      <w:r w:rsidR="00897559" w:rsidRPr="005A70C6">
        <w:rPr>
          <w:rFonts w:ascii="Segoe UI" w:hAnsi="Segoe UI" w:cs="Segoe UI"/>
          <w:color w:val="313131"/>
          <w:shd w:val="clear" w:color="auto" w:fill="FFFFFF"/>
        </w:rPr>
        <w:t>detect</w:t>
      </w:r>
      <w:r w:rsidR="00B327E0" w:rsidRPr="005A70C6">
        <w:rPr>
          <w:rFonts w:ascii="Segoe UI" w:hAnsi="Segoe UI" w:cs="Segoe UI"/>
          <w:color w:val="313131"/>
          <w:shd w:val="clear" w:color="auto" w:fill="FFFFFF"/>
        </w:rPr>
        <w:t xml:space="preserve"> SARS-CoV-2</w:t>
      </w:r>
      <w:r w:rsidR="00897559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B327E0" w:rsidRPr="005A70C6">
        <w:rPr>
          <w:rFonts w:ascii="Segoe UI" w:hAnsi="Segoe UI" w:cs="Segoe UI"/>
          <w:color w:val="313131"/>
          <w:shd w:val="clear" w:color="auto" w:fill="FFFFFF"/>
        </w:rPr>
        <w:t xml:space="preserve">using PCR-based tests </w:t>
      </w:r>
      <w:r w:rsidR="00897559" w:rsidRPr="005A70C6">
        <w:rPr>
          <w:rFonts w:ascii="Segoe UI" w:hAnsi="Segoe UI" w:cs="Segoe UI"/>
          <w:color w:val="313131"/>
          <w:shd w:val="clear" w:color="auto" w:fill="FFFFFF"/>
        </w:rPr>
        <w:t xml:space="preserve">does not </w:t>
      </w:r>
      <w:r w:rsidR="00BD4EDC" w:rsidRPr="005A70C6">
        <w:rPr>
          <w:rFonts w:ascii="Segoe UI" w:hAnsi="Segoe UI" w:cs="Segoe UI"/>
          <w:color w:val="313131"/>
          <w:shd w:val="clear" w:color="auto" w:fill="FFFFFF"/>
        </w:rPr>
        <w:t>mean a person is infectious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. </w:t>
      </w:r>
      <w:r w:rsidR="009D2E82" w:rsidRPr="005A70C6">
        <w:rPr>
          <w:rFonts w:ascii="Segoe UI" w:hAnsi="Segoe UI" w:cs="Segoe UI"/>
          <w:color w:val="313131"/>
          <w:shd w:val="clear" w:color="auto" w:fill="FFFFFF"/>
        </w:rPr>
        <w:t>A recent Korean CDC study</w:t>
      </w:r>
      <w:r w:rsidR="0002263D" w:rsidRPr="00B25875">
        <w:rPr>
          <w:shd w:val="clear" w:color="auto" w:fill="FFFFFF"/>
          <w:vertAlign w:val="superscript"/>
        </w:rPr>
        <w:endnoteReference w:id="1"/>
      </w:r>
      <w:r w:rsidR="009D2E82" w:rsidRPr="005A70C6">
        <w:rPr>
          <w:rFonts w:ascii="Segoe UI" w:hAnsi="Segoe UI" w:cs="Segoe UI"/>
          <w:color w:val="313131"/>
          <w:shd w:val="clear" w:color="auto" w:fill="FFFFFF"/>
        </w:rPr>
        <w:t xml:space="preserve"> of cases</w:t>
      </w:r>
      <w:r w:rsidR="0002263D" w:rsidRPr="0002263D">
        <w:t xml:space="preserve"> </w:t>
      </w:r>
      <w:r w:rsidR="0002263D" w:rsidRPr="0002263D">
        <w:rPr>
          <w:rFonts w:ascii="Segoe UI" w:hAnsi="Segoe UI" w:cs="Segoe UI"/>
          <w:color w:val="313131"/>
          <w:shd w:val="clear" w:color="auto" w:fill="FFFFFF"/>
        </w:rPr>
        <w:t xml:space="preserve">where PCR for SARS-CoV-2 reverted from negative to </w:t>
      </w:r>
      <w:proofErr w:type="gramStart"/>
      <w:r w:rsidR="0002263D" w:rsidRPr="0002263D">
        <w:rPr>
          <w:rFonts w:ascii="Segoe UI" w:hAnsi="Segoe UI" w:cs="Segoe UI"/>
          <w:color w:val="313131"/>
          <w:shd w:val="clear" w:color="auto" w:fill="FFFFFF"/>
        </w:rPr>
        <w:t xml:space="preserve">positive </w:t>
      </w:r>
      <w:r w:rsidR="009D2E82" w:rsidRPr="005A70C6">
        <w:rPr>
          <w:rFonts w:ascii="Segoe UI" w:hAnsi="Segoe UI" w:cs="Segoe UI"/>
          <w:color w:val="313131"/>
          <w:shd w:val="clear" w:color="auto" w:fill="FFFFFF"/>
        </w:rPr>
        <w:t xml:space="preserve"> supports</w:t>
      </w:r>
      <w:proofErr w:type="gramEnd"/>
      <w:r w:rsidR="009D2E82" w:rsidRPr="005A70C6">
        <w:rPr>
          <w:rFonts w:ascii="Segoe UI" w:hAnsi="Segoe UI" w:cs="Segoe UI"/>
          <w:color w:val="313131"/>
          <w:shd w:val="clear" w:color="auto" w:fill="FFFFFF"/>
        </w:rPr>
        <w:t xml:space="preserve"> this.</w:t>
      </w:r>
    </w:p>
    <w:p w14:paraId="2280C7DB" w14:textId="77777777" w:rsidR="002F1123" w:rsidRDefault="00BD4EDC" w:rsidP="00897559">
      <w:pPr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>Based on this, CDNA and PHLN consider that</w:t>
      </w:r>
      <w:r w:rsidR="002F1123">
        <w:rPr>
          <w:rFonts w:ascii="Segoe UI" w:hAnsi="Segoe UI" w:cs="Segoe UI"/>
          <w:color w:val="313131"/>
          <w:shd w:val="clear" w:color="auto" w:fill="FFFFFF"/>
        </w:rPr>
        <w:t>:</w:t>
      </w:r>
    </w:p>
    <w:p w14:paraId="36AD21F0" w14:textId="2083B3CF" w:rsidR="00851C2F" w:rsidRPr="005A70C6" w:rsidRDefault="00536843" w:rsidP="005A70C6">
      <w:pPr>
        <w:pStyle w:val="ListParagraph"/>
        <w:numPr>
          <w:ilvl w:val="0"/>
          <w:numId w:val="5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shd w:val="clear" w:color="auto" w:fill="FFFFFF"/>
        </w:rPr>
        <w:t>a</w:t>
      </w:r>
      <w:r w:rsidR="009106E3" w:rsidRPr="005A70C6">
        <w:rPr>
          <w:rFonts w:ascii="Segoe UI" w:hAnsi="Segoe UI" w:cs="Segoe UI"/>
          <w:shd w:val="clear" w:color="auto" w:fill="FFFFFF"/>
        </w:rPr>
        <w:t xml:space="preserve"> </w:t>
      </w:r>
      <w:r w:rsidR="00C95D3C" w:rsidRPr="005A70C6">
        <w:rPr>
          <w:rFonts w:ascii="Segoe UI" w:hAnsi="Segoe UI" w:cs="Segoe UI"/>
          <w:shd w:val="clear" w:color="auto" w:fill="FFFFFF"/>
        </w:rPr>
        <w:t>10-day</w:t>
      </w:r>
      <w:r w:rsidR="009106E3" w:rsidRPr="005A70C6">
        <w:rPr>
          <w:rFonts w:ascii="Segoe UI" w:hAnsi="Segoe UI" w:cs="Segoe UI"/>
          <w:shd w:val="clear" w:color="auto" w:fill="FFFFFF"/>
        </w:rPr>
        <w:t xml:space="preserve"> period from onset of symptoms in mild cases</w:t>
      </w:r>
      <w:r w:rsidR="006D73F8">
        <w:rPr>
          <w:rFonts w:ascii="Segoe UI" w:hAnsi="Segoe UI" w:cs="Segoe UI"/>
          <w:shd w:val="clear" w:color="auto" w:fill="FFFFFF"/>
        </w:rPr>
        <w:t>,</w:t>
      </w:r>
      <w:r w:rsidR="009106E3" w:rsidRPr="005A70C6">
        <w:rPr>
          <w:rFonts w:ascii="Segoe UI" w:hAnsi="Segoe UI" w:cs="Segoe UI"/>
          <w:shd w:val="clear" w:color="auto" w:fill="FFFFFF"/>
        </w:rPr>
        <w:t xml:space="preserve"> </w:t>
      </w:r>
      <w:r w:rsidR="00FD4FD0" w:rsidRPr="005A70C6">
        <w:rPr>
          <w:rFonts w:ascii="Segoe UI" w:hAnsi="Segoe UI" w:cs="Segoe UI"/>
          <w:shd w:val="clear" w:color="auto" w:fill="FFFFFF"/>
        </w:rPr>
        <w:t xml:space="preserve">and </w:t>
      </w:r>
    </w:p>
    <w:p w14:paraId="0968F6E4" w14:textId="042C6862" w:rsidR="002F1123" w:rsidRPr="005A70C6" w:rsidRDefault="009106E3" w:rsidP="005A70C6">
      <w:pPr>
        <w:pStyle w:val="ListParagraph"/>
        <w:numPr>
          <w:ilvl w:val="0"/>
          <w:numId w:val="5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lastRenderedPageBreak/>
        <w:t>72 hours</w:t>
      </w:r>
      <w:r w:rsidR="002F1123" w:rsidRPr="002F112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2F1123">
        <w:rPr>
          <w:rFonts w:ascii="Segoe UI" w:hAnsi="Segoe UI" w:cs="Segoe UI"/>
          <w:color w:val="313131"/>
          <w:shd w:val="clear" w:color="auto" w:fill="FFFFFF"/>
        </w:rPr>
        <w:t xml:space="preserve">after </w:t>
      </w:r>
      <w:r w:rsidR="002F1123" w:rsidRPr="00D637F8">
        <w:rPr>
          <w:rFonts w:ascii="Segoe UI" w:hAnsi="Segoe UI" w:cs="Segoe UI"/>
          <w:color w:val="313131"/>
          <w:shd w:val="clear" w:color="auto" w:fill="FFFFFF"/>
        </w:rPr>
        <w:t>resolution of the acute illness</w:t>
      </w:r>
      <w:r w:rsidR="00FD4FD0" w:rsidRPr="005A70C6">
        <w:rPr>
          <w:rFonts w:ascii="Segoe UI" w:hAnsi="Segoe UI" w:cs="Segoe UI"/>
          <w:color w:val="313131"/>
          <w:shd w:val="clear" w:color="auto" w:fill="FFFFFF"/>
        </w:rPr>
        <w:t xml:space="preserve">, </w:t>
      </w:r>
    </w:p>
    <w:p w14:paraId="36526EDE" w14:textId="7286C5E5" w:rsidR="002F2076" w:rsidRDefault="00FD4FD0" w:rsidP="00897559">
      <w:pPr>
        <w:rPr>
          <w:rFonts w:ascii="Segoe UI" w:hAnsi="Segoe UI" w:cs="Segoe UI"/>
          <w:color w:val="313131"/>
          <w:shd w:val="clear" w:color="auto" w:fill="FFFFFF"/>
        </w:rPr>
      </w:pPr>
      <w:proofErr w:type="gramStart"/>
      <w:r>
        <w:rPr>
          <w:rFonts w:ascii="Segoe UI" w:hAnsi="Segoe UI" w:cs="Segoe UI"/>
          <w:color w:val="313131"/>
          <w:shd w:val="clear" w:color="auto" w:fill="FFFFFF"/>
        </w:rPr>
        <w:t>whichever</w:t>
      </w:r>
      <w:proofErr w:type="gramEnd"/>
      <w:r>
        <w:rPr>
          <w:rFonts w:ascii="Segoe UI" w:hAnsi="Segoe UI" w:cs="Segoe UI"/>
          <w:color w:val="313131"/>
          <w:shd w:val="clear" w:color="auto" w:fill="FFFFFF"/>
        </w:rPr>
        <w:t xml:space="preserve"> is the later, </w:t>
      </w:r>
      <w:r w:rsidR="009106E3" w:rsidRPr="00536843">
        <w:rPr>
          <w:rFonts w:ascii="Segoe UI" w:hAnsi="Segoe UI" w:cs="Segoe UI"/>
          <w:color w:val="313131"/>
          <w:shd w:val="clear" w:color="auto" w:fill="FFFFFF"/>
        </w:rPr>
        <w:t xml:space="preserve">is </w:t>
      </w:r>
      <w:r w:rsidR="007E4480">
        <w:rPr>
          <w:rFonts w:ascii="Segoe UI" w:hAnsi="Segoe UI" w:cs="Segoe UI"/>
          <w:color w:val="313131"/>
          <w:shd w:val="clear" w:color="auto" w:fill="FFFFFF"/>
        </w:rPr>
        <w:t>sufficient to</w:t>
      </w:r>
      <w:r w:rsidR="009106E3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3F040C">
        <w:rPr>
          <w:rFonts w:ascii="Segoe UI" w:hAnsi="Segoe UI" w:cs="Segoe UI"/>
          <w:color w:val="313131"/>
          <w:shd w:val="clear" w:color="auto" w:fill="FFFFFF"/>
        </w:rPr>
        <w:t>indicate that</w:t>
      </w:r>
      <w:r w:rsidR="003F040C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9106E3" w:rsidRPr="00536843">
        <w:rPr>
          <w:rFonts w:ascii="Segoe UI" w:hAnsi="Segoe UI" w:cs="Segoe UI"/>
          <w:color w:val="313131"/>
          <w:shd w:val="clear" w:color="auto" w:fill="FFFFFF"/>
        </w:rPr>
        <w:t xml:space="preserve">transmission </w:t>
      </w:r>
      <w:r w:rsidR="003F040C">
        <w:rPr>
          <w:rFonts w:ascii="Segoe UI" w:hAnsi="Segoe UI" w:cs="Segoe UI"/>
          <w:color w:val="313131"/>
          <w:shd w:val="clear" w:color="auto" w:fill="FFFFFF"/>
        </w:rPr>
        <w:t xml:space="preserve">will not occur </w:t>
      </w:r>
      <w:r w:rsidR="009106E3" w:rsidRPr="00536843">
        <w:rPr>
          <w:rFonts w:ascii="Segoe UI" w:hAnsi="Segoe UI" w:cs="Segoe UI"/>
          <w:color w:val="313131"/>
          <w:shd w:val="clear" w:color="auto" w:fill="FFFFFF"/>
        </w:rPr>
        <w:t>from a recovered case</w:t>
      </w:r>
      <w:r w:rsidR="002F1123">
        <w:rPr>
          <w:rFonts w:ascii="Segoe UI" w:hAnsi="Segoe UI" w:cs="Segoe UI"/>
          <w:color w:val="313131"/>
          <w:shd w:val="clear" w:color="auto" w:fill="FFFFFF"/>
        </w:rPr>
        <w:t>. This applies</w:t>
      </w:r>
      <w:r w:rsidR="00536843" w:rsidRPr="00536843">
        <w:rPr>
          <w:rFonts w:ascii="Segoe UI" w:hAnsi="Segoe UI" w:cs="Segoe UI"/>
          <w:color w:val="313131"/>
          <w:shd w:val="clear" w:color="auto" w:fill="FFFFFF"/>
        </w:rPr>
        <w:t xml:space="preserve"> regardless of the setting the</w:t>
      </w:r>
      <w:r w:rsidR="003F040C">
        <w:rPr>
          <w:rFonts w:ascii="Segoe UI" w:hAnsi="Segoe UI" w:cs="Segoe UI"/>
          <w:color w:val="313131"/>
          <w:shd w:val="clear" w:color="auto" w:fill="FFFFFF"/>
        </w:rPr>
        <w:t xml:space="preserve"> recovered case</w:t>
      </w:r>
      <w:r w:rsidR="00536843" w:rsidRPr="00536843">
        <w:rPr>
          <w:rFonts w:ascii="Segoe UI" w:hAnsi="Segoe UI" w:cs="Segoe UI"/>
          <w:color w:val="313131"/>
          <w:shd w:val="clear" w:color="auto" w:fill="FFFFFF"/>
        </w:rPr>
        <w:t xml:space="preserve"> may </w:t>
      </w:r>
      <w:r w:rsidR="00851C2F">
        <w:rPr>
          <w:rFonts w:ascii="Segoe UI" w:hAnsi="Segoe UI" w:cs="Segoe UI"/>
          <w:color w:val="313131"/>
          <w:shd w:val="clear" w:color="auto" w:fill="FFFFFF"/>
        </w:rPr>
        <w:t xml:space="preserve">be </w:t>
      </w:r>
      <w:r w:rsidR="00536843" w:rsidRPr="00536843">
        <w:rPr>
          <w:rFonts w:ascii="Segoe UI" w:hAnsi="Segoe UI" w:cs="Segoe UI"/>
          <w:color w:val="313131"/>
          <w:shd w:val="clear" w:color="auto" w:fill="FFFFFF"/>
        </w:rPr>
        <w:t xml:space="preserve">returning </w:t>
      </w:r>
      <w:proofErr w:type="gramStart"/>
      <w:r w:rsidR="00536843" w:rsidRPr="00536843">
        <w:rPr>
          <w:rFonts w:ascii="Segoe UI" w:hAnsi="Segoe UI" w:cs="Segoe UI"/>
          <w:color w:val="313131"/>
          <w:shd w:val="clear" w:color="auto" w:fill="FFFFFF"/>
        </w:rPr>
        <w:t>to</w:t>
      </w:r>
      <w:proofErr w:type="gramEnd"/>
      <w:r w:rsidR="009106E3" w:rsidRPr="00536843">
        <w:rPr>
          <w:rFonts w:ascii="Segoe UI" w:hAnsi="Segoe UI" w:cs="Segoe UI"/>
          <w:color w:val="313131"/>
          <w:shd w:val="clear" w:color="auto" w:fill="FFFFFF"/>
        </w:rPr>
        <w:t>.</w:t>
      </w:r>
      <w:r w:rsidR="00C95D3C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517CDE50" w14:textId="3B7B7BC4" w:rsidR="00AE207B" w:rsidRDefault="00E84F49" w:rsidP="00897559">
      <w:pPr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 xml:space="preserve">A precautionary approach </w:t>
      </w:r>
      <w:proofErr w:type="gramStart"/>
      <w:r w:rsidR="00AE207B">
        <w:rPr>
          <w:rFonts w:ascii="Segoe UI" w:hAnsi="Segoe UI" w:cs="Segoe UI"/>
          <w:color w:val="313131"/>
          <w:shd w:val="clear" w:color="auto" w:fill="FFFFFF"/>
        </w:rPr>
        <w:t>was</w:t>
      </w:r>
      <w:r>
        <w:rPr>
          <w:rFonts w:ascii="Segoe UI" w:hAnsi="Segoe UI" w:cs="Segoe UI"/>
          <w:color w:val="313131"/>
          <w:shd w:val="clear" w:color="auto" w:fill="FFFFFF"/>
        </w:rPr>
        <w:t xml:space="preserve"> maintained</w:t>
      </w:r>
      <w:proofErr w:type="gramEnd"/>
      <w:r>
        <w:rPr>
          <w:rFonts w:ascii="Segoe UI" w:hAnsi="Segoe UI" w:cs="Segoe UI"/>
          <w:color w:val="313131"/>
          <w:shd w:val="clear" w:color="auto" w:fill="FFFFFF"/>
        </w:rPr>
        <w:t xml:space="preserve"> for cases with more severe illness who </w:t>
      </w:r>
      <w:r w:rsidR="000300EC">
        <w:rPr>
          <w:rFonts w:ascii="Segoe UI" w:hAnsi="Segoe UI" w:cs="Segoe UI"/>
          <w:color w:val="313131"/>
          <w:shd w:val="clear" w:color="auto" w:fill="FFFFFF"/>
        </w:rPr>
        <w:t xml:space="preserve">are </w:t>
      </w:r>
      <w:r>
        <w:rPr>
          <w:rFonts w:ascii="Segoe UI" w:hAnsi="Segoe UI" w:cs="Segoe UI"/>
          <w:color w:val="313131"/>
          <w:shd w:val="clear" w:color="auto" w:fill="FFFFFF"/>
        </w:rPr>
        <w:t>hospi</w:t>
      </w:r>
      <w:r w:rsidR="002F2076">
        <w:rPr>
          <w:rFonts w:ascii="Segoe UI" w:hAnsi="Segoe UI" w:cs="Segoe UI"/>
          <w:color w:val="313131"/>
          <w:shd w:val="clear" w:color="auto" w:fill="FFFFFF"/>
        </w:rPr>
        <w:t>talis</w:t>
      </w:r>
      <w:r w:rsidR="000300EC">
        <w:rPr>
          <w:rFonts w:ascii="Segoe UI" w:hAnsi="Segoe UI" w:cs="Segoe UI"/>
          <w:color w:val="313131"/>
          <w:shd w:val="clear" w:color="auto" w:fill="FFFFFF"/>
        </w:rPr>
        <w:t>ed</w:t>
      </w:r>
      <w:r w:rsidR="00851C2F">
        <w:rPr>
          <w:rFonts w:ascii="Segoe UI" w:hAnsi="Segoe UI" w:cs="Segoe UI"/>
          <w:color w:val="313131"/>
          <w:shd w:val="clear" w:color="auto" w:fill="FFFFFF"/>
        </w:rPr>
        <w:t>. This is</w:t>
      </w:r>
      <w:r w:rsidR="002F2076">
        <w:rPr>
          <w:rFonts w:ascii="Segoe UI" w:hAnsi="Segoe UI" w:cs="Segoe UI"/>
          <w:color w:val="313131"/>
          <w:shd w:val="clear" w:color="auto" w:fill="FFFFFF"/>
        </w:rPr>
        <w:t xml:space="preserve"> due to the risk of a protracted infectious period accompanying prolonged or severe symptoms. </w:t>
      </w:r>
      <w:r w:rsidR="000300EC">
        <w:rPr>
          <w:rFonts w:ascii="Segoe UI" w:hAnsi="Segoe UI" w:cs="Segoe UI"/>
          <w:color w:val="313131"/>
          <w:shd w:val="clear" w:color="auto" w:fill="FFFFFF"/>
        </w:rPr>
        <w:t>The criteria</w:t>
      </w:r>
      <w:r w:rsidR="00AE207B">
        <w:rPr>
          <w:rFonts w:ascii="Segoe UI" w:hAnsi="Segoe UI" w:cs="Segoe UI"/>
          <w:color w:val="313131"/>
          <w:shd w:val="clear" w:color="auto" w:fill="FFFFFF"/>
        </w:rPr>
        <w:t xml:space="preserve"> required for release from isolation </w:t>
      </w:r>
      <w:r w:rsidR="00A712A0">
        <w:rPr>
          <w:rFonts w:ascii="Segoe UI" w:hAnsi="Segoe UI" w:cs="Segoe UI"/>
          <w:color w:val="313131"/>
          <w:shd w:val="clear" w:color="auto" w:fill="FFFFFF"/>
        </w:rPr>
        <w:t xml:space="preserve">for these people </w:t>
      </w:r>
      <w:r w:rsidR="00851C2F">
        <w:rPr>
          <w:rFonts w:ascii="Segoe UI" w:hAnsi="Segoe UI" w:cs="Segoe UI"/>
          <w:color w:val="313131"/>
          <w:shd w:val="clear" w:color="auto" w:fill="FFFFFF"/>
        </w:rPr>
        <w:t>are</w:t>
      </w:r>
      <w:r w:rsidR="00AE207B">
        <w:rPr>
          <w:rFonts w:ascii="Segoe UI" w:hAnsi="Segoe UI" w:cs="Segoe UI"/>
          <w:color w:val="313131"/>
          <w:shd w:val="clear" w:color="auto" w:fill="FFFFFF"/>
        </w:rPr>
        <w:t>:</w:t>
      </w:r>
      <w:r w:rsidR="00FD4FD0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61D5C96F" w14:textId="0B47DFE1" w:rsidR="00AE207B" w:rsidRPr="005A70C6" w:rsidRDefault="00E84F49" w:rsidP="005A70C6">
      <w:pPr>
        <w:pStyle w:val="ListParagraph"/>
        <w:numPr>
          <w:ilvl w:val="0"/>
          <w:numId w:val="6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>10 days fro</w:t>
      </w:r>
      <w:r w:rsidR="002F2076" w:rsidRPr="005A70C6">
        <w:rPr>
          <w:rFonts w:ascii="Segoe UI" w:hAnsi="Segoe UI" w:cs="Segoe UI"/>
          <w:color w:val="313131"/>
          <w:shd w:val="clear" w:color="auto" w:fill="FFFFFF"/>
        </w:rPr>
        <w:t>m hospital discharge</w:t>
      </w:r>
      <w:r w:rsidR="00FD4FD0" w:rsidRPr="005A70C6">
        <w:rPr>
          <w:rFonts w:ascii="Segoe UI" w:hAnsi="Segoe UI" w:cs="Segoe UI"/>
          <w:color w:val="313131"/>
          <w:shd w:val="clear" w:color="auto" w:fill="FFFFFF"/>
        </w:rPr>
        <w:t xml:space="preserve">, </w:t>
      </w:r>
      <w:r w:rsidR="00AE207B" w:rsidRPr="005A70C6">
        <w:rPr>
          <w:rFonts w:ascii="Segoe UI" w:hAnsi="Segoe UI" w:cs="Segoe UI"/>
          <w:color w:val="313131"/>
          <w:shd w:val="clear" w:color="auto" w:fill="FFFFFF"/>
        </w:rPr>
        <w:t>and</w:t>
      </w:r>
    </w:p>
    <w:p w14:paraId="6D0DA468" w14:textId="2AD3C66E" w:rsidR="00C86C3F" w:rsidRDefault="00FD4FD0" w:rsidP="005A70C6">
      <w:pPr>
        <w:pStyle w:val="ListParagraph"/>
        <w:numPr>
          <w:ilvl w:val="0"/>
          <w:numId w:val="6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 xml:space="preserve">complete </w:t>
      </w:r>
      <w:r w:rsidR="002F2076" w:rsidRPr="005A70C6">
        <w:rPr>
          <w:rFonts w:ascii="Segoe UI" w:hAnsi="Segoe UI" w:cs="Segoe UI"/>
          <w:color w:val="313131"/>
          <w:shd w:val="clear" w:color="auto" w:fill="FFFFFF"/>
        </w:rPr>
        <w:t>symptoms resolution for 72 hours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6CF80A0C" w14:textId="1C42D07D" w:rsidR="00AE207B" w:rsidRPr="005A70C6" w:rsidRDefault="00FD4FD0" w:rsidP="009D2E82">
      <w:pPr>
        <w:rPr>
          <w:rFonts w:ascii="Segoe UI" w:hAnsi="Segoe UI" w:cs="Segoe UI"/>
          <w:color w:val="313131"/>
          <w:shd w:val="clear" w:color="auto" w:fill="FFFFFF"/>
        </w:rPr>
      </w:pPr>
      <w:proofErr w:type="gramStart"/>
      <w:r w:rsidRPr="005A70C6">
        <w:rPr>
          <w:rFonts w:ascii="Segoe UI" w:hAnsi="Segoe UI" w:cs="Segoe UI"/>
          <w:color w:val="313131"/>
          <w:shd w:val="clear" w:color="auto" w:fill="FFFFFF"/>
        </w:rPr>
        <w:t>whichever</w:t>
      </w:r>
      <w:proofErr w:type="gramEnd"/>
      <w:r w:rsidRPr="005A70C6">
        <w:rPr>
          <w:rFonts w:ascii="Segoe UI" w:hAnsi="Segoe UI" w:cs="Segoe UI"/>
          <w:color w:val="313131"/>
          <w:shd w:val="clear" w:color="auto" w:fill="FFFFFF"/>
        </w:rPr>
        <w:t xml:space="preserve"> is the later</w:t>
      </w:r>
      <w:r w:rsidR="00AD4754" w:rsidRPr="005A70C6">
        <w:rPr>
          <w:rFonts w:ascii="Segoe UI" w:hAnsi="Segoe UI" w:cs="Segoe UI"/>
          <w:color w:val="313131"/>
          <w:shd w:val="clear" w:color="auto" w:fill="FFFFFF"/>
        </w:rPr>
        <w:t>.</w:t>
      </w:r>
      <w:r w:rsidR="002F2076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5459A2CA" w14:textId="5CC8F73F" w:rsidR="00C95D3C" w:rsidRPr="00536843" w:rsidRDefault="009D2E82" w:rsidP="00897559">
      <w:pPr>
        <w:rPr>
          <w:rFonts w:ascii="Segoe UI" w:hAnsi="Segoe UI" w:cs="Segoe UI"/>
          <w:color w:val="313131"/>
          <w:shd w:val="clear" w:color="auto" w:fill="FFFFFF"/>
        </w:rPr>
        <w:sectPr w:rsidR="00C95D3C" w:rsidRPr="00536843" w:rsidSect="00BD5F40">
          <w:footnotePr>
            <w:numFmt w:val="lowerLetter"/>
          </w:footnotePr>
          <w:endnotePr>
            <w:numFmt w:val="decimal"/>
          </w:endnotePr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A70C6">
        <w:rPr>
          <w:rFonts w:ascii="Segoe UI" w:hAnsi="Segoe UI" w:cs="Segoe UI"/>
          <w:color w:val="313131"/>
          <w:shd w:val="clear" w:color="auto" w:fill="FFFFFF"/>
        </w:rPr>
        <w:lastRenderedPageBreak/>
        <w:t>C</w:t>
      </w:r>
      <w:r w:rsidR="002F2076" w:rsidRPr="005A70C6">
        <w:rPr>
          <w:rFonts w:ascii="Segoe UI" w:hAnsi="Segoe UI" w:cs="Segoe UI"/>
          <w:color w:val="313131"/>
          <w:shd w:val="clear" w:color="auto" w:fill="FFFFFF"/>
        </w:rPr>
        <w:t>ases who remain in hospital</w:t>
      </w:r>
      <w:r w:rsidR="00554CB8" w:rsidRPr="005A70C6">
        <w:rPr>
          <w:rFonts w:ascii="Segoe UI" w:hAnsi="Segoe UI" w:cs="Segoe UI"/>
          <w:color w:val="313131"/>
          <w:shd w:val="clear" w:color="auto" w:fill="FFFFFF"/>
        </w:rPr>
        <w:t xml:space="preserve"> and are to </w:t>
      </w:r>
      <w:proofErr w:type="gramStart"/>
      <w:r w:rsidR="00554CB8" w:rsidRPr="005A70C6">
        <w:rPr>
          <w:rFonts w:ascii="Segoe UI" w:hAnsi="Segoe UI" w:cs="Segoe UI"/>
          <w:color w:val="313131"/>
          <w:shd w:val="clear" w:color="auto" w:fill="FFFFFF"/>
        </w:rPr>
        <w:t xml:space="preserve">be </w:t>
      </w:r>
      <w:r w:rsidR="000A5337" w:rsidRPr="005A70C6">
        <w:rPr>
          <w:rFonts w:ascii="Segoe UI" w:hAnsi="Segoe UI" w:cs="Segoe UI"/>
          <w:color w:val="313131"/>
          <w:shd w:val="clear" w:color="auto" w:fill="FFFFFF"/>
        </w:rPr>
        <w:t>discharge</w:t>
      </w:r>
      <w:r w:rsidR="00AD4754" w:rsidRPr="005A70C6">
        <w:rPr>
          <w:rFonts w:ascii="Segoe UI" w:hAnsi="Segoe UI" w:cs="Segoe UI"/>
          <w:color w:val="313131"/>
          <w:shd w:val="clear" w:color="auto" w:fill="FFFFFF"/>
        </w:rPr>
        <w:t>d</w:t>
      </w:r>
      <w:proofErr w:type="gramEnd"/>
      <w:r w:rsidR="000A5337" w:rsidRPr="005A70C6">
        <w:rPr>
          <w:rFonts w:ascii="Segoe UI" w:hAnsi="Segoe UI" w:cs="Segoe UI"/>
          <w:color w:val="313131"/>
          <w:shd w:val="clear" w:color="auto" w:fill="FFFFFF"/>
        </w:rPr>
        <w:t xml:space="preserve"> from isolation to another ward</w:t>
      </w:r>
      <w:r w:rsidR="002F2076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C86C3F" w:rsidRPr="005A70C6">
        <w:rPr>
          <w:rFonts w:ascii="Segoe UI" w:hAnsi="Segoe UI" w:cs="Segoe UI"/>
          <w:color w:val="313131"/>
          <w:shd w:val="clear" w:color="auto" w:fill="FFFFFF"/>
        </w:rPr>
        <w:t xml:space="preserve">need to meet clinical criteria </w:t>
      </w:r>
      <w:r w:rsidR="005E0E70">
        <w:rPr>
          <w:rFonts w:ascii="Segoe UI" w:hAnsi="Segoe UI" w:cs="Segoe UI"/>
          <w:color w:val="313131"/>
          <w:shd w:val="clear" w:color="auto" w:fill="FFFFFF"/>
        </w:rPr>
        <w:t xml:space="preserve">(at least 10 days after onset of symptoms and resolution of acute symptoms for at least 72 hours) </w:t>
      </w:r>
      <w:r w:rsidR="00C86C3F" w:rsidRPr="005A70C6">
        <w:rPr>
          <w:rFonts w:ascii="Segoe UI" w:hAnsi="Segoe UI" w:cs="Segoe UI"/>
          <w:color w:val="313131"/>
          <w:shd w:val="clear" w:color="auto" w:fill="FFFFFF"/>
        </w:rPr>
        <w:t>and have</w:t>
      </w:r>
      <w:r w:rsidR="00AE207B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920594" w:rsidRPr="005A70C6">
        <w:rPr>
          <w:rFonts w:ascii="Segoe UI" w:hAnsi="Segoe UI" w:cs="Segoe UI"/>
          <w:color w:val="313131"/>
          <w:shd w:val="clear" w:color="auto" w:fill="FFFFFF"/>
        </w:rPr>
        <w:t xml:space="preserve">two negative </w:t>
      </w:r>
      <w:r w:rsidR="006977DF">
        <w:rPr>
          <w:rFonts w:ascii="Segoe UI" w:hAnsi="Segoe UI" w:cs="Segoe UI"/>
          <w:color w:val="313131"/>
          <w:shd w:val="clear" w:color="auto" w:fill="FFFFFF"/>
        </w:rPr>
        <w:t xml:space="preserve">SARS-CoV-2 PCR </w:t>
      </w:r>
      <w:r w:rsidR="002F2076" w:rsidRPr="005A70C6">
        <w:rPr>
          <w:rFonts w:ascii="Segoe UI" w:hAnsi="Segoe UI" w:cs="Segoe UI"/>
          <w:color w:val="313131"/>
          <w:shd w:val="clear" w:color="auto" w:fill="FFFFFF"/>
        </w:rPr>
        <w:t>respiratory specimens</w:t>
      </w:r>
      <w:r w:rsidR="00AE207B" w:rsidRPr="005A70C6">
        <w:rPr>
          <w:rFonts w:ascii="Segoe UI" w:hAnsi="Segoe UI" w:cs="Segoe UI"/>
          <w:color w:val="313131"/>
          <w:shd w:val="clear" w:color="auto" w:fill="FFFFFF"/>
        </w:rPr>
        <w:t>.</w:t>
      </w:r>
      <w:r w:rsidR="00920594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</w:p>
    <w:p w14:paraId="7B0E8233" w14:textId="6EB388AE" w:rsidR="00EE442A" w:rsidRDefault="001A66CA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t>CD</w:t>
      </w:r>
      <w:r w:rsidR="00920594" w:rsidRPr="00536843">
        <w:rPr>
          <w:rFonts w:ascii="Segoe UI" w:hAnsi="Segoe UI" w:cs="Segoe UI"/>
          <w:color w:val="313131"/>
          <w:shd w:val="clear" w:color="auto" w:fill="FFFFFF"/>
        </w:rPr>
        <w:t>NA</w:t>
      </w:r>
      <w:r w:rsidR="008C6193" w:rsidRPr="00536843">
        <w:rPr>
          <w:rFonts w:ascii="Segoe UI" w:hAnsi="Segoe UI" w:cs="Segoe UI"/>
          <w:color w:val="313131"/>
          <w:shd w:val="clear" w:color="auto" w:fill="FFFFFF"/>
        </w:rPr>
        <w:t xml:space="preserve"> and PHLN agree that</w:t>
      </w:r>
      <w:r w:rsidR="00FD4FD0">
        <w:rPr>
          <w:rFonts w:ascii="Segoe UI" w:hAnsi="Segoe UI" w:cs="Segoe UI"/>
          <w:color w:val="313131"/>
          <w:shd w:val="clear" w:color="auto" w:fill="FFFFFF"/>
        </w:rPr>
        <w:t>, for</w:t>
      </w:r>
      <w:r w:rsidR="00306CA7">
        <w:rPr>
          <w:rFonts w:ascii="Segoe UI" w:hAnsi="Segoe UI" w:cs="Segoe UI"/>
          <w:color w:val="313131"/>
          <w:shd w:val="clear" w:color="auto" w:fill="FFFFFF"/>
        </w:rPr>
        <w:t xml:space="preserve"> significantly</w:t>
      </w:r>
      <w:r w:rsidR="008C6193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25397E" w:rsidRPr="006D73F8">
        <w:rPr>
          <w:rFonts w:ascii="Segoe UI" w:hAnsi="Segoe UI" w:cs="Segoe UI"/>
          <w:color w:val="313131"/>
          <w:shd w:val="clear" w:color="auto" w:fill="FFFFFF"/>
        </w:rPr>
        <w:t xml:space="preserve">immunocompromised </w:t>
      </w:r>
      <w:r w:rsidR="00FD4FD0" w:rsidRPr="005A70C6">
        <w:rPr>
          <w:rFonts w:ascii="Segoe UI" w:hAnsi="Segoe UI" w:cs="Segoe UI"/>
          <w:color w:val="313131"/>
          <w:shd w:val="clear" w:color="auto" w:fill="FFFFFF"/>
        </w:rPr>
        <w:t>p</w:t>
      </w:r>
      <w:r w:rsidR="0025397E" w:rsidRPr="005A70C6">
        <w:rPr>
          <w:rFonts w:ascii="Segoe UI" w:hAnsi="Segoe UI" w:cs="Segoe UI"/>
          <w:color w:val="313131"/>
          <w:shd w:val="clear" w:color="auto" w:fill="FFFFFF"/>
        </w:rPr>
        <w:t>eople</w:t>
      </w:r>
      <w:r w:rsidR="00FD4FD0" w:rsidRPr="006D73F8">
        <w:rPr>
          <w:rFonts w:ascii="Segoe UI" w:hAnsi="Segoe UI" w:cs="Segoe UI"/>
          <w:color w:val="313131"/>
          <w:shd w:val="clear" w:color="auto" w:fill="FFFFFF"/>
        </w:rPr>
        <w:t>, negative</w:t>
      </w:r>
      <w:r w:rsidR="00FD4FD0">
        <w:rPr>
          <w:rFonts w:ascii="Segoe UI" w:hAnsi="Segoe UI" w:cs="Segoe UI"/>
          <w:color w:val="313131"/>
          <w:shd w:val="clear" w:color="auto" w:fill="FFFFFF"/>
        </w:rPr>
        <w:t xml:space="preserve"> PCR tests are required</w:t>
      </w:r>
      <w:r w:rsidR="000300EC">
        <w:rPr>
          <w:rFonts w:ascii="Segoe UI" w:hAnsi="Segoe UI" w:cs="Segoe UI"/>
          <w:color w:val="313131"/>
          <w:shd w:val="clear" w:color="auto" w:fill="FFFFFF"/>
        </w:rPr>
        <w:t xml:space="preserve"> following COVID-19 illness</w:t>
      </w:r>
      <w:r w:rsidR="0025397E">
        <w:rPr>
          <w:rFonts w:ascii="Segoe UI" w:hAnsi="Segoe UI" w:cs="Segoe UI"/>
          <w:color w:val="313131"/>
          <w:shd w:val="clear" w:color="auto" w:fill="FFFFFF"/>
        </w:rPr>
        <w:t>,</w:t>
      </w:r>
      <w:r w:rsidR="000300EC">
        <w:rPr>
          <w:rFonts w:ascii="Segoe UI" w:hAnsi="Segoe UI" w:cs="Segoe UI"/>
          <w:color w:val="313131"/>
          <w:shd w:val="clear" w:color="auto" w:fill="FFFFFF"/>
        </w:rPr>
        <w:t xml:space="preserve"> before they </w:t>
      </w:r>
      <w:proofErr w:type="gramStart"/>
      <w:r w:rsidR="000300EC">
        <w:rPr>
          <w:rFonts w:ascii="Segoe UI" w:hAnsi="Segoe UI" w:cs="Segoe UI"/>
          <w:color w:val="313131"/>
          <w:shd w:val="clear" w:color="auto" w:fill="FFFFFF"/>
        </w:rPr>
        <w:t>are released</w:t>
      </w:r>
      <w:proofErr w:type="gramEnd"/>
      <w:r w:rsidR="000300EC">
        <w:rPr>
          <w:rFonts w:ascii="Segoe UI" w:hAnsi="Segoe UI" w:cs="Segoe UI"/>
          <w:color w:val="313131"/>
          <w:shd w:val="clear" w:color="auto" w:fill="FFFFFF"/>
        </w:rPr>
        <w:t xml:space="preserve"> f</w:t>
      </w:r>
      <w:r w:rsidR="00FD4FD0">
        <w:rPr>
          <w:rFonts w:ascii="Segoe UI" w:hAnsi="Segoe UI" w:cs="Segoe UI"/>
          <w:color w:val="313131"/>
          <w:shd w:val="clear" w:color="auto" w:fill="FFFFFF"/>
        </w:rPr>
        <w:t>ro</w:t>
      </w:r>
      <w:r w:rsidR="000300EC">
        <w:rPr>
          <w:rFonts w:ascii="Segoe UI" w:hAnsi="Segoe UI" w:cs="Segoe UI"/>
          <w:color w:val="313131"/>
          <w:shd w:val="clear" w:color="auto" w:fill="FFFFFF"/>
        </w:rPr>
        <w:t>m</w:t>
      </w:r>
      <w:r w:rsidR="000812FD" w:rsidRPr="00536843">
        <w:rPr>
          <w:rFonts w:ascii="Segoe UI" w:hAnsi="Segoe UI" w:cs="Segoe UI"/>
          <w:color w:val="313131"/>
          <w:shd w:val="clear" w:color="auto" w:fill="FFFFFF"/>
        </w:rPr>
        <w:t xml:space="preserve"> isolation</w:t>
      </w:r>
      <w:r w:rsidR="002F2076">
        <w:rPr>
          <w:rFonts w:ascii="Segoe UI" w:hAnsi="Segoe UI" w:cs="Segoe UI"/>
          <w:color w:val="313131"/>
          <w:shd w:val="clear" w:color="auto" w:fill="FFFFFF"/>
        </w:rPr>
        <w:t xml:space="preserve">. </w:t>
      </w:r>
      <w:r w:rsidR="00FB2D38">
        <w:rPr>
          <w:rFonts w:ascii="Segoe UI" w:hAnsi="Segoe UI" w:cs="Segoe UI"/>
          <w:color w:val="313131"/>
          <w:shd w:val="clear" w:color="auto" w:fill="FFFFFF"/>
        </w:rPr>
        <w:t xml:space="preserve">This is because </w:t>
      </w:r>
      <w:r w:rsidR="00183A3C" w:rsidRPr="00536843">
        <w:rPr>
          <w:rFonts w:ascii="Segoe UI" w:hAnsi="Segoe UI" w:cs="Segoe UI"/>
          <w:color w:val="313131"/>
          <w:shd w:val="clear" w:color="auto" w:fill="FFFFFF"/>
        </w:rPr>
        <w:t>prolonged shedding</w:t>
      </w:r>
      <w:r w:rsidR="00172616" w:rsidRPr="00536843">
        <w:rPr>
          <w:rFonts w:ascii="Segoe UI" w:hAnsi="Segoe UI" w:cs="Segoe UI"/>
          <w:color w:val="313131"/>
          <w:shd w:val="clear" w:color="auto" w:fill="FFFFFF"/>
        </w:rPr>
        <w:t xml:space="preserve"> of</w:t>
      </w:r>
      <w:r w:rsidR="00183A3C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172616" w:rsidRPr="00536843">
        <w:rPr>
          <w:rFonts w:ascii="Segoe UI" w:hAnsi="Segoe UI" w:cs="Segoe UI"/>
          <w:color w:val="313131"/>
          <w:shd w:val="clear" w:color="auto" w:fill="FFFFFF"/>
        </w:rPr>
        <w:t xml:space="preserve">viable virus </w:t>
      </w:r>
      <w:r w:rsidR="00FB2D38">
        <w:rPr>
          <w:rFonts w:ascii="Segoe UI" w:hAnsi="Segoe UI" w:cs="Segoe UI"/>
          <w:color w:val="313131"/>
          <w:shd w:val="clear" w:color="auto" w:fill="FFFFFF"/>
        </w:rPr>
        <w:t xml:space="preserve">with other viral infections </w:t>
      </w:r>
      <w:proofErr w:type="gramStart"/>
      <w:r w:rsidR="00FB2D38">
        <w:rPr>
          <w:rFonts w:ascii="Segoe UI" w:hAnsi="Segoe UI" w:cs="Segoe UI"/>
          <w:color w:val="313131"/>
          <w:shd w:val="clear" w:color="auto" w:fill="FFFFFF"/>
        </w:rPr>
        <w:t>is frequently seen</w:t>
      </w:r>
      <w:proofErr w:type="gramEnd"/>
      <w:r w:rsidR="00FB2D38">
        <w:rPr>
          <w:rFonts w:ascii="Segoe UI" w:hAnsi="Segoe UI" w:cs="Segoe UI"/>
          <w:color w:val="313131"/>
          <w:shd w:val="clear" w:color="auto" w:fill="FFFFFF"/>
        </w:rPr>
        <w:t xml:space="preserve"> in immunocompromised </w:t>
      </w:r>
      <w:r w:rsidR="000300EC">
        <w:rPr>
          <w:rFonts w:ascii="Segoe UI" w:hAnsi="Segoe UI" w:cs="Segoe UI"/>
          <w:color w:val="313131"/>
          <w:shd w:val="clear" w:color="auto" w:fill="FFFFFF"/>
        </w:rPr>
        <w:t>people</w:t>
      </w:r>
      <w:r w:rsidR="00FB2D38">
        <w:rPr>
          <w:rFonts w:ascii="Segoe UI" w:hAnsi="Segoe UI" w:cs="Segoe UI"/>
          <w:color w:val="313131"/>
          <w:shd w:val="clear" w:color="auto" w:fill="FFFFFF"/>
        </w:rPr>
        <w:t>.</w:t>
      </w:r>
      <w:r w:rsidR="00183A3C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9D2E82">
        <w:rPr>
          <w:rFonts w:ascii="Segoe UI" w:hAnsi="Segoe UI" w:cs="Segoe UI"/>
          <w:color w:val="313131"/>
          <w:shd w:val="clear" w:color="auto" w:fill="FFFFFF"/>
        </w:rPr>
        <w:t xml:space="preserve">To release </w:t>
      </w:r>
      <w:r w:rsidR="00E74163">
        <w:rPr>
          <w:rFonts w:ascii="Segoe UI" w:hAnsi="Segoe UI" w:cs="Segoe UI"/>
          <w:color w:val="313131"/>
          <w:shd w:val="clear" w:color="auto" w:fill="FFFFFF"/>
        </w:rPr>
        <w:t>significantly</w:t>
      </w:r>
      <w:r w:rsidR="00EE442A">
        <w:rPr>
          <w:rFonts w:ascii="Segoe UI" w:hAnsi="Segoe UI" w:cs="Segoe UI"/>
          <w:color w:val="313131"/>
          <w:shd w:val="clear" w:color="auto" w:fill="FFFFFF"/>
        </w:rPr>
        <w:t xml:space="preserve"> immunocompromised</w:t>
      </w:r>
      <w:r w:rsidR="00EE442A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306CA7">
        <w:rPr>
          <w:rFonts w:ascii="Segoe UI" w:hAnsi="Segoe UI" w:cs="Segoe UI"/>
          <w:color w:val="313131"/>
          <w:shd w:val="clear" w:color="auto" w:fill="FFFFFF"/>
        </w:rPr>
        <w:t>people</w:t>
      </w:r>
      <w:r w:rsidR="00EE442A" w:rsidRPr="00536843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5741EF" w:rsidRPr="00536843">
        <w:rPr>
          <w:rFonts w:ascii="Segoe UI" w:hAnsi="Segoe UI" w:cs="Segoe UI"/>
          <w:color w:val="313131"/>
          <w:shd w:val="clear" w:color="auto" w:fill="FFFFFF"/>
        </w:rPr>
        <w:t xml:space="preserve">from isolation, </w:t>
      </w:r>
      <w:r w:rsidR="00EE442A">
        <w:rPr>
          <w:rFonts w:ascii="Segoe UI" w:hAnsi="Segoe UI" w:cs="Segoe UI"/>
          <w:color w:val="313131"/>
          <w:shd w:val="clear" w:color="auto" w:fill="FFFFFF"/>
        </w:rPr>
        <w:t xml:space="preserve">they </w:t>
      </w:r>
      <w:r w:rsidR="0025397E">
        <w:rPr>
          <w:rFonts w:ascii="Segoe UI" w:hAnsi="Segoe UI" w:cs="Segoe UI"/>
          <w:color w:val="313131"/>
          <w:shd w:val="clear" w:color="auto" w:fill="FFFFFF"/>
        </w:rPr>
        <w:t>must</w:t>
      </w:r>
      <w:r w:rsidR="00EE442A">
        <w:rPr>
          <w:rFonts w:ascii="Segoe UI" w:hAnsi="Segoe UI" w:cs="Segoe UI"/>
          <w:color w:val="313131"/>
          <w:shd w:val="clear" w:color="auto" w:fill="FFFFFF"/>
        </w:rPr>
        <w:t>:</w:t>
      </w:r>
    </w:p>
    <w:p w14:paraId="788FCA4A" w14:textId="2EB01A9C" w:rsidR="00306CA7" w:rsidRPr="005A70C6" w:rsidRDefault="00EE442A" w:rsidP="005A70C6">
      <w:pPr>
        <w:pStyle w:val="ListParagraph"/>
        <w:numPr>
          <w:ilvl w:val="0"/>
          <w:numId w:val="4"/>
        </w:num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>meet the clinical criteria</w:t>
      </w:r>
      <w:r w:rsidR="006D73F8">
        <w:rPr>
          <w:rFonts w:ascii="Segoe UI" w:hAnsi="Segoe UI" w:cs="Segoe UI"/>
          <w:color w:val="313131"/>
          <w:shd w:val="clear" w:color="auto" w:fill="FFFFFF"/>
        </w:rPr>
        <w:t>,</w:t>
      </w:r>
      <w:r w:rsidR="00306CA7">
        <w:rPr>
          <w:rFonts w:ascii="Segoe UI" w:hAnsi="Segoe UI" w:cs="Segoe UI"/>
          <w:color w:val="313131"/>
          <w:shd w:val="clear" w:color="auto" w:fill="FFFFFF"/>
        </w:rPr>
        <w:t xml:space="preserve"> and</w:t>
      </w:r>
    </w:p>
    <w:p w14:paraId="7AB26486" w14:textId="34F98BD8" w:rsidR="000812FD" w:rsidRPr="005A70C6" w:rsidRDefault="005741EF" w:rsidP="005A70C6">
      <w:pPr>
        <w:pStyle w:val="ListParagraph"/>
        <w:numPr>
          <w:ilvl w:val="0"/>
          <w:numId w:val="4"/>
        </w:numPr>
        <w:rPr>
          <w:rFonts w:ascii="Segoe UI" w:hAnsi="Segoe UI" w:cs="Segoe UI"/>
          <w:color w:val="313131"/>
          <w:shd w:val="clear" w:color="auto" w:fill="FFFFFF"/>
        </w:rPr>
      </w:pPr>
      <w:proofErr w:type="gramStart"/>
      <w:r w:rsidRPr="005A70C6">
        <w:rPr>
          <w:rFonts w:ascii="Segoe UI" w:hAnsi="Segoe UI" w:cs="Segoe UI"/>
          <w:color w:val="313131"/>
          <w:shd w:val="clear" w:color="auto" w:fill="FFFFFF"/>
        </w:rPr>
        <w:lastRenderedPageBreak/>
        <w:t>test</w:t>
      </w:r>
      <w:proofErr w:type="gramEnd"/>
      <w:r w:rsidRPr="005A70C6">
        <w:rPr>
          <w:rFonts w:ascii="Segoe UI" w:hAnsi="Segoe UI" w:cs="Segoe UI"/>
          <w:color w:val="313131"/>
          <w:shd w:val="clear" w:color="auto" w:fill="FFFFFF"/>
        </w:rPr>
        <w:t xml:space="preserve"> PCR negative </w:t>
      </w:r>
      <w:r w:rsidR="006977DF">
        <w:rPr>
          <w:rFonts w:ascii="Segoe UI" w:hAnsi="Segoe UI" w:cs="Segoe UI"/>
          <w:color w:val="313131"/>
          <w:shd w:val="clear" w:color="auto" w:fill="FFFFFF"/>
        </w:rPr>
        <w:t xml:space="preserve">for SARS-CoV-2 </w:t>
      </w:r>
      <w:r w:rsidRPr="005A70C6">
        <w:rPr>
          <w:rFonts w:ascii="Segoe UI" w:hAnsi="Segoe UI" w:cs="Segoe UI"/>
          <w:shd w:val="clear" w:color="auto" w:fill="FFFFFF"/>
        </w:rPr>
        <w:t>on</w:t>
      </w:r>
      <w:r w:rsidRPr="005A70C6">
        <w:rPr>
          <w:rFonts w:ascii="Segoe UI" w:hAnsi="Segoe UI" w:cs="Segoe UI"/>
          <w:color w:val="313131"/>
          <w:shd w:val="clear" w:color="auto" w:fill="FFFFFF"/>
        </w:rPr>
        <w:t xml:space="preserve"> at least two consecutive respiratory spec</w:t>
      </w:r>
      <w:r w:rsidRPr="005A70C6">
        <w:rPr>
          <w:rFonts w:ascii="Segoe UI" w:hAnsi="Segoe UI" w:cs="Segoe UI"/>
          <w:shd w:val="clear" w:color="auto" w:fill="FFFFFF"/>
        </w:rPr>
        <w:t>imens collected at least 24 hours apart</w:t>
      </w:r>
      <w:r w:rsidR="002F2076" w:rsidRPr="005A70C6">
        <w:rPr>
          <w:rFonts w:ascii="Segoe UI" w:hAnsi="Segoe UI" w:cs="Segoe UI"/>
          <w:shd w:val="clear" w:color="auto" w:fill="FFFFFF"/>
        </w:rPr>
        <w:t>,</w:t>
      </w:r>
      <w:r w:rsidRPr="005A70C6">
        <w:rPr>
          <w:rFonts w:ascii="Segoe UI" w:hAnsi="Segoe UI" w:cs="Segoe UI"/>
          <w:shd w:val="clear" w:color="auto" w:fill="FFFFFF"/>
        </w:rPr>
        <w:t xml:space="preserve"> at least 7 days after symptom onset.</w:t>
      </w:r>
      <w:r w:rsidR="00FB2D38" w:rsidRPr="005A70C6">
        <w:rPr>
          <w:rFonts w:ascii="Segoe UI" w:hAnsi="Segoe UI" w:cs="Segoe UI"/>
          <w:shd w:val="clear" w:color="auto" w:fill="FFFFFF"/>
        </w:rPr>
        <w:t xml:space="preserve"> </w:t>
      </w:r>
    </w:p>
    <w:p w14:paraId="65458B48" w14:textId="1D448341" w:rsidR="00571B7A" w:rsidRPr="00536843" w:rsidRDefault="00C86C3F">
      <w:pPr>
        <w:rPr>
          <w:rFonts w:ascii="Segoe UI" w:hAnsi="Segoe UI" w:cs="Segoe UI"/>
          <w:color w:val="313131"/>
          <w:shd w:val="clear" w:color="auto" w:fill="FFFFFF"/>
        </w:rPr>
      </w:pPr>
      <w:r w:rsidRPr="005A70C6">
        <w:rPr>
          <w:rFonts w:ascii="Segoe UI" w:hAnsi="Segoe UI" w:cs="Segoe UI"/>
          <w:color w:val="313131"/>
          <w:shd w:val="clear" w:color="auto" w:fill="FFFFFF"/>
        </w:rPr>
        <w:t xml:space="preserve">The </w:t>
      </w:r>
      <w:r w:rsidR="00571B7A" w:rsidRPr="005A70C6">
        <w:rPr>
          <w:rFonts w:ascii="Segoe UI" w:hAnsi="Segoe UI" w:cs="Segoe UI"/>
          <w:color w:val="313131"/>
          <w:shd w:val="clear" w:color="auto" w:fill="FFFFFF"/>
        </w:rPr>
        <w:t xml:space="preserve">CDNA and PHLN </w:t>
      </w:r>
      <w:r w:rsidR="00306CA7" w:rsidRPr="006D73F8">
        <w:rPr>
          <w:rFonts w:ascii="Segoe UI" w:hAnsi="Segoe UI" w:cs="Segoe UI"/>
          <w:color w:val="313131"/>
          <w:shd w:val="clear" w:color="auto" w:fill="FFFFFF"/>
        </w:rPr>
        <w:t>advice</w:t>
      </w:r>
      <w:r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571B7A" w:rsidRPr="00536843">
        <w:rPr>
          <w:rFonts w:ascii="Segoe UI" w:hAnsi="Segoe UI" w:cs="Segoe UI"/>
          <w:color w:val="313131"/>
          <w:shd w:val="clear" w:color="auto" w:fill="FFFFFF"/>
        </w:rPr>
        <w:t>is consistent with conclusions of other international institutions on release f</w:t>
      </w:r>
      <w:r w:rsidR="00554CB8">
        <w:rPr>
          <w:rFonts w:ascii="Segoe UI" w:hAnsi="Segoe UI" w:cs="Segoe UI"/>
          <w:color w:val="313131"/>
          <w:shd w:val="clear" w:color="auto" w:fill="FFFFFF"/>
        </w:rPr>
        <w:t>ro</w:t>
      </w:r>
      <w:r w:rsidR="00571B7A" w:rsidRPr="00536843">
        <w:rPr>
          <w:rFonts w:ascii="Segoe UI" w:hAnsi="Segoe UI" w:cs="Segoe UI"/>
          <w:color w:val="313131"/>
          <w:shd w:val="clear" w:color="auto" w:fill="FFFFFF"/>
        </w:rPr>
        <w:t xml:space="preserve">m isolation for COVID-19 </w:t>
      </w:r>
      <w:r w:rsidR="00571B7A" w:rsidRPr="006D73F8">
        <w:rPr>
          <w:rFonts w:ascii="Segoe UI" w:hAnsi="Segoe UI" w:cs="Segoe UI"/>
          <w:color w:val="313131"/>
          <w:shd w:val="clear" w:color="auto" w:fill="FFFFFF"/>
        </w:rPr>
        <w:t>cases</w:t>
      </w:r>
      <w:r w:rsidR="0025397E" w:rsidRPr="005A70C6">
        <w:rPr>
          <w:rFonts w:ascii="Segoe UI" w:hAnsi="Segoe UI" w:cs="Segoe UI"/>
          <w:color w:val="313131"/>
          <w:shd w:val="clear" w:color="auto" w:fill="FFFFFF"/>
        </w:rPr>
        <w:t>.</w:t>
      </w:r>
      <w:r w:rsidR="00571B7A" w:rsidRPr="005A70C6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25397E" w:rsidRPr="005A70C6">
        <w:rPr>
          <w:rFonts w:ascii="Segoe UI" w:hAnsi="Segoe UI" w:cs="Segoe UI"/>
          <w:color w:val="313131"/>
          <w:shd w:val="clear" w:color="auto" w:fill="FFFFFF"/>
        </w:rPr>
        <w:t xml:space="preserve">This </w:t>
      </w:r>
      <w:r w:rsidR="00571B7A" w:rsidRPr="005A70C6">
        <w:rPr>
          <w:rFonts w:ascii="Segoe UI" w:hAnsi="Segoe UI" w:cs="Segoe UI"/>
          <w:color w:val="313131"/>
          <w:shd w:val="clear" w:color="auto" w:fill="FFFFFF"/>
        </w:rPr>
        <w:t>includ</w:t>
      </w:r>
      <w:r w:rsidR="0025397E" w:rsidRPr="005A70C6">
        <w:rPr>
          <w:rFonts w:ascii="Segoe UI" w:hAnsi="Segoe UI" w:cs="Segoe UI"/>
          <w:color w:val="313131"/>
          <w:shd w:val="clear" w:color="auto" w:fill="FFFFFF"/>
        </w:rPr>
        <w:t>es</w:t>
      </w:r>
      <w:r w:rsidR="00571B7A" w:rsidRPr="006D73F8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1B5970" w:rsidRPr="006D73F8">
        <w:rPr>
          <w:rFonts w:ascii="Segoe UI" w:hAnsi="Segoe UI" w:cs="Segoe UI"/>
          <w:color w:val="313131"/>
          <w:shd w:val="clear" w:color="auto" w:fill="FFFFFF"/>
        </w:rPr>
        <w:t>the</w:t>
      </w:r>
      <w:r w:rsidR="001B5970" w:rsidRPr="00536843">
        <w:rPr>
          <w:rFonts w:ascii="Segoe UI" w:hAnsi="Segoe UI" w:cs="Segoe UI"/>
          <w:color w:val="313131"/>
          <w:shd w:val="clear" w:color="auto" w:fill="FFFFFF"/>
        </w:rPr>
        <w:t xml:space="preserve"> Academy of Medicine, Singapore</w:t>
      </w:r>
      <w:r w:rsidR="001B5970" w:rsidRPr="00781AF2">
        <w:rPr>
          <w:rFonts w:ascii="Segoe UI" w:hAnsi="Segoe UI" w:cs="Segoe UI"/>
          <w:color w:val="313131"/>
          <w:shd w:val="clear" w:color="auto" w:fill="FFFFFF"/>
          <w:vertAlign w:val="superscript"/>
        </w:rPr>
        <w:endnoteReference w:id="2"/>
      </w:r>
      <w:r w:rsidR="001B5970" w:rsidRPr="00536843">
        <w:rPr>
          <w:rFonts w:ascii="Segoe UI" w:hAnsi="Segoe UI" w:cs="Segoe UI"/>
          <w:color w:val="313131"/>
          <w:shd w:val="clear" w:color="auto" w:fill="FFFFFF"/>
        </w:rPr>
        <w:t>, and the United States CDC</w:t>
      </w:r>
      <w:r w:rsidR="001B5970" w:rsidRPr="00781AF2">
        <w:rPr>
          <w:rFonts w:ascii="Segoe UI" w:hAnsi="Segoe UI" w:cs="Segoe UI"/>
          <w:color w:val="313131"/>
          <w:shd w:val="clear" w:color="auto" w:fill="FFFFFF"/>
          <w:vertAlign w:val="superscript"/>
        </w:rPr>
        <w:endnoteReference w:id="3"/>
      </w:r>
      <w:r w:rsidR="001B5970" w:rsidRPr="00536843">
        <w:rPr>
          <w:rFonts w:ascii="Segoe UI" w:hAnsi="Segoe UI" w:cs="Segoe UI"/>
          <w:color w:val="313131"/>
          <w:shd w:val="clear" w:color="auto" w:fill="FFFFFF"/>
        </w:rPr>
        <w:t>.</w:t>
      </w:r>
      <w:r w:rsidR="00781AF2"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="000A5337">
        <w:rPr>
          <w:rFonts w:ascii="Segoe UI" w:hAnsi="Segoe UI" w:cs="Segoe UI"/>
          <w:color w:val="313131"/>
          <w:shd w:val="clear" w:color="auto" w:fill="FFFFFF"/>
        </w:rPr>
        <w:t>S</w:t>
      </w:r>
      <w:r w:rsidR="00781AF2">
        <w:rPr>
          <w:rFonts w:ascii="Segoe UI" w:hAnsi="Segoe UI" w:cs="Segoe UI"/>
          <w:color w:val="313131"/>
          <w:shd w:val="clear" w:color="auto" w:fill="FFFFFF"/>
        </w:rPr>
        <w:t xml:space="preserve">ummaries of </w:t>
      </w:r>
      <w:r w:rsidR="000A5337">
        <w:rPr>
          <w:rFonts w:ascii="Segoe UI" w:hAnsi="Segoe UI" w:cs="Segoe UI"/>
          <w:color w:val="313131"/>
          <w:shd w:val="clear" w:color="auto" w:fill="FFFFFF"/>
        </w:rPr>
        <w:t xml:space="preserve">the </w:t>
      </w:r>
      <w:r w:rsidR="00781AF2">
        <w:rPr>
          <w:rFonts w:ascii="Segoe UI" w:hAnsi="Segoe UI" w:cs="Segoe UI"/>
          <w:color w:val="313131"/>
          <w:shd w:val="clear" w:color="auto" w:fill="FFFFFF"/>
        </w:rPr>
        <w:t>relevant evidence are available through both sources.</w:t>
      </w:r>
    </w:p>
    <w:p w14:paraId="23A6D90E" w14:textId="449F8584" w:rsidR="008C3DDA" w:rsidRPr="00536843" w:rsidRDefault="000A5337" w:rsidP="008C3DDA">
      <w:pPr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 xml:space="preserve">For specific details of the release from isolation requirements, see the </w:t>
      </w:r>
      <w:r w:rsidRPr="00AD4754">
        <w:rPr>
          <w:rFonts w:ascii="Segoe UI" w:hAnsi="Segoe UI" w:cs="Segoe UI"/>
          <w:i/>
          <w:color w:val="313131"/>
          <w:shd w:val="clear" w:color="auto" w:fill="FFFFFF"/>
        </w:rPr>
        <w:t>CDNA COVID-19 National Guidelines for Public Health Units</w:t>
      </w:r>
      <w:r>
        <w:rPr>
          <w:rFonts w:ascii="Segoe UI" w:hAnsi="Segoe UI" w:cs="Segoe UI"/>
          <w:color w:val="313131"/>
          <w:shd w:val="clear" w:color="auto" w:fill="FFFFFF"/>
        </w:rPr>
        <w:t xml:space="preserve">: </w:t>
      </w:r>
      <w:hyperlink r:id="rId11" w:history="1">
        <w:r w:rsidRPr="009C3B98">
          <w:rPr>
            <w:rStyle w:val="Hyperlink"/>
            <w:rFonts w:ascii="Segoe UI" w:hAnsi="Segoe UI" w:cs="Segoe UI"/>
            <w:shd w:val="clear" w:color="auto" w:fill="FFFFFF"/>
          </w:rPr>
          <w:t>https://www1.health.gov.au/internet/main/publishing.nsf/Content/cdna-song-novel-coronavirus.htm</w:t>
        </w:r>
      </w:hyperlink>
    </w:p>
    <w:p w14:paraId="63E014F9" w14:textId="26917351" w:rsidR="00BD5F40" w:rsidRPr="00536843" w:rsidRDefault="00BD5F40" w:rsidP="008C3DDA">
      <w:pPr>
        <w:rPr>
          <w:rFonts w:ascii="Segoe UI" w:hAnsi="Segoe UI" w:cs="Segoe UI"/>
          <w:color w:val="313131"/>
          <w:shd w:val="clear" w:color="auto" w:fill="FFFFFF"/>
        </w:rPr>
      </w:pPr>
    </w:p>
    <w:p w14:paraId="2B69436D" w14:textId="77777777" w:rsidR="001E12C9" w:rsidRDefault="001E12C9" w:rsidP="008C3DDA">
      <w:pPr>
        <w:rPr>
          <w:rFonts w:ascii="Segoe UI" w:hAnsi="Segoe UI" w:cs="Segoe UI"/>
          <w:color w:val="313131"/>
          <w:shd w:val="clear" w:color="auto" w:fill="FFFFFF"/>
        </w:rPr>
      </w:pPr>
    </w:p>
    <w:p w14:paraId="1194F676" w14:textId="77777777" w:rsidR="001E12C9" w:rsidRDefault="001E12C9" w:rsidP="008C3DDA">
      <w:pPr>
        <w:rPr>
          <w:rFonts w:ascii="Segoe UI" w:hAnsi="Segoe UI" w:cs="Segoe UI"/>
          <w:color w:val="313131"/>
          <w:shd w:val="clear" w:color="auto" w:fill="FFFFFF"/>
        </w:rPr>
      </w:pPr>
    </w:p>
    <w:p w14:paraId="4785440E" w14:textId="77777777" w:rsidR="001E12C9" w:rsidRDefault="001E12C9" w:rsidP="008C3DDA">
      <w:pPr>
        <w:rPr>
          <w:rFonts w:ascii="Segoe UI" w:hAnsi="Segoe UI" w:cs="Segoe UI"/>
          <w:color w:val="313131"/>
          <w:shd w:val="clear" w:color="auto" w:fill="FFFFFF"/>
        </w:rPr>
      </w:pPr>
      <w:bookmarkStart w:id="0" w:name="_GoBack"/>
      <w:bookmarkEnd w:id="0"/>
    </w:p>
    <w:p w14:paraId="6CC2B664" w14:textId="77777777" w:rsidR="001E12C9" w:rsidRDefault="001E12C9" w:rsidP="008C3DDA">
      <w:pPr>
        <w:rPr>
          <w:rFonts w:ascii="Segoe UI" w:hAnsi="Segoe UI" w:cs="Segoe UI"/>
          <w:color w:val="313131"/>
          <w:shd w:val="clear" w:color="auto" w:fill="FFFFFF"/>
        </w:rPr>
      </w:pPr>
    </w:p>
    <w:p w14:paraId="3501C29E" w14:textId="5E909C22" w:rsidR="00BD5F40" w:rsidRPr="00536843" w:rsidRDefault="00BD5F40" w:rsidP="008C3DDA">
      <w:pPr>
        <w:rPr>
          <w:rFonts w:ascii="Segoe UI" w:hAnsi="Segoe UI" w:cs="Segoe UI"/>
          <w:color w:val="313131"/>
          <w:shd w:val="clear" w:color="auto" w:fill="FFFFFF"/>
        </w:rPr>
      </w:pPr>
      <w:r w:rsidRPr="00536843">
        <w:rPr>
          <w:rFonts w:ascii="Segoe UI" w:hAnsi="Segoe UI" w:cs="Segoe UI"/>
          <w:color w:val="313131"/>
          <w:shd w:val="clear" w:color="auto" w:fill="FFFFFF"/>
        </w:rPr>
        <w:t>References</w:t>
      </w:r>
    </w:p>
    <w:sectPr w:rsidR="00BD5F40" w:rsidRPr="00536843" w:rsidSect="00BD5F40"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7E1D5" w14:textId="77777777" w:rsidR="00303A56" w:rsidRDefault="00303A56" w:rsidP="00BD5F40">
      <w:pPr>
        <w:spacing w:after="0" w:line="240" w:lineRule="auto"/>
      </w:pPr>
      <w:r>
        <w:separator/>
      </w:r>
    </w:p>
  </w:endnote>
  <w:endnote w:type="continuationSeparator" w:id="0">
    <w:p w14:paraId="6E7F31B6" w14:textId="77777777" w:rsidR="00303A56" w:rsidRDefault="00303A56" w:rsidP="00BD5F40">
      <w:pPr>
        <w:spacing w:after="0" w:line="240" w:lineRule="auto"/>
      </w:pPr>
      <w:r>
        <w:continuationSeparator/>
      </w:r>
    </w:p>
  </w:endnote>
  <w:endnote w:id="1">
    <w:p w14:paraId="3257D058" w14:textId="77777777" w:rsidR="0002263D" w:rsidRPr="001C3C96" w:rsidRDefault="0002263D" w:rsidP="000226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EndnoteReference"/>
        </w:rPr>
        <w:endnoteRef/>
      </w:r>
      <w:r>
        <w:rPr>
          <w:rFonts w:ascii="Calibri" w:hAnsi="Calibri" w:cs="Calibri"/>
          <w:color w:val="000000"/>
          <w:sz w:val="20"/>
          <w:szCs w:val="20"/>
        </w:rPr>
        <w:t xml:space="preserve"> Division of risk assessment and international cooperation. Findings from investigation and analysis of re-positive cases. Korea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Centers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for Disease Control and Prevention. </w:t>
      </w:r>
      <w:r>
        <w:rPr>
          <w:rFonts w:ascii="Calibri" w:hAnsi="Calibri" w:cs="Calibri"/>
          <w:color w:val="0B4F83"/>
          <w:sz w:val="20"/>
          <w:szCs w:val="20"/>
        </w:rPr>
        <w:t>https://www.cdc.go.kr/board/board.es?mid=a30402000000&amp;bid=0030&amp;act=view&amp;list_no=367267&amp;nPage=1</w:t>
      </w:r>
    </w:p>
  </w:endnote>
  <w:endnote w:id="2">
    <w:p w14:paraId="010C6F80" w14:textId="59A8ABE4" w:rsidR="001B5970" w:rsidRDefault="001B5970" w:rsidP="001B597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B5970">
        <w:rPr>
          <w:rFonts w:ascii="Calibri" w:hAnsi="Calibri" w:cs="Calibri"/>
          <w:color w:val="000000"/>
        </w:rPr>
        <w:t xml:space="preserve">Position Statement from the National Centre for Infectious Diseases and the Chapter of Infectious Disease Physicians, Academy of Medicine, Singapore – Period of Infectivity to Inform Strategies for De-isolation for COVID-19 Patients. Singapore: </w:t>
      </w:r>
      <w:proofErr w:type="spellStart"/>
      <w:r w:rsidRPr="001B5970">
        <w:rPr>
          <w:rFonts w:ascii="Calibri" w:hAnsi="Calibri" w:cs="Calibri"/>
          <w:color w:val="000000"/>
        </w:rPr>
        <w:t>Acadamy</w:t>
      </w:r>
      <w:proofErr w:type="spellEnd"/>
      <w:r w:rsidRPr="001B5970">
        <w:rPr>
          <w:rFonts w:ascii="Calibri" w:hAnsi="Calibri" w:cs="Calibri"/>
          <w:color w:val="000000"/>
        </w:rPr>
        <w:t xml:space="preserve"> of Medicine, Singapore; 2020</w:t>
      </w:r>
      <w:r>
        <w:rPr>
          <w:rFonts w:ascii="Calibri" w:hAnsi="Calibri" w:cs="Calibri"/>
          <w:color w:val="000000"/>
        </w:rPr>
        <w:t xml:space="preserve">. </w:t>
      </w:r>
      <w:hyperlink r:id="rId1" w:history="1">
        <w:r w:rsidRPr="001B5970">
          <w:rPr>
            <w:color w:val="0B4F83"/>
          </w:rPr>
          <w:t>https://www.ams.edu.sg/view-pdf.aspx?file=media%5c5558_fi_168.pdf&amp;ofile=Period+of+Infectivity+Position+Statement+(final)+23-5-20.pdf</w:t>
        </w:r>
      </w:hyperlink>
      <w:r>
        <w:rPr>
          <w:rFonts w:ascii="Calibri" w:hAnsi="Calibri" w:cs="Calibri"/>
          <w:color w:val="000000"/>
        </w:rPr>
        <w:t xml:space="preserve"> </w:t>
      </w:r>
    </w:p>
  </w:endnote>
  <w:endnote w:id="3">
    <w:p w14:paraId="20BF6043" w14:textId="77777777" w:rsidR="001B5970" w:rsidRDefault="001B5970" w:rsidP="001B59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US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Centers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for Disease Control and Prevention. Symptom-based strategy to discontinue isolation for persons</w:t>
      </w:r>
    </w:p>
    <w:p w14:paraId="68DCB44B" w14:textId="77777777" w:rsidR="001B5970" w:rsidRDefault="001B5970" w:rsidP="001B59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B4F83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with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COVID-19. US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Centers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for Disease Control and Prevention. </w:t>
      </w:r>
      <w:r>
        <w:rPr>
          <w:rFonts w:ascii="Calibri" w:hAnsi="Calibri" w:cs="Calibri"/>
          <w:color w:val="0B4F83"/>
          <w:sz w:val="20"/>
          <w:szCs w:val="20"/>
        </w:rPr>
        <w:t>https://www.cdc.gov/coronavirus/2019-</w:t>
      </w:r>
    </w:p>
    <w:p w14:paraId="5FDA907B" w14:textId="75FD85CC" w:rsidR="001B5970" w:rsidRDefault="001B5970" w:rsidP="001B5970">
      <w:pPr>
        <w:pStyle w:val="EndnoteText"/>
      </w:pPr>
      <w:proofErr w:type="spellStart"/>
      <w:r>
        <w:rPr>
          <w:rFonts w:ascii="Calibri" w:hAnsi="Calibri" w:cs="Calibri"/>
          <w:color w:val="0B4F83"/>
        </w:rPr>
        <w:t>ncov</w:t>
      </w:r>
      <w:proofErr w:type="spellEnd"/>
      <w:r>
        <w:rPr>
          <w:rFonts w:ascii="Calibri" w:hAnsi="Calibri" w:cs="Calibri"/>
          <w:color w:val="0B4F83"/>
        </w:rPr>
        <w:t>/community/strategy-discontinue-isolation.html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53CA" w14:textId="77777777" w:rsidR="00303A56" w:rsidRDefault="00303A56" w:rsidP="00BD5F40">
      <w:pPr>
        <w:spacing w:after="0" w:line="240" w:lineRule="auto"/>
      </w:pPr>
      <w:r>
        <w:separator/>
      </w:r>
    </w:p>
  </w:footnote>
  <w:footnote w:type="continuationSeparator" w:id="0">
    <w:p w14:paraId="5480F3C3" w14:textId="77777777" w:rsidR="00303A56" w:rsidRDefault="00303A56" w:rsidP="00BD5F40">
      <w:pPr>
        <w:spacing w:after="0" w:line="240" w:lineRule="auto"/>
      </w:pPr>
      <w:r>
        <w:continuationSeparator/>
      </w:r>
    </w:p>
  </w:footnote>
  <w:footnote w:id="1">
    <w:p w14:paraId="5D521581" w14:textId="3DC3F3B9" w:rsidR="00554CB8" w:rsidRDefault="00554CB8">
      <w:pPr>
        <w:pStyle w:val="FootnoteText"/>
      </w:pPr>
      <w:r>
        <w:rPr>
          <w:rStyle w:val="FootnoteReference"/>
        </w:rPr>
        <w:footnoteRef/>
      </w:r>
      <w:r>
        <w:t xml:space="preserve"> PCR – refers to Polymerase Chain Reaction tests, which in this instance detects parts of the SARS-CoV-2 ribonucleic acid—genetic viral material.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53"/>
    <w:multiLevelType w:val="hybridMultilevel"/>
    <w:tmpl w:val="896EE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55B"/>
    <w:multiLevelType w:val="hybridMultilevel"/>
    <w:tmpl w:val="7EE20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5D61"/>
    <w:multiLevelType w:val="hybridMultilevel"/>
    <w:tmpl w:val="1A0A4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3D4C"/>
    <w:multiLevelType w:val="hybridMultilevel"/>
    <w:tmpl w:val="05AA8642"/>
    <w:lvl w:ilvl="0" w:tplc="77B86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6034"/>
    <w:multiLevelType w:val="hybridMultilevel"/>
    <w:tmpl w:val="E0E67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6CBD"/>
    <w:multiLevelType w:val="hybridMultilevel"/>
    <w:tmpl w:val="B506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6B8"/>
    <w:multiLevelType w:val="hybridMultilevel"/>
    <w:tmpl w:val="7D6C1FBE"/>
    <w:lvl w:ilvl="0" w:tplc="62586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3"/>
    <w:rsid w:val="0002263D"/>
    <w:rsid w:val="000300EC"/>
    <w:rsid w:val="000521F8"/>
    <w:rsid w:val="000812FD"/>
    <w:rsid w:val="000972E4"/>
    <w:rsid w:val="000A5337"/>
    <w:rsid w:val="000B25ED"/>
    <w:rsid w:val="00113831"/>
    <w:rsid w:val="00156A84"/>
    <w:rsid w:val="00165802"/>
    <w:rsid w:val="00172616"/>
    <w:rsid w:val="00174574"/>
    <w:rsid w:val="00175912"/>
    <w:rsid w:val="00183A3C"/>
    <w:rsid w:val="001A66CA"/>
    <w:rsid w:val="001B5970"/>
    <w:rsid w:val="001C3C96"/>
    <w:rsid w:val="001C47F9"/>
    <w:rsid w:val="001D2F4B"/>
    <w:rsid w:val="001E12C9"/>
    <w:rsid w:val="00247432"/>
    <w:rsid w:val="0025397E"/>
    <w:rsid w:val="0026110C"/>
    <w:rsid w:val="002774E6"/>
    <w:rsid w:val="00280050"/>
    <w:rsid w:val="002B78C7"/>
    <w:rsid w:val="002E3E9C"/>
    <w:rsid w:val="002F1123"/>
    <w:rsid w:val="002F1ED6"/>
    <w:rsid w:val="002F2076"/>
    <w:rsid w:val="00303A56"/>
    <w:rsid w:val="00306CA7"/>
    <w:rsid w:val="003606B5"/>
    <w:rsid w:val="003C778D"/>
    <w:rsid w:val="003E1D06"/>
    <w:rsid w:val="003F040C"/>
    <w:rsid w:val="00414BA1"/>
    <w:rsid w:val="00442C77"/>
    <w:rsid w:val="00472F8E"/>
    <w:rsid w:val="004736DF"/>
    <w:rsid w:val="004878E6"/>
    <w:rsid w:val="004C4C6E"/>
    <w:rsid w:val="0051355D"/>
    <w:rsid w:val="00536843"/>
    <w:rsid w:val="00552433"/>
    <w:rsid w:val="00552BA9"/>
    <w:rsid w:val="00554CB8"/>
    <w:rsid w:val="00571B7A"/>
    <w:rsid w:val="005741EF"/>
    <w:rsid w:val="005A70C6"/>
    <w:rsid w:val="005E0E70"/>
    <w:rsid w:val="00612FB2"/>
    <w:rsid w:val="00663C4B"/>
    <w:rsid w:val="006977DF"/>
    <w:rsid w:val="006C02E2"/>
    <w:rsid w:val="006C3D9E"/>
    <w:rsid w:val="006D73F8"/>
    <w:rsid w:val="007513A5"/>
    <w:rsid w:val="007769B5"/>
    <w:rsid w:val="00781AF2"/>
    <w:rsid w:val="00792D91"/>
    <w:rsid w:val="007D1D69"/>
    <w:rsid w:val="007E4480"/>
    <w:rsid w:val="008135B3"/>
    <w:rsid w:val="00835104"/>
    <w:rsid w:val="00851C2F"/>
    <w:rsid w:val="00871D50"/>
    <w:rsid w:val="008770C3"/>
    <w:rsid w:val="00896F8B"/>
    <w:rsid w:val="00897559"/>
    <w:rsid w:val="008B56F9"/>
    <w:rsid w:val="008C3DDA"/>
    <w:rsid w:val="008C6193"/>
    <w:rsid w:val="008F7951"/>
    <w:rsid w:val="009106E3"/>
    <w:rsid w:val="00920594"/>
    <w:rsid w:val="00942D07"/>
    <w:rsid w:val="00965A0E"/>
    <w:rsid w:val="009705CD"/>
    <w:rsid w:val="009B4BF5"/>
    <w:rsid w:val="009B6544"/>
    <w:rsid w:val="009B7ADD"/>
    <w:rsid w:val="009C4779"/>
    <w:rsid w:val="009D2E82"/>
    <w:rsid w:val="009F3D5E"/>
    <w:rsid w:val="00A3112F"/>
    <w:rsid w:val="00A34D3C"/>
    <w:rsid w:val="00A45B6D"/>
    <w:rsid w:val="00A5102F"/>
    <w:rsid w:val="00A712A0"/>
    <w:rsid w:val="00AD4754"/>
    <w:rsid w:val="00AE0A90"/>
    <w:rsid w:val="00AE207B"/>
    <w:rsid w:val="00B101E8"/>
    <w:rsid w:val="00B327E0"/>
    <w:rsid w:val="00BD4EDC"/>
    <w:rsid w:val="00BD5F40"/>
    <w:rsid w:val="00BF30FA"/>
    <w:rsid w:val="00C07F27"/>
    <w:rsid w:val="00C11604"/>
    <w:rsid w:val="00C86C3F"/>
    <w:rsid w:val="00C95D3C"/>
    <w:rsid w:val="00CB610B"/>
    <w:rsid w:val="00D3336B"/>
    <w:rsid w:val="00D35730"/>
    <w:rsid w:val="00D441D1"/>
    <w:rsid w:val="00E74163"/>
    <w:rsid w:val="00E84F49"/>
    <w:rsid w:val="00EB7415"/>
    <w:rsid w:val="00EC09BF"/>
    <w:rsid w:val="00ED18AA"/>
    <w:rsid w:val="00EE442A"/>
    <w:rsid w:val="00EF1C07"/>
    <w:rsid w:val="00F05356"/>
    <w:rsid w:val="00F14D6C"/>
    <w:rsid w:val="00F43AC1"/>
    <w:rsid w:val="00FB2D38"/>
    <w:rsid w:val="00FB4C98"/>
    <w:rsid w:val="00FD4FD0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9663"/>
  <w15:chartTrackingRefBased/>
  <w15:docId w15:val="{6790496C-5560-4F87-865A-5CB72BF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3A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D5F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5F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5F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5F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F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F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597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43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health.gov.au/internet/main/publishing.nsf/Content/cdna-song-novel-coronavirus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s.edu.sg/view-pdf.aspx?file=media%5c5558_fi_168.pdf&amp;ofile=Period+of+Infectivity+Position+Statement+(final)+23-5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717B5E75A749B52A2A1ED9FAFC2F" ma:contentTypeVersion="13" ma:contentTypeDescription="Create a new document." ma:contentTypeScope="" ma:versionID="37e6c51bb9cbd607b56572f25a6d8d3b">
  <xsd:schema xmlns:xsd="http://www.w3.org/2001/XMLSchema" xmlns:xs="http://www.w3.org/2001/XMLSchema" xmlns:p="http://schemas.microsoft.com/office/2006/metadata/properties" xmlns:ns3="7fe9b2ad-a624-4b84-b8ab-2d334fee27a1" xmlns:ns4="8a6433de-a4a2-468c-83d4-ad14dac3724d" targetNamespace="http://schemas.microsoft.com/office/2006/metadata/properties" ma:root="true" ma:fieldsID="c3e99bdd5658860acbeb4de4ab3078b7" ns3:_="" ns4:_="">
    <xsd:import namespace="7fe9b2ad-a624-4b84-b8ab-2d334fee27a1"/>
    <xsd:import namespace="8a6433de-a4a2-468c-83d4-ad14dac37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b2ad-a624-4b84-b8ab-2d334fee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33de-a4a2-468c-83d4-ad14dac37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02DE-579A-4DFB-AD80-F92E8C7D349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a6433de-a4a2-468c-83d4-ad14dac3724d"/>
    <ds:schemaRef ds:uri="http://purl.org/dc/terms/"/>
    <ds:schemaRef ds:uri="7fe9b2ad-a624-4b84-b8ab-2d334fee27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77B8F9-A541-4C34-8DE7-7C351A7D2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b2ad-a624-4b84-b8ab-2d334fee27a1"/>
    <ds:schemaRef ds:uri="8a6433de-a4a2-468c-83d4-ad14dac3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C5CDF-1E04-4B35-B578-325C1EF23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BA1D4-70B2-4335-A9F3-78C4766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Joshua</dc:creator>
  <cp:keywords/>
  <dc:description/>
  <cp:lastModifiedBy>Martin, Mel</cp:lastModifiedBy>
  <cp:revision>3</cp:revision>
  <dcterms:created xsi:type="dcterms:W3CDTF">2020-08-05T01:12:00Z</dcterms:created>
  <dcterms:modified xsi:type="dcterms:W3CDTF">2020-08-05T01:20:00Z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0x01010066D7717B5E75A749B52A2A1ED9FAFC2F</vt:lpwstr>
  </property>
</Properties>
</file>